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(Fees)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2014</w:t>
      </w:r>
      <w:r>
        <w:fldChar w:fldCharType="end"/>
      </w:r>
      <w:r>
        <w:t xml:space="preserve">, </w:t>
      </w:r>
      <w:r>
        <w:fldChar w:fldCharType="begin"/>
      </w:r>
      <w:r>
        <w:instrText xml:space="preserve"> DocProperty FromSuffix </w:instrText>
      </w:r>
      <w:r>
        <w:fldChar w:fldCharType="separate"/>
      </w:r>
      <w:r>
        <w:t>02-j0-00</w:t>
      </w:r>
      <w:r>
        <w:fldChar w:fldCharType="end"/>
      </w:r>
      <w:r>
        <w:t>] and [</w:t>
      </w:r>
      <w:r>
        <w:fldChar w:fldCharType="begin"/>
      </w:r>
      <w:r>
        <w:instrText xml:space="preserve"> DocProperty ToAsAtDate</w:instrText>
      </w:r>
      <w:r>
        <w:fldChar w:fldCharType="separate"/>
      </w:r>
      <w:r>
        <w:t>12 Jul 2014</w:t>
      </w:r>
      <w:r>
        <w:fldChar w:fldCharType="end"/>
      </w:r>
      <w:r>
        <w:t xml:space="preserve">, </w:t>
      </w:r>
      <w:r>
        <w:fldChar w:fldCharType="begin"/>
      </w:r>
      <w:r>
        <w:instrText xml:space="preserve"> DocProperty ToSuffix</w:instrText>
      </w:r>
      <w:r>
        <w:fldChar w:fldCharType="separate"/>
      </w:r>
      <w:r>
        <w:t>02-k0-01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Supreme Court Act 1935</w:t>
      </w:r>
    </w:p>
    <w:p>
      <w:pPr>
        <w:pStyle w:val="NameofActReg"/>
        <w:spacing w:before="400" w:after="520"/>
      </w:pPr>
      <w:r>
        <w:t>Supreme Court (Fees) Regulations 2002</w:t>
      </w:r>
    </w:p>
    <w:p>
      <w:pPr>
        <w:pStyle w:val="Heading5"/>
      </w:pPr>
      <w:bookmarkStart w:id="0" w:name="_Toc392770201"/>
      <w:bookmarkStart w:id="1" w:name="_Toc391885679"/>
      <w:r>
        <w:rPr>
          <w:rStyle w:val="CharSectno"/>
        </w:rPr>
        <w:t>1</w:t>
      </w:r>
      <w:bookmarkStart w:id="2" w:name="_GoBack"/>
      <w:bookmarkEnd w:id="2"/>
      <w:r>
        <w:t>.</w:t>
      </w:r>
      <w:r>
        <w:tab/>
        <w:t>Citation</w:t>
      </w:r>
      <w:bookmarkEnd w:id="0"/>
      <w:bookmarkEnd w:id="1"/>
    </w:p>
    <w:p>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rPr>
          <w:rFonts w:ascii="Times" w:hAnsi="Times"/>
          <w:iCs/>
          <w:vertAlign w:val="superscript"/>
        </w:rPr>
        <w:t> 1</w:t>
      </w:r>
      <w:r>
        <w:t>.</w:t>
      </w:r>
    </w:p>
    <w:p>
      <w:pPr>
        <w:pStyle w:val="Heading5"/>
        <w:rPr>
          <w:spacing w:val="-2"/>
        </w:rPr>
      </w:pPr>
      <w:bookmarkStart w:id="3" w:name="_Toc392770202"/>
      <w:bookmarkStart w:id="4" w:name="_Toc391885680"/>
      <w:r>
        <w:rPr>
          <w:rStyle w:val="CharSectno"/>
        </w:rPr>
        <w:t>2</w:t>
      </w:r>
      <w:r>
        <w:rPr>
          <w:spacing w:val="-2"/>
        </w:rPr>
        <w:t>.</w:t>
      </w:r>
      <w:r>
        <w:rPr>
          <w:spacing w:val="-2"/>
        </w:rPr>
        <w:tab/>
        <w:t>Commencement</w:t>
      </w:r>
      <w:bookmarkEnd w:id="3"/>
      <w:bookmarkEnd w:id="4"/>
    </w:p>
    <w:p>
      <w:pPr>
        <w:pStyle w:val="Subsection"/>
        <w:rPr>
          <w:spacing w:val="-2"/>
        </w:rPr>
      </w:pPr>
      <w:r>
        <w:rPr>
          <w:spacing w:val="-2"/>
        </w:rPr>
        <w:tab/>
      </w:r>
      <w:r>
        <w:rPr>
          <w:spacing w:val="-2"/>
        </w:rPr>
        <w:tab/>
        <w:t>These regulations come into operation on 1 January 2002</w:t>
      </w:r>
      <w:r>
        <w:t>.</w:t>
      </w:r>
    </w:p>
    <w:p>
      <w:pPr>
        <w:pStyle w:val="Heading5"/>
      </w:pPr>
      <w:bookmarkStart w:id="5" w:name="_Toc392770203"/>
      <w:bookmarkStart w:id="6" w:name="_Toc391885681"/>
      <w:r>
        <w:rPr>
          <w:rStyle w:val="CharSectno"/>
        </w:rPr>
        <w:t>3</w:t>
      </w:r>
      <w:r>
        <w:t>.</w:t>
      </w:r>
      <w:r>
        <w:tab/>
        <w:t>Terms used</w:t>
      </w:r>
      <w:bookmarkEnd w:id="5"/>
      <w:bookmarkEnd w:id="6"/>
    </w:p>
    <w:p>
      <w:pPr>
        <w:pStyle w:val="Subsection"/>
      </w:pPr>
      <w:r>
        <w:tab/>
      </w:r>
      <w:r>
        <w:tab/>
        <w:t xml:space="preserve">In these regulations unless the contrary intention appears — </w:t>
      </w:r>
    </w:p>
    <w:p>
      <w:pPr>
        <w:pStyle w:val="Defstart"/>
      </w:pPr>
      <w:r>
        <w:tab/>
      </w:r>
      <w:r>
        <w:rPr>
          <w:rStyle w:val="CharDefText"/>
        </w:rPr>
        <w:t>corporation</w:t>
      </w:r>
      <w:r>
        <w:t xml:space="preserve"> has the same meaning as it has in the </w:t>
      </w:r>
      <w:r>
        <w:rPr>
          <w:i/>
        </w:rPr>
        <w:t>Corporations Act 2001</w:t>
      </w:r>
      <w:r>
        <w:t xml:space="preserve"> of the Commonwealth;</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tab/>
      </w:r>
      <w:r>
        <w:rPr>
          <w:rStyle w:val="CharDefText"/>
        </w:rPr>
        <w:t>Rules</w:t>
      </w:r>
      <w:r>
        <w:t xml:space="preserve"> means the </w:t>
      </w:r>
      <w:r>
        <w:rPr>
          <w:i/>
        </w:rPr>
        <w:t>Rules of the Supreme Court 1971</w:t>
      </w:r>
      <w:r>
        <w:t>;</w:t>
      </w:r>
    </w:p>
    <w:p>
      <w:pPr>
        <w:pStyle w:val="Defstart"/>
      </w:pPr>
      <w:r>
        <w:tab/>
      </w:r>
      <w:r>
        <w:rPr>
          <w:rStyle w:val="CharDefText"/>
        </w:rPr>
        <w:t>small business</w:t>
      </w:r>
      <w:r>
        <w:t xml:space="preserve"> means — </w:t>
      </w:r>
    </w:p>
    <w:p>
      <w:pPr>
        <w:pStyle w:val="Ednotedefpara"/>
        <w:spacing w:before="70"/>
        <w:rPr>
          <w:i/>
          <w:iCs/>
        </w:rPr>
      </w:pPr>
      <w:r>
        <w:rPr>
          <w:i/>
          <w:iCs/>
        </w:rPr>
        <w:tab/>
        <w:t>[(a)</w:t>
      </w:r>
      <w:r>
        <w:rPr>
          <w:i/>
          <w:iCs/>
        </w:rPr>
        <w:tab/>
        <w:t>deleted]</w:t>
      </w:r>
    </w:p>
    <w:p>
      <w:pPr>
        <w:pStyle w:val="Defpara"/>
        <w:spacing w:before="70"/>
      </w:pPr>
      <w:r>
        <w:tab/>
        <w:t>(b)</w:t>
      </w:r>
      <w:r>
        <w:tab/>
        <w:t>an individual or individuals in partnership who wholly own and operate a business undertaking that has less than 20 full-time equivalent employees and partners;</w:t>
      </w:r>
    </w:p>
    <w:p>
      <w:pPr>
        <w:pStyle w:val="Defpara"/>
        <w:spacing w:before="70"/>
      </w:pPr>
      <w:r>
        <w:tab/>
        <w:t>(c)</w:t>
      </w:r>
      <w:r>
        <w:tab/>
        <w:t>a corporation that has less than 20 full-time equivalent employees and that is not a subsidiary of a corporation that has 20 or more full-time equivalent employees;</w:t>
      </w:r>
    </w:p>
    <w:p>
      <w:pPr>
        <w:pStyle w:val="Defpara"/>
        <w:spacing w:before="70"/>
      </w:pPr>
      <w:r>
        <w:tab/>
        <w:t>(d)</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full-time equivalent employees; or</w:t>
      </w:r>
    </w:p>
    <w:p>
      <w:pPr>
        <w:pStyle w:val="Defpara"/>
        <w:spacing w:before="70"/>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full-time equivalent employees;</w:t>
      </w:r>
    </w:p>
    <w:p>
      <w:pPr>
        <w:pStyle w:val="Defstart"/>
        <w:keepNext/>
        <w:keepLines/>
      </w:pPr>
      <w:r>
        <w:tab/>
      </w:r>
      <w:r>
        <w:rPr>
          <w:rStyle w:val="CharDefText"/>
        </w:rPr>
        <w:t>subsidiary</w:t>
      </w:r>
      <w:r>
        <w:t xml:space="preserve"> has the same meaning as it has in the </w:t>
      </w:r>
      <w:r>
        <w:rPr>
          <w:i/>
        </w:rPr>
        <w:t>Corporations Act 2001</w:t>
      </w:r>
      <w:r>
        <w:t xml:space="preserve"> of the Commonwealth.</w:t>
      </w:r>
    </w:p>
    <w:p>
      <w:pPr>
        <w:pStyle w:val="Footnotesection"/>
        <w:spacing w:before="100"/>
        <w:ind w:left="890" w:hanging="890"/>
      </w:pPr>
      <w:r>
        <w:tab/>
        <w:t>[Regulation 3 amended in Gazette 30 Dec 2003 p. 5693; 23 Jun 2006 p. 2184.]</w:t>
      </w:r>
    </w:p>
    <w:p>
      <w:pPr>
        <w:pStyle w:val="Heading5"/>
        <w:rPr>
          <w:snapToGrid w:val="0"/>
        </w:rPr>
      </w:pPr>
      <w:bookmarkStart w:id="7" w:name="_Toc392770204"/>
      <w:bookmarkStart w:id="8" w:name="_Toc391885682"/>
      <w:r>
        <w:rPr>
          <w:rStyle w:val="CharSectno"/>
        </w:rPr>
        <w:t>4</w:t>
      </w:r>
      <w:r>
        <w:t>.</w:t>
      </w:r>
      <w:r>
        <w:tab/>
      </w:r>
      <w:r>
        <w:rPr>
          <w:snapToGrid w:val="0"/>
        </w:rPr>
        <w:t>Fees to be charged</w:t>
      </w:r>
      <w:bookmarkEnd w:id="7"/>
      <w:bookmarkEnd w:id="8"/>
    </w:p>
    <w:p>
      <w:pPr>
        <w:pStyle w:val="Subsection"/>
        <w:rPr>
          <w:snapToGrid w:val="0"/>
        </w:rPr>
      </w:pPr>
      <w:r>
        <w:rPr>
          <w:snapToGrid w:val="0"/>
        </w:rPr>
        <w:tab/>
        <w:t>(1)</w:t>
      </w:r>
      <w:r>
        <w:rPr>
          <w:snapToGrid w:val="0"/>
        </w:rPr>
        <w:tab/>
        <w:t>Subject to the provisions of these regulations, the fees specified in Schedules 1, 2, and 3 are to be charged in respect of the matters referred to in section 171(1) of the Act in relation to which they are specified.</w:t>
      </w:r>
    </w:p>
    <w:p>
      <w:pPr>
        <w:pStyle w:val="Subsection"/>
        <w:keepNext/>
      </w:pPr>
      <w:r>
        <w:rPr>
          <w:snapToGrid w:val="0"/>
        </w:rPr>
        <w:tab/>
        <w:t>(2)</w:t>
      </w:r>
      <w:r>
        <w:rPr>
          <w:snapToGrid w:val="0"/>
        </w:rPr>
        <w:tab/>
      </w:r>
      <w:r>
        <w:t>In relation to a matter specified in column 2 of Schedule </w:t>
      </w:r>
      <w:r>
        <w:rPr>
          <w:snapToGrid w:val="0"/>
        </w:rPr>
        <w:t>1</w:t>
      </w:r>
      <w:r>
        <w:t>, the fee shown opposite the matter —</w:t>
      </w:r>
    </w:p>
    <w:p>
      <w:pPr>
        <w:pStyle w:val="Indenta"/>
      </w:pPr>
      <w:r>
        <w:tab/>
        <w:t>(a)</w:t>
      </w:r>
      <w:r>
        <w:tab/>
        <w:t>in column 3 applies if an individual is required to pay the fee; or</w:t>
      </w:r>
    </w:p>
    <w:p>
      <w:pPr>
        <w:pStyle w:val="Indenta"/>
      </w:pPr>
      <w:r>
        <w:tab/>
        <w:t>(b)</w:t>
      </w:r>
      <w:r>
        <w:tab/>
        <w:t>in column 4 applies if a person other an individual is required to pay the fee,</w:t>
      </w:r>
    </w:p>
    <w:p>
      <w:pPr>
        <w:pStyle w:val="Subsection"/>
      </w:pPr>
      <w:r>
        <w:tab/>
      </w:r>
      <w:r>
        <w:tab/>
        <w:t>as the case requires.</w:t>
      </w:r>
    </w:p>
    <w:p>
      <w:pPr>
        <w:pStyle w:val="Subsection"/>
        <w:rPr>
          <w:snapToGrid w:val="0"/>
        </w:rPr>
      </w:pPr>
      <w:r>
        <w:rPr>
          <w:snapToGrid w:val="0"/>
        </w:rPr>
        <w:tab/>
        <w:t>(3)</w:t>
      </w:r>
      <w:r>
        <w:rPr>
          <w:snapToGrid w:val="0"/>
        </w:rPr>
        <w:tab/>
        <w:t>Except as provided in Schedule 1 or 3,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Court.</w:t>
      </w:r>
    </w:p>
    <w:p>
      <w:pPr>
        <w:pStyle w:val="Subsection"/>
        <w:rPr>
          <w:snapToGrid w:val="0"/>
        </w:rPr>
      </w:pPr>
      <w:r>
        <w:rPr>
          <w:snapToGrid w:val="0"/>
        </w:rPr>
        <w:tab/>
        <w:t>(4)</w:t>
      </w:r>
      <w:r>
        <w:rPr>
          <w:snapToGrid w:val="0"/>
        </w:rPr>
        <w:tab/>
        <w:t>A note to an item in Schedule 1, 2, or 3 has effect according to its tenor as if it were a provision of these regulations.</w:t>
      </w:r>
    </w:p>
    <w:p>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pPr>
        <w:pStyle w:val="Ednotesubsection"/>
      </w:pPr>
      <w:r>
        <w:tab/>
        <w:t>[(6)</w:t>
      </w:r>
      <w:r>
        <w:tab/>
        <w:t>deleted]</w:t>
      </w:r>
    </w:p>
    <w:p>
      <w:pPr>
        <w:pStyle w:val="Subsection"/>
      </w:pPr>
      <w:r>
        <w:rPr>
          <w:snapToGrid w:val="0"/>
        </w:rPr>
        <w:tab/>
        <w:t>(7)</w:t>
      </w:r>
      <w:r>
        <w:rPr>
          <w:snapToGrid w:val="0"/>
        </w:rPr>
        <w:tab/>
        <w:t xml:space="preserve">On the lodgment of a declaration </w:t>
      </w:r>
      <w:r>
        <w:t>in the form of Schedule 4 Form 1, a person that is a small business or a non-profit association is to be charged fees specified in Schedule 1 as if the person were an individual.</w:t>
      </w:r>
    </w:p>
    <w:p>
      <w:pPr>
        <w:pStyle w:val="Subsection"/>
      </w:pPr>
      <w:r>
        <w:tab/>
        <w:t>(8)</w:t>
      </w:r>
      <w:r>
        <w:tab/>
        <w:t>Subregulation (7) does not apply to fees payable by joint parties if at least one of the parties is not a small business or a non</w:t>
      </w:r>
      <w:r>
        <w:noBreakHyphen/>
        <w:t>profit association.</w:t>
      </w:r>
    </w:p>
    <w:p>
      <w:pPr>
        <w:pStyle w:val="Subsection"/>
      </w:pPr>
      <w:r>
        <w:tab/>
        <w:t>(9)</w:t>
      </w:r>
      <w:r>
        <w:tab/>
        <w:t>A person who has lodged a declaration under subregulation (7) must immediately advise the Principal Registrar if the person ceases to be a small business or a non-profit association.</w:t>
      </w:r>
    </w:p>
    <w:p>
      <w:pPr>
        <w:pStyle w:val="Penstart"/>
      </w:pPr>
      <w:r>
        <w:tab/>
        <w:t>Penalty: $1 000.</w:t>
      </w:r>
    </w:p>
    <w:p>
      <w:pPr>
        <w:pStyle w:val="Subsection"/>
      </w:pPr>
      <w:r>
        <w:tab/>
        <w:t>(10)</w:t>
      </w:r>
      <w:r>
        <w:tab/>
        <w:t>Whether or not the person has complied with subregulation (9), a person is not entitled to be charged fees as if the person were an individual if the person is not a small business or a non-profit association.</w:t>
      </w:r>
    </w:p>
    <w:p>
      <w:pPr>
        <w:pStyle w:val="Subsection"/>
      </w:pPr>
      <w:r>
        <w:tab/>
        <w:t>(11)</w:t>
      </w:r>
      <w:r>
        <w:tab/>
        <w:t xml:space="preserve">If a person is charged a fee under subregulation (7) when the person was not a small business or a non-profit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keepNext/>
        <w:keepLines/>
      </w:pPr>
      <w:r>
        <w:tab/>
        <w:t>(12)</w:t>
      </w:r>
      <w:r>
        <w:tab/>
        <w:t xml:space="preserve">An order under subregulation (11)(b) may provide that — </w:t>
      </w:r>
    </w:p>
    <w:p>
      <w:pPr>
        <w:pStyle w:val="Indenta"/>
      </w:pPr>
      <w:r>
        <w:tab/>
        <w:t>(a)</w:t>
      </w:r>
      <w:r>
        <w:tab/>
        <w:t>a pleading,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pleading,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(13)</w:t>
      </w:r>
      <w:r>
        <w:tab/>
        <w:t>A person who makes a statement or representation in a declaration under subregulation (7) that the person knows or has reason to believe is false or misleading in a material particular commits an offence.</w:t>
      </w:r>
    </w:p>
    <w:p>
      <w:pPr>
        <w:pStyle w:val="Penstart"/>
      </w:pPr>
      <w:r>
        <w:tab/>
        <w:t>Penalty: $1 000.</w:t>
      </w:r>
    </w:p>
    <w:p>
      <w:pPr>
        <w:pStyle w:val="Footnotesection"/>
      </w:pPr>
      <w:r>
        <w:tab/>
        <w:t>[Regulation 4 amended in Gazette 30 Dec 2003 p. 5693-4; 28 Apr 2005 p. 1758; 4 Sep 2009 p. 3461.]</w:t>
      </w:r>
    </w:p>
    <w:p>
      <w:pPr>
        <w:pStyle w:val="Heading5"/>
        <w:rPr>
          <w:snapToGrid w:val="0"/>
        </w:rPr>
      </w:pPr>
      <w:bookmarkStart w:id="9" w:name="_Toc392770205"/>
      <w:bookmarkStart w:id="10" w:name="_Toc391885683"/>
      <w:r>
        <w:rPr>
          <w:rStyle w:val="CharSectno"/>
        </w:rPr>
        <w:t>5</w:t>
      </w:r>
      <w:r>
        <w:t>.</w:t>
      </w:r>
      <w:r>
        <w:tab/>
      </w:r>
      <w:r>
        <w:rPr>
          <w:snapToGrid w:val="0"/>
        </w:rPr>
        <w:t>Exemptions</w:t>
      </w:r>
      <w:bookmarkEnd w:id="9"/>
      <w:bookmarkEnd w:id="10"/>
      <w:r>
        <w:rPr>
          <w:snapToGrid w:val="0"/>
        </w:rPr>
        <w:t xml:space="preserve"> </w:t>
      </w:r>
    </w:p>
    <w:p>
      <w:pPr>
        <w:pStyle w:val="Subsection"/>
        <w:rPr>
          <w:snapToGrid w:val="0"/>
        </w:rPr>
      </w:pPr>
      <w:r>
        <w:rPr>
          <w:snapToGrid w:val="0"/>
        </w:rPr>
        <w:tab/>
      </w:r>
      <w:r>
        <w:rPr>
          <w:snapToGrid w:val="0"/>
        </w:rPr>
        <w:tab/>
        <w:t>The provisions of these regulations apply to all proceedings in the Supreme Court in any jurisdiction inherent in or conferred on the Court or a judge other than — </w:t>
      </w:r>
    </w:p>
    <w:p>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 or</w:t>
      </w:r>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 or</w:t>
      </w:r>
    </w:p>
    <w:p>
      <w:pPr>
        <w:pStyle w:val="Indenta"/>
      </w:pPr>
      <w:r>
        <w:tab/>
        <w:t>(c)</w:t>
      </w:r>
      <w:r>
        <w:tab/>
        <w:t xml:space="preserve">proceedings under the </w:t>
      </w:r>
      <w:r>
        <w:rPr>
          <w:i/>
        </w:rPr>
        <w:t>Surveillance Devices Act 1998</w:t>
      </w:r>
      <w:r>
        <w:t>; or</w:t>
      </w:r>
    </w:p>
    <w:p>
      <w:pPr>
        <w:pStyle w:val="Indenta"/>
      </w:pPr>
      <w:r>
        <w:tab/>
        <w:t>(d)</w:t>
      </w:r>
      <w:r>
        <w:tab/>
        <w:t xml:space="preserve">proceedings under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or</w:t>
      </w:r>
    </w:p>
    <w:p>
      <w:pPr>
        <w:pStyle w:val="Indenta"/>
        <w:rPr>
          <w:snapToGrid w:val="0"/>
        </w:rPr>
      </w:pPr>
      <w:r>
        <w:rPr>
          <w:snapToGrid w:val="0"/>
        </w:rPr>
        <w:tab/>
        <w:t>(e)</w:t>
      </w:r>
      <w:r>
        <w:rPr>
          <w:snapToGrid w:val="0"/>
        </w:rPr>
        <w:tab/>
        <w:t>proceedings in the Court of Disputed Returns; or</w:t>
      </w:r>
    </w:p>
    <w:p>
      <w:pPr>
        <w:pStyle w:val="Indenta"/>
        <w:rPr>
          <w:snapToGrid w:val="0"/>
        </w:rPr>
      </w:pPr>
      <w:r>
        <w:rPr>
          <w:snapToGrid w:val="0"/>
        </w:rPr>
        <w:tab/>
        <w:t>(f)</w:t>
      </w:r>
      <w:r>
        <w:rPr>
          <w:snapToGrid w:val="0"/>
        </w:rPr>
        <w:tab/>
        <w:t>applications for appointment as public notaries; or</w:t>
      </w:r>
    </w:p>
    <w:p>
      <w:pPr>
        <w:pStyle w:val="Indenta"/>
      </w:pPr>
      <w:r>
        <w:tab/>
        <w:t>(g)</w:t>
      </w:r>
      <w:r>
        <w:tab/>
        <w:t xml:space="preserve">an application under the </w:t>
      </w:r>
      <w:r>
        <w:rPr>
          <w:i/>
        </w:rPr>
        <w:t>Prohibited Behaviour Orders Act 2010</w:t>
      </w:r>
      <w:r>
        <w:t xml:space="preserve"> for a prohibited behaviour order or to vary or cancel a prohibited behaviour order; or</w:t>
      </w:r>
    </w:p>
    <w:p>
      <w:pPr>
        <w:pStyle w:val="Indenta"/>
        <w:rPr>
          <w:snapToGrid w:val="0"/>
        </w:rPr>
      </w:pPr>
      <w:r>
        <w:tab/>
        <w:t>(h)</w:t>
      </w:r>
      <w:r>
        <w:tab/>
        <w:t xml:space="preserve">proceedings under the </w:t>
      </w:r>
      <w:r>
        <w:rPr>
          <w:i/>
        </w:rPr>
        <w:t>Civil Judgments Enforcement Act 2004</w:t>
      </w:r>
      <w:r>
        <w:t>; or</w:t>
      </w:r>
    </w:p>
    <w:p>
      <w:pPr>
        <w:pStyle w:val="Indenta"/>
      </w:pPr>
      <w:r>
        <w:tab/>
        <w:t>(i)</w:t>
      </w:r>
      <w:r>
        <w:tab/>
        <w:t xml:space="preserve">an application under the </w:t>
      </w:r>
      <w:r>
        <w:rPr>
          <w:i/>
        </w:rPr>
        <w:t>Terrorism (Extraordinary Powers) Act 2005</w:t>
      </w:r>
      <w:r>
        <w:t>; or</w:t>
      </w:r>
    </w:p>
    <w:p>
      <w:pPr>
        <w:pStyle w:val="Indenta"/>
      </w:pPr>
      <w:r>
        <w:tab/>
        <w:t>(j)</w:t>
      </w:r>
      <w:r>
        <w:tab/>
        <w:t xml:space="preserve">proceedings under the </w:t>
      </w:r>
      <w:r>
        <w:rPr>
          <w:i/>
        </w:rPr>
        <w:t>Terrorism (Preventative Detention) Act 2006</w:t>
      </w:r>
      <w:r>
        <w:t>.</w:t>
      </w:r>
    </w:p>
    <w:p>
      <w:pPr>
        <w:pStyle w:val="Footnotesection"/>
      </w:pPr>
      <w:r>
        <w:tab/>
        <w:t>[Regulation 5 amended in Gazette 28 Apr 2005 p. 1758; 23 Jun 2005 p. 2693; 27 Jun 2008 p. 3060; 4 Sep 2009 p. 3461; 27 Mar 2012 p. 1508.]</w:t>
      </w:r>
    </w:p>
    <w:p>
      <w:pPr>
        <w:pStyle w:val="Heading5"/>
      </w:pPr>
      <w:bookmarkStart w:id="11" w:name="_Toc392770206"/>
      <w:bookmarkStart w:id="12" w:name="_Toc391885684"/>
      <w:r>
        <w:rPr>
          <w:rStyle w:val="CharSectno"/>
        </w:rPr>
        <w:t>5A</w:t>
      </w:r>
      <w:r>
        <w:t>.</w:t>
      </w:r>
      <w:r>
        <w:tab/>
        <w:t>Disputes regarding fees</w:t>
      </w:r>
      <w:bookmarkEnd w:id="11"/>
      <w:bookmarkEnd w:id="12"/>
    </w:p>
    <w:p>
      <w:pPr>
        <w:pStyle w:val="Subsection"/>
      </w:pPr>
      <w:r>
        <w:tab/>
        <w:t>(1)</w:t>
      </w:r>
      <w:r>
        <w:tab/>
        <w:t>An application for a determination under section 171(3) of the Act is to be in the form of Schedule 4 Form 3.</w:t>
      </w:r>
    </w:p>
    <w:p>
      <w:pPr>
        <w:pStyle w:val="Subsection"/>
      </w:pPr>
      <w:r>
        <w:tab/>
        <w:t>(2)</w:t>
      </w:r>
      <w:r>
        <w:tab/>
        <w:t>Despite the provisions of these regulations, a fee is not to be charged in respect of an application referred to in subregulation (1).</w:t>
      </w:r>
    </w:p>
    <w:p>
      <w:pPr>
        <w:pStyle w:val="Footnotesection"/>
      </w:pPr>
      <w:r>
        <w:tab/>
        <w:t>[Regulation 5A inserted in Gazette 28 Apr 2005 p. 1759.]</w:t>
      </w:r>
    </w:p>
    <w:p>
      <w:pPr>
        <w:pStyle w:val="Heading5"/>
        <w:rPr>
          <w:snapToGrid w:val="0"/>
        </w:rPr>
      </w:pPr>
      <w:bookmarkStart w:id="13" w:name="_Toc392770207"/>
      <w:bookmarkStart w:id="14" w:name="_Toc391885685"/>
      <w:r>
        <w:rPr>
          <w:rStyle w:val="CharSectno"/>
        </w:rPr>
        <w:t>6</w:t>
      </w:r>
      <w:r>
        <w:t>.</w:t>
      </w:r>
      <w:r>
        <w:tab/>
      </w:r>
      <w:r>
        <w:rPr>
          <w:snapToGrid w:val="0"/>
        </w:rPr>
        <w:t>Fees to be paid before documents filed or other things done</w:t>
      </w:r>
      <w:bookmarkEnd w:id="13"/>
      <w:bookmarkEnd w:id="14"/>
      <w:r>
        <w:rPr>
          <w:snapToGrid w:val="0"/>
        </w:rPr>
        <w:t xml:space="preserve"> </w:t>
      </w:r>
    </w:p>
    <w:p>
      <w:pPr>
        <w:pStyle w:val="Subsection"/>
        <w:rPr>
          <w:snapToGrid w:val="0"/>
        </w:rPr>
      </w:pPr>
      <w:r>
        <w:rPr>
          <w:snapToGrid w:val="0"/>
        </w:rPr>
        <w:tab/>
      </w:r>
      <w:r>
        <w:rPr>
          <w:snapToGrid w:val="0"/>
        </w:rPr>
        <w:tab/>
        <w:t xml:space="preserve">Subject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Heading5"/>
        <w:rPr>
          <w:snapToGrid w:val="0"/>
        </w:rPr>
      </w:pPr>
      <w:bookmarkStart w:id="15" w:name="_Toc392770208"/>
      <w:bookmarkStart w:id="16" w:name="_Toc391885686"/>
      <w:r>
        <w:rPr>
          <w:rStyle w:val="CharSectno"/>
        </w:rPr>
        <w:t>7</w:t>
      </w:r>
      <w:r>
        <w:t>.</w:t>
      </w:r>
      <w:r>
        <w:tab/>
      </w:r>
      <w:r>
        <w:rPr>
          <w:snapToGrid w:val="0"/>
        </w:rPr>
        <w:t>Court or registrar may remit fees</w:t>
      </w:r>
      <w:bookmarkEnd w:id="15"/>
      <w:bookmarkEnd w:id="16"/>
    </w:p>
    <w:p>
      <w:pPr>
        <w:pStyle w:val="Subsection"/>
        <w:rPr>
          <w:snapToGrid w:val="0"/>
        </w:rPr>
      </w:pPr>
      <w:r>
        <w:rPr>
          <w:snapToGrid w:val="0"/>
        </w:rPr>
        <w:tab/>
        <w:t>(1)</w:t>
      </w:r>
      <w:r>
        <w:rPr>
          <w:snapToGrid w:val="0"/>
        </w:rPr>
        <w:tab/>
        <w:t>The Court or a registrar may, in a particular case for special reasons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(1a)</w:t>
      </w:r>
      <w:r>
        <w:tab/>
        <w:t xml:space="preserve">In subregulation (1) — </w:t>
      </w:r>
    </w:p>
    <w:p>
      <w:pPr>
        <w:pStyle w:val="Defstart"/>
      </w:pPr>
      <w:r>
        <w:rPr>
          <w:b/>
        </w:rPr>
        <w:tab/>
      </w:r>
      <w:r>
        <w:rPr>
          <w:rStyle w:val="CharDefText"/>
        </w:rPr>
        <w:t>special reasons</w:t>
      </w:r>
      <w:r>
        <w:t xml:space="preserve"> includes — </w:t>
      </w:r>
    </w:p>
    <w:p>
      <w:pPr>
        <w:pStyle w:val="Defpara"/>
      </w:pPr>
      <w:r>
        <w:tab/>
        <w:t>(a)</w:t>
      </w:r>
      <w:r>
        <w:tab/>
        <w:t>financial hardship;</w:t>
      </w:r>
    </w:p>
    <w:p>
      <w:pPr>
        <w:pStyle w:val="Defpara"/>
      </w:pPr>
      <w:r>
        <w:tab/>
        <w:t>(b)</w:t>
      </w:r>
      <w:r>
        <w:tab/>
        <w:t>that an important right or obligation affecting the community or a significant part of the community will be determined; or</w:t>
      </w:r>
    </w:p>
    <w:p>
      <w:pPr>
        <w:pStyle w:val="Defpara"/>
      </w:pPr>
      <w:r>
        <w:tab/>
        <w:t>(c)</w:t>
      </w:r>
      <w:r>
        <w:tab/>
        <w:t>that the development of the law generally will be affected so as to reduce the need for further litigation.</w:t>
      </w:r>
    </w:p>
    <w:p>
      <w:pPr>
        <w:pStyle w:val="Subsection"/>
      </w:pPr>
      <w:r>
        <w:tab/>
        <w:t>(1aa)</w:t>
      </w:r>
      <w:r>
        <w:tab/>
        <w:t>This regulation does not apply to fees specified in Schedule 2.</w:t>
      </w:r>
    </w:p>
    <w:p>
      <w:pPr>
        <w:pStyle w:val="Subsection"/>
      </w:pPr>
      <w:r>
        <w:tab/>
        <w:t>(1b)</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(1c)</w:t>
      </w:r>
      <w:r>
        <w:tab/>
        <w:t>The Court or a registrar may direct that the payment of the whole or a part of a fee in relation to the filing of a pleading,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(1d)</w:t>
      </w:r>
      <w:r>
        <w:tab/>
        <w:t xml:space="preserve">The payment of a filing fee listed in Schedule 1 is to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austudy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(2)</w:t>
      </w:r>
      <w:r>
        <w:rPr>
          <w:snapToGrid w:val="0"/>
        </w:rPr>
        <w:tab/>
      </w:r>
      <w:r>
        <w:t>Except as otherwise directed by a registrar, an application for a fee or fees to be waived, reduced, refunded or deferred must be in the form of Schedule 4 Form 2.</w:t>
      </w:r>
    </w:p>
    <w:p>
      <w:pPr>
        <w:pStyle w:val="Subsection"/>
      </w:pPr>
      <w:r>
        <w:tab/>
        <w:t>(3)</w:t>
      </w:r>
      <w:r>
        <w:tab/>
        <w:t>Schedule 4 Form 2 must be completed in accordance with the directions specified in it.</w:t>
      </w:r>
    </w:p>
    <w:p>
      <w:pPr>
        <w:pStyle w:val="Subsection"/>
      </w:pPr>
      <w:r>
        <w:tab/>
        <w:t>(3a)</w:t>
      </w:r>
      <w:r>
        <w:tab/>
        <w:t>If an application under subregulation (1) is dealt with by a registrar, the registrar may, before determining the application, require the applicant to provide the registrar with such further information as the registrar requires either in writing or orally.</w:t>
      </w:r>
    </w:p>
    <w:p>
      <w:pPr>
        <w:pStyle w:val="Subsection"/>
      </w:pPr>
      <w:r>
        <w:tab/>
        <w:t>(3b)</w:t>
      </w:r>
      <w:r>
        <w:tab/>
        <w:t xml:space="preserve">A fee, payment of which has been deferred until an event occurs, becomes payable when that event occurs. </w:t>
      </w:r>
    </w:p>
    <w:p>
      <w:pPr>
        <w:pStyle w:val="Subsection"/>
      </w:pPr>
      <w:r>
        <w:tab/>
        <w:t>(4)</w:t>
      </w:r>
      <w:r>
        <w:tab/>
        <w:t>A person who makes a statement or representation in an application under subregulation (2) that the person knows or has reason to believe is false or misleading in a material particular commits an offence.</w:t>
      </w:r>
    </w:p>
    <w:p>
      <w:pPr>
        <w:pStyle w:val="Penstart"/>
      </w:pPr>
      <w:r>
        <w:tab/>
        <w:t>Penalty: $1 000.</w:t>
      </w:r>
    </w:p>
    <w:p>
      <w:pPr>
        <w:pStyle w:val="Subsection"/>
      </w:pPr>
      <w:r>
        <w:tab/>
        <w:t>(5)</w:t>
      </w:r>
      <w:r>
        <w:tab/>
        <w:t>If a fee payable by a person is waived, reduced, refunded or deferred in accordance with a direction under subregulation (1) and the Court or a registrar is satisfied, having given the person an opportunity to make a written submission, that the person has made a statement or representation in an application under subregulation (2)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11.</w:t>
      </w:r>
    </w:p>
    <w:p>
      <w:pPr>
        <w:pStyle w:val="Subsection"/>
      </w:pPr>
      <w:r>
        <w:tab/>
        <w:t>(6)</w:t>
      </w:r>
      <w:r>
        <w:tab/>
        <w:t>Despite the provisions of these regulations, a fee is not to be charged in respect of an application under subregulation (1).</w:t>
      </w:r>
    </w:p>
    <w:p>
      <w:pPr>
        <w:pStyle w:val="Subsection"/>
      </w:pPr>
      <w:r>
        <w:tab/>
        <w:t>(7)</w:t>
      </w:r>
      <w:r>
        <w:tab/>
        <w:t xml:space="preserve">An application can be made to the trial judge under subregulation (1) on a ground referred to in paragraph (b) or (c) of the definition of </w:t>
      </w:r>
      <w:r>
        <w:rPr>
          <w:b/>
          <w:bCs/>
          <w:i/>
          <w:iCs/>
        </w:rPr>
        <w:t>special reasons</w:t>
      </w:r>
      <w:r>
        <w:t xml:space="preserve"> in subregulation (1a) notwithstanding that an application on that ground has previously been refused by a registrar.</w:t>
      </w:r>
    </w:p>
    <w:p>
      <w:pPr>
        <w:pStyle w:val="Footnotesection"/>
      </w:pPr>
      <w:r>
        <w:tab/>
        <w:t>[Regulation 7 amended in Gazette 30 Dec 2003 p. 5694-6; 28 Apr 2005 p. 1759; 8 Mar 2011 p. 781.]</w:t>
      </w:r>
    </w:p>
    <w:p>
      <w:pPr>
        <w:pStyle w:val="Heading5"/>
        <w:rPr>
          <w:snapToGrid w:val="0"/>
        </w:rPr>
      </w:pPr>
      <w:bookmarkStart w:id="17" w:name="_Toc392770209"/>
      <w:bookmarkStart w:id="18" w:name="_Toc391885687"/>
      <w:r>
        <w:rPr>
          <w:rStyle w:val="CharSectno"/>
        </w:rPr>
        <w:t>8</w:t>
      </w:r>
      <w:r>
        <w:t>.</w:t>
      </w:r>
      <w:r>
        <w:tab/>
      </w:r>
      <w:r>
        <w:rPr>
          <w:snapToGrid w:val="0"/>
        </w:rPr>
        <w:t>Conventions</w:t>
      </w:r>
      <w:bookmarkEnd w:id="17"/>
      <w:bookmarkEnd w:id="18"/>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be taken in respect of those proceedings.</w:t>
      </w:r>
    </w:p>
    <w:p>
      <w:pPr>
        <w:pStyle w:val="Heading5"/>
      </w:pPr>
      <w:bookmarkStart w:id="19" w:name="_Toc392770210"/>
      <w:bookmarkStart w:id="20" w:name="_Toc391885688"/>
      <w:r>
        <w:t>9.</w:t>
      </w:r>
      <w:r>
        <w:tab/>
        <w:t>Allocation of hearing date — Schedule 1 Division 1 item 5</w:t>
      </w:r>
      <w:bookmarkEnd w:id="19"/>
      <w:bookmarkEnd w:id="20"/>
    </w:p>
    <w:p>
      <w:pPr>
        <w:pStyle w:val="Subsection"/>
      </w:pPr>
      <w:r>
        <w:tab/>
        <w:t>(1)</w:t>
      </w:r>
      <w:r>
        <w:tab/>
        <w:t xml:space="preserve">In this regulation — </w:t>
      </w:r>
    </w:p>
    <w:p>
      <w:pPr>
        <w:pStyle w:val="Defstart"/>
      </w:pPr>
      <w:r>
        <w:rPr>
          <w:b/>
        </w:rPr>
        <w:tab/>
      </w:r>
      <w:r>
        <w:rPr>
          <w:rStyle w:val="CharDefText"/>
        </w:rPr>
        <w:t>fee</w:t>
      </w:r>
      <w:r>
        <w:t xml:space="preserve"> means the fee referred to in Schedule 1 Division 1 item 5.</w:t>
      </w:r>
    </w:p>
    <w:p>
      <w:pPr>
        <w:pStyle w:val="Subsection"/>
      </w:pPr>
      <w:r>
        <w:tab/>
        <w:t>(2)</w:t>
      </w:r>
      <w:r>
        <w:tab/>
        <w:t>The fee is not payable in relation to interlocutory proceedings.</w:t>
      </w:r>
    </w:p>
    <w:p>
      <w:pPr>
        <w:pStyle w:val="Subsection"/>
        <w:keepNext/>
        <w:keepLines/>
      </w:pPr>
      <w:r>
        <w:tab/>
        <w:t>(3)</w:t>
      </w:r>
      <w:r>
        <w:tab/>
        <w:t xml:space="preserve">The number of days for which the fee is payable is — </w:t>
      </w:r>
    </w:p>
    <w:p>
      <w:pPr>
        <w:pStyle w:val="Indenta"/>
      </w:pPr>
      <w:r>
        <w:tab/>
        <w:t>(a)</w:t>
      </w:r>
      <w:r>
        <w:tab/>
        <w:t xml:space="preserve">the number of days estimated for the hearing in the certificate of readiness; or </w:t>
      </w:r>
    </w:p>
    <w:p>
      <w:pPr>
        <w:pStyle w:val="Indenta"/>
      </w:pPr>
      <w:r>
        <w:tab/>
        <w:t>(b)</w:t>
      </w:r>
      <w:r>
        <w:tab/>
        <w:t>if at a directions hearing a greater number of days is allocated for the hearing, the number of days allocated for the hearing at the directions hearing.</w:t>
      </w:r>
    </w:p>
    <w:p>
      <w:pPr>
        <w:pStyle w:val="Subsection"/>
      </w:pPr>
      <w:r>
        <w:tab/>
        <w:t>(4)</w:t>
      </w:r>
      <w:r>
        <w:tab/>
        <w:t>If the number of days for which the fee is payable is half a day or less, the fee is reduced by half.</w:t>
      </w:r>
    </w:p>
    <w:p>
      <w:pPr>
        <w:pStyle w:val="Subsection"/>
      </w:pPr>
      <w:r>
        <w:tab/>
        <w:t>(5)</w:t>
      </w:r>
      <w:r>
        <w:tab/>
        <w:t>The fee, calculated on the basis of the number of days estimated for the hearing in the certificate of readiness, must be paid when the fee referred to in Schedule 1 Division 1 item 4 is paid.</w:t>
      </w:r>
    </w:p>
    <w:p>
      <w:pPr>
        <w:pStyle w:val="Subsection"/>
      </w:pPr>
      <w:r>
        <w:tab/>
        <w:t>(6)</w:t>
      </w:r>
      <w:r>
        <w:tab/>
        <w:t xml:space="preserve">If, at a directions hearing after the cause or matter has been entered for hearing, the number of days allocated for the hearing is increased, the fee for the additional days is to be paid immediately after the directions hearing. </w:t>
      </w:r>
    </w:p>
    <w:p>
      <w:pPr>
        <w:pStyle w:val="Subsection"/>
      </w:pPr>
      <w:r>
        <w:tab/>
        <w:t>(7)</w:t>
      </w:r>
      <w:r>
        <w:tab/>
        <w:t>The fee paid is not refundable except as provided in subregulations (8), (9) and (10).</w:t>
      </w:r>
    </w:p>
    <w:p>
      <w:pPr>
        <w:pStyle w:val="Subsection"/>
      </w:pPr>
      <w:r>
        <w:tab/>
        <w:t>(8)</w:t>
      </w:r>
      <w:r>
        <w:tab/>
        <w:t xml:space="preserve">If the cause or matter is settled and the Court receives written notice of the settlement the following percentage of the fee paid is to be refunded — </w:t>
      </w:r>
    </w:p>
    <w:p>
      <w:pPr>
        <w:pStyle w:val="Indenta"/>
      </w:pPr>
      <w:r>
        <w:tab/>
        <w:t>(a)</w:t>
      </w:r>
      <w:r>
        <w:tab/>
        <w:t xml:space="preserve">if notice is received 42 days or more before the first date allocated for the hearing date, 75%; </w:t>
      </w:r>
    </w:p>
    <w:p>
      <w:pPr>
        <w:pStyle w:val="Indenta"/>
      </w:pPr>
      <w:r>
        <w:tab/>
        <w:t>(b)</w:t>
      </w:r>
      <w:r>
        <w:tab/>
        <w:t>if notice is received 28 days or more before that date, 50%.</w:t>
      </w:r>
    </w:p>
    <w:p>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pPr>
        <w:pStyle w:val="Indenta"/>
      </w:pPr>
      <w:r>
        <w:tab/>
        <w:t>(a)</w:t>
      </w:r>
      <w:r>
        <w:tab/>
        <w:t xml:space="preserve">if the Court or registrar is satisfied the reason for the adjournment is beyond the control of the parties, 100%; </w:t>
      </w:r>
    </w:p>
    <w:p>
      <w:pPr>
        <w:pStyle w:val="Indenta"/>
        <w:keepNext/>
        <w:keepLines/>
      </w:pPr>
      <w:r>
        <w:tab/>
        <w:t>(b)</w:t>
      </w:r>
      <w:r>
        <w:tab/>
        <w:t xml:space="preserve">otherwise, if the adjournment occurs — </w:t>
      </w:r>
    </w:p>
    <w:p>
      <w:pPr>
        <w:pStyle w:val="Indenti"/>
      </w:pPr>
      <w:r>
        <w:tab/>
        <w:t>(i)</w:t>
      </w:r>
      <w:r>
        <w:tab/>
        <w:t xml:space="preserve">42 days or more before the first date allocated for the hearing, 75%; or </w:t>
      </w:r>
    </w:p>
    <w:p>
      <w:pPr>
        <w:pStyle w:val="Indenti"/>
      </w:pPr>
      <w:r>
        <w:tab/>
        <w:t>(ii)</w:t>
      </w:r>
      <w:r>
        <w:tab/>
        <w:t>28 days or more before that date, 50%.</w:t>
      </w:r>
    </w:p>
    <w:p>
      <w:pPr>
        <w:pStyle w:val="Subsection"/>
        <w:spacing w:before="120"/>
      </w:pPr>
      <w:r>
        <w:tab/>
        <w:t>(10)</w:t>
      </w:r>
      <w:r>
        <w:tab/>
        <w:t>If the hearing is adjourned after it has commenced and the Court or registrar is satisfied the reason for the adjournment is beyond the control of the parties, the fee paid in respect of dates after the date of the adjournment is to be refunded or transferred to the date or dates allocated for the adjourned hearing.</w:t>
      </w:r>
    </w:p>
    <w:p>
      <w:pPr>
        <w:pStyle w:val="Footnotesection"/>
      </w:pPr>
      <w:r>
        <w:tab/>
        <w:t>[Regulation 9 inserted in Gazette 28 Apr 2005 p. 1760-1; amended in Gazette 23 Jun 2005 p. 2693; 4 Sep 2009 p. 3461</w:t>
      </w:r>
      <w:r>
        <w:noBreakHyphen/>
        <w:t>2.]</w:t>
      </w:r>
    </w:p>
    <w:p>
      <w:pPr>
        <w:pStyle w:val="Heading5"/>
      </w:pPr>
      <w:bookmarkStart w:id="21" w:name="_Toc392770211"/>
      <w:bookmarkStart w:id="22" w:name="_Toc391885689"/>
      <w:r>
        <w:rPr>
          <w:rStyle w:val="CharSectno"/>
        </w:rPr>
        <w:t>9A</w:t>
      </w:r>
      <w:r>
        <w:t>.</w:t>
      </w:r>
      <w:r>
        <w:tab/>
        <w:t>Court of Appeal allocation of hearing date — Schedule 1 Division 2 item 5</w:t>
      </w:r>
      <w:bookmarkEnd w:id="21"/>
      <w:bookmarkEnd w:id="22"/>
      <w:r>
        <w:t xml:space="preserve"> </w:t>
      </w:r>
    </w:p>
    <w:p>
      <w:pPr>
        <w:pStyle w:val="Subsection"/>
        <w:spacing w:before="120"/>
      </w:pPr>
      <w:r>
        <w:tab/>
        <w:t>(1)</w:t>
      </w:r>
      <w:r>
        <w:tab/>
        <w:t xml:space="preserve">In this regulation  — </w:t>
      </w:r>
    </w:p>
    <w:p>
      <w:pPr>
        <w:pStyle w:val="Defstart"/>
        <w:spacing w:before="120"/>
      </w:pPr>
      <w:r>
        <w:rPr>
          <w:b/>
        </w:rPr>
        <w:tab/>
      </w:r>
      <w:r>
        <w:rPr>
          <w:rStyle w:val="CharDefText"/>
        </w:rPr>
        <w:t>fee</w:t>
      </w:r>
      <w:r>
        <w:t xml:space="preserve"> means the fee referred to in Schedule 1 Division 2 item 5.</w:t>
      </w:r>
    </w:p>
    <w:p>
      <w:pPr>
        <w:pStyle w:val="Subsection"/>
        <w:spacing w:before="120"/>
      </w:pPr>
      <w:r>
        <w:tab/>
        <w:t>(2)</w:t>
      </w:r>
      <w:r>
        <w:tab/>
        <w:t>The fee is not payable in relation to an application for an interim order or to amend or cancel an interim order.</w:t>
      </w:r>
    </w:p>
    <w:p>
      <w:pPr>
        <w:pStyle w:val="Subsection"/>
        <w:spacing w:before="120"/>
      </w:pPr>
      <w:r>
        <w:tab/>
        <w:t>(3)</w:t>
      </w:r>
      <w:r>
        <w:tab/>
        <w:t xml:space="preserve">The number of days for which the fee is payable is — </w:t>
      </w:r>
    </w:p>
    <w:p>
      <w:pPr>
        <w:pStyle w:val="Indenta"/>
      </w:pPr>
      <w:r>
        <w:tab/>
        <w:t>(a)</w:t>
      </w:r>
      <w:r>
        <w:tab/>
        <w:t>the number of days in excess of the first hearing day estimated for the hearing by the Court of Appeal Registrar; or</w:t>
      </w:r>
    </w:p>
    <w:p>
      <w:pPr>
        <w:pStyle w:val="Indenta"/>
      </w:pPr>
      <w:r>
        <w:tab/>
        <w:t>(b)</w:t>
      </w:r>
      <w:r>
        <w:tab/>
        <w:t>if at a directions hearing a greater number of days than those estimated by the registrar is allocated for the hearing, the number of days in excess of the first hearing day allocated at a directions hearing.</w:t>
      </w:r>
    </w:p>
    <w:p>
      <w:pPr>
        <w:pStyle w:val="Subsection"/>
        <w:spacing w:before="120"/>
      </w:pPr>
      <w:r>
        <w:tab/>
        <w:t>(4)</w:t>
      </w:r>
      <w:r>
        <w:tab/>
        <w:t>If the number of days for which the fee is payable is half a day or less, the fee is reduced by half.</w:t>
      </w:r>
    </w:p>
    <w:p>
      <w:pPr>
        <w:pStyle w:val="Subsection"/>
        <w:spacing w:before="120"/>
      </w:pPr>
      <w:r>
        <w:tab/>
        <w:t>(5)</w:t>
      </w:r>
      <w:r>
        <w:tab/>
        <w:t xml:space="preserve">The fee, calculated on the basis of the number of days for which the fee is payable under subregulation (3), must be paid within 7 days — </w:t>
      </w:r>
    </w:p>
    <w:p>
      <w:pPr>
        <w:pStyle w:val="Indenta"/>
      </w:pPr>
      <w:r>
        <w:tab/>
        <w:t>(a)</w:t>
      </w:r>
      <w:r>
        <w:tab/>
        <w:t xml:space="preserve">of the </w:t>
      </w:r>
      <w:r>
        <w:rPr>
          <w:i/>
          <w:iCs/>
        </w:rPr>
        <w:t>Supreme Court (Court of Appeal) Rules 2005</w:t>
      </w:r>
      <w:r>
        <w:t xml:space="preserve"> Form 15 being sent to the parties; or</w:t>
      </w:r>
    </w:p>
    <w:p>
      <w:pPr>
        <w:pStyle w:val="Indenta"/>
      </w:pPr>
      <w:r>
        <w:tab/>
        <w:t>(b)</w:t>
      </w:r>
      <w:r>
        <w:tab/>
        <w:t>if a greater number of days is allocated at a directions hearing, of the allocation of those days.</w:t>
      </w:r>
    </w:p>
    <w:p>
      <w:pPr>
        <w:pStyle w:val="Subsection"/>
      </w:pPr>
      <w:r>
        <w:tab/>
        <w:t>(6)</w:t>
      </w:r>
      <w:r>
        <w:tab/>
        <w:t>The fee paid is not refundable except as provided in subregulations (7), (8) and (9).</w:t>
      </w:r>
    </w:p>
    <w:p>
      <w:pPr>
        <w:pStyle w:val="Subsection"/>
      </w:pPr>
      <w:r>
        <w:tab/>
        <w:t>(7)</w:t>
      </w:r>
      <w:r>
        <w:tab/>
        <w:t xml:space="preserve">If the appeal is settled and the Court of Appeal Office receives written notice of the settlement the following percentage of the fee paid is to be refunded — </w:t>
      </w:r>
    </w:p>
    <w:p>
      <w:pPr>
        <w:pStyle w:val="Indenta"/>
        <w:spacing w:before="60"/>
      </w:pPr>
      <w:r>
        <w:tab/>
        <w:t>(a)</w:t>
      </w:r>
      <w:r>
        <w:tab/>
        <w:t>if notice is received 42 days or more before the first date allocated for the hearing date, 75%;</w:t>
      </w:r>
    </w:p>
    <w:p>
      <w:pPr>
        <w:pStyle w:val="Indenta"/>
        <w:spacing w:before="60"/>
      </w:pPr>
      <w:r>
        <w:tab/>
        <w:t>(b)</w:t>
      </w:r>
      <w:r>
        <w:tab/>
        <w:t>if notice is received 28 days or more before that date, 50%.</w:t>
      </w:r>
    </w:p>
    <w:p>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pPr>
        <w:pStyle w:val="Indenta"/>
        <w:spacing w:before="60"/>
      </w:pPr>
      <w:r>
        <w:tab/>
        <w:t>(a)</w:t>
      </w:r>
      <w:r>
        <w:tab/>
        <w:t>if the Court or Court of Appeal Registrar is satisfied that the reason for the adjournment is beyond the control of the parties, 100%;</w:t>
      </w:r>
    </w:p>
    <w:p>
      <w:pPr>
        <w:pStyle w:val="Indenta"/>
        <w:spacing w:before="60"/>
      </w:pPr>
      <w:r>
        <w:tab/>
        <w:t>(b)</w:t>
      </w:r>
      <w:r>
        <w:tab/>
        <w:t xml:space="preserve">otherwise, if the adjournment occurs — </w:t>
      </w:r>
    </w:p>
    <w:p>
      <w:pPr>
        <w:pStyle w:val="Indenti"/>
        <w:spacing w:before="60"/>
      </w:pPr>
      <w:r>
        <w:tab/>
        <w:t>(i)</w:t>
      </w:r>
      <w:r>
        <w:tab/>
        <w:t>42 days or more before the first date allocated for the hearing, 75%; or</w:t>
      </w:r>
    </w:p>
    <w:p>
      <w:pPr>
        <w:pStyle w:val="Indenti"/>
        <w:spacing w:before="60"/>
      </w:pPr>
      <w:r>
        <w:tab/>
        <w:t>(ii)</w:t>
      </w:r>
      <w:r>
        <w:tab/>
        <w:t>28 days or more before that date, 50%.</w:t>
      </w:r>
    </w:p>
    <w:p>
      <w:pPr>
        <w:pStyle w:val="Subsection"/>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pPr>
        <w:pStyle w:val="Footnotesection"/>
        <w:spacing w:before="100"/>
        <w:ind w:left="890" w:hanging="890"/>
      </w:pPr>
      <w:r>
        <w:tab/>
        <w:t>[Regulation 9A inserted in Gazette 23 Jun 2005 p. 2693-5; amended in Gazette 4 Sep 2009 p. 3462.]</w:t>
      </w:r>
    </w:p>
    <w:p>
      <w:pPr>
        <w:pStyle w:val="Heading5"/>
      </w:pPr>
      <w:bookmarkStart w:id="23" w:name="_Toc392770212"/>
      <w:bookmarkStart w:id="24" w:name="_Toc391885690"/>
      <w:r>
        <w:rPr>
          <w:rStyle w:val="CharSectno"/>
        </w:rPr>
        <w:t>10</w:t>
      </w:r>
      <w:r>
        <w:t>.</w:t>
      </w:r>
      <w:r>
        <w:tab/>
        <w:t>Schedule 1 Division 2 item 6 or Division 2 item 7 fee</w:t>
      </w:r>
      <w:bookmarkEnd w:id="23"/>
      <w:bookmarkEnd w:id="24"/>
    </w:p>
    <w:p>
      <w:pPr>
        <w:pStyle w:val="Subsection"/>
      </w:pPr>
      <w:r>
        <w:tab/>
      </w:r>
      <w:r>
        <w:tab/>
        <w:t>If a fee is to be paid under Schedule 1 Division 2 item 6 or Division 2 item 7, the hearing is not to be reconvened until that fee or so much of it as has not been waived or reduced under regulation 7 has been paid.</w:t>
      </w:r>
    </w:p>
    <w:p>
      <w:pPr>
        <w:pStyle w:val="Footnotesection"/>
        <w:spacing w:before="100"/>
        <w:ind w:left="890" w:hanging="890"/>
      </w:pPr>
      <w:r>
        <w:tab/>
        <w:t>[Regulation 10 amended in Gazette 23 Jun 2005 p. 2695; 4 Sep 2009 p. 3462.]</w:t>
      </w:r>
    </w:p>
    <w:p>
      <w:pPr>
        <w:pStyle w:val="Heading5"/>
      </w:pPr>
      <w:bookmarkStart w:id="25" w:name="_Toc392770213"/>
      <w:bookmarkStart w:id="26" w:name="_Toc391885691"/>
      <w:r>
        <w:rPr>
          <w:rStyle w:val="CharSectno"/>
        </w:rPr>
        <w:t>11</w:t>
      </w:r>
      <w:r>
        <w:t>.</w:t>
      </w:r>
      <w:r>
        <w:tab/>
        <w:t>Recovery of unpaid fees</w:t>
      </w:r>
      <w:bookmarkEnd w:id="25"/>
      <w:bookmarkEnd w:id="26"/>
    </w:p>
    <w:p>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pPr>
        <w:pStyle w:val="Footnotesection"/>
      </w:pPr>
      <w:r>
        <w:tab/>
        <w:t>[Regulation 11 inserted in Gazette 28 Apr 2005 p. 1761.]</w:t>
      </w:r>
    </w:p>
    <w:p>
      <w:pPr>
        <w:pStyle w:val="Ednotesection"/>
      </w:pPr>
      <w:r>
        <w:t>[</w:t>
      </w:r>
      <w:r>
        <w:rPr>
          <w:b/>
          <w:bCs/>
        </w:rPr>
        <w:t>12.</w:t>
      </w:r>
      <w:r>
        <w:tab/>
        <w:t>Deleted in Gazette 4 Sep 2009 p. 3462.]</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7" w:name="_Toc379203660"/>
      <w:bookmarkStart w:id="28" w:name="_Toc391885692"/>
      <w:bookmarkStart w:id="29" w:name="_Toc392770214"/>
      <w:r>
        <w:rPr>
          <w:rStyle w:val="CharSchNo"/>
        </w:rPr>
        <w:t>Schedule 1</w:t>
      </w:r>
      <w:r>
        <w:t> — </w:t>
      </w:r>
      <w:r>
        <w:rPr>
          <w:rStyle w:val="CharSchText"/>
        </w:rPr>
        <w:t>Fees</w:t>
      </w:r>
      <w:bookmarkEnd w:id="27"/>
      <w:bookmarkEnd w:id="28"/>
      <w:bookmarkEnd w:id="29"/>
    </w:p>
    <w:p>
      <w:pPr>
        <w:pStyle w:val="yShoulderClause"/>
      </w:pPr>
      <w:r>
        <w:t>[r. 4]</w:t>
      </w:r>
    </w:p>
    <w:p>
      <w:pPr>
        <w:pStyle w:val="yFootnoteheading"/>
        <w:spacing w:before="100"/>
      </w:pPr>
      <w:r>
        <w:tab/>
        <w:t>[Heading inserted in Gazette 4 Sep 2009 p. 3462.]</w:t>
      </w:r>
    </w:p>
    <w:p>
      <w:pPr>
        <w:pStyle w:val="yHeading3"/>
      </w:pPr>
      <w:bookmarkStart w:id="30" w:name="_Toc379203661"/>
      <w:bookmarkStart w:id="31" w:name="_Toc391885693"/>
      <w:bookmarkStart w:id="32" w:name="_Toc392770215"/>
      <w:r>
        <w:rPr>
          <w:rStyle w:val="CharSDivNo"/>
        </w:rPr>
        <w:t>Division 1</w:t>
      </w:r>
      <w:r>
        <w:rPr>
          <w:b w:val="0"/>
        </w:rPr>
        <w:t> — </w:t>
      </w:r>
      <w:r>
        <w:rPr>
          <w:rStyle w:val="CharSDivText"/>
        </w:rPr>
        <w:t>General Division fees</w:t>
      </w:r>
      <w:bookmarkEnd w:id="30"/>
      <w:bookmarkEnd w:id="31"/>
      <w:bookmarkEnd w:id="32"/>
    </w:p>
    <w:p>
      <w:pPr>
        <w:pStyle w:val="yFootnoteheading"/>
        <w:spacing w:before="100" w:after="80"/>
      </w:pPr>
      <w:r>
        <w:tab/>
        <w:t>[Heading inserted in Gazette 4 Sep 2009 p. 3462.]</w:t>
      </w:r>
    </w:p>
    <w:tbl>
      <w:tblPr>
        <w:tblW w:w="705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09"/>
        <w:gridCol w:w="3827"/>
        <w:gridCol w:w="1276"/>
        <w:gridCol w:w="1239"/>
      </w:tblGrid>
      <w:tr>
        <w:trPr>
          <w:tblHeader/>
        </w:trPr>
        <w:tc>
          <w:tcPr>
            <w:tcW w:w="709" w:type="dxa"/>
          </w:tcPr>
          <w:p>
            <w:pPr>
              <w:pStyle w:val="yTableNAm"/>
              <w:jc w:val="center"/>
              <w:rPr>
                <w:b/>
                <w:bCs/>
              </w:rPr>
            </w:pPr>
            <w:r>
              <w:rPr>
                <w:b/>
                <w:bCs/>
              </w:rPr>
              <w:t>Item</w:t>
            </w:r>
          </w:p>
        </w:tc>
        <w:tc>
          <w:tcPr>
            <w:tcW w:w="3827" w:type="dxa"/>
          </w:tcPr>
          <w:p>
            <w:pPr>
              <w:pStyle w:val="yTableNAm"/>
              <w:jc w:val="center"/>
              <w:rPr>
                <w:b/>
                <w:bCs/>
              </w:rPr>
            </w:pPr>
            <w:r>
              <w:rPr>
                <w:b/>
                <w:bCs/>
              </w:rPr>
              <w:t>Matter</w:t>
            </w:r>
          </w:p>
        </w:tc>
        <w:tc>
          <w:tcPr>
            <w:tcW w:w="1276" w:type="dxa"/>
          </w:tcPr>
          <w:p>
            <w:pPr>
              <w:pStyle w:val="yTableNAm"/>
              <w:jc w:val="center"/>
              <w:rPr>
                <w:b/>
                <w:bCs/>
              </w:rPr>
            </w:pPr>
            <w:r>
              <w:rPr>
                <w:b/>
                <w:bCs/>
              </w:rPr>
              <w:t>Fee for individual</w:t>
            </w:r>
            <w:r>
              <w:rPr>
                <w:b/>
                <w:bCs/>
              </w:rPr>
              <w:br/>
              <w:t>$</w:t>
            </w:r>
          </w:p>
        </w:tc>
        <w:tc>
          <w:tcPr>
            <w:tcW w:w="1239" w:type="dxa"/>
          </w:tcPr>
          <w:p>
            <w:pPr>
              <w:pStyle w:val="yTableNAm"/>
              <w:jc w:val="center"/>
              <w:rPr>
                <w:b/>
                <w:bCs/>
              </w:rPr>
            </w:pPr>
            <w:r>
              <w:rPr>
                <w:b/>
                <w:bCs/>
              </w:rPr>
              <w:t>Fee for person other than an individual</w:t>
            </w:r>
            <w:r>
              <w:rPr>
                <w:b/>
                <w:bCs/>
              </w:rPr>
              <w:br/>
              <w:t>$</w:t>
            </w:r>
          </w:p>
        </w:tc>
      </w:tr>
      <w:tr>
        <w:tc>
          <w:tcPr>
            <w:tcW w:w="709" w:type="dxa"/>
          </w:tcPr>
          <w:p>
            <w:pPr>
              <w:pStyle w:val="yTableNAm"/>
            </w:pPr>
            <w:r>
              <w:t>1.</w:t>
            </w:r>
          </w:p>
        </w:tc>
        <w:tc>
          <w:tcPr>
            <w:tcW w:w="3827" w:type="dxa"/>
          </w:tcPr>
          <w:p>
            <w:pPr>
              <w:pStyle w:val="yTableNAm"/>
            </w:pPr>
            <w:r>
              <w:t>On filing —</w:t>
            </w:r>
          </w:p>
          <w:p>
            <w:pPr>
              <w:pStyle w:val="yTableNAm"/>
              <w:tabs>
                <w:tab w:val="clear" w:pos="567"/>
                <w:tab w:val="left" w:pos="481"/>
              </w:tabs>
              <w:ind w:left="481" w:hanging="481"/>
            </w:pPr>
            <w:r>
              <w:t>(a)</w:t>
            </w:r>
            <w:r>
              <w:tab/>
              <w:t>any originating process by which a cause, matter or other proceeding in the Court is commenced, other than proceedings of the kind referred to in item 2, 3 or 7; or</w:t>
            </w:r>
          </w:p>
          <w:p>
            <w:pPr>
              <w:pStyle w:val="yTableNAm"/>
              <w:tabs>
                <w:tab w:val="clear" w:pos="567"/>
                <w:tab w:val="left" w:pos="481"/>
                <w:tab w:val="left" w:leader="dot" w:pos="3841"/>
              </w:tabs>
              <w:ind w:left="481" w:hanging="481"/>
            </w:pPr>
            <w:r>
              <w:t>(b)</w:t>
            </w:r>
            <w:r>
              <w:tab/>
              <w:t xml:space="preserve">a notice of appeal (whether in draft form or not) </w:t>
            </w:r>
            <w:r>
              <w:tab/>
            </w:r>
          </w:p>
        </w:tc>
        <w:tc>
          <w:tcPr>
            <w:tcW w:w="1276" w:type="dxa"/>
          </w:tcPr>
          <w:p>
            <w:pPr>
              <w:pStyle w:val="yTableNAm"/>
              <w:tabs>
                <w:tab w:val="clear" w:pos="567"/>
              </w:tabs>
              <w:ind w:right="206"/>
              <w:jc w:val="right"/>
            </w:pPr>
          </w:p>
          <w:p>
            <w:pPr>
              <w:pStyle w:val="yTableNAm"/>
              <w:tabs>
                <w:tab w:val="clear" w:pos="567"/>
              </w:tabs>
              <w:ind w:right="206"/>
              <w:jc w:val="right"/>
            </w:pPr>
            <w:r>
              <w:br/>
            </w:r>
            <w:r>
              <w:br/>
            </w:r>
            <w:r>
              <w:br/>
            </w:r>
            <w:r>
              <w:br/>
            </w:r>
          </w:p>
          <w:p>
            <w:pPr>
              <w:pStyle w:val="yTableNAm"/>
              <w:tabs>
                <w:tab w:val="clear" w:pos="567"/>
              </w:tabs>
              <w:ind w:right="206"/>
              <w:jc w:val="right"/>
            </w:pPr>
            <w:r>
              <w:br/>
            </w:r>
            <w:r>
              <w:rPr>
                <w:szCs w:val="22"/>
              </w:rPr>
              <w:t>969.00</w:t>
            </w:r>
          </w:p>
        </w:tc>
        <w:tc>
          <w:tcPr>
            <w:tcW w:w="1239" w:type="dxa"/>
          </w:tcPr>
          <w:p>
            <w:pPr>
              <w:pStyle w:val="yTableNAm"/>
              <w:tabs>
                <w:tab w:val="clear" w:pos="567"/>
              </w:tabs>
              <w:ind w:right="203"/>
              <w:jc w:val="right"/>
            </w:pPr>
          </w:p>
          <w:p>
            <w:pPr>
              <w:pStyle w:val="yTableNAm"/>
              <w:tabs>
                <w:tab w:val="clear" w:pos="567"/>
              </w:tabs>
              <w:ind w:right="203"/>
              <w:jc w:val="right"/>
            </w:pPr>
            <w:r>
              <w:br/>
            </w:r>
            <w:r>
              <w:br/>
            </w:r>
            <w:r>
              <w:br/>
            </w:r>
            <w:r>
              <w:br/>
            </w:r>
          </w:p>
          <w:p>
            <w:pPr>
              <w:pStyle w:val="yTableNAm"/>
              <w:tabs>
                <w:tab w:val="clear" w:pos="567"/>
              </w:tabs>
              <w:ind w:right="203"/>
              <w:jc w:val="right"/>
            </w:pPr>
            <w:r>
              <w:br/>
            </w:r>
            <w:r>
              <w:rPr>
                <w:szCs w:val="22"/>
              </w:rPr>
              <w:t>1 887.00</w:t>
            </w:r>
          </w:p>
        </w:tc>
      </w:tr>
      <w:tr>
        <w:tc>
          <w:tcPr>
            <w:tcW w:w="709" w:type="dxa"/>
          </w:tcPr>
          <w:p>
            <w:pPr>
              <w:pStyle w:val="yTableNAm"/>
            </w:pPr>
            <w:r>
              <w:t>2.</w:t>
            </w:r>
          </w:p>
        </w:tc>
        <w:tc>
          <w:tcPr>
            <w:tcW w:w="3827" w:type="dxa"/>
          </w:tcPr>
          <w:p>
            <w:pPr>
              <w:pStyle w:val="yTableNAm"/>
            </w:pPr>
            <w:r>
              <w:t>On filing —</w:t>
            </w:r>
          </w:p>
          <w:p>
            <w:pPr>
              <w:pStyle w:val="yTableNAm"/>
              <w:tabs>
                <w:tab w:val="clear" w:pos="567"/>
                <w:tab w:val="left" w:pos="481"/>
                <w:tab w:val="left" w:leader="dot" w:pos="3841"/>
              </w:tabs>
              <w:ind w:left="481" w:hanging="481"/>
            </w:pPr>
            <w:r>
              <w:t>(a)</w:t>
            </w:r>
            <w:r>
              <w:tab/>
              <w:t xml:space="preserve">a counterclaim </w:t>
            </w:r>
            <w:r>
              <w:tab/>
            </w:r>
          </w:p>
          <w:p>
            <w:pPr>
              <w:pStyle w:val="yTableNAm"/>
              <w:tabs>
                <w:tab w:val="clear" w:pos="567"/>
                <w:tab w:val="left" w:pos="481"/>
                <w:tab w:val="left" w:leader="dot" w:pos="3841"/>
              </w:tabs>
              <w:ind w:left="481" w:hanging="481"/>
            </w:pPr>
            <w:r>
              <w:t>(b)</w:t>
            </w:r>
            <w:r>
              <w:tab/>
              <w:t xml:space="preserve">a third party notice or a notice under the Rules O.19 r. 8 </w:t>
            </w:r>
            <w:r>
              <w:tab/>
            </w:r>
          </w:p>
          <w:p>
            <w:pPr>
              <w:pStyle w:val="yTableNAm"/>
              <w:tabs>
                <w:tab w:val="clear" w:pos="567"/>
                <w:tab w:val="left" w:pos="481"/>
              </w:tabs>
              <w:ind w:left="481" w:hanging="481"/>
            </w:pPr>
            <w:r>
              <w:t>(c)</w:t>
            </w:r>
            <w:r>
              <w:tab/>
              <w:t xml:space="preserve">an application — </w:t>
            </w:r>
          </w:p>
          <w:p>
            <w:pPr>
              <w:pStyle w:val="yTableNAm"/>
              <w:tabs>
                <w:tab w:val="left" w:pos="1081"/>
              </w:tabs>
              <w:spacing w:before="100"/>
              <w:ind w:left="1083" w:hanging="1083"/>
            </w:pPr>
            <w:r>
              <w:tab/>
              <w:t>(i)</w:t>
            </w:r>
            <w:r>
              <w:tab/>
              <w:t>to extend a period of time fixed by law, including an application to extend time before proceedings are commenced; or</w:t>
            </w:r>
          </w:p>
          <w:p>
            <w:pPr>
              <w:pStyle w:val="yTableNAm"/>
              <w:tabs>
                <w:tab w:val="left" w:pos="1081"/>
              </w:tabs>
              <w:spacing w:before="100"/>
              <w:ind w:left="1083" w:hanging="1083"/>
            </w:pPr>
            <w:r>
              <w:tab/>
              <w:t>(ii)</w:t>
            </w:r>
            <w:r>
              <w:tab/>
              <w:t>to limit a period of time within which proceedings may be taken; or</w:t>
            </w:r>
          </w:p>
          <w:p>
            <w:pPr>
              <w:pStyle w:val="yTableNAm"/>
              <w:tabs>
                <w:tab w:val="left" w:pos="1081"/>
              </w:tabs>
              <w:ind w:left="1081" w:hanging="1081"/>
            </w:pPr>
            <w:r>
              <w:tab/>
              <w:t>(iii)</w:t>
            </w:r>
            <w:r>
              <w:tab/>
              <w:t>for leave to serve a writ or notice of a writ out of jurisdiction; or</w:t>
            </w:r>
          </w:p>
          <w:p>
            <w:pPr>
              <w:pStyle w:val="yTableNAm"/>
              <w:tabs>
                <w:tab w:val="left" w:pos="1081"/>
              </w:tabs>
              <w:ind w:left="1081" w:hanging="1081"/>
            </w:pPr>
            <w:r>
              <w:tab/>
              <w:t>(iv)</w:t>
            </w:r>
            <w:r>
              <w:tab/>
              <w:t>to swear to the death of a person; or</w:t>
            </w:r>
          </w:p>
          <w:p>
            <w:pPr>
              <w:pStyle w:val="yTableNAm"/>
              <w:tabs>
                <w:tab w:val="left" w:pos="1081"/>
              </w:tabs>
              <w:ind w:left="1081" w:hanging="1081"/>
            </w:pPr>
            <w:r>
              <w:tab/>
              <w:t>(v)</w:t>
            </w:r>
            <w:r>
              <w:tab/>
              <w:t>for leave to appeal; or</w:t>
            </w:r>
          </w:p>
          <w:p>
            <w:pPr>
              <w:pStyle w:val="yTableNAm"/>
              <w:tabs>
                <w:tab w:val="left" w:pos="1081"/>
              </w:tabs>
              <w:ind w:left="1081" w:hanging="1081"/>
              <w:rPr>
                <w:i/>
                <w:iCs/>
              </w:rPr>
            </w:pPr>
            <w:r>
              <w:rPr>
                <w:i/>
                <w:iCs/>
              </w:rPr>
              <w:tab/>
              <w:t>[(vi)</w:t>
            </w:r>
            <w:r>
              <w:rPr>
                <w:i/>
                <w:iCs/>
              </w:rPr>
              <w:tab/>
              <w:t>deleted]</w:t>
            </w:r>
          </w:p>
          <w:p>
            <w:pPr>
              <w:pStyle w:val="yTableNAm"/>
              <w:tabs>
                <w:tab w:val="left" w:pos="1081"/>
                <w:tab w:val="left" w:leader="dot" w:pos="3839"/>
              </w:tabs>
              <w:ind w:left="1081" w:hanging="1081"/>
            </w:pPr>
            <w:r>
              <w:tab/>
              <w:t>(vii)</w:t>
            </w:r>
            <w:r>
              <w:tab/>
              <w:t xml:space="preserve">in a pending cause or matter in admiralty whether by summons or motion, other than an application by the Marshal </w:t>
            </w:r>
            <w:r>
              <w:tab/>
            </w:r>
          </w:p>
          <w:p>
            <w:pPr>
              <w:pStyle w:val="yTableNAm"/>
              <w:tabs>
                <w:tab w:val="clear" w:pos="567"/>
                <w:tab w:val="left" w:pos="481"/>
                <w:tab w:val="left" w:leader="dot" w:pos="3841"/>
              </w:tabs>
              <w:ind w:left="481" w:hanging="481"/>
            </w:pPr>
            <w:r>
              <w:t>(d)</w:t>
            </w:r>
            <w:r>
              <w:tab/>
              <w:t xml:space="preserve">any other application for which no fee has been provided in this Division </w:t>
            </w:r>
            <w:r>
              <w:tab/>
            </w:r>
          </w:p>
        </w:tc>
        <w:tc>
          <w:tcPr>
            <w:tcW w:w="1276" w:type="dxa"/>
          </w:tcPr>
          <w:p>
            <w:pPr>
              <w:pStyle w:val="yTableNAm"/>
              <w:tabs>
                <w:tab w:val="clear" w:pos="567"/>
              </w:tabs>
              <w:ind w:right="206"/>
              <w:jc w:val="right"/>
            </w:pPr>
          </w:p>
          <w:p>
            <w:pPr>
              <w:pStyle w:val="yTableNAm"/>
              <w:tabs>
                <w:tab w:val="clear" w:pos="567"/>
              </w:tabs>
              <w:ind w:right="206"/>
              <w:jc w:val="right"/>
            </w:pPr>
            <w:r>
              <w:rPr>
                <w:szCs w:val="22"/>
              </w:rPr>
              <w:t>969.00</w:t>
            </w:r>
          </w:p>
          <w:p>
            <w:pPr>
              <w:pStyle w:val="yTableNAm"/>
              <w:tabs>
                <w:tab w:val="clear" w:pos="567"/>
              </w:tabs>
              <w:ind w:right="206"/>
              <w:jc w:val="right"/>
            </w:pPr>
            <w:r>
              <w:rPr>
                <w:szCs w:val="22"/>
              </w:rPr>
              <w:br/>
              <w:t>969.00</w:t>
            </w:r>
          </w:p>
          <w:p>
            <w:pPr>
              <w:pStyle w:val="yTableNAm"/>
              <w:tabs>
                <w:tab w:val="clear" w:pos="567"/>
              </w:tabs>
              <w:ind w:right="206"/>
              <w:jc w:val="right"/>
            </w:pPr>
          </w:p>
          <w:p>
            <w:pPr>
              <w:pStyle w:val="yTableNAm"/>
              <w:tabs>
                <w:tab w:val="clear" w:pos="567"/>
              </w:tabs>
              <w:spacing w:before="100"/>
              <w:ind w:right="204"/>
              <w:jc w:val="right"/>
            </w:pPr>
            <w:r>
              <w:br/>
            </w:r>
            <w:r>
              <w:br/>
            </w:r>
            <w:r>
              <w:br/>
            </w:r>
            <w:r>
              <w:br/>
            </w:r>
          </w:p>
          <w:p>
            <w:pPr>
              <w:pStyle w:val="yTableNAm"/>
              <w:tabs>
                <w:tab w:val="clear" w:pos="567"/>
              </w:tabs>
              <w:spacing w:before="100"/>
              <w:ind w:right="204"/>
              <w:jc w:val="right"/>
            </w:pPr>
            <w:r>
              <w:br/>
            </w:r>
            <w:r>
              <w:br/>
            </w:r>
          </w:p>
          <w:p>
            <w:pPr>
              <w:pStyle w:val="yTableNAm"/>
              <w:tabs>
                <w:tab w:val="clear" w:pos="567"/>
              </w:tabs>
              <w:ind w:right="206"/>
              <w:jc w:val="right"/>
            </w:pPr>
            <w:r>
              <w:br/>
            </w:r>
            <w:r>
              <w:br/>
            </w:r>
          </w:p>
          <w:p>
            <w:pPr>
              <w:pStyle w:val="yTableNAm"/>
              <w:tabs>
                <w:tab w:val="clear" w:pos="567"/>
              </w:tabs>
              <w:ind w:right="206"/>
              <w:jc w:val="right"/>
            </w:pPr>
            <w:r>
              <w:br/>
            </w:r>
          </w:p>
          <w:p>
            <w:pPr>
              <w:pStyle w:val="yTableNAm"/>
              <w:tabs>
                <w:tab w:val="clear" w:pos="567"/>
              </w:tabs>
              <w:ind w:right="206"/>
              <w:jc w:val="right"/>
            </w:pPr>
          </w:p>
          <w:p>
            <w:pPr>
              <w:pStyle w:val="yTableNAm"/>
              <w:tabs>
                <w:tab w:val="clear" w:pos="567"/>
              </w:tabs>
              <w:ind w:right="206"/>
              <w:jc w:val="right"/>
            </w:pPr>
            <w:r>
              <w:br/>
            </w:r>
          </w:p>
          <w:p>
            <w:pPr>
              <w:pStyle w:val="yTableNAm"/>
              <w:tabs>
                <w:tab w:val="clear" w:pos="567"/>
              </w:tabs>
              <w:ind w:right="206"/>
              <w:jc w:val="right"/>
            </w:pPr>
            <w:r>
              <w:br/>
            </w:r>
            <w:r>
              <w:br/>
            </w:r>
            <w:r>
              <w:br/>
            </w:r>
            <w:r>
              <w:rPr>
                <w:szCs w:val="22"/>
              </w:rPr>
              <w:t>323.00</w:t>
            </w:r>
          </w:p>
          <w:p>
            <w:pPr>
              <w:pStyle w:val="yTableNAm"/>
              <w:tabs>
                <w:tab w:val="clear" w:pos="567"/>
              </w:tabs>
              <w:ind w:right="206"/>
              <w:jc w:val="right"/>
            </w:pPr>
            <w:r>
              <w:br/>
            </w:r>
            <w:r>
              <w:br/>
            </w:r>
            <w:r>
              <w:rPr>
                <w:szCs w:val="22"/>
              </w:rPr>
              <w:t>323.00</w:t>
            </w:r>
          </w:p>
        </w:tc>
        <w:tc>
          <w:tcPr>
            <w:tcW w:w="1239" w:type="dxa"/>
          </w:tcPr>
          <w:p>
            <w:pPr>
              <w:pStyle w:val="yTableNAm"/>
              <w:tabs>
                <w:tab w:val="clear" w:pos="567"/>
              </w:tabs>
              <w:ind w:right="203"/>
              <w:jc w:val="right"/>
            </w:pPr>
          </w:p>
          <w:p>
            <w:pPr>
              <w:pStyle w:val="yTableNAm"/>
              <w:tabs>
                <w:tab w:val="clear" w:pos="567"/>
              </w:tabs>
              <w:ind w:right="203"/>
              <w:jc w:val="right"/>
            </w:pPr>
            <w:r>
              <w:rPr>
                <w:szCs w:val="22"/>
              </w:rPr>
              <w:t>1 887.00</w:t>
            </w:r>
          </w:p>
          <w:p>
            <w:pPr>
              <w:pStyle w:val="yTableNAm"/>
              <w:tabs>
                <w:tab w:val="clear" w:pos="567"/>
              </w:tabs>
              <w:ind w:right="203"/>
              <w:jc w:val="right"/>
            </w:pPr>
            <w:r>
              <w:rPr>
                <w:szCs w:val="22"/>
              </w:rPr>
              <w:br/>
              <w:t>1 887.00</w:t>
            </w:r>
          </w:p>
          <w:p>
            <w:pPr>
              <w:pStyle w:val="yTableNAm"/>
              <w:tabs>
                <w:tab w:val="clear" w:pos="567"/>
              </w:tabs>
              <w:ind w:right="203"/>
              <w:jc w:val="right"/>
            </w:pPr>
          </w:p>
          <w:p>
            <w:pPr>
              <w:pStyle w:val="yTableNAm"/>
              <w:tabs>
                <w:tab w:val="clear" w:pos="567"/>
              </w:tabs>
              <w:spacing w:before="100"/>
              <w:ind w:right="204"/>
              <w:jc w:val="right"/>
            </w:pPr>
            <w:r>
              <w:br/>
            </w:r>
            <w:r>
              <w:br/>
            </w:r>
            <w:r>
              <w:br/>
            </w:r>
            <w:r>
              <w:br/>
            </w:r>
          </w:p>
          <w:p>
            <w:pPr>
              <w:pStyle w:val="yTableNAm"/>
              <w:tabs>
                <w:tab w:val="clear" w:pos="567"/>
              </w:tabs>
              <w:spacing w:before="100"/>
              <w:ind w:right="204"/>
              <w:jc w:val="right"/>
            </w:pPr>
            <w:r>
              <w:br/>
            </w:r>
            <w:r>
              <w:br/>
            </w:r>
          </w:p>
          <w:p>
            <w:pPr>
              <w:pStyle w:val="yTableNAm"/>
              <w:tabs>
                <w:tab w:val="clear" w:pos="567"/>
              </w:tabs>
              <w:ind w:right="203"/>
              <w:jc w:val="right"/>
            </w:pPr>
            <w:r>
              <w:br/>
            </w:r>
            <w:r>
              <w:br/>
            </w:r>
          </w:p>
          <w:p>
            <w:pPr>
              <w:pStyle w:val="yTableNAm"/>
              <w:tabs>
                <w:tab w:val="clear" w:pos="567"/>
              </w:tabs>
              <w:ind w:right="203"/>
              <w:jc w:val="right"/>
            </w:pPr>
            <w:r>
              <w:br/>
            </w:r>
          </w:p>
          <w:p>
            <w:pPr>
              <w:pStyle w:val="yTableNAm"/>
              <w:tabs>
                <w:tab w:val="clear" w:pos="567"/>
              </w:tabs>
              <w:ind w:right="203"/>
              <w:jc w:val="right"/>
            </w:pPr>
          </w:p>
          <w:p>
            <w:pPr>
              <w:pStyle w:val="yTableNAm"/>
              <w:tabs>
                <w:tab w:val="clear" w:pos="567"/>
              </w:tabs>
              <w:ind w:right="203"/>
              <w:jc w:val="right"/>
            </w:pPr>
            <w:r>
              <w:br/>
            </w:r>
          </w:p>
          <w:p>
            <w:pPr>
              <w:pStyle w:val="yTableNAm"/>
              <w:tabs>
                <w:tab w:val="clear" w:pos="567"/>
              </w:tabs>
              <w:ind w:right="203"/>
              <w:jc w:val="right"/>
            </w:pPr>
            <w:r>
              <w:br/>
            </w:r>
            <w:r>
              <w:br/>
            </w:r>
            <w:r>
              <w:br/>
            </w:r>
            <w:r>
              <w:rPr>
                <w:szCs w:val="22"/>
              </w:rPr>
              <w:t>632.00</w:t>
            </w:r>
          </w:p>
          <w:p>
            <w:pPr>
              <w:pStyle w:val="yTableNAm"/>
              <w:tabs>
                <w:tab w:val="clear" w:pos="567"/>
              </w:tabs>
              <w:ind w:right="203"/>
              <w:jc w:val="right"/>
            </w:pPr>
            <w:r>
              <w:br/>
            </w:r>
            <w:r>
              <w:br/>
            </w:r>
            <w:r>
              <w:rPr>
                <w:szCs w:val="22"/>
              </w:rPr>
              <w:t>632.00</w:t>
            </w:r>
          </w:p>
        </w:tc>
      </w:tr>
      <w:tr>
        <w:tc>
          <w:tcPr>
            <w:tcW w:w="709" w:type="dxa"/>
          </w:tcPr>
          <w:p>
            <w:pPr>
              <w:pStyle w:val="yTableNAm"/>
            </w:pPr>
            <w:r>
              <w:t>3.</w:t>
            </w:r>
          </w:p>
        </w:tc>
        <w:tc>
          <w:tcPr>
            <w:tcW w:w="3827" w:type="dxa"/>
          </w:tcPr>
          <w:p>
            <w:pPr>
              <w:pStyle w:val="yTableNAm"/>
              <w:tabs>
                <w:tab w:val="left" w:leader="dot" w:pos="3839"/>
              </w:tabs>
            </w:pPr>
            <w:r>
              <w:t xml:space="preserve">Commencing an appeal to which the Rules O.60A r. 4 applies </w:t>
            </w:r>
            <w:r>
              <w:tab/>
            </w:r>
          </w:p>
        </w:tc>
        <w:tc>
          <w:tcPr>
            <w:tcW w:w="1276" w:type="dxa"/>
          </w:tcPr>
          <w:p>
            <w:pPr>
              <w:pStyle w:val="yTableNAm"/>
              <w:tabs>
                <w:tab w:val="clear" w:pos="567"/>
              </w:tabs>
              <w:ind w:right="206"/>
              <w:jc w:val="right"/>
            </w:pPr>
            <w:r>
              <w:br/>
            </w:r>
            <w:r>
              <w:rPr>
                <w:szCs w:val="22"/>
              </w:rPr>
              <w:t>648.00</w:t>
            </w:r>
          </w:p>
        </w:tc>
        <w:tc>
          <w:tcPr>
            <w:tcW w:w="1239" w:type="dxa"/>
          </w:tcPr>
          <w:p>
            <w:pPr>
              <w:pStyle w:val="yTableNAm"/>
              <w:tabs>
                <w:tab w:val="clear" w:pos="567"/>
              </w:tabs>
              <w:ind w:right="203"/>
              <w:jc w:val="right"/>
            </w:pPr>
            <w:r>
              <w:br/>
            </w:r>
            <w:r>
              <w:rPr>
                <w:szCs w:val="22"/>
              </w:rPr>
              <w:t>1 263.00</w:t>
            </w:r>
          </w:p>
        </w:tc>
      </w:tr>
      <w:tr>
        <w:tc>
          <w:tcPr>
            <w:tcW w:w="709" w:type="dxa"/>
          </w:tcPr>
          <w:p>
            <w:pPr>
              <w:pStyle w:val="yTableNAm"/>
            </w:pPr>
            <w:r>
              <w:t>4.</w:t>
            </w:r>
          </w:p>
        </w:tc>
        <w:tc>
          <w:tcPr>
            <w:tcW w:w="3827" w:type="dxa"/>
          </w:tcPr>
          <w:p>
            <w:pPr>
              <w:pStyle w:val="yTableNAm"/>
              <w:tabs>
                <w:tab w:val="left" w:leader="dot" w:pos="3839"/>
              </w:tabs>
            </w:pPr>
            <w:r>
              <w:t xml:space="preserve">Entry for hearing a cause or matter or notice of an appointment to hear an originating summons </w:t>
            </w:r>
            <w:r>
              <w:tab/>
            </w:r>
          </w:p>
        </w:tc>
        <w:tc>
          <w:tcPr>
            <w:tcW w:w="1276" w:type="dxa"/>
          </w:tcPr>
          <w:p>
            <w:pPr>
              <w:pStyle w:val="yTableNAm"/>
              <w:tabs>
                <w:tab w:val="clear" w:pos="567"/>
              </w:tabs>
              <w:ind w:right="206"/>
              <w:jc w:val="right"/>
            </w:pPr>
            <w:r>
              <w:br/>
            </w:r>
            <w:r>
              <w:br/>
            </w:r>
            <w:r>
              <w:rPr>
                <w:szCs w:val="22"/>
              </w:rPr>
              <w:t>969.00</w:t>
            </w:r>
          </w:p>
        </w:tc>
        <w:tc>
          <w:tcPr>
            <w:tcW w:w="1239" w:type="dxa"/>
          </w:tcPr>
          <w:p>
            <w:pPr>
              <w:pStyle w:val="yTableNAm"/>
              <w:tabs>
                <w:tab w:val="clear" w:pos="567"/>
              </w:tabs>
              <w:ind w:right="203"/>
              <w:jc w:val="right"/>
            </w:pPr>
            <w:r>
              <w:br/>
            </w:r>
            <w:r>
              <w:br/>
            </w:r>
            <w:r>
              <w:rPr>
                <w:szCs w:val="22"/>
              </w:rPr>
              <w:t>1 887.00</w:t>
            </w:r>
          </w:p>
        </w:tc>
      </w:tr>
      <w:tr>
        <w:tc>
          <w:tcPr>
            <w:tcW w:w="709" w:type="dxa"/>
          </w:tcPr>
          <w:p>
            <w:pPr>
              <w:pStyle w:val="yTableNAm"/>
            </w:pPr>
            <w:r>
              <w:t>5.</w:t>
            </w:r>
          </w:p>
        </w:tc>
        <w:tc>
          <w:tcPr>
            <w:tcW w:w="3827" w:type="dxa"/>
          </w:tcPr>
          <w:p>
            <w:pPr>
              <w:pStyle w:val="yTableNAm"/>
              <w:tabs>
                <w:tab w:val="left" w:leader="dot" w:pos="3839"/>
              </w:tabs>
            </w:pPr>
            <w:r>
              <w:t xml:space="preserve">Allocation of hearing date, for each day allocated </w:t>
            </w:r>
            <w:r>
              <w:tab/>
            </w:r>
          </w:p>
          <w:p>
            <w:pPr>
              <w:pStyle w:val="yTableNAm"/>
              <w:rPr>
                <w:sz w:val="20"/>
              </w:rPr>
            </w:pPr>
            <w:r>
              <w:rPr>
                <w:sz w:val="20"/>
              </w:rPr>
              <w:t>NOTE: See regulation 9.</w:t>
            </w:r>
          </w:p>
        </w:tc>
        <w:tc>
          <w:tcPr>
            <w:tcW w:w="1276" w:type="dxa"/>
          </w:tcPr>
          <w:p>
            <w:pPr>
              <w:pStyle w:val="yTableNAm"/>
              <w:tabs>
                <w:tab w:val="clear" w:pos="567"/>
              </w:tabs>
              <w:ind w:right="206"/>
              <w:jc w:val="right"/>
            </w:pPr>
            <w:r>
              <w:br/>
            </w:r>
            <w:r>
              <w:rPr>
                <w:szCs w:val="22"/>
              </w:rPr>
              <w:t>648.00</w:t>
            </w:r>
          </w:p>
        </w:tc>
        <w:tc>
          <w:tcPr>
            <w:tcW w:w="1239" w:type="dxa"/>
          </w:tcPr>
          <w:p>
            <w:pPr>
              <w:pStyle w:val="yTableNAm"/>
              <w:tabs>
                <w:tab w:val="clear" w:pos="567"/>
              </w:tabs>
              <w:ind w:right="203"/>
              <w:jc w:val="right"/>
            </w:pPr>
            <w:r>
              <w:br/>
            </w:r>
            <w:r>
              <w:rPr>
                <w:szCs w:val="22"/>
              </w:rPr>
              <w:t>1 683.00</w:t>
            </w:r>
          </w:p>
        </w:tc>
      </w:tr>
      <w:tr>
        <w:tc>
          <w:tcPr>
            <w:tcW w:w="709" w:type="dxa"/>
          </w:tcPr>
          <w:p>
            <w:pPr>
              <w:pStyle w:val="yTableNAm"/>
              <w:keepNext/>
            </w:pPr>
            <w:r>
              <w:t>6.</w:t>
            </w:r>
          </w:p>
        </w:tc>
        <w:tc>
          <w:tcPr>
            <w:tcW w:w="3827" w:type="dxa"/>
          </w:tcPr>
          <w:p>
            <w:pPr>
              <w:pStyle w:val="yTableNAm"/>
              <w:keepNext/>
              <w:tabs>
                <w:tab w:val="left" w:leader="dot" w:pos="3839"/>
              </w:tabs>
            </w:pPr>
            <w:r>
              <w:t xml:space="preserve">Daily hearing fee before a Court constituted by a master or one or more judges </w:t>
            </w:r>
            <w:r>
              <w:tab/>
            </w:r>
          </w:p>
          <w:p>
            <w:pPr>
              <w:pStyle w:val="yTableNAm"/>
              <w:keepNext/>
              <w:rPr>
                <w:sz w:val="20"/>
              </w:rPr>
            </w:pPr>
            <w:r>
              <w:rPr>
                <w:sz w:val="20"/>
              </w:rPr>
              <w:t>NOTES:</w:t>
            </w:r>
          </w:p>
          <w:p>
            <w:pPr>
              <w:pStyle w:val="yTableNAm"/>
              <w:keepNext/>
              <w:tabs>
                <w:tab w:val="clear" w:pos="567"/>
                <w:tab w:val="left" w:pos="481"/>
              </w:tabs>
              <w:spacing w:before="80"/>
              <w:ind w:left="482" w:hanging="482"/>
              <w:rPr>
                <w:sz w:val="20"/>
              </w:rPr>
            </w:pPr>
            <w:r>
              <w:rPr>
                <w:sz w:val="20"/>
              </w:rPr>
              <w:t>(1)</w:t>
            </w:r>
            <w:r>
              <w:rPr>
                <w:sz w:val="20"/>
              </w:rPr>
              <w:tab/>
              <w:t>No fee is payable if the proceedings are of an interlocutory nature.</w:t>
            </w:r>
          </w:p>
          <w:p>
            <w:pPr>
              <w:pStyle w:val="yTableNAm"/>
              <w:keepNext/>
              <w:tabs>
                <w:tab w:val="clear" w:pos="567"/>
                <w:tab w:val="left" w:pos="481"/>
              </w:tabs>
              <w:spacing w:before="80"/>
              <w:ind w:left="482" w:hanging="482"/>
              <w:rPr>
                <w:sz w:val="20"/>
              </w:rPr>
            </w:pPr>
            <w:r>
              <w:rPr>
                <w:sz w:val="20"/>
              </w:rPr>
              <w:t>(2)</w:t>
            </w:r>
            <w:r>
              <w:rPr>
                <w:sz w:val="20"/>
              </w:rPr>
              <w:tab/>
              <w:t>The fee is to be paid in respect of any number of hearing days greater than the number of hearing days for which a fee has been paid under item 5.</w:t>
            </w:r>
          </w:p>
          <w:p>
            <w:pPr>
              <w:pStyle w:val="yTableNAm"/>
              <w:keepNext/>
              <w:tabs>
                <w:tab w:val="clear" w:pos="567"/>
                <w:tab w:val="left" w:pos="481"/>
              </w:tabs>
              <w:spacing w:before="80"/>
              <w:ind w:left="482" w:hanging="482"/>
              <w:rPr>
                <w:sz w:val="20"/>
              </w:rPr>
            </w:pPr>
            <w:r>
              <w:rPr>
                <w:sz w:val="20"/>
              </w:rPr>
              <w:t>(3)</w:t>
            </w:r>
            <w:r>
              <w:rPr>
                <w:sz w:val="20"/>
              </w:rPr>
              <w:tab/>
              <w:t>The fee is payable for each additional day or part of a day that the hearing proceeds beyond the date or dates allocated referred to in item 5.</w:t>
            </w:r>
          </w:p>
          <w:p>
            <w:pPr>
              <w:pStyle w:val="yTableNAm"/>
              <w:keepNext/>
              <w:tabs>
                <w:tab w:val="clear" w:pos="567"/>
                <w:tab w:val="left" w:pos="481"/>
              </w:tabs>
              <w:spacing w:before="80"/>
              <w:ind w:left="482" w:hanging="482"/>
              <w:rPr>
                <w:sz w:val="20"/>
              </w:rPr>
            </w:pPr>
            <w:r>
              <w:rPr>
                <w:sz w:val="20"/>
              </w:rPr>
              <w:t>(4)</w:t>
            </w:r>
            <w:r>
              <w:rPr>
                <w:sz w:val="20"/>
              </w:rPr>
              <w:tab/>
              <w:t>If the Court allocates a half day or less for the continuation of the hearing, a fee equal to half the prescribed amount is payable for that period.</w:t>
            </w:r>
          </w:p>
          <w:p>
            <w:pPr>
              <w:pStyle w:val="yTableNAm"/>
              <w:keepNext/>
              <w:tabs>
                <w:tab w:val="clear" w:pos="567"/>
                <w:tab w:val="left" w:pos="481"/>
              </w:tabs>
              <w:spacing w:before="80"/>
              <w:ind w:left="482" w:hanging="482"/>
            </w:pPr>
            <w:r>
              <w:rPr>
                <w:sz w:val="20"/>
              </w:rPr>
              <w:t>(5)</w:t>
            </w:r>
            <w:r>
              <w:rPr>
                <w:sz w:val="20"/>
              </w:rPr>
              <w:tab/>
              <w:t>The daily fee becomes payable on a day</w:t>
            </w:r>
            <w:r>
              <w:rPr>
                <w:sz w:val="20"/>
              </w:rPr>
              <w:noBreakHyphen/>
              <w:t>to</w:t>
            </w:r>
            <w:r>
              <w:rPr>
                <w:sz w:val="20"/>
              </w:rPr>
              <w:noBreakHyphen/>
              <w:t>day basis and is payable before the daily reconvening of the hearing.</w:t>
            </w:r>
          </w:p>
        </w:tc>
        <w:tc>
          <w:tcPr>
            <w:tcW w:w="1276" w:type="dxa"/>
          </w:tcPr>
          <w:p>
            <w:pPr>
              <w:pStyle w:val="yTableNAm"/>
              <w:keepNext/>
              <w:tabs>
                <w:tab w:val="clear" w:pos="567"/>
              </w:tabs>
              <w:ind w:right="206"/>
              <w:jc w:val="right"/>
            </w:pPr>
            <w:r>
              <w:br/>
            </w:r>
            <w:r>
              <w:br/>
            </w:r>
            <w:r>
              <w:rPr>
                <w:szCs w:val="22"/>
              </w:rPr>
              <w:t>648.00</w:t>
            </w:r>
          </w:p>
        </w:tc>
        <w:tc>
          <w:tcPr>
            <w:tcW w:w="1239" w:type="dxa"/>
          </w:tcPr>
          <w:p>
            <w:pPr>
              <w:pStyle w:val="yTableNAm"/>
              <w:keepNext/>
              <w:tabs>
                <w:tab w:val="clear" w:pos="567"/>
              </w:tabs>
              <w:ind w:right="203"/>
              <w:jc w:val="right"/>
            </w:pPr>
            <w:r>
              <w:br/>
            </w:r>
            <w:r>
              <w:br/>
            </w:r>
            <w:r>
              <w:rPr>
                <w:szCs w:val="22"/>
              </w:rPr>
              <w:t>1 683.00</w:t>
            </w:r>
          </w:p>
        </w:tc>
      </w:tr>
      <w:tr>
        <w:tc>
          <w:tcPr>
            <w:tcW w:w="709" w:type="dxa"/>
          </w:tcPr>
          <w:p>
            <w:pPr>
              <w:pStyle w:val="yTableNAm"/>
            </w:pPr>
            <w:r>
              <w:br w:type="page"/>
              <w:t>7.</w:t>
            </w:r>
          </w:p>
        </w:tc>
        <w:tc>
          <w:tcPr>
            <w:tcW w:w="3827" w:type="dxa"/>
          </w:tcPr>
          <w:p>
            <w:pPr>
              <w:pStyle w:val="yTableNAm"/>
              <w:tabs>
                <w:tab w:val="clear" w:pos="567"/>
                <w:tab w:val="left" w:pos="481"/>
              </w:tabs>
              <w:ind w:left="481" w:hanging="481"/>
            </w:pPr>
            <w:r>
              <w:t>(a)</w:t>
            </w:r>
            <w:r>
              <w:tab/>
              <w:t xml:space="preserve">On filing an — </w:t>
            </w:r>
          </w:p>
          <w:p>
            <w:pPr>
              <w:pStyle w:val="yTableNAm"/>
              <w:tabs>
                <w:tab w:val="left" w:pos="1081"/>
              </w:tabs>
              <w:spacing w:before="80"/>
              <w:ind w:left="1083" w:hanging="1083"/>
            </w:pPr>
            <w:r>
              <w:tab/>
              <w:t>(i)</w:t>
            </w:r>
            <w:r>
              <w:tab/>
              <w:t>interlocutory application or summons returnable; or</w:t>
            </w:r>
          </w:p>
          <w:p>
            <w:pPr>
              <w:pStyle w:val="yTableNAm"/>
              <w:tabs>
                <w:tab w:val="left" w:pos="1081"/>
              </w:tabs>
              <w:spacing w:before="80"/>
              <w:ind w:left="1083" w:hanging="1083"/>
            </w:pPr>
            <w:r>
              <w:tab/>
              <w:t>(ii)</w:t>
            </w:r>
            <w:r>
              <w:tab/>
              <w:t>application for assessment of damages; or</w:t>
            </w:r>
          </w:p>
          <w:p>
            <w:pPr>
              <w:pStyle w:val="yTableNAm"/>
              <w:tabs>
                <w:tab w:val="left" w:pos="1081"/>
              </w:tabs>
              <w:spacing w:before="80"/>
              <w:ind w:left="1083" w:hanging="1083"/>
            </w:pPr>
            <w:r>
              <w:tab/>
              <w:t>(iii)</w:t>
            </w:r>
            <w:r>
              <w:tab/>
              <w:t>application for summary judgment,</w:t>
            </w:r>
          </w:p>
          <w:p>
            <w:pPr>
              <w:pStyle w:val="yTableNAm"/>
              <w:tabs>
                <w:tab w:val="clear" w:pos="567"/>
                <w:tab w:val="left" w:pos="481"/>
              </w:tabs>
              <w:ind w:left="481" w:hanging="481"/>
            </w:pPr>
            <w:r>
              <w:tab/>
              <w:t>before a judge, master or registrar in chambers; or</w:t>
            </w:r>
          </w:p>
          <w:p>
            <w:pPr>
              <w:pStyle w:val="yTableNAm"/>
              <w:tabs>
                <w:tab w:val="clear" w:pos="567"/>
                <w:tab w:val="left" w:pos="481"/>
              </w:tabs>
              <w:ind w:left="481" w:hanging="481"/>
            </w:pPr>
            <w:r>
              <w:t>(b)</w:t>
            </w:r>
            <w:r>
              <w:tab/>
              <w:t xml:space="preserve">On an appointment before a judge, master or registrar — </w:t>
            </w:r>
          </w:p>
          <w:p>
            <w:pPr>
              <w:pStyle w:val="yTableNAm"/>
              <w:tabs>
                <w:tab w:val="left" w:pos="1081"/>
              </w:tabs>
              <w:ind w:left="1081" w:hanging="1081"/>
            </w:pPr>
            <w:r>
              <w:tab/>
              <w:t>(i)</w:t>
            </w:r>
            <w:r>
              <w:tab/>
              <w:t>on a reference for inquiry and report; or</w:t>
            </w:r>
          </w:p>
          <w:p>
            <w:pPr>
              <w:pStyle w:val="yTableNAm"/>
              <w:tabs>
                <w:tab w:val="left" w:pos="1081"/>
              </w:tabs>
              <w:ind w:left="1081" w:hanging="1081"/>
            </w:pPr>
            <w:r>
              <w:tab/>
              <w:t>(ii)</w:t>
            </w:r>
            <w:r>
              <w:tab/>
              <w:t>to pass accounts; or</w:t>
            </w:r>
          </w:p>
          <w:p>
            <w:pPr>
              <w:pStyle w:val="yTableNAm"/>
              <w:tabs>
                <w:tab w:val="left" w:pos="1081"/>
              </w:tabs>
              <w:ind w:left="1081" w:hanging="1081"/>
            </w:pPr>
            <w:r>
              <w:tab/>
              <w:t>(iii)</w:t>
            </w:r>
            <w:r>
              <w:tab/>
              <w:t>to settle the index of a transcript for use upon the hearing of an appeal; or</w:t>
            </w:r>
          </w:p>
          <w:p>
            <w:pPr>
              <w:pStyle w:val="yTableNAm"/>
              <w:tabs>
                <w:tab w:val="left" w:pos="1081"/>
              </w:tabs>
              <w:ind w:left="1081" w:hanging="1081"/>
            </w:pPr>
            <w:r>
              <w:tab/>
              <w:t>(iv)</w:t>
            </w:r>
            <w:r>
              <w:tab/>
              <w:t>for mediation; or</w:t>
            </w:r>
          </w:p>
          <w:p>
            <w:pPr>
              <w:pStyle w:val="yTableNAm"/>
              <w:tabs>
                <w:tab w:val="left" w:pos="1081"/>
                <w:tab w:val="left" w:leader="dot" w:pos="3839"/>
              </w:tabs>
              <w:ind w:left="1081" w:hanging="1081"/>
            </w:pPr>
            <w:r>
              <w:tab/>
              <w:t>(v)</w:t>
            </w:r>
            <w:r>
              <w:tab/>
              <w:t xml:space="preserve">on a reference to a registrar in admiralty proceedings </w:t>
            </w:r>
            <w:r>
              <w:tab/>
            </w:r>
          </w:p>
          <w:p>
            <w:pPr>
              <w:pStyle w:val="yTableNAm"/>
              <w:rPr>
                <w:sz w:val="20"/>
              </w:rPr>
            </w:pPr>
            <w:r>
              <w:rPr>
                <w:sz w:val="20"/>
              </w:rPr>
              <w:t>NOTES:</w:t>
            </w:r>
          </w:p>
          <w:p>
            <w:pPr>
              <w:pStyle w:val="yTableNAm"/>
              <w:tabs>
                <w:tab w:val="clear" w:pos="567"/>
                <w:tab w:val="left" w:pos="481"/>
              </w:tabs>
              <w:ind w:left="481" w:hanging="481"/>
              <w:rPr>
                <w:sz w:val="20"/>
              </w:rPr>
            </w:pPr>
            <w:r>
              <w:rPr>
                <w:sz w:val="20"/>
              </w:rPr>
              <w:t>(1)</w:t>
            </w:r>
            <w:r>
              <w:rPr>
                <w:sz w:val="20"/>
              </w:rPr>
              <w:tab/>
              <w:t>If the registrar is assisted by one or more assessors, the daily fee is payable for each assessor if the registrar considers that to be reasonable.</w:t>
            </w:r>
          </w:p>
          <w:p>
            <w:pPr>
              <w:pStyle w:val="yTableNAm"/>
              <w:tabs>
                <w:tab w:val="clear" w:pos="567"/>
                <w:tab w:val="left" w:pos="481"/>
              </w:tabs>
              <w:ind w:left="481" w:hanging="481"/>
              <w:rPr>
                <w:sz w:val="20"/>
              </w:rPr>
            </w:pPr>
            <w:r>
              <w:rPr>
                <w:sz w:val="20"/>
              </w:rPr>
              <w:t>(2)</w:t>
            </w:r>
            <w:r>
              <w:rPr>
                <w:sz w:val="20"/>
              </w:rPr>
              <w:tab/>
              <w:t>The fee payable to an assessor becomes payable on a day</w:t>
            </w:r>
            <w:r>
              <w:rPr>
                <w:sz w:val="20"/>
              </w:rPr>
              <w:noBreakHyphen/>
              <w:t>to</w:t>
            </w:r>
            <w:r>
              <w:rPr>
                <w:sz w:val="20"/>
              </w:rPr>
              <w:noBreakHyphen/>
              <w:t>day basis as the reference proceeds and is payable in the first instance by the claimant.</w:t>
            </w:r>
          </w:p>
          <w:p>
            <w:pPr>
              <w:pStyle w:val="yTableNAm"/>
              <w:tabs>
                <w:tab w:val="clear" w:pos="567"/>
                <w:tab w:val="left" w:pos="481"/>
              </w:tabs>
              <w:ind w:left="481" w:hanging="481"/>
              <w:rPr>
                <w:sz w:val="20"/>
              </w:rPr>
            </w:pPr>
            <w:r>
              <w:rPr>
                <w:sz w:val="20"/>
              </w:rPr>
              <w:t>(3)</w:t>
            </w:r>
            <w:r>
              <w:rPr>
                <w:sz w:val="20"/>
              </w:rPr>
              <w:tab/>
              <w:t>The fee includes the first day of the hearing of the application or summons and includes any adjournment of the hearing.</w:t>
            </w:r>
          </w:p>
          <w:p>
            <w:pPr>
              <w:pStyle w:val="yTableNAm"/>
              <w:tabs>
                <w:tab w:val="clear" w:pos="567"/>
                <w:tab w:val="left" w:pos="481"/>
              </w:tabs>
              <w:ind w:left="481" w:hanging="481"/>
            </w:pPr>
            <w:r>
              <w:rPr>
                <w:sz w:val="20"/>
              </w:rPr>
              <w:t>(4)</w:t>
            </w:r>
            <w:r>
              <w:rPr>
                <w:sz w:val="20"/>
              </w:rPr>
              <w:tab/>
              <w:t>The fee is payable in respect of an application for liberty to apply to relist.</w:t>
            </w:r>
          </w:p>
        </w:tc>
        <w:tc>
          <w:tcPr>
            <w:tcW w:w="1276" w:type="dxa"/>
          </w:tcPr>
          <w:p>
            <w:pPr>
              <w:pStyle w:val="yTableNAm"/>
              <w:tabs>
                <w:tab w:val="clear" w:pos="567"/>
              </w:tabs>
              <w:ind w:right="206"/>
              <w:jc w:val="right"/>
            </w:pP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ind w:right="206"/>
              <w:jc w:val="right"/>
            </w:pPr>
            <w:r>
              <w:br/>
            </w:r>
          </w:p>
          <w:p>
            <w:pPr>
              <w:pStyle w:val="yTableNAm"/>
              <w:tabs>
                <w:tab w:val="clear" w:pos="567"/>
              </w:tabs>
              <w:ind w:right="206"/>
              <w:jc w:val="right"/>
            </w:pPr>
            <w:r>
              <w:br/>
            </w:r>
          </w:p>
          <w:p>
            <w:pPr>
              <w:pStyle w:val="yTableNAm"/>
              <w:tabs>
                <w:tab w:val="clear" w:pos="567"/>
              </w:tabs>
              <w:ind w:right="206"/>
              <w:jc w:val="right"/>
            </w:pPr>
            <w:r>
              <w:br/>
            </w:r>
          </w:p>
          <w:p>
            <w:pPr>
              <w:pStyle w:val="yTableNAm"/>
              <w:tabs>
                <w:tab w:val="clear" w:pos="567"/>
              </w:tabs>
              <w:ind w:right="206"/>
              <w:jc w:val="right"/>
            </w:pPr>
          </w:p>
          <w:p>
            <w:pPr>
              <w:pStyle w:val="yTableNAm"/>
              <w:tabs>
                <w:tab w:val="clear" w:pos="567"/>
              </w:tabs>
              <w:ind w:right="206"/>
              <w:jc w:val="right"/>
            </w:pPr>
            <w:r>
              <w:br/>
            </w:r>
            <w:r>
              <w:br/>
            </w:r>
          </w:p>
          <w:p>
            <w:pPr>
              <w:pStyle w:val="yTableNAm"/>
              <w:tabs>
                <w:tab w:val="clear" w:pos="567"/>
              </w:tabs>
              <w:ind w:right="206"/>
              <w:jc w:val="right"/>
            </w:pPr>
          </w:p>
          <w:p>
            <w:pPr>
              <w:pStyle w:val="yTableNAm"/>
              <w:tabs>
                <w:tab w:val="clear" w:pos="567"/>
              </w:tabs>
              <w:ind w:right="206"/>
              <w:jc w:val="right"/>
            </w:pPr>
            <w:r>
              <w:br/>
            </w:r>
            <w:r>
              <w:rPr>
                <w:szCs w:val="22"/>
              </w:rPr>
              <w:t>228.00</w:t>
            </w:r>
          </w:p>
        </w:tc>
        <w:tc>
          <w:tcPr>
            <w:tcW w:w="1239" w:type="dxa"/>
          </w:tcPr>
          <w:p>
            <w:pPr>
              <w:pStyle w:val="yTableNAm"/>
              <w:tabs>
                <w:tab w:val="clear" w:pos="567"/>
              </w:tabs>
              <w:ind w:right="203"/>
              <w:jc w:val="right"/>
            </w:pP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ind w:right="203"/>
              <w:jc w:val="right"/>
            </w:pPr>
            <w:r>
              <w:br/>
            </w:r>
          </w:p>
          <w:p>
            <w:pPr>
              <w:pStyle w:val="yTableNAm"/>
              <w:tabs>
                <w:tab w:val="clear" w:pos="567"/>
              </w:tabs>
              <w:ind w:right="203"/>
              <w:jc w:val="right"/>
            </w:pPr>
            <w:r>
              <w:br/>
            </w:r>
          </w:p>
          <w:p>
            <w:pPr>
              <w:pStyle w:val="yTableNAm"/>
              <w:tabs>
                <w:tab w:val="clear" w:pos="567"/>
              </w:tabs>
              <w:ind w:right="203"/>
              <w:jc w:val="right"/>
            </w:pPr>
            <w:r>
              <w:br/>
            </w:r>
          </w:p>
          <w:p>
            <w:pPr>
              <w:pStyle w:val="yTableNAm"/>
              <w:tabs>
                <w:tab w:val="clear" w:pos="567"/>
              </w:tabs>
              <w:ind w:right="203"/>
              <w:jc w:val="right"/>
            </w:pPr>
          </w:p>
          <w:p>
            <w:pPr>
              <w:pStyle w:val="yTableNAm"/>
              <w:tabs>
                <w:tab w:val="clear" w:pos="567"/>
              </w:tabs>
              <w:ind w:right="203"/>
              <w:jc w:val="right"/>
            </w:pPr>
            <w:r>
              <w:br/>
            </w:r>
            <w:r>
              <w:br/>
            </w:r>
          </w:p>
          <w:p>
            <w:pPr>
              <w:pStyle w:val="yTableNAm"/>
              <w:tabs>
                <w:tab w:val="clear" w:pos="567"/>
              </w:tabs>
              <w:ind w:right="203"/>
              <w:jc w:val="right"/>
            </w:pPr>
          </w:p>
          <w:p>
            <w:pPr>
              <w:pStyle w:val="yTableNAm"/>
              <w:tabs>
                <w:tab w:val="clear" w:pos="567"/>
              </w:tabs>
              <w:ind w:right="203"/>
              <w:jc w:val="right"/>
            </w:pPr>
            <w:r>
              <w:br/>
            </w:r>
            <w:r>
              <w:rPr>
                <w:szCs w:val="22"/>
              </w:rPr>
              <w:t>442.00</w:t>
            </w:r>
          </w:p>
        </w:tc>
      </w:tr>
      <w:tr>
        <w:tc>
          <w:tcPr>
            <w:tcW w:w="709" w:type="dxa"/>
          </w:tcPr>
          <w:p>
            <w:pPr>
              <w:pStyle w:val="yTableNAm"/>
            </w:pPr>
            <w:r>
              <w:t>8.</w:t>
            </w:r>
          </w:p>
        </w:tc>
        <w:tc>
          <w:tcPr>
            <w:tcW w:w="3827" w:type="dxa"/>
          </w:tcPr>
          <w:p>
            <w:pPr>
              <w:pStyle w:val="yTableNAm"/>
            </w:pPr>
            <w:r>
              <w:t>If the hearing of a matter to which item 7 applies is listed for more than one day and proceeds for more than the number of days listed, the fee prescribed in item 7 is payable for each additional day or part of a day of a hearing.</w:t>
            </w:r>
          </w:p>
          <w:p>
            <w:pPr>
              <w:pStyle w:val="yTableNAm"/>
              <w:rPr>
                <w:sz w:val="20"/>
              </w:rPr>
            </w:pPr>
            <w:r>
              <w:rPr>
                <w:sz w:val="20"/>
              </w:rPr>
              <w:t>NOTE:</w:t>
            </w:r>
          </w:p>
          <w:p>
            <w:pPr>
              <w:pStyle w:val="yTableNAm"/>
              <w:rPr>
                <w:sz w:val="20"/>
              </w:rPr>
            </w:pPr>
            <w:r>
              <w:rPr>
                <w:sz w:val="20"/>
              </w:rPr>
              <w:t>The daily fee becomes payable on a day</w:t>
            </w:r>
            <w:r>
              <w:rPr>
                <w:sz w:val="20"/>
              </w:rPr>
              <w:noBreakHyphen/>
              <w:t>to</w:t>
            </w:r>
            <w:r>
              <w:rPr>
                <w:sz w:val="20"/>
              </w:rPr>
              <w:noBreakHyphen/>
              <w:t>day basis and is payable before the daily reconvening of the hearing.</w:t>
            </w:r>
          </w:p>
        </w:tc>
        <w:tc>
          <w:tcPr>
            <w:tcW w:w="1276" w:type="dxa"/>
          </w:tcPr>
          <w:p>
            <w:pPr>
              <w:pStyle w:val="yTableNAm"/>
            </w:pPr>
          </w:p>
        </w:tc>
        <w:tc>
          <w:tcPr>
            <w:tcW w:w="1239" w:type="dxa"/>
          </w:tcPr>
          <w:p>
            <w:pPr>
              <w:pStyle w:val="yTableNAm"/>
              <w:tabs>
                <w:tab w:val="clear" w:pos="567"/>
              </w:tabs>
              <w:ind w:right="203"/>
              <w:jc w:val="right"/>
            </w:pPr>
          </w:p>
        </w:tc>
      </w:tr>
      <w:tr>
        <w:tc>
          <w:tcPr>
            <w:tcW w:w="709" w:type="dxa"/>
          </w:tcPr>
          <w:p>
            <w:pPr>
              <w:pStyle w:val="yTableNAm"/>
            </w:pPr>
            <w:r>
              <w:t>9.</w:t>
            </w:r>
          </w:p>
        </w:tc>
        <w:tc>
          <w:tcPr>
            <w:tcW w:w="3827" w:type="dxa"/>
          </w:tcPr>
          <w:p>
            <w:pPr>
              <w:pStyle w:val="yTableNAm"/>
            </w:pPr>
            <w:r>
              <w:rPr>
                <w:szCs w:val="22"/>
              </w:rPr>
              <w:t xml:space="preserve">On </w:t>
            </w:r>
            <w:ins w:id="33" w:author="Master Repository Process" w:date="2021-09-18T01:56:00Z">
              <w:r>
                <w:rPr>
                  <w:szCs w:val="22"/>
                </w:rPr>
                <w:t xml:space="preserve">filing </w:t>
              </w:r>
            </w:ins>
            <w:r>
              <w:rPr>
                <w:szCs w:val="22"/>
              </w:rPr>
              <w:t xml:space="preserve">an </w:t>
            </w:r>
            <w:del w:id="34" w:author="Master Repository Process" w:date="2021-09-18T01:56:00Z">
              <w:r>
                <w:delText>appointment to tax</w:delText>
              </w:r>
            </w:del>
            <w:ins w:id="35" w:author="Master Repository Process" w:date="2021-09-18T01:56:00Z">
              <w:r>
                <w:rPr>
                  <w:szCs w:val="22"/>
                </w:rPr>
                <w:t>application for the assessment of</w:t>
              </w:r>
            </w:ins>
            <w:r>
              <w:t xml:space="preserve"> a bill of costs in a cause or matter or under the </w:t>
            </w:r>
            <w:r>
              <w:rPr>
                <w:i/>
                <w:iCs/>
              </w:rPr>
              <w:t>Legal Profession Act </w:t>
            </w:r>
            <w:r>
              <w:rPr>
                <w:i/>
                <w:szCs w:val="22"/>
              </w:rPr>
              <w:t>2008</w:t>
            </w:r>
            <w:r>
              <w:rPr>
                <w:szCs w:val="22"/>
              </w:rPr>
              <w:t>, the</w:t>
            </w:r>
            <w:r>
              <w:rPr>
                <w:i/>
                <w:szCs w:val="22"/>
              </w:rPr>
              <w:t xml:space="preserve"> Commercial Arbitration Act 1985 </w:t>
            </w:r>
            <w:r>
              <w:rPr>
                <w:szCs w:val="22"/>
              </w:rPr>
              <w:t xml:space="preserve">or the </w:t>
            </w:r>
            <w:r>
              <w:rPr>
                <w:i/>
                <w:szCs w:val="22"/>
              </w:rPr>
              <w:t>Commercial Arbitration Act 2012</w:t>
            </w:r>
            <w:r>
              <w:rPr>
                <w:szCs w:val="22"/>
              </w:rPr>
              <w:t> — </w:t>
            </w:r>
          </w:p>
          <w:p>
            <w:pPr>
              <w:pStyle w:val="yTableNAm"/>
              <w:tabs>
                <w:tab w:val="clear" w:pos="567"/>
                <w:tab w:val="left" w:pos="481"/>
                <w:tab w:val="left" w:leader="dot" w:pos="3841"/>
              </w:tabs>
              <w:ind w:left="481" w:hanging="481"/>
            </w:pPr>
            <w:r>
              <w:t>(a)</w:t>
            </w:r>
            <w:r>
              <w:tab/>
              <w:t xml:space="preserve">lodgment fee </w:t>
            </w:r>
            <w:r>
              <w:tab/>
            </w:r>
          </w:p>
          <w:p>
            <w:pPr>
              <w:pStyle w:val="yTableNAm"/>
              <w:tabs>
                <w:tab w:val="clear" w:pos="567"/>
                <w:tab w:val="left" w:pos="481"/>
                <w:tab w:val="left" w:leader="dot" w:pos="3841"/>
              </w:tabs>
              <w:ind w:left="481" w:hanging="481"/>
            </w:pPr>
            <w:r>
              <w:t>(b)</w:t>
            </w:r>
            <w:r>
              <w:tab/>
            </w:r>
            <w:del w:id="36" w:author="Master Repository Process" w:date="2021-09-18T01:56:00Z">
              <w:r>
                <w:delText>in addition</w:delText>
              </w:r>
            </w:del>
            <w:ins w:id="37" w:author="Master Repository Process" w:date="2021-09-18T01:56:00Z">
              <w:r>
                <w:rPr>
                  <w:szCs w:val="22"/>
                </w:rPr>
                <w:t>on the setting of an appointment</w:t>
              </w:r>
            </w:ins>
            <w:r>
              <w:rPr>
                <w:szCs w:val="22"/>
              </w:rPr>
              <w:t xml:space="preserve"> to </w:t>
            </w:r>
            <w:del w:id="38" w:author="Master Repository Process" w:date="2021-09-18T01:56:00Z">
              <w:r>
                <w:delText>the lodgment fee,</w:delText>
              </w:r>
            </w:del>
            <w:ins w:id="39" w:author="Master Repository Process" w:date="2021-09-18T01:56:00Z">
              <w:r>
                <w:rPr>
                  <w:szCs w:val="22"/>
                </w:rPr>
                <w:t>tax</w:t>
              </w:r>
            </w:ins>
            <w:r>
              <w:rPr>
                <w:szCs w:val="22"/>
              </w:rPr>
              <w:t xml:space="preserve"> a </w:t>
            </w:r>
            <w:del w:id="40" w:author="Master Repository Process" w:date="2021-09-18T01:56:00Z">
              <w:r>
                <w:delText>taxing</w:delText>
              </w:r>
            </w:del>
            <w:ins w:id="41" w:author="Master Repository Process" w:date="2021-09-18T01:56:00Z">
              <w:r>
                <w:rPr>
                  <w:szCs w:val="22"/>
                </w:rPr>
                <w:t>bill of costs, an additional</w:t>
              </w:r>
            </w:ins>
            <w:r>
              <w:rPr>
                <w:szCs w:val="22"/>
              </w:rPr>
              <w:t xml:space="preserve"> fee</w:t>
            </w:r>
            <w:r>
              <w:t xml:space="preserve"> at the rate of </w:t>
            </w:r>
            <w:r>
              <w:tab/>
            </w:r>
          </w:p>
          <w:p>
            <w:pPr>
              <w:pStyle w:val="yTableNAm"/>
              <w:rPr>
                <w:sz w:val="20"/>
              </w:rPr>
            </w:pPr>
            <w:r>
              <w:rPr>
                <w:sz w:val="20"/>
              </w:rPr>
              <w:t>NOTES:</w:t>
            </w:r>
          </w:p>
          <w:p>
            <w:pPr>
              <w:pStyle w:val="yTableNAm"/>
              <w:tabs>
                <w:tab w:val="clear" w:pos="567"/>
                <w:tab w:val="left" w:pos="481"/>
              </w:tabs>
              <w:spacing w:before="80"/>
              <w:ind w:left="482" w:hanging="482"/>
              <w:rPr>
                <w:sz w:val="20"/>
              </w:rPr>
            </w:pPr>
            <w:r>
              <w:rPr>
                <w:sz w:val="20"/>
              </w:rPr>
              <w:t>(1)</w:t>
            </w:r>
            <w:r>
              <w:rPr>
                <w:sz w:val="20"/>
              </w:rPr>
              <w:tab/>
              <w:t>The % rate is to be applied to the amount at which the bill is drawn.</w:t>
            </w:r>
          </w:p>
          <w:p>
            <w:pPr>
              <w:pStyle w:val="yTableNAm"/>
              <w:tabs>
                <w:tab w:val="clear" w:pos="567"/>
                <w:tab w:val="left" w:pos="481"/>
              </w:tabs>
              <w:spacing w:before="80"/>
              <w:ind w:left="482" w:hanging="482"/>
              <w:rPr>
                <w:sz w:val="20"/>
              </w:rPr>
            </w:pPr>
            <w:r>
              <w:rPr>
                <w:sz w:val="20"/>
              </w:rPr>
              <w:t>(2)</w:t>
            </w:r>
            <w:r>
              <w:rPr>
                <w:sz w:val="20"/>
              </w:rPr>
              <w:tab/>
              <w:t>The taxing officer must allow against the person chargeable with the costs as taxed, taxing fees at the rate prescribed in item 9(b) of the amount found due on taxation.</w:t>
            </w:r>
          </w:p>
          <w:p>
            <w:pPr>
              <w:pStyle w:val="yTableNAm"/>
              <w:tabs>
                <w:tab w:val="clear" w:pos="567"/>
                <w:tab w:val="left" w:pos="481"/>
              </w:tabs>
              <w:spacing w:before="80"/>
              <w:ind w:left="482" w:hanging="482"/>
              <w:rPr>
                <w:sz w:val="20"/>
              </w:rPr>
            </w:pPr>
            <w:r>
              <w:rPr>
                <w:sz w:val="20"/>
              </w:rPr>
              <w:t>(3)</w:t>
            </w:r>
            <w:r>
              <w:rPr>
                <w:sz w:val="20"/>
              </w:rPr>
              <w:tab/>
              <w:t xml:space="preserve">If the parties agree on the bill of costs in a cause or matter or under the </w:t>
            </w:r>
            <w:r>
              <w:rPr>
                <w:i/>
                <w:iCs/>
                <w:sz w:val="20"/>
              </w:rPr>
              <w:t>Legal Profession Act </w:t>
            </w:r>
            <w:r>
              <w:rPr>
                <w:i/>
                <w:sz w:val="20"/>
              </w:rPr>
              <w:t>2008</w:t>
            </w:r>
            <w:r>
              <w:rPr>
                <w:sz w:val="20"/>
              </w:rPr>
              <w:t xml:space="preserve">, the </w:t>
            </w:r>
            <w:r>
              <w:rPr>
                <w:i/>
                <w:sz w:val="20"/>
              </w:rPr>
              <w:t xml:space="preserve">Commercial Arbitration Act 1985 </w:t>
            </w:r>
            <w:r>
              <w:rPr>
                <w:sz w:val="20"/>
              </w:rPr>
              <w:t xml:space="preserve">or the </w:t>
            </w:r>
            <w:r>
              <w:rPr>
                <w:i/>
                <w:sz w:val="20"/>
              </w:rPr>
              <w:t xml:space="preserve">Commercial Arbitration Act 2012 </w:t>
            </w:r>
            <w:r>
              <w:rPr>
                <w:sz w:val="20"/>
              </w:rPr>
              <w:t xml:space="preserve">and the appointment is cancelled, the following percentage of the fee paid </w:t>
            </w:r>
            <w:ins w:id="42" w:author="Master Repository Process" w:date="2021-09-18T01:56:00Z">
              <w:r>
                <w:rPr>
                  <w:sz w:val="20"/>
                </w:rPr>
                <w:t xml:space="preserve">under paragraph (b) </w:t>
              </w:r>
            </w:ins>
            <w:r>
              <w:rPr>
                <w:sz w:val="20"/>
              </w:rPr>
              <w:t xml:space="preserve">is to be refunded — </w:t>
            </w:r>
          </w:p>
          <w:p>
            <w:pPr>
              <w:pStyle w:val="yTableNAm"/>
              <w:tabs>
                <w:tab w:val="clear" w:pos="567"/>
                <w:tab w:val="left" w:pos="481"/>
                <w:tab w:val="left" w:pos="961"/>
              </w:tabs>
              <w:spacing w:before="50"/>
              <w:ind w:left="958" w:hanging="958"/>
              <w:rPr>
                <w:sz w:val="20"/>
              </w:rPr>
            </w:pPr>
            <w:r>
              <w:rPr>
                <w:sz w:val="20"/>
              </w:rPr>
              <w:tab/>
              <w:t>(a)</w:t>
            </w:r>
            <w:r>
              <w:rPr>
                <w:sz w:val="20"/>
              </w:rPr>
              <w:tab/>
              <w:t>if the appointment is cancelled less than 3 days before the day of the appointment, nil;</w:t>
            </w:r>
          </w:p>
          <w:p>
            <w:pPr>
              <w:pStyle w:val="yTableNAm"/>
              <w:tabs>
                <w:tab w:val="clear" w:pos="567"/>
                <w:tab w:val="left" w:pos="481"/>
                <w:tab w:val="left" w:pos="961"/>
              </w:tabs>
              <w:spacing w:before="50"/>
              <w:ind w:left="958" w:hanging="958"/>
              <w:rPr>
                <w:sz w:val="20"/>
              </w:rPr>
            </w:pPr>
            <w:r>
              <w:rPr>
                <w:sz w:val="20"/>
              </w:rPr>
              <w:tab/>
              <w:t>(b)</w:t>
            </w:r>
            <w:r>
              <w:rPr>
                <w:sz w:val="20"/>
              </w:rPr>
              <w:tab/>
              <w:t>if the appointment is cancelled 3 days or more and less than 10 days before the day of the appointment, 50%;</w:t>
            </w:r>
          </w:p>
          <w:p>
            <w:pPr>
              <w:pStyle w:val="yTableNAm"/>
              <w:tabs>
                <w:tab w:val="clear" w:pos="567"/>
                <w:tab w:val="left" w:pos="481"/>
                <w:tab w:val="left" w:pos="961"/>
              </w:tabs>
              <w:spacing w:before="50"/>
              <w:ind w:left="958" w:hanging="958"/>
            </w:pPr>
            <w:r>
              <w:rPr>
                <w:sz w:val="20"/>
              </w:rPr>
              <w:tab/>
              <w:t>(c)</w:t>
            </w:r>
            <w:r>
              <w:rPr>
                <w:sz w:val="20"/>
              </w:rPr>
              <w:tab/>
              <w:t>if the appointment is cancelled 10 or more days before the day of the appointment, 80%.</w:t>
            </w:r>
          </w:p>
        </w:tc>
        <w:tc>
          <w:tcPr>
            <w:tcW w:w="1276" w:type="dxa"/>
          </w:tcPr>
          <w:p>
            <w:pPr>
              <w:pStyle w:val="yTableNAm"/>
              <w:tabs>
                <w:tab w:val="clear" w:pos="567"/>
              </w:tabs>
              <w:ind w:right="206"/>
              <w:jc w:val="right"/>
              <w:rPr>
                <w:szCs w:val="22"/>
              </w:rPr>
            </w:pPr>
            <w:r>
              <w:br/>
            </w:r>
            <w:r>
              <w:br/>
            </w:r>
            <w:r>
              <w:br/>
            </w:r>
            <w:r>
              <w:br/>
            </w:r>
            <w:ins w:id="43" w:author="Master Repository Process" w:date="2021-09-18T01:56:00Z">
              <w:r>
                <w:br/>
              </w:r>
            </w:ins>
          </w:p>
          <w:p>
            <w:pPr>
              <w:pStyle w:val="yTableNAm"/>
              <w:tabs>
                <w:tab w:val="clear" w:pos="567"/>
              </w:tabs>
              <w:ind w:right="206"/>
              <w:jc w:val="right"/>
            </w:pPr>
            <w:r>
              <w:rPr>
                <w:szCs w:val="22"/>
              </w:rPr>
              <w:t>314.00</w:t>
            </w:r>
          </w:p>
          <w:p>
            <w:pPr>
              <w:pStyle w:val="yTableNAm"/>
              <w:tabs>
                <w:tab w:val="clear" w:pos="567"/>
              </w:tabs>
              <w:ind w:right="206"/>
              <w:jc w:val="right"/>
            </w:pPr>
            <w:ins w:id="44" w:author="Master Repository Process" w:date="2021-09-18T01:56:00Z">
              <w:r>
                <w:br/>
              </w:r>
            </w:ins>
            <w:r>
              <w:br/>
              <w:t>2.5%</w:t>
            </w:r>
          </w:p>
        </w:tc>
        <w:tc>
          <w:tcPr>
            <w:tcW w:w="1239" w:type="dxa"/>
          </w:tcPr>
          <w:p>
            <w:pPr>
              <w:pStyle w:val="yTableNAm"/>
              <w:tabs>
                <w:tab w:val="clear" w:pos="567"/>
              </w:tabs>
              <w:ind w:right="203"/>
              <w:jc w:val="right"/>
            </w:pPr>
            <w:r>
              <w:br/>
            </w:r>
            <w:r>
              <w:br/>
            </w:r>
            <w:r>
              <w:br/>
            </w:r>
            <w:r>
              <w:br/>
            </w:r>
            <w:ins w:id="45" w:author="Master Repository Process" w:date="2021-09-18T01:56:00Z">
              <w:r>
                <w:br/>
              </w:r>
            </w:ins>
          </w:p>
          <w:p>
            <w:pPr>
              <w:pStyle w:val="yTableNAm"/>
              <w:tabs>
                <w:tab w:val="clear" w:pos="567"/>
              </w:tabs>
              <w:ind w:right="203"/>
              <w:jc w:val="right"/>
            </w:pPr>
            <w:r>
              <w:rPr>
                <w:szCs w:val="22"/>
              </w:rPr>
              <w:t>610.00</w:t>
            </w:r>
          </w:p>
          <w:p>
            <w:pPr>
              <w:pStyle w:val="yTableNAm"/>
              <w:tabs>
                <w:tab w:val="clear" w:pos="567"/>
              </w:tabs>
              <w:ind w:right="203"/>
              <w:jc w:val="right"/>
            </w:pPr>
            <w:ins w:id="46" w:author="Master Repository Process" w:date="2021-09-18T01:56:00Z">
              <w:r>
                <w:br/>
              </w:r>
            </w:ins>
            <w:r>
              <w:br/>
              <w:t>2.5%</w:t>
            </w:r>
          </w:p>
        </w:tc>
      </w:tr>
      <w:tr>
        <w:tc>
          <w:tcPr>
            <w:tcW w:w="709" w:type="dxa"/>
          </w:tcPr>
          <w:p>
            <w:pPr>
              <w:pStyle w:val="yTableNAm"/>
              <w:spacing w:before="100"/>
            </w:pPr>
            <w:r>
              <w:t>10.</w:t>
            </w:r>
          </w:p>
        </w:tc>
        <w:tc>
          <w:tcPr>
            <w:tcW w:w="3827" w:type="dxa"/>
          </w:tcPr>
          <w:p>
            <w:pPr>
              <w:pStyle w:val="yTableNAm"/>
              <w:tabs>
                <w:tab w:val="left" w:leader="dot" w:pos="3839"/>
              </w:tabs>
              <w:spacing w:before="100"/>
            </w:pPr>
            <w:r>
              <w:t xml:space="preserve">For searching any proceeding or record other than a search made by or on behalf of a party to the proceeding </w:t>
            </w:r>
            <w:r>
              <w:tab/>
            </w:r>
          </w:p>
          <w:p>
            <w:pPr>
              <w:pStyle w:val="yTableNAm"/>
              <w:spacing w:before="80"/>
              <w:rPr>
                <w:sz w:val="20"/>
              </w:rPr>
            </w:pPr>
            <w:r>
              <w:rPr>
                <w:sz w:val="20"/>
              </w:rPr>
              <w:t>NOTE:</w:t>
            </w:r>
          </w:p>
          <w:p>
            <w:pPr>
              <w:pStyle w:val="yTableNAm"/>
              <w:spacing w:before="50"/>
              <w:rPr>
                <w:sz w:val="20"/>
              </w:rPr>
            </w:pPr>
            <w:r>
              <w:rPr>
                <w:sz w:val="20"/>
              </w:rPr>
              <w:t xml:space="preserve">But if the search is made by a recognised service approved by the Attorney General:  </w:t>
            </w:r>
            <w:r>
              <w:rPr>
                <w:szCs w:val="22"/>
              </w:rPr>
              <w:t>$1.45</w:t>
            </w:r>
            <w:r>
              <w:rPr>
                <w:sz w:val="20"/>
              </w:rPr>
              <w:t>.</w:t>
            </w:r>
          </w:p>
        </w:tc>
        <w:tc>
          <w:tcPr>
            <w:tcW w:w="1276" w:type="dxa"/>
          </w:tcPr>
          <w:p>
            <w:pPr>
              <w:pStyle w:val="yTableNAm"/>
              <w:tabs>
                <w:tab w:val="clear" w:pos="567"/>
              </w:tabs>
              <w:spacing w:before="100"/>
              <w:ind w:right="204"/>
              <w:jc w:val="right"/>
            </w:pPr>
            <w:r>
              <w:br/>
            </w:r>
            <w:r>
              <w:br/>
            </w:r>
            <w:r>
              <w:rPr>
                <w:szCs w:val="22"/>
              </w:rPr>
              <w:t>32.70</w:t>
            </w:r>
          </w:p>
        </w:tc>
        <w:tc>
          <w:tcPr>
            <w:tcW w:w="1239" w:type="dxa"/>
          </w:tcPr>
          <w:p>
            <w:pPr>
              <w:pStyle w:val="yTableNAm"/>
              <w:tabs>
                <w:tab w:val="clear" w:pos="567"/>
              </w:tabs>
              <w:spacing w:before="100"/>
              <w:ind w:right="204"/>
              <w:jc w:val="right"/>
            </w:pPr>
            <w:r>
              <w:br/>
            </w:r>
            <w:r>
              <w:br/>
            </w:r>
            <w:r>
              <w:rPr>
                <w:szCs w:val="22"/>
              </w:rPr>
              <w:t>32.70</w:t>
            </w:r>
          </w:p>
        </w:tc>
      </w:tr>
      <w:tr>
        <w:tc>
          <w:tcPr>
            <w:tcW w:w="709" w:type="dxa"/>
          </w:tcPr>
          <w:p>
            <w:pPr>
              <w:pStyle w:val="yTableNAm"/>
              <w:spacing w:before="100"/>
            </w:pPr>
            <w:r>
              <w:t>11.</w:t>
            </w:r>
          </w:p>
        </w:tc>
        <w:tc>
          <w:tcPr>
            <w:tcW w:w="3827" w:type="dxa"/>
          </w:tcPr>
          <w:p>
            <w:pPr>
              <w:pStyle w:val="yTableNAm"/>
              <w:tabs>
                <w:tab w:val="clear" w:pos="567"/>
                <w:tab w:val="left" w:pos="481"/>
                <w:tab w:val="left" w:leader="dot" w:pos="3841"/>
              </w:tabs>
              <w:spacing w:before="100"/>
              <w:ind w:left="482" w:hanging="482"/>
            </w:pPr>
            <w:r>
              <w:t>(a)</w:t>
            </w:r>
            <w:r>
              <w:tab/>
              <w:t xml:space="preserve">On an application for the production of records or documents that are required to be produced to any court, tribunal, arbitrator or umpire </w:t>
            </w:r>
            <w:r>
              <w:tab/>
            </w:r>
          </w:p>
          <w:p>
            <w:pPr>
              <w:pStyle w:val="yTableNAm"/>
              <w:tabs>
                <w:tab w:val="clear" w:pos="567"/>
                <w:tab w:val="left" w:pos="481"/>
                <w:tab w:val="left" w:leader="dot" w:pos="3841"/>
              </w:tabs>
              <w:spacing w:before="60"/>
              <w:ind w:left="482" w:hanging="482"/>
            </w:pPr>
            <w:r>
              <w:t>(b)</w:t>
            </w:r>
            <w:r>
              <w:tab/>
              <w:t xml:space="preserve">If an officer is required to attend at any court or place out of the Supreme Court building, the officer’s reasonable expenses and, in addition, for each hour or part of an hour when the officer is necessarily absent from his or her office </w:t>
            </w:r>
            <w:r>
              <w:tab/>
            </w:r>
          </w:p>
        </w:tc>
        <w:tc>
          <w:tcPr>
            <w:tcW w:w="1276" w:type="dxa"/>
          </w:tcPr>
          <w:p>
            <w:pPr>
              <w:pStyle w:val="yTableNAm"/>
              <w:tabs>
                <w:tab w:val="clear" w:pos="567"/>
              </w:tabs>
              <w:spacing w:before="100"/>
              <w:ind w:right="204"/>
              <w:jc w:val="right"/>
            </w:pPr>
            <w:r>
              <w:br/>
            </w:r>
            <w:r>
              <w:br/>
            </w:r>
            <w:r>
              <w:br/>
            </w:r>
            <w:r>
              <w:br/>
            </w:r>
            <w:r>
              <w:rPr>
                <w:szCs w:val="22"/>
              </w:rPr>
              <w:t>48.10</w:t>
            </w:r>
          </w:p>
          <w:p>
            <w:pPr>
              <w:pStyle w:val="yTableNAm"/>
              <w:tabs>
                <w:tab w:val="clear" w:pos="567"/>
              </w:tabs>
              <w:spacing w:before="60"/>
              <w:ind w:right="204"/>
              <w:jc w:val="right"/>
            </w:pPr>
            <w:r>
              <w:br/>
            </w:r>
            <w:r>
              <w:br/>
            </w:r>
            <w:r>
              <w:br/>
            </w:r>
            <w:r>
              <w:br/>
            </w:r>
            <w:r>
              <w:br/>
            </w:r>
            <w:r>
              <w:br/>
            </w:r>
            <w:r>
              <w:br/>
            </w:r>
            <w:r>
              <w:rPr>
                <w:szCs w:val="22"/>
              </w:rPr>
              <w:t>81.00</w:t>
            </w:r>
          </w:p>
        </w:tc>
        <w:tc>
          <w:tcPr>
            <w:tcW w:w="1239" w:type="dxa"/>
          </w:tcPr>
          <w:p>
            <w:pPr>
              <w:pStyle w:val="yTableNAm"/>
              <w:tabs>
                <w:tab w:val="clear" w:pos="567"/>
              </w:tabs>
              <w:spacing w:before="100"/>
              <w:ind w:right="204"/>
              <w:jc w:val="right"/>
            </w:pPr>
            <w:r>
              <w:br/>
            </w:r>
            <w:r>
              <w:br/>
            </w:r>
            <w:r>
              <w:br/>
            </w:r>
            <w:r>
              <w:br/>
            </w:r>
            <w:r>
              <w:rPr>
                <w:szCs w:val="22"/>
              </w:rPr>
              <w:t>48.10</w:t>
            </w:r>
          </w:p>
          <w:p>
            <w:pPr>
              <w:pStyle w:val="yTableNAm"/>
              <w:tabs>
                <w:tab w:val="clear" w:pos="567"/>
              </w:tabs>
              <w:spacing w:before="60"/>
              <w:ind w:right="204"/>
              <w:jc w:val="right"/>
            </w:pPr>
            <w:r>
              <w:br/>
            </w:r>
            <w:r>
              <w:br/>
            </w:r>
            <w:r>
              <w:br/>
            </w:r>
            <w:r>
              <w:br/>
            </w:r>
            <w:r>
              <w:br/>
            </w:r>
            <w:r>
              <w:br/>
            </w:r>
            <w:r>
              <w:br/>
            </w:r>
            <w:r>
              <w:rPr>
                <w:szCs w:val="22"/>
              </w:rPr>
              <w:t>81.00</w:t>
            </w:r>
          </w:p>
        </w:tc>
      </w:tr>
      <w:tr>
        <w:tc>
          <w:tcPr>
            <w:tcW w:w="709" w:type="dxa"/>
          </w:tcPr>
          <w:p>
            <w:pPr>
              <w:pStyle w:val="yTableNAm"/>
            </w:pPr>
            <w:r>
              <w:t>12.</w:t>
            </w:r>
          </w:p>
        </w:tc>
        <w:tc>
          <w:tcPr>
            <w:tcW w:w="3827" w:type="dxa"/>
          </w:tcPr>
          <w:p>
            <w:pPr>
              <w:pStyle w:val="yTableNAm"/>
              <w:tabs>
                <w:tab w:val="clear" w:pos="567"/>
                <w:tab w:val="left" w:pos="481"/>
                <w:tab w:val="left" w:leader="dot" w:pos="3841"/>
              </w:tabs>
              <w:ind w:left="481" w:hanging="481"/>
            </w:pPr>
            <w:r>
              <w:t>(a)</w:t>
            </w:r>
            <w:r>
              <w:tab/>
              <w:t xml:space="preserve">For a copy of a document of any kind or an exhibit, including marking as an office copy if required, for each page or part of a page </w:t>
            </w:r>
            <w:r>
              <w:tab/>
            </w:r>
          </w:p>
          <w:p>
            <w:pPr>
              <w:pStyle w:val="yTableNAm"/>
              <w:tabs>
                <w:tab w:val="clear" w:pos="567"/>
                <w:tab w:val="left" w:pos="481"/>
              </w:tabs>
              <w:ind w:left="481" w:hanging="481"/>
            </w:pPr>
            <w:r>
              <w:t>(b)</w:t>
            </w:r>
            <w:r>
              <w:tab/>
              <w:t xml:space="preserve">For a copy of reasons for judgment — </w:t>
            </w:r>
          </w:p>
          <w:p>
            <w:pPr>
              <w:pStyle w:val="yTableNAm"/>
              <w:tabs>
                <w:tab w:val="left" w:pos="1081"/>
                <w:tab w:val="left" w:leader="dot" w:pos="3839"/>
              </w:tabs>
              <w:ind w:left="1081" w:hanging="1081"/>
            </w:pPr>
            <w:r>
              <w:tab/>
              <w:t>(i)</w:t>
            </w:r>
            <w:r>
              <w:tab/>
              <w:t xml:space="preserve">for each copy consisting of not more than 10 pages issued to a person not a party to the proceedings and for each copy in excess of one copy issued to a party to the proceedings </w:t>
            </w:r>
            <w:r>
              <w:tab/>
            </w:r>
          </w:p>
          <w:p>
            <w:pPr>
              <w:pStyle w:val="yTableNAm"/>
              <w:tabs>
                <w:tab w:val="left" w:pos="1081"/>
                <w:tab w:val="left" w:leader="dot" w:pos="3839"/>
              </w:tabs>
              <w:ind w:left="1081" w:hanging="1081"/>
            </w:pPr>
            <w:r>
              <w:tab/>
              <w:t>(ii)</w:t>
            </w:r>
            <w:r>
              <w:tab/>
              <w:t xml:space="preserve">for each copy consisting of 10 or more pages an additional fee per page of </w:t>
            </w:r>
            <w:r>
              <w:tab/>
            </w:r>
          </w:p>
          <w:p>
            <w:pPr>
              <w:pStyle w:val="yTableNAm"/>
              <w:tabs>
                <w:tab w:val="clear" w:pos="567"/>
                <w:tab w:val="left" w:pos="481"/>
                <w:tab w:val="left" w:leader="dot" w:pos="3841"/>
              </w:tabs>
              <w:ind w:left="481" w:hanging="481"/>
            </w:pPr>
            <w:r>
              <w:t>(c)</w:t>
            </w:r>
            <w:r>
              <w:tab/>
              <w:t xml:space="preserve">For certifying under seal that a document is a true copy, an additional fee of </w:t>
            </w:r>
            <w:r>
              <w:tab/>
            </w:r>
          </w:p>
          <w:p>
            <w:pPr>
              <w:pStyle w:val="yTableNAm"/>
              <w:tabs>
                <w:tab w:val="clear" w:pos="567"/>
                <w:tab w:val="left" w:pos="481"/>
                <w:tab w:val="left" w:leader="dot" w:pos="3841"/>
              </w:tabs>
              <w:ind w:left="481" w:hanging="481"/>
            </w:pPr>
            <w:r>
              <w:t>(d)</w:t>
            </w:r>
            <w:r>
              <w:tab/>
              <w:t xml:space="preserve">For a certificate under the hand of a registrar </w:t>
            </w:r>
            <w:r>
              <w:tab/>
            </w:r>
          </w:p>
          <w:p>
            <w:pPr>
              <w:pStyle w:val="yTableNAm"/>
              <w:tabs>
                <w:tab w:val="clear" w:pos="567"/>
                <w:tab w:val="left" w:pos="481"/>
                <w:tab w:val="left" w:leader="dot" w:pos="3841"/>
              </w:tabs>
              <w:ind w:left="481" w:hanging="481"/>
            </w:pPr>
            <w:r>
              <w:t>(e)</w:t>
            </w:r>
            <w:r>
              <w:tab/>
              <w:t xml:space="preserve">For sealing a warrant of arrest release, commission for the appraisement or sale of property or for the appraisement or sale in admiralty proceedings </w:t>
            </w:r>
            <w:r>
              <w:tab/>
            </w:r>
          </w:p>
        </w:tc>
        <w:tc>
          <w:tcPr>
            <w:tcW w:w="1276" w:type="dxa"/>
          </w:tcPr>
          <w:p>
            <w:pPr>
              <w:pStyle w:val="yTableNAm"/>
              <w:tabs>
                <w:tab w:val="clear" w:pos="567"/>
              </w:tabs>
              <w:ind w:right="206"/>
              <w:jc w:val="right"/>
            </w:pPr>
            <w:r>
              <w:br/>
            </w:r>
            <w:r>
              <w:br/>
            </w:r>
            <w:r>
              <w:br/>
            </w:r>
            <w:r>
              <w:br/>
              <w:t>1.50</w:t>
            </w:r>
          </w:p>
          <w:p>
            <w:pPr>
              <w:pStyle w:val="yTableNAm"/>
              <w:tabs>
                <w:tab w:val="clear" w:pos="567"/>
              </w:tabs>
              <w:ind w:right="206"/>
              <w:jc w:val="right"/>
            </w:pPr>
            <w:r>
              <w:br/>
            </w:r>
          </w:p>
          <w:p>
            <w:pPr>
              <w:pStyle w:val="yTableNAm"/>
              <w:tabs>
                <w:tab w:val="clear" w:pos="567"/>
              </w:tabs>
              <w:ind w:right="206"/>
              <w:jc w:val="right"/>
            </w:pPr>
            <w:r>
              <w:br/>
            </w:r>
            <w:r>
              <w:br/>
            </w:r>
            <w:r>
              <w:br/>
            </w:r>
            <w:r>
              <w:br/>
            </w:r>
            <w:r>
              <w:br/>
            </w:r>
            <w:r>
              <w:br/>
            </w:r>
            <w:r>
              <w:rPr>
                <w:szCs w:val="22"/>
              </w:rPr>
              <w:t>11.40</w:t>
            </w:r>
          </w:p>
          <w:p>
            <w:pPr>
              <w:pStyle w:val="yTableNAm"/>
              <w:tabs>
                <w:tab w:val="clear" w:pos="567"/>
              </w:tabs>
              <w:ind w:right="206"/>
              <w:jc w:val="right"/>
            </w:pPr>
            <w:r>
              <w:br/>
            </w:r>
            <w:r>
              <w:br/>
            </w:r>
            <w:r>
              <w:rPr>
                <w:szCs w:val="22"/>
              </w:rPr>
              <w:t>1.45</w:t>
            </w:r>
          </w:p>
          <w:p>
            <w:pPr>
              <w:pStyle w:val="yTableNAm"/>
              <w:tabs>
                <w:tab w:val="clear" w:pos="567"/>
              </w:tabs>
              <w:ind w:right="206"/>
              <w:jc w:val="right"/>
            </w:pPr>
            <w:r>
              <w:br/>
            </w:r>
            <w:r>
              <w:br/>
            </w:r>
            <w:r>
              <w:rPr>
                <w:szCs w:val="22"/>
              </w:rPr>
              <w:t>15.75</w:t>
            </w:r>
          </w:p>
          <w:p>
            <w:pPr>
              <w:pStyle w:val="yTableNAm"/>
              <w:tabs>
                <w:tab w:val="clear" w:pos="567"/>
              </w:tabs>
              <w:ind w:right="206"/>
              <w:jc w:val="right"/>
            </w:pPr>
            <w:r>
              <w:rPr>
                <w:szCs w:val="22"/>
              </w:rPr>
              <w:br/>
              <w:t>34.00</w:t>
            </w:r>
          </w:p>
          <w:p>
            <w:pPr>
              <w:pStyle w:val="yTableNAm"/>
              <w:tabs>
                <w:tab w:val="clear" w:pos="567"/>
              </w:tabs>
              <w:ind w:right="206"/>
              <w:jc w:val="right"/>
            </w:pPr>
            <w:r>
              <w:br/>
            </w:r>
            <w:r>
              <w:br/>
            </w:r>
            <w:r>
              <w:br/>
            </w:r>
            <w:r>
              <w:br/>
            </w:r>
            <w:r>
              <w:rPr>
                <w:szCs w:val="22"/>
              </w:rPr>
              <w:t>64.50</w:t>
            </w:r>
          </w:p>
        </w:tc>
        <w:tc>
          <w:tcPr>
            <w:tcW w:w="1239" w:type="dxa"/>
          </w:tcPr>
          <w:p>
            <w:pPr>
              <w:pStyle w:val="yTableNAm"/>
              <w:tabs>
                <w:tab w:val="clear" w:pos="567"/>
              </w:tabs>
              <w:ind w:right="203"/>
              <w:jc w:val="right"/>
            </w:pPr>
            <w:r>
              <w:br/>
            </w:r>
            <w:r>
              <w:br/>
            </w:r>
            <w:r>
              <w:br/>
            </w:r>
            <w:r>
              <w:br/>
              <w:t>1.50</w:t>
            </w:r>
          </w:p>
          <w:p>
            <w:pPr>
              <w:pStyle w:val="yTableNAm"/>
              <w:tabs>
                <w:tab w:val="clear" w:pos="567"/>
              </w:tabs>
              <w:ind w:right="203"/>
              <w:jc w:val="right"/>
            </w:pPr>
            <w:r>
              <w:br/>
            </w:r>
          </w:p>
          <w:p>
            <w:pPr>
              <w:pStyle w:val="yTableNAm"/>
              <w:tabs>
                <w:tab w:val="clear" w:pos="567"/>
              </w:tabs>
              <w:ind w:right="203"/>
              <w:jc w:val="right"/>
            </w:pPr>
            <w:r>
              <w:br/>
            </w:r>
            <w:r>
              <w:br/>
            </w:r>
            <w:r>
              <w:br/>
            </w:r>
            <w:r>
              <w:br/>
            </w:r>
            <w:r>
              <w:br/>
            </w:r>
            <w:r>
              <w:br/>
            </w:r>
            <w:r>
              <w:rPr>
                <w:szCs w:val="22"/>
              </w:rPr>
              <w:t>11.40</w:t>
            </w:r>
          </w:p>
          <w:p>
            <w:pPr>
              <w:pStyle w:val="yTableNAm"/>
              <w:tabs>
                <w:tab w:val="clear" w:pos="567"/>
              </w:tabs>
              <w:ind w:right="203"/>
              <w:jc w:val="right"/>
            </w:pPr>
            <w:r>
              <w:br/>
            </w:r>
            <w:r>
              <w:br/>
            </w:r>
            <w:r>
              <w:rPr>
                <w:szCs w:val="22"/>
              </w:rPr>
              <w:t>1.45</w:t>
            </w:r>
          </w:p>
          <w:p>
            <w:pPr>
              <w:pStyle w:val="yTableNAm"/>
              <w:tabs>
                <w:tab w:val="clear" w:pos="567"/>
              </w:tabs>
              <w:ind w:right="203"/>
              <w:jc w:val="right"/>
            </w:pPr>
            <w:r>
              <w:br/>
            </w:r>
            <w:r>
              <w:br/>
            </w:r>
            <w:r>
              <w:rPr>
                <w:szCs w:val="22"/>
              </w:rPr>
              <w:t>15.75</w:t>
            </w:r>
          </w:p>
          <w:p>
            <w:pPr>
              <w:pStyle w:val="yTableNAm"/>
              <w:tabs>
                <w:tab w:val="clear" w:pos="567"/>
              </w:tabs>
              <w:ind w:right="203"/>
              <w:jc w:val="right"/>
            </w:pPr>
            <w:r>
              <w:rPr>
                <w:szCs w:val="22"/>
              </w:rPr>
              <w:br/>
              <w:t>34.00</w:t>
            </w:r>
          </w:p>
          <w:p>
            <w:pPr>
              <w:pStyle w:val="yTableNAm"/>
              <w:tabs>
                <w:tab w:val="clear" w:pos="567"/>
              </w:tabs>
              <w:ind w:right="203"/>
              <w:jc w:val="right"/>
            </w:pPr>
            <w:r>
              <w:br/>
            </w:r>
            <w:r>
              <w:br/>
            </w:r>
            <w:r>
              <w:br/>
            </w:r>
            <w:r>
              <w:br/>
            </w:r>
            <w:r>
              <w:rPr>
                <w:szCs w:val="22"/>
              </w:rPr>
              <w:t>64.50</w:t>
            </w:r>
          </w:p>
        </w:tc>
      </w:tr>
      <w:tr>
        <w:tc>
          <w:tcPr>
            <w:tcW w:w="709" w:type="dxa"/>
          </w:tcPr>
          <w:p>
            <w:pPr>
              <w:pStyle w:val="yTableNAm"/>
            </w:pPr>
            <w:r>
              <w:t>13.</w:t>
            </w:r>
          </w:p>
        </w:tc>
        <w:tc>
          <w:tcPr>
            <w:tcW w:w="3827" w:type="dxa"/>
          </w:tcPr>
          <w:p>
            <w:pPr>
              <w:pStyle w:val="yTableNAm"/>
              <w:tabs>
                <w:tab w:val="clear" w:pos="567"/>
                <w:tab w:val="left" w:pos="481"/>
                <w:tab w:val="left" w:leader="dot" w:pos="3841"/>
              </w:tabs>
              <w:ind w:left="481" w:hanging="481"/>
            </w:pPr>
            <w:r>
              <w:t>(a)</w:t>
            </w:r>
            <w:r>
              <w:tab/>
              <w:t xml:space="preserve">For a copy of a transcript, for each page or part of a page </w:t>
            </w:r>
            <w:r>
              <w:tab/>
            </w:r>
          </w:p>
          <w:p>
            <w:pPr>
              <w:pStyle w:val="yTableNAm"/>
              <w:tabs>
                <w:tab w:val="clear" w:pos="567"/>
                <w:tab w:val="left" w:pos="481"/>
                <w:tab w:val="left" w:leader="dot" w:pos="3841"/>
              </w:tabs>
              <w:ind w:left="481" w:hanging="481"/>
            </w:pPr>
            <w:r>
              <w:t>(b)</w:t>
            </w:r>
            <w:r>
              <w:tab/>
              <w:t xml:space="preserve">For each copy of a transcript in electronic format if a fee has been paid under par. (a) by the applicant for a copy of the transcript, for each day of transcript </w:t>
            </w:r>
            <w:r>
              <w:tab/>
            </w:r>
          </w:p>
          <w:p>
            <w:pPr>
              <w:pStyle w:val="yTableNAm"/>
              <w:tabs>
                <w:tab w:val="clear" w:pos="567"/>
                <w:tab w:val="left" w:pos="481"/>
                <w:tab w:val="left" w:leader="dot" w:pos="3841"/>
              </w:tabs>
              <w:ind w:left="481" w:hanging="481"/>
            </w:pPr>
            <w:r>
              <w:t>(c)</w:t>
            </w:r>
            <w:r>
              <w:tab/>
              <w:t xml:space="preserve">For each copy of a transcript not in electronic format if a fee has been paid under par. (a) by the applicant for a copy of the transcript, for each page or part of a page </w:t>
            </w:r>
            <w:r>
              <w:tab/>
            </w:r>
          </w:p>
        </w:tc>
        <w:tc>
          <w:tcPr>
            <w:tcW w:w="1276" w:type="dxa"/>
          </w:tcPr>
          <w:p>
            <w:pPr>
              <w:pStyle w:val="yTableNAm"/>
              <w:tabs>
                <w:tab w:val="clear" w:pos="567"/>
              </w:tabs>
              <w:ind w:right="206"/>
              <w:jc w:val="right"/>
            </w:pPr>
            <w:r>
              <w:br/>
            </w:r>
            <w:r>
              <w:rPr>
                <w:szCs w:val="22"/>
              </w:rPr>
              <w:t>6.35</w:t>
            </w:r>
          </w:p>
          <w:p>
            <w:pPr>
              <w:pStyle w:val="yTableNAm"/>
              <w:tabs>
                <w:tab w:val="clear" w:pos="567"/>
              </w:tabs>
              <w:ind w:right="206"/>
              <w:jc w:val="right"/>
            </w:pPr>
            <w:r>
              <w:br/>
            </w:r>
            <w:r>
              <w:br/>
            </w:r>
            <w:r>
              <w:br/>
            </w:r>
            <w:r>
              <w:br/>
            </w:r>
            <w:r>
              <w:rPr>
                <w:szCs w:val="22"/>
              </w:rPr>
              <w:t>15.75</w:t>
            </w:r>
          </w:p>
          <w:p>
            <w:pPr>
              <w:pStyle w:val="yTableNAm"/>
              <w:tabs>
                <w:tab w:val="clear" w:pos="567"/>
              </w:tabs>
              <w:ind w:right="206"/>
              <w:jc w:val="right"/>
            </w:pPr>
            <w:r>
              <w:br/>
            </w:r>
            <w:r>
              <w:br/>
            </w:r>
            <w:r>
              <w:br/>
            </w:r>
            <w:r>
              <w:br/>
              <w:t>1.50</w:t>
            </w:r>
          </w:p>
        </w:tc>
        <w:tc>
          <w:tcPr>
            <w:tcW w:w="1239" w:type="dxa"/>
          </w:tcPr>
          <w:p>
            <w:pPr>
              <w:pStyle w:val="yTableNAm"/>
              <w:tabs>
                <w:tab w:val="clear" w:pos="567"/>
              </w:tabs>
              <w:ind w:right="203"/>
              <w:jc w:val="right"/>
            </w:pPr>
            <w:r>
              <w:br/>
            </w:r>
            <w:r>
              <w:rPr>
                <w:szCs w:val="22"/>
              </w:rPr>
              <w:t>6.35</w:t>
            </w:r>
          </w:p>
          <w:p>
            <w:pPr>
              <w:pStyle w:val="yTableNAm"/>
              <w:tabs>
                <w:tab w:val="clear" w:pos="567"/>
              </w:tabs>
              <w:ind w:right="203"/>
              <w:jc w:val="right"/>
            </w:pPr>
            <w:r>
              <w:br/>
            </w:r>
            <w:r>
              <w:br/>
            </w:r>
            <w:r>
              <w:br/>
            </w:r>
            <w:r>
              <w:br/>
            </w:r>
            <w:r>
              <w:rPr>
                <w:szCs w:val="22"/>
              </w:rPr>
              <w:t>15.75</w:t>
            </w:r>
          </w:p>
          <w:p>
            <w:pPr>
              <w:pStyle w:val="yTableNAm"/>
              <w:tabs>
                <w:tab w:val="clear" w:pos="567"/>
              </w:tabs>
              <w:ind w:right="203"/>
              <w:jc w:val="right"/>
            </w:pPr>
            <w:r>
              <w:br/>
            </w:r>
            <w:r>
              <w:br/>
            </w:r>
            <w:r>
              <w:br/>
            </w:r>
            <w:r>
              <w:br/>
              <w:t>1.50</w:t>
            </w:r>
          </w:p>
        </w:tc>
      </w:tr>
      <w:tr>
        <w:tc>
          <w:tcPr>
            <w:tcW w:w="709" w:type="dxa"/>
          </w:tcPr>
          <w:p>
            <w:pPr>
              <w:pStyle w:val="yTableNAm"/>
            </w:pPr>
            <w:r>
              <w:t>14.</w:t>
            </w:r>
          </w:p>
        </w:tc>
        <w:tc>
          <w:tcPr>
            <w:tcW w:w="3827" w:type="dxa"/>
          </w:tcPr>
          <w:p>
            <w:pPr>
              <w:pStyle w:val="yTableNAm"/>
              <w:tabs>
                <w:tab w:val="clear" w:pos="567"/>
                <w:tab w:val="left" w:leader="dot" w:pos="3841"/>
              </w:tabs>
            </w:pPr>
            <w:r>
              <w:t xml:space="preserve">On filing an application for admission as a practitioner </w:t>
            </w:r>
            <w:r>
              <w:tab/>
            </w:r>
          </w:p>
        </w:tc>
        <w:tc>
          <w:tcPr>
            <w:tcW w:w="1276" w:type="dxa"/>
          </w:tcPr>
          <w:p>
            <w:pPr>
              <w:pStyle w:val="yTableNAm"/>
              <w:tabs>
                <w:tab w:val="clear" w:pos="567"/>
              </w:tabs>
              <w:ind w:right="206"/>
              <w:jc w:val="right"/>
            </w:pPr>
            <w:r>
              <w:br/>
            </w:r>
            <w:r>
              <w:rPr>
                <w:szCs w:val="22"/>
              </w:rPr>
              <w:t>272.00</w:t>
            </w:r>
          </w:p>
        </w:tc>
        <w:tc>
          <w:tcPr>
            <w:tcW w:w="1239" w:type="dxa"/>
          </w:tcPr>
          <w:p>
            <w:pPr>
              <w:pStyle w:val="yTableNAm"/>
              <w:tabs>
                <w:tab w:val="clear" w:pos="567"/>
              </w:tabs>
              <w:ind w:right="203"/>
              <w:jc w:val="right"/>
            </w:pPr>
            <w:r>
              <w:br/>
              <w:t>N/A</w:t>
            </w:r>
          </w:p>
        </w:tc>
      </w:tr>
    </w:tbl>
    <w:p>
      <w:pPr>
        <w:pStyle w:val="yFootnotesection"/>
      </w:pPr>
      <w:r>
        <w:tab/>
        <w:t>[Division 1 inserted in Gazette 4 Sep 2009 p. 3462-7; amended in Gazette 30 Jul 2010 p. 3496-7; 8 Mar 2011 p. 782</w:t>
      </w:r>
      <w:r>
        <w:noBreakHyphen/>
        <w:t>3; 20 Dec 2011 p. 5376-7; 30 Nov 2012 p. 5785</w:t>
      </w:r>
      <w:r>
        <w:noBreakHyphen/>
        <w:t>6; 19 Jul 2013 p. 3269; 15 Nov 2013 p. 5239-40; 27 Jun 2014 p. 2347</w:t>
      </w:r>
      <w:ins w:id="47" w:author="Master Repository Process" w:date="2021-09-18T01:56:00Z">
        <w:r>
          <w:t>-8; 11 Jul 2014 p. 2437</w:t>
        </w:r>
      </w:ins>
      <w:r>
        <w:t>-8.]</w:t>
      </w:r>
    </w:p>
    <w:p>
      <w:pPr>
        <w:pStyle w:val="yHeading3"/>
      </w:pPr>
      <w:bookmarkStart w:id="48" w:name="_Toc379203662"/>
      <w:bookmarkStart w:id="49" w:name="_Toc391885694"/>
      <w:bookmarkStart w:id="50" w:name="_Toc392770216"/>
      <w:r>
        <w:rPr>
          <w:rStyle w:val="CharSDivNo"/>
        </w:rPr>
        <w:t>Division 2</w:t>
      </w:r>
      <w:r>
        <w:rPr>
          <w:b w:val="0"/>
        </w:rPr>
        <w:t> — </w:t>
      </w:r>
      <w:r>
        <w:rPr>
          <w:rStyle w:val="CharSDivText"/>
        </w:rPr>
        <w:t>Court of Appeal fees</w:t>
      </w:r>
      <w:bookmarkEnd w:id="48"/>
      <w:bookmarkEnd w:id="49"/>
      <w:bookmarkEnd w:id="50"/>
    </w:p>
    <w:p>
      <w:pPr>
        <w:pStyle w:val="yFootnoteheading"/>
        <w:keepNext/>
        <w:spacing w:after="80"/>
      </w:pPr>
      <w:r>
        <w:tab/>
        <w:t>[Heading inserted in Gazette 4 Sep 2009 p. 3467.]</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276"/>
        <w:gridCol w:w="1240"/>
      </w:tblGrid>
      <w:tr>
        <w:trPr>
          <w:tblHeader/>
        </w:trPr>
        <w:tc>
          <w:tcPr>
            <w:tcW w:w="709" w:type="dxa"/>
          </w:tcPr>
          <w:p>
            <w:pPr>
              <w:pStyle w:val="yTableNAm"/>
              <w:jc w:val="center"/>
              <w:rPr>
                <w:b/>
                <w:bCs/>
              </w:rPr>
            </w:pPr>
            <w:r>
              <w:rPr>
                <w:b/>
                <w:bCs/>
              </w:rPr>
              <w:t>Item</w:t>
            </w:r>
          </w:p>
        </w:tc>
        <w:tc>
          <w:tcPr>
            <w:tcW w:w="3827" w:type="dxa"/>
          </w:tcPr>
          <w:p>
            <w:pPr>
              <w:pStyle w:val="yTableNAm"/>
              <w:jc w:val="center"/>
              <w:rPr>
                <w:b/>
                <w:bCs/>
              </w:rPr>
            </w:pPr>
            <w:r>
              <w:rPr>
                <w:b/>
                <w:bCs/>
              </w:rPr>
              <w:t>Matter</w:t>
            </w:r>
          </w:p>
        </w:tc>
        <w:tc>
          <w:tcPr>
            <w:tcW w:w="1276" w:type="dxa"/>
          </w:tcPr>
          <w:p>
            <w:pPr>
              <w:pStyle w:val="yTableNAm"/>
              <w:jc w:val="center"/>
              <w:rPr>
                <w:b/>
                <w:bCs/>
              </w:rPr>
            </w:pPr>
            <w:r>
              <w:rPr>
                <w:b/>
                <w:bCs/>
              </w:rPr>
              <w:t>Fee for individual</w:t>
            </w:r>
            <w:r>
              <w:rPr>
                <w:b/>
                <w:bCs/>
              </w:rPr>
              <w:br/>
              <w:t>$</w:t>
            </w:r>
          </w:p>
        </w:tc>
        <w:tc>
          <w:tcPr>
            <w:tcW w:w="1240" w:type="dxa"/>
          </w:tcPr>
          <w:p>
            <w:pPr>
              <w:pStyle w:val="yTableNAm"/>
              <w:jc w:val="center"/>
              <w:rPr>
                <w:b/>
                <w:bCs/>
              </w:rPr>
            </w:pPr>
            <w:r>
              <w:rPr>
                <w:b/>
                <w:bCs/>
              </w:rPr>
              <w:t>Fee for person other than an individual</w:t>
            </w:r>
            <w:r>
              <w:rPr>
                <w:b/>
                <w:bCs/>
              </w:rPr>
              <w:br/>
              <w:t>$</w:t>
            </w:r>
          </w:p>
        </w:tc>
      </w:tr>
      <w:tr>
        <w:tc>
          <w:tcPr>
            <w:tcW w:w="709" w:type="dxa"/>
          </w:tcPr>
          <w:p>
            <w:pPr>
              <w:pStyle w:val="yTableNAm"/>
            </w:pPr>
            <w:r>
              <w:t>1.</w:t>
            </w:r>
          </w:p>
        </w:tc>
        <w:tc>
          <w:tcPr>
            <w:tcW w:w="3827" w:type="dxa"/>
          </w:tcPr>
          <w:p>
            <w:pPr>
              <w:pStyle w:val="yTableNAm"/>
              <w:tabs>
                <w:tab w:val="left" w:leader="dot" w:pos="4343"/>
              </w:tabs>
            </w:pPr>
            <w:r>
              <w:t xml:space="preserve">On filing an appeal notice </w:t>
            </w:r>
            <w:r>
              <w:tab/>
            </w:r>
          </w:p>
        </w:tc>
        <w:tc>
          <w:tcPr>
            <w:tcW w:w="1276" w:type="dxa"/>
          </w:tcPr>
          <w:p>
            <w:pPr>
              <w:pStyle w:val="yTableNAm"/>
              <w:tabs>
                <w:tab w:val="clear" w:pos="567"/>
              </w:tabs>
              <w:ind w:right="206"/>
              <w:jc w:val="right"/>
            </w:pPr>
            <w:r>
              <w:rPr>
                <w:szCs w:val="22"/>
              </w:rPr>
              <w:t>161.50</w:t>
            </w:r>
          </w:p>
        </w:tc>
        <w:tc>
          <w:tcPr>
            <w:tcW w:w="1240" w:type="dxa"/>
          </w:tcPr>
          <w:p>
            <w:pPr>
              <w:pStyle w:val="yTableNAm"/>
              <w:tabs>
                <w:tab w:val="clear" w:pos="567"/>
              </w:tabs>
              <w:ind w:right="204"/>
              <w:jc w:val="right"/>
            </w:pPr>
            <w:r>
              <w:rPr>
                <w:szCs w:val="22"/>
              </w:rPr>
              <w:t>419.00</w:t>
            </w:r>
          </w:p>
        </w:tc>
      </w:tr>
      <w:tr>
        <w:tc>
          <w:tcPr>
            <w:tcW w:w="709" w:type="dxa"/>
          </w:tcPr>
          <w:p>
            <w:pPr>
              <w:pStyle w:val="yTableNAm"/>
            </w:pPr>
            <w:r>
              <w:t>2.</w:t>
            </w:r>
          </w:p>
        </w:tc>
        <w:tc>
          <w:tcPr>
            <w:tcW w:w="3827" w:type="dxa"/>
          </w:tcPr>
          <w:p>
            <w:pPr>
              <w:pStyle w:val="yTableNAm"/>
            </w:pPr>
            <w:r>
              <w:t xml:space="preserve">On filing — </w:t>
            </w:r>
          </w:p>
          <w:p>
            <w:pPr>
              <w:pStyle w:val="yTableNAm"/>
              <w:tabs>
                <w:tab w:val="clear" w:pos="567"/>
              </w:tabs>
              <w:ind w:left="481" w:hanging="481"/>
            </w:pPr>
            <w:r>
              <w:t>(a)</w:t>
            </w:r>
            <w:r>
              <w:tab/>
              <w:t>Appellant’s case; or</w:t>
            </w:r>
          </w:p>
          <w:p>
            <w:pPr>
              <w:pStyle w:val="yTableNAm"/>
              <w:tabs>
                <w:tab w:val="clear" w:pos="567"/>
                <w:tab w:val="left" w:pos="481"/>
                <w:tab w:val="left" w:leader="dot" w:pos="4343"/>
              </w:tabs>
            </w:pPr>
            <w:r>
              <w:t>(b)</w:t>
            </w:r>
            <w:r>
              <w:tab/>
              <w:t>Respondent’s case</w:t>
            </w:r>
            <w:r>
              <w:tab/>
            </w:r>
          </w:p>
        </w:tc>
        <w:tc>
          <w:tcPr>
            <w:tcW w:w="1276" w:type="dxa"/>
          </w:tcPr>
          <w:p>
            <w:pPr>
              <w:pStyle w:val="yTableNAm"/>
            </w:pPr>
          </w:p>
          <w:p>
            <w:pPr>
              <w:pStyle w:val="yTableNAm"/>
            </w:pPr>
          </w:p>
          <w:p>
            <w:pPr>
              <w:pStyle w:val="yTableNAm"/>
              <w:tabs>
                <w:tab w:val="clear" w:pos="567"/>
              </w:tabs>
              <w:ind w:right="206"/>
              <w:jc w:val="right"/>
            </w:pPr>
            <w:r>
              <w:rPr>
                <w:szCs w:val="22"/>
              </w:rPr>
              <w:t>2 434.00</w:t>
            </w:r>
          </w:p>
        </w:tc>
        <w:tc>
          <w:tcPr>
            <w:tcW w:w="1240" w:type="dxa"/>
          </w:tcPr>
          <w:p>
            <w:pPr>
              <w:pStyle w:val="yTableNAm"/>
              <w:tabs>
                <w:tab w:val="clear" w:pos="567"/>
              </w:tabs>
              <w:ind w:right="204"/>
              <w:jc w:val="right"/>
            </w:pPr>
          </w:p>
          <w:p>
            <w:pPr>
              <w:pStyle w:val="yTableNAm"/>
              <w:tabs>
                <w:tab w:val="clear" w:pos="567"/>
              </w:tabs>
              <w:ind w:right="204"/>
              <w:jc w:val="right"/>
            </w:pPr>
          </w:p>
          <w:p>
            <w:pPr>
              <w:pStyle w:val="yTableNAm"/>
              <w:tabs>
                <w:tab w:val="clear" w:pos="567"/>
              </w:tabs>
              <w:ind w:right="204"/>
              <w:jc w:val="right"/>
            </w:pPr>
            <w:r>
              <w:rPr>
                <w:szCs w:val="22"/>
              </w:rPr>
              <w:t>6 325.00</w:t>
            </w:r>
          </w:p>
        </w:tc>
      </w:tr>
      <w:tr>
        <w:tc>
          <w:tcPr>
            <w:tcW w:w="709" w:type="dxa"/>
          </w:tcPr>
          <w:p>
            <w:pPr>
              <w:pStyle w:val="yTableNAm"/>
            </w:pPr>
            <w:r>
              <w:t>3.</w:t>
            </w:r>
          </w:p>
        </w:tc>
        <w:tc>
          <w:tcPr>
            <w:tcW w:w="3827" w:type="dxa"/>
          </w:tcPr>
          <w:p>
            <w:pPr>
              <w:pStyle w:val="yTableNAm"/>
              <w:tabs>
                <w:tab w:val="left" w:leader="dot" w:pos="4343"/>
              </w:tabs>
            </w:pPr>
            <w:r>
              <w:t xml:space="preserve">On filing an application to transfer an appeal from the District Court to the Court of Appeal under of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s. 41 </w:t>
            </w:r>
            <w:r>
              <w:tab/>
            </w:r>
          </w:p>
        </w:tc>
        <w:tc>
          <w:tcPr>
            <w:tcW w:w="1276" w:type="dxa"/>
          </w:tcPr>
          <w:p>
            <w:pPr>
              <w:pStyle w:val="yTableNAm"/>
              <w:tabs>
                <w:tab w:val="clear" w:pos="567"/>
              </w:tabs>
              <w:ind w:right="206"/>
              <w:jc w:val="right"/>
            </w:pPr>
            <w:r>
              <w:br/>
            </w:r>
            <w:r>
              <w:br/>
            </w:r>
            <w:r>
              <w:br/>
            </w:r>
            <w:r>
              <w:br/>
            </w:r>
            <w:r>
              <w:rPr>
                <w:szCs w:val="22"/>
              </w:rPr>
              <w:t>323.00</w:t>
            </w:r>
          </w:p>
        </w:tc>
        <w:tc>
          <w:tcPr>
            <w:tcW w:w="1240" w:type="dxa"/>
          </w:tcPr>
          <w:p>
            <w:pPr>
              <w:pStyle w:val="yTableNAm"/>
              <w:tabs>
                <w:tab w:val="clear" w:pos="567"/>
              </w:tabs>
              <w:ind w:right="204"/>
              <w:jc w:val="right"/>
            </w:pPr>
            <w:r>
              <w:br/>
            </w:r>
            <w:r>
              <w:br/>
            </w:r>
            <w:r>
              <w:br/>
            </w:r>
            <w:r>
              <w:br/>
            </w:r>
            <w:r>
              <w:rPr>
                <w:szCs w:val="22"/>
              </w:rPr>
              <w:t>632.00</w:t>
            </w:r>
          </w:p>
        </w:tc>
      </w:tr>
      <w:tr>
        <w:tc>
          <w:tcPr>
            <w:tcW w:w="709" w:type="dxa"/>
          </w:tcPr>
          <w:p>
            <w:pPr>
              <w:pStyle w:val="yTableNAm"/>
            </w:pPr>
            <w:r>
              <w:t>4.</w:t>
            </w:r>
          </w:p>
        </w:tc>
        <w:tc>
          <w:tcPr>
            <w:tcW w:w="3827" w:type="dxa"/>
          </w:tcPr>
          <w:p>
            <w:pPr>
              <w:pStyle w:val="yTableNAm"/>
              <w:tabs>
                <w:tab w:val="clear" w:pos="567"/>
              </w:tabs>
              <w:ind w:left="481" w:hanging="481"/>
            </w:pPr>
            <w:r>
              <w:t>(a)</w:t>
            </w:r>
            <w:r>
              <w:tab/>
              <w:t>On filing an application in an appeal for an interim order or to amend or cancel an interim order; or</w:t>
            </w:r>
          </w:p>
          <w:p>
            <w:pPr>
              <w:pStyle w:val="yTableNAm"/>
              <w:tabs>
                <w:tab w:val="clear" w:pos="567"/>
              </w:tabs>
              <w:ind w:left="481" w:hanging="481"/>
            </w:pPr>
            <w:r>
              <w:t>(b)</w:t>
            </w:r>
            <w:r>
              <w:tab/>
              <w:t xml:space="preserve">On an appointment before — </w:t>
            </w:r>
          </w:p>
          <w:p>
            <w:pPr>
              <w:pStyle w:val="yTableNAm"/>
              <w:ind w:left="1081" w:hanging="1081"/>
            </w:pPr>
            <w:r>
              <w:tab/>
              <w:t>(i)</w:t>
            </w:r>
            <w:r>
              <w:tab/>
              <w:t>a judge or registrar to settle the appeal book index; or</w:t>
            </w:r>
          </w:p>
          <w:p>
            <w:pPr>
              <w:pStyle w:val="yTableNAm"/>
              <w:tabs>
                <w:tab w:val="left" w:leader="dot" w:pos="4343"/>
              </w:tabs>
              <w:ind w:left="1081" w:hanging="1081"/>
            </w:pPr>
            <w:r>
              <w:tab/>
              <w:t>(ii)</w:t>
            </w:r>
            <w:r>
              <w:tab/>
              <w:t xml:space="preserve">a registrar for mediation </w:t>
            </w:r>
            <w:r>
              <w:tab/>
            </w:r>
          </w:p>
          <w:p>
            <w:pPr>
              <w:pStyle w:val="yTableNAm"/>
              <w:rPr>
                <w:sz w:val="20"/>
              </w:rPr>
            </w:pPr>
            <w:r>
              <w:rPr>
                <w:sz w:val="20"/>
              </w:rPr>
              <w:t>NOTES:</w:t>
            </w:r>
          </w:p>
          <w:p>
            <w:pPr>
              <w:pStyle w:val="yTableNAm"/>
              <w:tabs>
                <w:tab w:val="clear" w:pos="567"/>
              </w:tabs>
              <w:ind w:left="481" w:hanging="481"/>
              <w:rPr>
                <w:sz w:val="20"/>
              </w:rPr>
            </w:pPr>
            <w:r>
              <w:rPr>
                <w:sz w:val="20"/>
              </w:rPr>
              <w:t>(1)</w:t>
            </w:r>
            <w:r>
              <w:rPr>
                <w:sz w:val="20"/>
              </w:rPr>
              <w:tab/>
              <w:t>The fee includes the first day of the hearing of the matter and any adjournment of the matter.</w:t>
            </w:r>
          </w:p>
          <w:p>
            <w:pPr>
              <w:pStyle w:val="yTableNAm"/>
              <w:tabs>
                <w:tab w:val="clear" w:pos="567"/>
              </w:tabs>
              <w:ind w:left="481" w:hanging="481"/>
              <w:rPr>
                <w:sz w:val="20"/>
              </w:rPr>
            </w:pPr>
            <w:r>
              <w:rPr>
                <w:sz w:val="20"/>
              </w:rPr>
              <w:t>(2)</w:t>
            </w:r>
            <w:r>
              <w:rPr>
                <w:sz w:val="20"/>
              </w:rPr>
              <w:tab/>
              <w:t>If the hearing of a matter is listed for more than one day and proceeds for more than the number of days listed, the fee prescribed by this item is payable for each additional day or part of a day of a hearing.</w:t>
            </w:r>
          </w:p>
          <w:p>
            <w:pPr>
              <w:pStyle w:val="yTableNAm"/>
              <w:keepNext/>
              <w:tabs>
                <w:tab w:val="clear" w:pos="567"/>
              </w:tabs>
              <w:ind w:left="481" w:hanging="481"/>
            </w:pPr>
            <w:r>
              <w:rPr>
                <w:sz w:val="20"/>
              </w:rPr>
              <w:t>(3)</w:t>
            </w:r>
            <w:r>
              <w:rPr>
                <w:sz w:val="20"/>
              </w:rPr>
              <w:tab/>
              <w:t>A fee payable in the circumstances referred to in Note 2 is payable on a day</w:t>
            </w:r>
            <w:r>
              <w:rPr>
                <w:sz w:val="20"/>
              </w:rPr>
              <w:noBreakHyphen/>
              <w:t>to</w:t>
            </w:r>
            <w:r>
              <w:rPr>
                <w:sz w:val="20"/>
              </w:rPr>
              <w:noBreakHyphen/>
              <w:t>day basis before the daily reconvening of the hearing.</w:t>
            </w:r>
          </w:p>
        </w:tc>
        <w:tc>
          <w:tcPr>
            <w:tcW w:w="1276" w:type="dxa"/>
          </w:tcPr>
          <w:p>
            <w:pPr>
              <w:pStyle w:val="yTableNAm"/>
              <w:tabs>
                <w:tab w:val="clear" w:pos="567"/>
              </w:tabs>
              <w:ind w:right="206"/>
              <w:jc w:val="right"/>
            </w:pPr>
            <w:r>
              <w:br/>
            </w:r>
            <w:r>
              <w:br/>
            </w:r>
            <w:r>
              <w:br/>
            </w:r>
          </w:p>
          <w:p>
            <w:pPr>
              <w:pStyle w:val="yTableNAm"/>
              <w:tabs>
                <w:tab w:val="clear" w:pos="567"/>
              </w:tabs>
              <w:ind w:right="206"/>
              <w:jc w:val="right"/>
            </w:pPr>
          </w:p>
          <w:p>
            <w:pPr>
              <w:pStyle w:val="yTableNAm"/>
              <w:tabs>
                <w:tab w:val="clear" w:pos="567"/>
              </w:tabs>
              <w:ind w:right="206"/>
              <w:jc w:val="right"/>
            </w:pPr>
            <w:r>
              <w:br/>
            </w:r>
          </w:p>
          <w:p>
            <w:pPr>
              <w:pStyle w:val="yTableNAm"/>
              <w:tabs>
                <w:tab w:val="clear" w:pos="567"/>
              </w:tabs>
              <w:ind w:right="206"/>
              <w:jc w:val="right"/>
            </w:pPr>
            <w:r>
              <w:rPr>
                <w:szCs w:val="22"/>
              </w:rPr>
              <w:t>228.00</w:t>
            </w:r>
          </w:p>
        </w:tc>
        <w:tc>
          <w:tcPr>
            <w:tcW w:w="1240" w:type="dxa"/>
          </w:tcPr>
          <w:p>
            <w:pPr>
              <w:pStyle w:val="yTableNAm"/>
              <w:tabs>
                <w:tab w:val="clear" w:pos="567"/>
              </w:tabs>
              <w:ind w:right="204"/>
              <w:jc w:val="right"/>
            </w:pPr>
            <w:r>
              <w:br/>
            </w:r>
            <w:r>
              <w:br/>
            </w:r>
            <w:r>
              <w:br/>
            </w:r>
          </w:p>
          <w:p>
            <w:pPr>
              <w:pStyle w:val="yTableNAm"/>
              <w:tabs>
                <w:tab w:val="clear" w:pos="567"/>
              </w:tabs>
              <w:ind w:right="204"/>
              <w:jc w:val="right"/>
            </w:pPr>
          </w:p>
          <w:p>
            <w:pPr>
              <w:pStyle w:val="yTableNAm"/>
              <w:tabs>
                <w:tab w:val="clear" w:pos="567"/>
              </w:tabs>
              <w:ind w:right="204"/>
              <w:jc w:val="right"/>
            </w:pPr>
            <w:r>
              <w:br/>
            </w:r>
          </w:p>
          <w:p>
            <w:pPr>
              <w:pStyle w:val="yTableNAm"/>
              <w:tabs>
                <w:tab w:val="clear" w:pos="567"/>
              </w:tabs>
              <w:ind w:right="204"/>
              <w:jc w:val="right"/>
            </w:pPr>
            <w:r>
              <w:rPr>
                <w:szCs w:val="22"/>
              </w:rPr>
              <w:t>442.00</w:t>
            </w:r>
          </w:p>
        </w:tc>
      </w:tr>
      <w:tr>
        <w:tc>
          <w:tcPr>
            <w:tcW w:w="709" w:type="dxa"/>
          </w:tcPr>
          <w:p>
            <w:pPr>
              <w:pStyle w:val="yTableNAm"/>
              <w:keepNext/>
            </w:pPr>
            <w:r>
              <w:t>5.</w:t>
            </w:r>
          </w:p>
        </w:tc>
        <w:tc>
          <w:tcPr>
            <w:tcW w:w="3827" w:type="dxa"/>
          </w:tcPr>
          <w:p>
            <w:pPr>
              <w:pStyle w:val="yTableNAm"/>
              <w:keepNext/>
              <w:tabs>
                <w:tab w:val="left" w:leader="dot" w:pos="4343"/>
              </w:tabs>
              <w:ind w:left="1081" w:hanging="1081"/>
            </w:pPr>
            <w:r>
              <w:t xml:space="preserve">Setting down fee </w:t>
            </w:r>
            <w:r>
              <w:tab/>
            </w:r>
          </w:p>
          <w:p>
            <w:pPr>
              <w:pStyle w:val="yTableNAm"/>
              <w:keepNext/>
              <w:rPr>
                <w:sz w:val="20"/>
              </w:rPr>
            </w:pPr>
            <w:r>
              <w:rPr>
                <w:sz w:val="20"/>
              </w:rPr>
              <w:t>NOTES:</w:t>
            </w:r>
          </w:p>
          <w:p>
            <w:pPr>
              <w:pStyle w:val="yTableNAm"/>
              <w:keepNext/>
              <w:tabs>
                <w:tab w:val="clear" w:pos="567"/>
              </w:tabs>
              <w:spacing w:before="100"/>
              <w:ind w:left="482" w:hanging="482"/>
              <w:rPr>
                <w:sz w:val="20"/>
              </w:rPr>
            </w:pPr>
            <w:r>
              <w:rPr>
                <w:sz w:val="20"/>
              </w:rPr>
              <w:t>(1)</w:t>
            </w:r>
            <w:r>
              <w:rPr>
                <w:sz w:val="20"/>
              </w:rPr>
              <w:tab/>
              <w:t>This fee is payable when the appeal book is filed.</w:t>
            </w:r>
          </w:p>
          <w:p>
            <w:pPr>
              <w:pStyle w:val="yTableNAm"/>
              <w:keepNext/>
              <w:tabs>
                <w:tab w:val="clear" w:pos="567"/>
              </w:tabs>
              <w:spacing w:before="100"/>
              <w:ind w:left="482" w:hanging="482"/>
            </w:pPr>
            <w:r>
              <w:rPr>
                <w:sz w:val="20"/>
              </w:rPr>
              <w:t>(2)</w:t>
            </w:r>
            <w:r>
              <w:rPr>
                <w:sz w:val="20"/>
              </w:rPr>
              <w:tab/>
              <w:t>This fee includes the fee for the first day of hearing.</w:t>
            </w:r>
          </w:p>
        </w:tc>
        <w:tc>
          <w:tcPr>
            <w:tcW w:w="1276" w:type="dxa"/>
          </w:tcPr>
          <w:p>
            <w:pPr>
              <w:pStyle w:val="yTableNAm"/>
              <w:keepNext/>
              <w:tabs>
                <w:tab w:val="clear" w:pos="567"/>
              </w:tabs>
              <w:ind w:right="206"/>
              <w:jc w:val="right"/>
            </w:pPr>
            <w:r>
              <w:rPr>
                <w:szCs w:val="22"/>
              </w:rPr>
              <w:t>812.00</w:t>
            </w:r>
          </w:p>
        </w:tc>
        <w:tc>
          <w:tcPr>
            <w:tcW w:w="1240" w:type="dxa"/>
          </w:tcPr>
          <w:p>
            <w:pPr>
              <w:pStyle w:val="yTableNAm"/>
              <w:keepNext/>
              <w:tabs>
                <w:tab w:val="clear" w:pos="567"/>
              </w:tabs>
              <w:ind w:right="204"/>
              <w:jc w:val="right"/>
            </w:pPr>
            <w:r>
              <w:rPr>
                <w:szCs w:val="22"/>
              </w:rPr>
              <w:t>1 579.00</w:t>
            </w:r>
          </w:p>
        </w:tc>
      </w:tr>
      <w:tr>
        <w:tc>
          <w:tcPr>
            <w:tcW w:w="709" w:type="dxa"/>
          </w:tcPr>
          <w:p>
            <w:pPr>
              <w:pStyle w:val="yTableNAm"/>
            </w:pPr>
            <w:r>
              <w:t>6.</w:t>
            </w:r>
          </w:p>
        </w:tc>
        <w:tc>
          <w:tcPr>
            <w:tcW w:w="3827" w:type="dxa"/>
          </w:tcPr>
          <w:p>
            <w:pPr>
              <w:pStyle w:val="yTableNAm"/>
              <w:tabs>
                <w:tab w:val="left" w:leader="dot" w:pos="4343"/>
              </w:tabs>
            </w:pPr>
            <w:r>
              <w:t xml:space="preserve">Allocation of hearing date, for each day estimated </w:t>
            </w:r>
            <w:r>
              <w:tab/>
            </w:r>
          </w:p>
          <w:p>
            <w:pPr>
              <w:pStyle w:val="yTableNAm"/>
              <w:rPr>
                <w:sz w:val="20"/>
              </w:rPr>
            </w:pPr>
            <w:r>
              <w:rPr>
                <w:sz w:val="20"/>
              </w:rPr>
              <w:t>NOTE:</w:t>
            </w:r>
          </w:p>
          <w:p>
            <w:pPr>
              <w:pStyle w:val="yTableNAm"/>
              <w:spacing w:before="100"/>
              <w:rPr>
                <w:sz w:val="20"/>
              </w:rPr>
            </w:pPr>
            <w:r>
              <w:rPr>
                <w:sz w:val="20"/>
              </w:rPr>
              <w:t>This fee is payable on the number of days in excess of the first hearing day estimated for the hearing by the Court of Appeal Registrar.</w:t>
            </w:r>
          </w:p>
        </w:tc>
        <w:tc>
          <w:tcPr>
            <w:tcW w:w="1276" w:type="dxa"/>
          </w:tcPr>
          <w:p>
            <w:pPr>
              <w:pStyle w:val="yTableNAm"/>
              <w:tabs>
                <w:tab w:val="clear" w:pos="567"/>
              </w:tabs>
              <w:ind w:right="206"/>
              <w:jc w:val="right"/>
            </w:pPr>
            <w:r>
              <w:br/>
            </w:r>
            <w:r>
              <w:rPr>
                <w:szCs w:val="22"/>
              </w:rPr>
              <w:t>648.00</w:t>
            </w:r>
          </w:p>
        </w:tc>
        <w:tc>
          <w:tcPr>
            <w:tcW w:w="1240" w:type="dxa"/>
          </w:tcPr>
          <w:p>
            <w:pPr>
              <w:pStyle w:val="yTableNAm"/>
              <w:tabs>
                <w:tab w:val="clear" w:pos="567"/>
              </w:tabs>
              <w:ind w:right="204"/>
              <w:jc w:val="right"/>
            </w:pPr>
            <w:r>
              <w:br/>
            </w:r>
            <w:r>
              <w:rPr>
                <w:szCs w:val="22"/>
              </w:rPr>
              <w:t>1 683.00</w:t>
            </w:r>
          </w:p>
        </w:tc>
      </w:tr>
      <w:tr>
        <w:tc>
          <w:tcPr>
            <w:tcW w:w="709" w:type="dxa"/>
          </w:tcPr>
          <w:p>
            <w:pPr>
              <w:pStyle w:val="yTableNAm"/>
            </w:pPr>
            <w:r>
              <w:t>7.</w:t>
            </w:r>
          </w:p>
        </w:tc>
        <w:tc>
          <w:tcPr>
            <w:tcW w:w="3827" w:type="dxa"/>
          </w:tcPr>
          <w:p>
            <w:pPr>
              <w:pStyle w:val="yTableNAm"/>
              <w:tabs>
                <w:tab w:val="left" w:leader="dot" w:pos="4343"/>
              </w:tabs>
              <w:ind w:left="1081" w:hanging="1081"/>
            </w:pPr>
            <w:r>
              <w:t xml:space="preserve">Daily hearing fee </w:t>
            </w:r>
            <w:r>
              <w:tab/>
            </w:r>
          </w:p>
          <w:p>
            <w:pPr>
              <w:pStyle w:val="yTableNAm"/>
              <w:rPr>
                <w:sz w:val="20"/>
              </w:rPr>
            </w:pPr>
            <w:r>
              <w:rPr>
                <w:sz w:val="20"/>
              </w:rPr>
              <w:t>NOTES:</w:t>
            </w:r>
          </w:p>
          <w:p>
            <w:pPr>
              <w:pStyle w:val="yTableNAm"/>
              <w:tabs>
                <w:tab w:val="clear" w:pos="567"/>
              </w:tabs>
              <w:spacing w:before="100"/>
              <w:ind w:left="482" w:hanging="482"/>
              <w:rPr>
                <w:sz w:val="20"/>
              </w:rPr>
            </w:pPr>
            <w:r>
              <w:rPr>
                <w:sz w:val="20"/>
              </w:rPr>
              <w:t>(1)</w:t>
            </w:r>
            <w:r>
              <w:rPr>
                <w:sz w:val="20"/>
              </w:rPr>
              <w:tab/>
              <w:t>This fee is not payable in relation to an application for, or to amend or cancel an interim order.</w:t>
            </w:r>
          </w:p>
          <w:p>
            <w:pPr>
              <w:pStyle w:val="yTableNAm"/>
              <w:tabs>
                <w:tab w:val="clear" w:pos="567"/>
              </w:tabs>
              <w:spacing w:before="100"/>
              <w:ind w:left="482" w:hanging="482"/>
              <w:rPr>
                <w:sz w:val="20"/>
              </w:rPr>
            </w:pPr>
            <w:r>
              <w:rPr>
                <w:sz w:val="20"/>
              </w:rPr>
              <w:t>(2)</w:t>
            </w:r>
            <w:r>
              <w:rPr>
                <w:sz w:val="20"/>
              </w:rPr>
              <w:tab/>
              <w:t>This fee is payable for each additional day or part day that a hearing proceeds beyond the number of days for which a fee has been paid.</w:t>
            </w:r>
          </w:p>
          <w:p>
            <w:pPr>
              <w:pStyle w:val="yTableNAm"/>
              <w:tabs>
                <w:tab w:val="clear" w:pos="567"/>
              </w:tabs>
              <w:spacing w:before="100"/>
              <w:ind w:left="482" w:hanging="482"/>
              <w:rPr>
                <w:sz w:val="20"/>
              </w:rPr>
            </w:pPr>
            <w:r>
              <w:rPr>
                <w:sz w:val="20"/>
              </w:rPr>
              <w:t>(3)</w:t>
            </w:r>
            <w:r>
              <w:rPr>
                <w:sz w:val="20"/>
              </w:rPr>
              <w:tab/>
              <w:t>If the Court allocates a half day or less for the continuation of the hearing, a fee equal to half the prescribed amount is payable for that period.</w:t>
            </w:r>
          </w:p>
          <w:p>
            <w:pPr>
              <w:pStyle w:val="yTableNAm"/>
              <w:tabs>
                <w:tab w:val="clear" w:pos="567"/>
              </w:tabs>
              <w:spacing w:before="100"/>
              <w:ind w:left="482" w:hanging="482"/>
            </w:pPr>
            <w:r>
              <w:rPr>
                <w:sz w:val="20"/>
              </w:rPr>
              <w:t>(4)</w:t>
            </w:r>
            <w:r>
              <w:rPr>
                <w:sz w:val="20"/>
              </w:rPr>
              <w:tab/>
              <w:t>The daily hearing fee is payable on a day</w:t>
            </w:r>
            <w:r>
              <w:rPr>
                <w:sz w:val="20"/>
              </w:rPr>
              <w:noBreakHyphen/>
              <w:t>to</w:t>
            </w:r>
            <w:r>
              <w:rPr>
                <w:sz w:val="20"/>
              </w:rPr>
              <w:noBreakHyphen/>
              <w:t>day basis and is payable before the daily reconvening of the hearing.</w:t>
            </w:r>
          </w:p>
        </w:tc>
        <w:tc>
          <w:tcPr>
            <w:tcW w:w="1276" w:type="dxa"/>
          </w:tcPr>
          <w:p>
            <w:pPr>
              <w:pStyle w:val="yTableNAm"/>
              <w:tabs>
                <w:tab w:val="clear" w:pos="567"/>
              </w:tabs>
              <w:ind w:right="206"/>
              <w:jc w:val="right"/>
            </w:pPr>
            <w:r>
              <w:rPr>
                <w:szCs w:val="22"/>
              </w:rPr>
              <w:t>648.00</w:t>
            </w:r>
          </w:p>
        </w:tc>
        <w:tc>
          <w:tcPr>
            <w:tcW w:w="1240" w:type="dxa"/>
          </w:tcPr>
          <w:p>
            <w:pPr>
              <w:pStyle w:val="yTableNAm"/>
              <w:tabs>
                <w:tab w:val="clear" w:pos="567"/>
              </w:tabs>
              <w:ind w:right="204"/>
              <w:jc w:val="right"/>
            </w:pPr>
            <w:r>
              <w:rPr>
                <w:szCs w:val="22"/>
              </w:rPr>
              <w:t>1 683.00</w:t>
            </w:r>
          </w:p>
        </w:tc>
      </w:tr>
      <w:tr>
        <w:tc>
          <w:tcPr>
            <w:tcW w:w="709" w:type="dxa"/>
          </w:tcPr>
          <w:p>
            <w:pPr>
              <w:pStyle w:val="yTableNAm"/>
            </w:pPr>
            <w:r>
              <w:t>8.</w:t>
            </w:r>
          </w:p>
        </w:tc>
        <w:tc>
          <w:tcPr>
            <w:tcW w:w="3827" w:type="dxa"/>
          </w:tcPr>
          <w:p>
            <w:pPr>
              <w:pStyle w:val="yTableNAm"/>
              <w:tabs>
                <w:tab w:val="left" w:leader="dot" w:pos="4343"/>
              </w:tabs>
            </w:pPr>
            <w:r>
              <w:t xml:space="preserve">For searching any proceeding or record other than a search made by or on behalf of a party to an appeal </w:t>
            </w:r>
            <w:r>
              <w:tab/>
            </w:r>
          </w:p>
          <w:p>
            <w:pPr>
              <w:pStyle w:val="yTableNAm"/>
              <w:rPr>
                <w:sz w:val="20"/>
              </w:rPr>
            </w:pPr>
            <w:r>
              <w:rPr>
                <w:sz w:val="20"/>
              </w:rPr>
              <w:t>NOTE:</w:t>
            </w:r>
          </w:p>
          <w:p>
            <w:pPr>
              <w:pStyle w:val="yTableNAm"/>
              <w:rPr>
                <w:sz w:val="20"/>
              </w:rPr>
            </w:pPr>
            <w:r>
              <w:rPr>
                <w:sz w:val="20"/>
              </w:rPr>
              <w:t xml:space="preserve">But if the search is made by a recognised service approved by Attorney General: </w:t>
            </w:r>
            <w:r>
              <w:rPr>
                <w:szCs w:val="22"/>
              </w:rPr>
              <w:t>$1.45</w:t>
            </w:r>
            <w:r>
              <w:rPr>
                <w:sz w:val="20"/>
              </w:rPr>
              <w:t>.</w:t>
            </w:r>
          </w:p>
        </w:tc>
        <w:tc>
          <w:tcPr>
            <w:tcW w:w="1276" w:type="dxa"/>
          </w:tcPr>
          <w:p>
            <w:pPr>
              <w:pStyle w:val="yTableNAm"/>
              <w:tabs>
                <w:tab w:val="clear" w:pos="567"/>
              </w:tabs>
              <w:ind w:right="206"/>
              <w:jc w:val="right"/>
            </w:pPr>
            <w:r>
              <w:br/>
            </w:r>
            <w:r>
              <w:br/>
            </w:r>
            <w:r>
              <w:rPr>
                <w:szCs w:val="22"/>
              </w:rPr>
              <w:t>32.70</w:t>
            </w:r>
          </w:p>
        </w:tc>
        <w:tc>
          <w:tcPr>
            <w:tcW w:w="1240" w:type="dxa"/>
          </w:tcPr>
          <w:p>
            <w:pPr>
              <w:pStyle w:val="yTableNAm"/>
              <w:tabs>
                <w:tab w:val="clear" w:pos="567"/>
              </w:tabs>
              <w:ind w:right="204"/>
              <w:jc w:val="right"/>
            </w:pPr>
            <w:r>
              <w:br/>
            </w:r>
            <w:r>
              <w:br/>
            </w:r>
            <w:r>
              <w:rPr>
                <w:szCs w:val="22"/>
              </w:rPr>
              <w:t>32.70</w:t>
            </w:r>
          </w:p>
        </w:tc>
      </w:tr>
      <w:tr>
        <w:tc>
          <w:tcPr>
            <w:tcW w:w="709" w:type="dxa"/>
          </w:tcPr>
          <w:p>
            <w:pPr>
              <w:pStyle w:val="yTableNAm"/>
            </w:pPr>
            <w:r>
              <w:t>9.</w:t>
            </w:r>
          </w:p>
        </w:tc>
        <w:tc>
          <w:tcPr>
            <w:tcW w:w="3827" w:type="dxa"/>
          </w:tcPr>
          <w:p>
            <w:pPr>
              <w:pStyle w:val="yTableNAm"/>
              <w:tabs>
                <w:tab w:val="clear" w:pos="567"/>
                <w:tab w:val="left" w:leader="dot" w:pos="3839"/>
              </w:tabs>
              <w:ind w:left="481" w:hanging="481"/>
            </w:pPr>
            <w:r>
              <w:t>(a)</w:t>
            </w:r>
            <w:r>
              <w:tab/>
              <w:t xml:space="preserve">For a copy of a document of any kind or an exhibit, including marking as an office copy if required, for each page or part thereof </w:t>
            </w:r>
            <w:r>
              <w:tab/>
            </w:r>
          </w:p>
          <w:p>
            <w:pPr>
              <w:pStyle w:val="yTableNAm"/>
              <w:tabs>
                <w:tab w:val="clear" w:pos="567"/>
              </w:tabs>
              <w:ind w:left="481" w:hanging="481"/>
            </w:pPr>
            <w:r>
              <w:t>(b)</w:t>
            </w:r>
            <w:r>
              <w:tab/>
              <w:t xml:space="preserve">For a copy of reasons for judgment — </w:t>
            </w:r>
          </w:p>
          <w:p>
            <w:pPr>
              <w:pStyle w:val="yTableNAm"/>
              <w:tabs>
                <w:tab w:val="left" w:leader="dot" w:pos="4343"/>
              </w:tabs>
              <w:ind w:left="1081" w:hanging="1081"/>
            </w:pPr>
            <w:r>
              <w:tab/>
              <w:t>(i)</w:t>
            </w:r>
            <w:r>
              <w:tab/>
              <w:t xml:space="preserve">for each copy consisting of 10 pages or less issued to a person not a party to the appeal and for each copy in excess of one copy issued to a party to the appeal </w:t>
            </w:r>
            <w:r>
              <w:tab/>
            </w:r>
          </w:p>
          <w:p>
            <w:pPr>
              <w:pStyle w:val="yTableNAm"/>
              <w:tabs>
                <w:tab w:val="left" w:leader="dot" w:pos="4343"/>
              </w:tabs>
              <w:ind w:left="1081" w:hanging="1081"/>
            </w:pPr>
            <w:r>
              <w:tab/>
              <w:t>(ii)</w:t>
            </w:r>
            <w:r>
              <w:tab/>
              <w:t xml:space="preserve">for each copy consisting of more than 10 pages an additional fee per page of </w:t>
            </w:r>
            <w:r>
              <w:tab/>
            </w:r>
          </w:p>
          <w:p>
            <w:pPr>
              <w:pStyle w:val="yTableNAm"/>
              <w:tabs>
                <w:tab w:val="clear" w:pos="567"/>
                <w:tab w:val="left" w:leader="dot" w:pos="3839"/>
              </w:tabs>
              <w:ind w:left="481" w:hanging="481"/>
            </w:pPr>
            <w:r>
              <w:t>(c)</w:t>
            </w:r>
            <w:r>
              <w:tab/>
              <w:t xml:space="preserve">For certifying under seal that a document is a true copy, an additional fee of </w:t>
            </w:r>
            <w:r>
              <w:tab/>
            </w:r>
          </w:p>
          <w:p>
            <w:pPr>
              <w:pStyle w:val="yTableNAm"/>
              <w:tabs>
                <w:tab w:val="clear" w:pos="567"/>
                <w:tab w:val="left" w:leader="dot" w:pos="3839"/>
              </w:tabs>
              <w:ind w:left="481" w:hanging="481"/>
            </w:pPr>
            <w:r>
              <w:t>(d)</w:t>
            </w:r>
            <w:r>
              <w:tab/>
              <w:t xml:space="preserve">For a certificate under the hand of a registrar </w:t>
            </w:r>
            <w:r>
              <w:tab/>
            </w:r>
          </w:p>
        </w:tc>
        <w:tc>
          <w:tcPr>
            <w:tcW w:w="1276" w:type="dxa"/>
          </w:tcPr>
          <w:p>
            <w:pPr>
              <w:pStyle w:val="yTableNAm"/>
              <w:tabs>
                <w:tab w:val="clear" w:pos="567"/>
              </w:tabs>
              <w:ind w:right="206"/>
              <w:jc w:val="right"/>
            </w:pPr>
            <w:r>
              <w:br/>
            </w:r>
            <w:r>
              <w:br/>
            </w:r>
            <w:r>
              <w:br/>
            </w:r>
            <w:r>
              <w:br/>
              <w:t>1.50</w:t>
            </w:r>
          </w:p>
          <w:p>
            <w:pPr>
              <w:pStyle w:val="yTableNAm"/>
              <w:tabs>
                <w:tab w:val="clear" w:pos="567"/>
              </w:tabs>
              <w:ind w:right="206"/>
              <w:jc w:val="right"/>
            </w:pPr>
            <w:r>
              <w:br/>
            </w:r>
          </w:p>
          <w:p>
            <w:pPr>
              <w:pStyle w:val="yTableNAm"/>
              <w:tabs>
                <w:tab w:val="clear" w:pos="567"/>
              </w:tabs>
              <w:ind w:right="206"/>
              <w:jc w:val="right"/>
            </w:pPr>
            <w:r>
              <w:br/>
            </w:r>
            <w:r>
              <w:br/>
            </w:r>
            <w:r>
              <w:br/>
            </w:r>
            <w:r>
              <w:br/>
            </w:r>
            <w:r>
              <w:br/>
            </w:r>
            <w:r>
              <w:rPr>
                <w:szCs w:val="22"/>
              </w:rPr>
              <w:t>11.45</w:t>
            </w:r>
          </w:p>
          <w:p>
            <w:pPr>
              <w:pStyle w:val="yTableNAm"/>
              <w:tabs>
                <w:tab w:val="clear" w:pos="567"/>
              </w:tabs>
              <w:ind w:right="206"/>
              <w:jc w:val="right"/>
            </w:pPr>
            <w:r>
              <w:br/>
            </w:r>
            <w:r>
              <w:br/>
            </w:r>
            <w:r>
              <w:rPr>
                <w:szCs w:val="22"/>
              </w:rPr>
              <w:t>1.45</w:t>
            </w:r>
          </w:p>
          <w:p>
            <w:pPr>
              <w:pStyle w:val="yTableNAm"/>
              <w:tabs>
                <w:tab w:val="clear" w:pos="567"/>
              </w:tabs>
              <w:ind w:right="206"/>
              <w:jc w:val="right"/>
            </w:pPr>
            <w:r>
              <w:br/>
            </w:r>
            <w:r>
              <w:br/>
            </w:r>
            <w:r>
              <w:rPr>
                <w:szCs w:val="22"/>
              </w:rPr>
              <w:t>15.75</w:t>
            </w:r>
          </w:p>
          <w:p>
            <w:pPr>
              <w:pStyle w:val="yTableNAm"/>
              <w:tabs>
                <w:tab w:val="clear" w:pos="567"/>
              </w:tabs>
              <w:ind w:right="206"/>
              <w:jc w:val="right"/>
            </w:pPr>
            <w:r>
              <w:rPr>
                <w:szCs w:val="22"/>
              </w:rPr>
              <w:br/>
              <w:t>34.00</w:t>
            </w:r>
          </w:p>
        </w:tc>
        <w:tc>
          <w:tcPr>
            <w:tcW w:w="1240" w:type="dxa"/>
          </w:tcPr>
          <w:p>
            <w:pPr>
              <w:pStyle w:val="yTableNAm"/>
              <w:tabs>
                <w:tab w:val="clear" w:pos="567"/>
              </w:tabs>
              <w:ind w:right="204"/>
              <w:jc w:val="right"/>
            </w:pPr>
            <w:r>
              <w:br/>
            </w:r>
            <w:r>
              <w:br/>
            </w:r>
            <w:r>
              <w:br/>
            </w:r>
            <w:r>
              <w:br/>
              <w:t>1.50</w:t>
            </w:r>
          </w:p>
          <w:p>
            <w:pPr>
              <w:pStyle w:val="yTableNAm"/>
              <w:tabs>
                <w:tab w:val="clear" w:pos="567"/>
              </w:tabs>
              <w:ind w:right="204"/>
              <w:jc w:val="right"/>
            </w:pPr>
            <w:r>
              <w:br/>
            </w:r>
          </w:p>
          <w:p>
            <w:pPr>
              <w:pStyle w:val="yTableNAm"/>
              <w:tabs>
                <w:tab w:val="clear" w:pos="567"/>
              </w:tabs>
              <w:ind w:right="204"/>
              <w:jc w:val="right"/>
            </w:pPr>
            <w:r>
              <w:br/>
            </w:r>
            <w:r>
              <w:br/>
            </w:r>
            <w:r>
              <w:br/>
            </w:r>
            <w:r>
              <w:br/>
            </w:r>
            <w:r>
              <w:br/>
            </w:r>
            <w:r>
              <w:rPr>
                <w:szCs w:val="22"/>
              </w:rPr>
              <w:t>11.45</w:t>
            </w:r>
          </w:p>
          <w:p>
            <w:pPr>
              <w:pStyle w:val="yTableNAm"/>
              <w:tabs>
                <w:tab w:val="clear" w:pos="567"/>
              </w:tabs>
              <w:ind w:right="204"/>
              <w:jc w:val="right"/>
            </w:pPr>
            <w:r>
              <w:br/>
            </w:r>
            <w:r>
              <w:br/>
            </w:r>
            <w:r>
              <w:rPr>
                <w:szCs w:val="22"/>
              </w:rPr>
              <w:t>1.45</w:t>
            </w:r>
          </w:p>
          <w:p>
            <w:pPr>
              <w:pStyle w:val="yTableNAm"/>
              <w:tabs>
                <w:tab w:val="clear" w:pos="567"/>
              </w:tabs>
              <w:ind w:right="204"/>
              <w:jc w:val="right"/>
            </w:pPr>
            <w:r>
              <w:br/>
            </w:r>
            <w:r>
              <w:br/>
            </w:r>
            <w:r>
              <w:rPr>
                <w:szCs w:val="22"/>
              </w:rPr>
              <w:t>15.75</w:t>
            </w:r>
          </w:p>
          <w:p>
            <w:pPr>
              <w:pStyle w:val="yTableNAm"/>
              <w:tabs>
                <w:tab w:val="clear" w:pos="567"/>
              </w:tabs>
              <w:ind w:right="204"/>
              <w:jc w:val="right"/>
            </w:pPr>
            <w:r>
              <w:rPr>
                <w:szCs w:val="22"/>
              </w:rPr>
              <w:br/>
              <w:t>34.00</w:t>
            </w:r>
          </w:p>
        </w:tc>
      </w:tr>
      <w:tr>
        <w:tc>
          <w:tcPr>
            <w:tcW w:w="709" w:type="dxa"/>
          </w:tcPr>
          <w:p>
            <w:pPr>
              <w:pStyle w:val="yTableNAm"/>
            </w:pPr>
            <w:r>
              <w:t>10.</w:t>
            </w:r>
          </w:p>
        </w:tc>
        <w:tc>
          <w:tcPr>
            <w:tcW w:w="3827" w:type="dxa"/>
          </w:tcPr>
          <w:p>
            <w:pPr>
              <w:pStyle w:val="yTableNAm"/>
              <w:tabs>
                <w:tab w:val="clear" w:pos="567"/>
                <w:tab w:val="left" w:leader="dot" w:pos="3839"/>
              </w:tabs>
              <w:ind w:left="481" w:hanging="481"/>
            </w:pPr>
            <w:r>
              <w:t>(a)</w:t>
            </w:r>
            <w:r>
              <w:tab/>
              <w:t xml:space="preserve">For a copy of a transcript, for each page or part of a page </w:t>
            </w:r>
            <w:r>
              <w:tab/>
            </w:r>
          </w:p>
          <w:p>
            <w:pPr>
              <w:pStyle w:val="yTableNAm"/>
              <w:tabs>
                <w:tab w:val="clear" w:pos="567"/>
                <w:tab w:val="left" w:leader="dot" w:pos="3839"/>
              </w:tabs>
              <w:ind w:left="481" w:hanging="481"/>
            </w:pPr>
            <w:r>
              <w:t>(b)</w:t>
            </w:r>
            <w:r>
              <w:tab/>
              <w:t>For each copy of a transcript in electronic format if a fee has been paid under par. (a) by the applicant, for a copy of the transcript, for each day of transcript </w:t>
            </w:r>
            <w:r>
              <w:tab/>
            </w:r>
          </w:p>
          <w:p>
            <w:pPr>
              <w:pStyle w:val="yTableNAm"/>
              <w:tabs>
                <w:tab w:val="clear" w:pos="567"/>
                <w:tab w:val="left" w:leader="dot" w:pos="3839"/>
              </w:tabs>
              <w:ind w:left="481" w:hanging="481"/>
            </w:pPr>
            <w:r>
              <w:t>(c)</w:t>
            </w:r>
            <w:r>
              <w:tab/>
              <w:t xml:space="preserve">For each copy of a transcript not in electronic format if a fee has been paid under par. (a) by the applicant for a copy of the transcript, for each page or part of a page </w:t>
            </w:r>
            <w:r>
              <w:tab/>
            </w:r>
          </w:p>
        </w:tc>
        <w:tc>
          <w:tcPr>
            <w:tcW w:w="1276" w:type="dxa"/>
          </w:tcPr>
          <w:p>
            <w:pPr>
              <w:pStyle w:val="yTableNAm"/>
              <w:tabs>
                <w:tab w:val="clear" w:pos="567"/>
              </w:tabs>
              <w:ind w:right="206"/>
              <w:jc w:val="right"/>
            </w:pPr>
            <w:r>
              <w:br/>
            </w:r>
            <w:r>
              <w:rPr>
                <w:szCs w:val="22"/>
              </w:rPr>
              <w:t>6.35</w:t>
            </w:r>
          </w:p>
          <w:p>
            <w:pPr>
              <w:pStyle w:val="yTableNAm"/>
              <w:tabs>
                <w:tab w:val="clear" w:pos="567"/>
              </w:tabs>
              <w:ind w:right="206"/>
              <w:jc w:val="right"/>
            </w:pPr>
            <w:r>
              <w:br/>
            </w:r>
            <w:r>
              <w:br/>
            </w:r>
            <w:r>
              <w:br/>
            </w:r>
            <w:r>
              <w:br/>
            </w:r>
            <w:r>
              <w:br/>
            </w:r>
            <w:r>
              <w:rPr>
                <w:szCs w:val="22"/>
              </w:rPr>
              <w:t>15.75</w:t>
            </w:r>
          </w:p>
          <w:p>
            <w:pPr>
              <w:pStyle w:val="yTableNAm"/>
              <w:tabs>
                <w:tab w:val="clear" w:pos="567"/>
              </w:tabs>
              <w:ind w:right="206"/>
              <w:jc w:val="right"/>
            </w:pPr>
            <w:r>
              <w:br/>
            </w:r>
            <w:r>
              <w:br/>
            </w:r>
            <w:r>
              <w:br/>
            </w:r>
            <w:r>
              <w:br/>
              <w:t>1.50</w:t>
            </w:r>
          </w:p>
        </w:tc>
        <w:tc>
          <w:tcPr>
            <w:tcW w:w="1240" w:type="dxa"/>
          </w:tcPr>
          <w:p>
            <w:pPr>
              <w:pStyle w:val="yTableNAm"/>
              <w:tabs>
                <w:tab w:val="clear" w:pos="567"/>
              </w:tabs>
              <w:ind w:right="204"/>
              <w:jc w:val="right"/>
            </w:pPr>
            <w:r>
              <w:br/>
            </w:r>
            <w:r>
              <w:rPr>
                <w:szCs w:val="22"/>
              </w:rPr>
              <w:t>6.35</w:t>
            </w:r>
          </w:p>
          <w:p>
            <w:pPr>
              <w:pStyle w:val="yTableNAm"/>
              <w:tabs>
                <w:tab w:val="clear" w:pos="567"/>
              </w:tabs>
              <w:ind w:right="204"/>
              <w:jc w:val="right"/>
            </w:pPr>
            <w:r>
              <w:br/>
            </w:r>
            <w:r>
              <w:br/>
            </w:r>
            <w:r>
              <w:br/>
            </w:r>
            <w:r>
              <w:br/>
            </w:r>
            <w:r>
              <w:br/>
            </w:r>
            <w:r>
              <w:rPr>
                <w:szCs w:val="22"/>
              </w:rPr>
              <w:t>15.75</w:t>
            </w:r>
          </w:p>
          <w:p>
            <w:pPr>
              <w:pStyle w:val="yTableNAm"/>
              <w:tabs>
                <w:tab w:val="clear" w:pos="567"/>
              </w:tabs>
              <w:ind w:right="204"/>
              <w:jc w:val="right"/>
            </w:pPr>
            <w:r>
              <w:br/>
            </w:r>
            <w:r>
              <w:br/>
            </w:r>
            <w:r>
              <w:br/>
            </w:r>
            <w:r>
              <w:br/>
              <w:t>1.50</w:t>
            </w:r>
          </w:p>
        </w:tc>
      </w:tr>
    </w:tbl>
    <w:p>
      <w:pPr>
        <w:pStyle w:val="yFootnotesection"/>
      </w:pPr>
      <w:r>
        <w:tab/>
        <w:t>[Division 2 inserted in Gazette 4 Sep 2009 p. 3467-70; amended in Gazette 30 Jul 2010 p. 3497; 8 Mar 2011 p. 783</w:t>
      </w:r>
      <w:r>
        <w:noBreakHyphen/>
        <w:t>4; 20 Dec 2011 p. 5378; 30 Nov 2012 p. 5786</w:t>
      </w:r>
      <w:r>
        <w:noBreakHyphen/>
        <w:t>7; 15 Nov 2013 p. 5241; 27 Jun 2014 p. 2349.]</w:t>
      </w:r>
    </w:p>
    <w:p>
      <w:pPr>
        <w:pStyle w:val="yScheduleHeading"/>
      </w:pPr>
      <w:bookmarkStart w:id="51" w:name="_Toc379203663"/>
      <w:bookmarkStart w:id="52" w:name="_Toc391885695"/>
      <w:bookmarkStart w:id="53" w:name="_Toc392770217"/>
      <w:r>
        <w:rPr>
          <w:rStyle w:val="CharSchNo"/>
        </w:rPr>
        <w:t>Schedule 2</w:t>
      </w:r>
      <w:r>
        <w:rPr>
          <w:rStyle w:val="CharSDivNo"/>
        </w:rPr>
        <w:t> </w:t>
      </w:r>
      <w:r>
        <w:t>—</w:t>
      </w:r>
      <w:r>
        <w:rPr>
          <w:rStyle w:val="CharSDivText"/>
        </w:rPr>
        <w:t> </w:t>
      </w:r>
      <w:r>
        <w:rPr>
          <w:rStyle w:val="CharSchText"/>
        </w:rPr>
        <w:t>Sheriff’s fees</w:t>
      </w:r>
      <w:bookmarkEnd w:id="51"/>
      <w:bookmarkEnd w:id="52"/>
      <w:bookmarkEnd w:id="53"/>
    </w:p>
    <w:p>
      <w:pPr>
        <w:pStyle w:val="yShoulderClause"/>
      </w:pPr>
      <w:r>
        <w:t>[r. 4]</w:t>
      </w:r>
    </w:p>
    <w:p>
      <w:pPr>
        <w:pStyle w:val="yFootnoteheading"/>
        <w:spacing w:after="80"/>
      </w:pPr>
      <w:r>
        <w:tab/>
        <w:t>[Heading inserted in Gazette 4 Sep 2009 p. 3470.]</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Pr>
          <w:p>
            <w:pPr>
              <w:pStyle w:val="yTableNAm"/>
              <w:jc w:val="center"/>
              <w:rPr>
                <w:b/>
                <w:bCs/>
              </w:rPr>
            </w:pPr>
            <w:r>
              <w:rPr>
                <w:b/>
                <w:bCs/>
              </w:rPr>
              <w:t>Item</w:t>
            </w:r>
          </w:p>
        </w:tc>
        <w:tc>
          <w:tcPr>
            <w:tcW w:w="4961" w:type="dxa"/>
          </w:tcPr>
          <w:p>
            <w:pPr>
              <w:pStyle w:val="yTableNAm"/>
              <w:jc w:val="center"/>
              <w:rPr>
                <w:b/>
                <w:bCs/>
              </w:rPr>
            </w:pPr>
            <w:r>
              <w:rPr>
                <w:b/>
                <w:bCs/>
              </w:rPr>
              <w:t>Matter</w:t>
            </w:r>
          </w:p>
        </w:tc>
        <w:tc>
          <w:tcPr>
            <w:tcW w:w="1382" w:type="dxa"/>
          </w:tcPr>
          <w:p>
            <w:pPr>
              <w:pStyle w:val="yTableNAm"/>
              <w:jc w:val="center"/>
              <w:rPr>
                <w:b/>
                <w:bCs/>
              </w:rPr>
            </w:pPr>
            <w:r>
              <w:rPr>
                <w:b/>
                <w:bCs/>
              </w:rPr>
              <w:t>Fee</w:t>
            </w:r>
            <w:r>
              <w:rPr>
                <w:b/>
                <w:bCs/>
              </w:rPr>
              <w:br/>
              <w:t>$</w:t>
            </w:r>
          </w:p>
        </w:tc>
      </w:tr>
      <w:tr>
        <w:tc>
          <w:tcPr>
            <w:tcW w:w="709" w:type="dxa"/>
          </w:tcPr>
          <w:p>
            <w:pPr>
              <w:pStyle w:val="yTableNAm"/>
            </w:pPr>
            <w:r>
              <w:t>1.</w:t>
            </w:r>
          </w:p>
        </w:tc>
        <w:tc>
          <w:tcPr>
            <w:tcW w:w="4961" w:type="dxa"/>
          </w:tcPr>
          <w:p>
            <w:pPr>
              <w:pStyle w:val="yTableNAm"/>
            </w:pPr>
            <w:r>
              <w:t>On the execution of an arrest warrant of any kind —</w:t>
            </w:r>
          </w:p>
          <w:p>
            <w:pPr>
              <w:pStyle w:val="yTableNAm"/>
              <w:tabs>
                <w:tab w:val="clear" w:pos="567"/>
                <w:tab w:val="left" w:leader="dot" w:pos="5041"/>
              </w:tabs>
              <w:spacing w:before="80"/>
              <w:ind w:left="482" w:hanging="482"/>
            </w:pPr>
            <w:r>
              <w:t>(a)</w:t>
            </w:r>
            <w:r>
              <w:tab/>
              <w:t xml:space="preserve">for arresting the person </w:t>
            </w:r>
            <w:r>
              <w:tab/>
            </w:r>
          </w:p>
          <w:p>
            <w:pPr>
              <w:pStyle w:val="yTableNAm"/>
              <w:tabs>
                <w:tab w:val="clear" w:pos="567"/>
                <w:tab w:val="left" w:leader="dot" w:pos="5041"/>
              </w:tabs>
              <w:spacing w:before="80"/>
              <w:ind w:left="482" w:hanging="482"/>
            </w:pPr>
            <w:r>
              <w:t>(b)</w:t>
            </w:r>
            <w:r>
              <w:tab/>
              <w:t xml:space="preserve">for conveying the person to a court or a custodial place and releasing the person from arrest or custody </w:t>
            </w:r>
            <w:r>
              <w:tab/>
            </w:r>
          </w:p>
          <w:p>
            <w:pPr>
              <w:pStyle w:val="yTableNAm"/>
              <w:tabs>
                <w:tab w:val="clear" w:pos="567"/>
                <w:tab w:val="left" w:leader="dot" w:pos="5041"/>
              </w:tabs>
              <w:spacing w:before="80"/>
              <w:ind w:left="482" w:hanging="482"/>
            </w:pPr>
            <w:r>
              <w:t>(c)</w:t>
            </w:r>
            <w:r>
              <w:tab/>
              <w:t xml:space="preserve">for each 30 minutes after 2 hours and 30 minutes that an enforcement officer is required to keep the person in custody until he or she is conveyed to a court or a custodial place </w:t>
            </w:r>
            <w:r>
              <w:tab/>
            </w:r>
          </w:p>
          <w:p>
            <w:pPr>
              <w:pStyle w:val="yTableNAm"/>
              <w:rPr>
                <w:sz w:val="20"/>
              </w:rPr>
            </w:pPr>
            <w:r>
              <w:rPr>
                <w:sz w:val="20"/>
              </w:rPr>
              <w:t>NOTE 1:</w:t>
            </w:r>
          </w:p>
          <w:p>
            <w:pPr>
              <w:pStyle w:val="yTableNAm"/>
              <w:spacing w:before="80"/>
              <w:rPr>
                <w:sz w:val="20"/>
              </w:rPr>
            </w:pPr>
            <w:r>
              <w:rPr>
                <w:sz w:val="20"/>
              </w:rPr>
              <w:t>The fee under par. (a) is payable whether or not the sheriff’s functions under the warrant are performed and includes up to 3 attempts to perform the functions at the same address.</w:t>
            </w:r>
          </w:p>
          <w:p>
            <w:pPr>
              <w:pStyle w:val="yTableNAm"/>
              <w:rPr>
                <w:sz w:val="20"/>
              </w:rPr>
            </w:pPr>
            <w:r>
              <w:rPr>
                <w:sz w:val="20"/>
              </w:rPr>
              <w:t>NOTE 2:</w:t>
            </w:r>
          </w:p>
          <w:p>
            <w:pPr>
              <w:pStyle w:val="yTableNAm"/>
              <w:spacing w:before="80"/>
              <w:rPr>
                <w:sz w:val="20"/>
              </w:rPr>
            </w:pPr>
            <w:r>
              <w:rPr>
                <w:sz w:val="20"/>
              </w:rPr>
              <w:t xml:space="preserve">The fee under par. (a) includes — </w:t>
            </w:r>
          </w:p>
          <w:p>
            <w:pPr>
              <w:pStyle w:val="yTableNAm"/>
              <w:tabs>
                <w:tab w:val="clear" w:pos="567"/>
                <w:tab w:val="left" w:leader="dot" w:pos="5041"/>
              </w:tabs>
              <w:spacing w:before="80"/>
              <w:ind w:left="482" w:hanging="482"/>
              <w:rPr>
                <w:sz w:val="20"/>
              </w:rPr>
            </w:pPr>
            <w:r>
              <w:rPr>
                <w:sz w:val="20"/>
              </w:rPr>
              <w:t>(a)</w:t>
            </w:r>
            <w:r>
              <w:rPr>
                <w:sz w:val="20"/>
              </w:rPr>
              <w:tab/>
              <w:t>receipt of the warrant; and</w:t>
            </w:r>
          </w:p>
          <w:p>
            <w:pPr>
              <w:pStyle w:val="yTableNAm"/>
              <w:tabs>
                <w:tab w:val="clear" w:pos="567"/>
                <w:tab w:val="left" w:leader="dot" w:pos="5041"/>
              </w:tabs>
              <w:spacing w:before="80"/>
              <w:ind w:left="482" w:hanging="482"/>
              <w:rPr>
                <w:sz w:val="20"/>
              </w:rPr>
            </w:pPr>
            <w:r>
              <w:rPr>
                <w:sz w:val="20"/>
              </w:rPr>
              <w:t>(b)</w:t>
            </w:r>
            <w:r>
              <w:rPr>
                <w:sz w:val="20"/>
              </w:rPr>
              <w:tab/>
              <w:t>attendances and inquiries before attempting arrest; and</w:t>
            </w:r>
          </w:p>
          <w:p>
            <w:pPr>
              <w:pStyle w:val="yTableNAm"/>
              <w:tabs>
                <w:tab w:val="clear" w:pos="567"/>
                <w:tab w:val="left" w:leader="dot" w:pos="5041"/>
              </w:tabs>
              <w:spacing w:before="80"/>
              <w:ind w:left="482" w:hanging="482"/>
              <w:rPr>
                <w:sz w:val="20"/>
              </w:rPr>
            </w:pPr>
            <w:r>
              <w:rPr>
                <w:sz w:val="20"/>
              </w:rPr>
              <w:t>(c)</w:t>
            </w:r>
            <w:r>
              <w:rPr>
                <w:sz w:val="20"/>
              </w:rPr>
              <w:tab/>
              <w:t>giving any notice; and</w:t>
            </w:r>
          </w:p>
          <w:p>
            <w:pPr>
              <w:pStyle w:val="yTableNAm"/>
              <w:tabs>
                <w:tab w:val="clear" w:pos="567"/>
                <w:tab w:val="left" w:leader="dot" w:pos="5041"/>
              </w:tabs>
              <w:spacing w:before="80"/>
              <w:ind w:left="482" w:hanging="482"/>
            </w:pPr>
            <w:r>
              <w:rPr>
                <w:sz w:val="20"/>
              </w:rPr>
              <w:t>(d)</w:t>
            </w:r>
            <w:r>
              <w:rPr>
                <w:sz w:val="20"/>
              </w:rPr>
              <w:tab/>
              <w:t>making any report.</w:t>
            </w:r>
          </w:p>
        </w:tc>
        <w:tc>
          <w:tcPr>
            <w:tcW w:w="1382" w:type="dxa"/>
          </w:tcPr>
          <w:p>
            <w:pPr>
              <w:pStyle w:val="yTableNAm"/>
              <w:ind w:right="246"/>
              <w:jc w:val="right"/>
            </w:pPr>
          </w:p>
          <w:p>
            <w:pPr>
              <w:pStyle w:val="yTableNAm"/>
              <w:spacing w:before="80"/>
              <w:ind w:right="241"/>
              <w:jc w:val="right"/>
            </w:pPr>
            <w:r>
              <w:rPr>
                <w:szCs w:val="22"/>
              </w:rPr>
              <w:t>102.50</w:t>
            </w:r>
          </w:p>
          <w:p>
            <w:pPr>
              <w:pStyle w:val="yTableNAm"/>
              <w:tabs>
                <w:tab w:val="clear" w:pos="567"/>
              </w:tabs>
              <w:spacing w:before="80"/>
              <w:ind w:right="241"/>
              <w:jc w:val="right"/>
            </w:pPr>
            <w:r>
              <w:br/>
            </w:r>
            <w:r>
              <w:br/>
            </w:r>
            <w:r>
              <w:rPr>
                <w:szCs w:val="22"/>
              </w:rPr>
              <w:t>102.50</w:t>
            </w:r>
          </w:p>
          <w:p>
            <w:pPr>
              <w:pStyle w:val="yTableNAm"/>
              <w:tabs>
                <w:tab w:val="clear" w:pos="567"/>
              </w:tabs>
              <w:spacing w:before="80"/>
              <w:ind w:right="241"/>
              <w:jc w:val="right"/>
              <w:rPr>
                <w:b/>
              </w:rPr>
            </w:pPr>
            <w:r>
              <w:br/>
            </w:r>
            <w:r>
              <w:br/>
            </w:r>
            <w:r>
              <w:br/>
            </w:r>
            <w:r>
              <w:br/>
            </w:r>
            <w:r>
              <w:rPr>
                <w:szCs w:val="22"/>
              </w:rPr>
              <w:t>27.20</w:t>
            </w:r>
          </w:p>
        </w:tc>
      </w:tr>
      <w:tr>
        <w:tc>
          <w:tcPr>
            <w:tcW w:w="709" w:type="dxa"/>
          </w:tcPr>
          <w:p>
            <w:pPr>
              <w:pStyle w:val="yTableNAm"/>
            </w:pPr>
            <w:r>
              <w:t>2.</w:t>
            </w:r>
          </w:p>
        </w:tc>
        <w:tc>
          <w:tcPr>
            <w:tcW w:w="4961" w:type="dxa"/>
          </w:tcPr>
          <w:p>
            <w:pPr>
              <w:pStyle w:val="yTableNAm"/>
              <w:tabs>
                <w:tab w:val="left" w:leader="dot" w:pos="5041"/>
              </w:tabs>
            </w:pPr>
            <w:r>
              <w:t xml:space="preserve">For the service of any writ, application, summons, originating process, notice or order of the Court or any other process requiring service </w:t>
            </w:r>
            <w:r>
              <w:tab/>
            </w:r>
          </w:p>
          <w:p>
            <w:pPr>
              <w:pStyle w:val="yTableNAm"/>
              <w:rPr>
                <w:sz w:val="20"/>
              </w:rPr>
            </w:pPr>
            <w:r>
              <w:rPr>
                <w:sz w:val="20"/>
              </w:rPr>
              <w:t>NOTE:</w:t>
            </w:r>
          </w:p>
          <w:p>
            <w:pPr>
              <w:pStyle w:val="yTableNAm"/>
              <w:spacing w:before="80"/>
              <w:rPr>
                <w:sz w:val="20"/>
              </w:rPr>
            </w:pPr>
            <w:r>
              <w:rPr>
                <w:sz w:val="20"/>
              </w:rPr>
              <w:t>The fee is payable whether or not the service is successful and covers up to 3 attempts at service at the same address.</w:t>
            </w:r>
          </w:p>
        </w:tc>
        <w:tc>
          <w:tcPr>
            <w:tcW w:w="1382" w:type="dxa"/>
          </w:tcPr>
          <w:p>
            <w:pPr>
              <w:pStyle w:val="yTableNAm"/>
              <w:ind w:right="246"/>
              <w:jc w:val="right"/>
            </w:pPr>
            <w:r>
              <w:br/>
            </w:r>
            <w:r>
              <w:br/>
            </w:r>
            <w:r>
              <w:rPr>
                <w:szCs w:val="22"/>
              </w:rPr>
              <w:t>56.50</w:t>
            </w:r>
          </w:p>
        </w:tc>
      </w:tr>
      <w:tr>
        <w:tc>
          <w:tcPr>
            <w:tcW w:w="709" w:type="dxa"/>
          </w:tcPr>
          <w:p>
            <w:pPr>
              <w:pStyle w:val="yTableNAm"/>
            </w:pPr>
            <w:r>
              <w:t>3.</w:t>
            </w:r>
          </w:p>
        </w:tc>
        <w:tc>
          <w:tcPr>
            <w:tcW w:w="4961" w:type="dxa"/>
          </w:tcPr>
          <w:p>
            <w:pPr>
              <w:pStyle w:val="yTableNAm"/>
            </w:pPr>
            <w:r>
              <w:t xml:space="preserve">If it is necessary to travel to execute a warrant or other process, or on service of a writ, summons, order of the Court, other process or document, or on making an arrest or for all attempts, attendances and inspections, from the sheriff’s office or nearest bailiff’s office — </w:t>
            </w:r>
          </w:p>
          <w:p>
            <w:pPr>
              <w:pStyle w:val="yTableNAm"/>
              <w:tabs>
                <w:tab w:val="clear" w:pos="567"/>
                <w:tab w:val="left" w:leader="dot" w:pos="5041"/>
              </w:tabs>
              <w:ind w:left="481" w:hanging="481"/>
            </w:pPr>
            <w:r>
              <w:t>(a)</w:t>
            </w:r>
            <w:r>
              <w:tab/>
              <w:t xml:space="preserve">for each kilometre travelled (one way) in the metropolitan area </w:t>
            </w:r>
            <w:r>
              <w:tab/>
            </w:r>
          </w:p>
          <w:p>
            <w:pPr>
              <w:pStyle w:val="yTableNAm"/>
              <w:tabs>
                <w:tab w:val="clear" w:pos="567"/>
                <w:tab w:val="left" w:leader="dot" w:pos="5041"/>
              </w:tabs>
              <w:ind w:left="481" w:hanging="481"/>
            </w:pPr>
            <w:r>
              <w:t>(b)</w:t>
            </w:r>
            <w:r>
              <w:tab/>
              <w:t xml:space="preserve">for each kilometre travelled (one way) outside the metropolitan area </w:t>
            </w:r>
            <w:r>
              <w:tab/>
            </w:r>
          </w:p>
          <w:p>
            <w:pPr>
              <w:pStyle w:val="yTableNAm"/>
              <w:rPr>
                <w:sz w:val="20"/>
              </w:rPr>
            </w:pPr>
            <w:r>
              <w:rPr>
                <w:sz w:val="20"/>
              </w:rPr>
              <w:t>NOTE:</w:t>
            </w:r>
          </w:p>
          <w:p>
            <w:pPr>
              <w:pStyle w:val="yTableNAm"/>
              <w:rPr>
                <w:sz w:val="20"/>
              </w:rPr>
            </w:pPr>
            <w:r>
              <w:rPr>
                <w:sz w:val="20"/>
              </w:rPr>
              <w:t>If more than one process or document is executed or served by the sheriff or a bailiff at the same time on the same person or on different persons at the same address, only one allowance for kilometres is chargeable.</w:t>
            </w:r>
          </w:p>
        </w:tc>
        <w:tc>
          <w:tcPr>
            <w:tcW w:w="1382" w:type="dxa"/>
          </w:tcPr>
          <w:p>
            <w:pPr>
              <w:pStyle w:val="yTableNAm"/>
              <w:ind w:right="246"/>
              <w:jc w:val="right"/>
            </w:pPr>
            <w:r>
              <w:br/>
            </w:r>
            <w:r>
              <w:br/>
            </w:r>
            <w:r>
              <w:br/>
            </w:r>
            <w:r>
              <w:br/>
            </w:r>
            <w:r>
              <w:br/>
            </w:r>
          </w:p>
          <w:p>
            <w:pPr>
              <w:pStyle w:val="yTableNAm"/>
              <w:ind w:right="246"/>
              <w:jc w:val="right"/>
            </w:pPr>
            <w:r>
              <w:br/>
            </w:r>
            <w:r>
              <w:rPr>
                <w:szCs w:val="22"/>
              </w:rPr>
              <w:t>1.45</w:t>
            </w:r>
          </w:p>
          <w:p>
            <w:pPr>
              <w:pStyle w:val="yTableNAm"/>
              <w:ind w:right="246"/>
              <w:jc w:val="right"/>
            </w:pPr>
            <w:r>
              <w:br/>
            </w:r>
            <w:r>
              <w:rPr>
                <w:szCs w:val="22"/>
              </w:rPr>
              <w:t>1.60</w:t>
            </w:r>
          </w:p>
        </w:tc>
      </w:tr>
      <w:tr>
        <w:tc>
          <w:tcPr>
            <w:tcW w:w="709" w:type="dxa"/>
          </w:tcPr>
          <w:p>
            <w:pPr>
              <w:pStyle w:val="yTableNAm"/>
            </w:pPr>
            <w:r>
              <w:t>4.</w:t>
            </w:r>
          </w:p>
        </w:tc>
        <w:tc>
          <w:tcPr>
            <w:tcW w:w="4961" w:type="dxa"/>
          </w:tcPr>
          <w:p>
            <w:pPr>
              <w:pStyle w:val="yTableNAm"/>
              <w:tabs>
                <w:tab w:val="left" w:leader="dot" w:pos="5041"/>
              </w:tabs>
            </w:pPr>
            <w:r>
              <w:t xml:space="preserve">Fee to the sheriff for attending a view — per hour or part of an hour </w:t>
            </w:r>
            <w:r>
              <w:tab/>
            </w:r>
          </w:p>
        </w:tc>
        <w:tc>
          <w:tcPr>
            <w:tcW w:w="1382" w:type="dxa"/>
          </w:tcPr>
          <w:p>
            <w:pPr>
              <w:pStyle w:val="yTableNAm"/>
              <w:ind w:right="246"/>
              <w:jc w:val="right"/>
            </w:pPr>
            <w:r>
              <w:br/>
            </w:r>
            <w:r>
              <w:rPr>
                <w:szCs w:val="22"/>
              </w:rPr>
              <w:t>54.50</w:t>
            </w:r>
          </w:p>
        </w:tc>
      </w:tr>
      <w:tr>
        <w:tc>
          <w:tcPr>
            <w:tcW w:w="709" w:type="dxa"/>
          </w:tcPr>
          <w:p>
            <w:pPr>
              <w:pStyle w:val="yTableNAm"/>
            </w:pPr>
            <w:r>
              <w:t>5.</w:t>
            </w:r>
          </w:p>
        </w:tc>
        <w:tc>
          <w:tcPr>
            <w:tcW w:w="4961" w:type="dxa"/>
          </w:tcPr>
          <w:p>
            <w:pPr>
              <w:pStyle w:val="yTableNAm"/>
              <w:tabs>
                <w:tab w:val="clear" w:pos="567"/>
                <w:tab w:val="left" w:leader="dot" w:pos="5041"/>
              </w:tabs>
              <w:ind w:left="481" w:hanging="481"/>
            </w:pPr>
            <w:r>
              <w:t>(a)</w:t>
            </w:r>
            <w:r>
              <w:tab/>
              <w:t xml:space="preserve">For striking a jury and preparing jury panel </w:t>
            </w:r>
            <w:r>
              <w:tab/>
            </w:r>
          </w:p>
          <w:p>
            <w:pPr>
              <w:pStyle w:val="yTableNAm"/>
              <w:tabs>
                <w:tab w:val="clear" w:pos="567"/>
                <w:tab w:val="left" w:leader="dot" w:pos="5041"/>
              </w:tabs>
              <w:ind w:left="481" w:hanging="481"/>
            </w:pPr>
            <w:r>
              <w:t>(b)</w:t>
            </w:r>
            <w:r>
              <w:tab/>
              <w:t xml:space="preserve">For attendance of sheriff’s officer at hearing (per day or part of a day) </w:t>
            </w:r>
            <w:r>
              <w:tab/>
            </w:r>
          </w:p>
        </w:tc>
        <w:tc>
          <w:tcPr>
            <w:tcW w:w="1382" w:type="dxa"/>
          </w:tcPr>
          <w:p>
            <w:pPr>
              <w:pStyle w:val="yTableNAm"/>
              <w:ind w:right="246"/>
              <w:jc w:val="right"/>
            </w:pPr>
            <w:r>
              <w:rPr>
                <w:szCs w:val="22"/>
              </w:rPr>
              <w:t>174.50</w:t>
            </w:r>
          </w:p>
          <w:p>
            <w:pPr>
              <w:pStyle w:val="yTableNAm"/>
              <w:tabs>
                <w:tab w:val="clear" w:pos="567"/>
                <w:tab w:val="left" w:pos="1160"/>
              </w:tabs>
              <w:ind w:right="6"/>
            </w:pPr>
            <w:r>
              <w:br/>
              <w:t>The sum actually and reasonably paid</w:t>
            </w:r>
          </w:p>
        </w:tc>
      </w:tr>
    </w:tbl>
    <w:p>
      <w:pPr>
        <w:pStyle w:val="yFootnotesection"/>
      </w:pPr>
      <w:r>
        <w:tab/>
        <w:t>[Schedule 2 inserted in Gazette 4 Sep 2009 p. 3470-1; amended in Gazette 8 Mar 2011 p. 784; 20 Dec 2011 p. 5379; 30 Nov 2012 p. 5787; 15 Nov 2013 p. 5242; 27 Jun 2014 p. 2350.]</w:t>
      </w:r>
    </w:p>
    <w:p>
      <w:pPr>
        <w:pStyle w:val="yScheduleHeading"/>
      </w:pPr>
      <w:bookmarkStart w:id="54" w:name="_Toc379203664"/>
      <w:bookmarkStart w:id="55" w:name="_Toc391885696"/>
      <w:bookmarkStart w:id="56" w:name="_Toc392770218"/>
      <w:r>
        <w:rPr>
          <w:rStyle w:val="CharSchNo"/>
        </w:rPr>
        <w:t>Schedule 3</w:t>
      </w:r>
      <w:r>
        <w:t> — </w:t>
      </w:r>
      <w:r>
        <w:rPr>
          <w:rStyle w:val="CharSchText"/>
        </w:rPr>
        <w:t>Probate fees</w:t>
      </w:r>
      <w:bookmarkEnd w:id="54"/>
      <w:bookmarkEnd w:id="55"/>
      <w:bookmarkEnd w:id="56"/>
    </w:p>
    <w:p>
      <w:pPr>
        <w:pStyle w:val="yShoulderClause"/>
      </w:pPr>
      <w:r>
        <w:t>[r. 4]</w:t>
      </w:r>
    </w:p>
    <w:p>
      <w:pPr>
        <w:pStyle w:val="yFootnoteheading"/>
        <w:spacing w:after="80"/>
      </w:pPr>
      <w:r>
        <w:tab/>
        <w:t>[Heading inserted in Gazette 4 Sep 2009 p. 3471.]</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Pr>
          <w:p>
            <w:pPr>
              <w:pStyle w:val="yTableNAm"/>
              <w:jc w:val="center"/>
              <w:rPr>
                <w:b/>
                <w:bCs/>
              </w:rPr>
            </w:pPr>
            <w:r>
              <w:rPr>
                <w:b/>
                <w:bCs/>
              </w:rPr>
              <w:t>Item</w:t>
            </w:r>
          </w:p>
        </w:tc>
        <w:tc>
          <w:tcPr>
            <w:tcW w:w="4961" w:type="dxa"/>
          </w:tcPr>
          <w:p>
            <w:pPr>
              <w:pStyle w:val="yTableNAm"/>
              <w:jc w:val="center"/>
              <w:rPr>
                <w:b/>
                <w:bCs/>
              </w:rPr>
            </w:pPr>
            <w:r>
              <w:rPr>
                <w:b/>
                <w:bCs/>
              </w:rPr>
              <w:t>Matter</w:t>
            </w:r>
          </w:p>
        </w:tc>
        <w:tc>
          <w:tcPr>
            <w:tcW w:w="1382" w:type="dxa"/>
          </w:tcPr>
          <w:p>
            <w:pPr>
              <w:pStyle w:val="yTableNAm"/>
              <w:jc w:val="center"/>
              <w:rPr>
                <w:b/>
                <w:bCs/>
              </w:rPr>
            </w:pPr>
            <w:r>
              <w:rPr>
                <w:b/>
                <w:bCs/>
              </w:rPr>
              <w:t>Fee</w:t>
            </w:r>
            <w:r>
              <w:rPr>
                <w:b/>
                <w:bCs/>
              </w:rPr>
              <w:br/>
              <w:t>$</w:t>
            </w:r>
          </w:p>
        </w:tc>
      </w:tr>
      <w:tr>
        <w:tc>
          <w:tcPr>
            <w:tcW w:w="709" w:type="dxa"/>
          </w:tcPr>
          <w:p>
            <w:pPr>
              <w:pStyle w:val="yTableNAm"/>
            </w:pPr>
          </w:p>
        </w:tc>
        <w:tc>
          <w:tcPr>
            <w:tcW w:w="4961" w:type="dxa"/>
          </w:tcPr>
          <w:p>
            <w:pPr>
              <w:pStyle w:val="yTableNAm"/>
              <w:rPr>
                <w:sz w:val="20"/>
              </w:rPr>
            </w:pPr>
            <w:r>
              <w:rPr>
                <w:sz w:val="20"/>
              </w:rPr>
              <w:t>NOTE:</w:t>
            </w:r>
          </w:p>
          <w:p>
            <w:pPr>
              <w:pStyle w:val="yTableNAm"/>
              <w:rPr>
                <w:sz w:val="20"/>
              </w:rPr>
            </w:pPr>
            <w:r>
              <w:rPr>
                <w:sz w:val="20"/>
              </w:rPr>
              <w:t xml:space="preserve">In this Schedule, </w:t>
            </w:r>
            <w:r>
              <w:rPr>
                <w:rStyle w:val="CharDefText"/>
                <w:sz w:val="20"/>
              </w:rPr>
              <w:t>grant</w:t>
            </w:r>
            <w:r>
              <w:rPr>
                <w:sz w:val="20"/>
              </w:rPr>
              <w:t xml:space="preserve"> means a grant of probate or administration with or without the will, or an order to administer.</w:t>
            </w:r>
          </w:p>
        </w:tc>
        <w:tc>
          <w:tcPr>
            <w:tcW w:w="1382" w:type="dxa"/>
          </w:tcPr>
          <w:p>
            <w:pPr>
              <w:pStyle w:val="yTableNAm"/>
            </w:pPr>
          </w:p>
        </w:tc>
      </w:tr>
      <w:tr>
        <w:tc>
          <w:tcPr>
            <w:tcW w:w="709" w:type="dxa"/>
          </w:tcPr>
          <w:p>
            <w:pPr>
              <w:pStyle w:val="yTableNAm"/>
            </w:pPr>
            <w:r>
              <w:t>1.</w:t>
            </w:r>
          </w:p>
        </w:tc>
        <w:tc>
          <w:tcPr>
            <w:tcW w:w="4961" w:type="dxa"/>
          </w:tcPr>
          <w:p>
            <w:pPr>
              <w:pStyle w:val="yTableNAm"/>
              <w:tabs>
                <w:tab w:val="left" w:leader="dot" w:pos="5041"/>
              </w:tabs>
            </w:pPr>
            <w:r>
              <w:t xml:space="preserve">On filing an application for an original grant or, for a second subsequent grant in relation to the same deceased, or to reseal a foreign grant </w:t>
            </w:r>
            <w:r>
              <w:tab/>
            </w:r>
          </w:p>
          <w:p>
            <w:pPr>
              <w:pStyle w:val="yTableNAm"/>
              <w:rPr>
                <w:sz w:val="20"/>
              </w:rPr>
            </w:pPr>
            <w:r>
              <w:rPr>
                <w:sz w:val="20"/>
              </w:rPr>
              <w:t>NOTES:</w:t>
            </w:r>
          </w:p>
          <w:p>
            <w:pPr>
              <w:pStyle w:val="yTableNAm"/>
              <w:rPr>
                <w:sz w:val="20"/>
              </w:rPr>
            </w:pPr>
            <w:r>
              <w:rPr>
                <w:sz w:val="20"/>
              </w:rPr>
              <w:t xml:space="preserve">This fee covers — </w:t>
            </w:r>
          </w:p>
          <w:p>
            <w:pPr>
              <w:pStyle w:val="yTableNAm"/>
              <w:tabs>
                <w:tab w:val="clear" w:pos="567"/>
                <w:tab w:val="left" w:pos="481"/>
              </w:tabs>
              <w:ind w:left="481" w:hanging="481"/>
              <w:rPr>
                <w:sz w:val="20"/>
              </w:rPr>
            </w:pPr>
            <w:r>
              <w:rPr>
                <w:sz w:val="20"/>
              </w:rPr>
              <w:t>(a)</w:t>
            </w:r>
            <w:r>
              <w:rPr>
                <w:sz w:val="20"/>
              </w:rPr>
              <w:tab/>
              <w:t>all documents filed in support of the application; and</w:t>
            </w:r>
          </w:p>
          <w:p>
            <w:pPr>
              <w:pStyle w:val="yTableNAm"/>
              <w:tabs>
                <w:tab w:val="clear" w:pos="567"/>
                <w:tab w:val="left" w:pos="481"/>
              </w:tabs>
              <w:ind w:left="481" w:hanging="481"/>
              <w:rPr>
                <w:sz w:val="20"/>
              </w:rPr>
            </w:pPr>
            <w:r>
              <w:rPr>
                <w:sz w:val="20"/>
              </w:rPr>
              <w:t>(b)</w:t>
            </w:r>
            <w:r>
              <w:rPr>
                <w:sz w:val="20"/>
              </w:rPr>
              <w:tab/>
              <w:t>preparation of the necessary photographic copies of documents including will (if any) required for the grant and Court files; and</w:t>
            </w:r>
          </w:p>
          <w:p>
            <w:pPr>
              <w:pStyle w:val="yTableNAm"/>
              <w:tabs>
                <w:tab w:val="clear" w:pos="567"/>
                <w:tab w:val="left" w:pos="481"/>
              </w:tabs>
              <w:ind w:left="481" w:hanging="481"/>
            </w:pPr>
            <w:r>
              <w:rPr>
                <w:sz w:val="20"/>
              </w:rPr>
              <w:t>(c)</w:t>
            </w:r>
            <w:r>
              <w:rPr>
                <w:sz w:val="20"/>
              </w:rPr>
              <w:tab/>
              <w:t>the issue of the grant.</w:t>
            </w:r>
          </w:p>
        </w:tc>
        <w:tc>
          <w:tcPr>
            <w:tcW w:w="1382" w:type="dxa"/>
          </w:tcPr>
          <w:p>
            <w:pPr>
              <w:pStyle w:val="yTableNAm"/>
              <w:ind w:right="246"/>
              <w:jc w:val="right"/>
            </w:pPr>
            <w:r>
              <w:br/>
            </w:r>
            <w:r>
              <w:br/>
            </w:r>
            <w:r>
              <w:rPr>
                <w:szCs w:val="22"/>
              </w:rPr>
              <w:t>271.00</w:t>
            </w:r>
          </w:p>
        </w:tc>
      </w:tr>
      <w:tr>
        <w:tc>
          <w:tcPr>
            <w:tcW w:w="709" w:type="dxa"/>
          </w:tcPr>
          <w:p>
            <w:pPr>
              <w:pStyle w:val="yTableNAm"/>
            </w:pPr>
            <w:r>
              <w:t>2.</w:t>
            </w:r>
          </w:p>
        </w:tc>
        <w:tc>
          <w:tcPr>
            <w:tcW w:w="4961" w:type="dxa"/>
          </w:tcPr>
          <w:p>
            <w:pPr>
              <w:pStyle w:val="yTableNAm"/>
              <w:tabs>
                <w:tab w:val="left" w:leader="dot" w:pos="5041"/>
              </w:tabs>
            </w:pPr>
            <w:r>
              <w:t xml:space="preserve">For depositing a will of a deceased person in the Registry (including renunciation of executor) </w:t>
            </w:r>
            <w:r>
              <w:tab/>
            </w:r>
          </w:p>
        </w:tc>
        <w:tc>
          <w:tcPr>
            <w:tcW w:w="1382" w:type="dxa"/>
          </w:tcPr>
          <w:p>
            <w:pPr>
              <w:pStyle w:val="yTableNAm"/>
              <w:ind w:right="246"/>
              <w:jc w:val="right"/>
            </w:pPr>
            <w:r>
              <w:br/>
            </w:r>
            <w:r>
              <w:rPr>
                <w:szCs w:val="22"/>
              </w:rPr>
              <w:t>64.50</w:t>
            </w:r>
          </w:p>
        </w:tc>
      </w:tr>
      <w:tr>
        <w:tc>
          <w:tcPr>
            <w:tcW w:w="709" w:type="dxa"/>
          </w:tcPr>
          <w:p>
            <w:pPr>
              <w:pStyle w:val="yTableNAm"/>
            </w:pPr>
            <w:r>
              <w:t>3.</w:t>
            </w:r>
          </w:p>
        </w:tc>
        <w:tc>
          <w:tcPr>
            <w:tcW w:w="4961" w:type="dxa"/>
          </w:tcPr>
          <w:p>
            <w:pPr>
              <w:pStyle w:val="yTableNAm"/>
              <w:tabs>
                <w:tab w:val="left" w:leader="dot" w:pos="5041"/>
              </w:tabs>
            </w:pPr>
            <w:r>
              <w:t xml:space="preserve">For depositing a will or instrument under the </w:t>
            </w:r>
            <w:r>
              <w:rPr>
                <w:i/>
                <w:iCs/>
              </w:rPr>
              <w:t>Wills Act 1970</w:t>
            </w:r>
            <w:r>
              <w:t xml:space="preserve"> s. 44(1) </w:t>
            </w:r>
            <w:r>
              <w:tab/>
            </w:r>
          </w:p>
        </w:tc>
        <w:tc>
          <w:tcPr>
            <w:tcW w:w="1382" w:type="dxa"/>
          </w:tcPr>
          <w:p>
            <w:pPr>
              <w:pStyle w:val="yTableNAm"/>
              <w:ind w:right="246"/>
              <w:jc w:val="right"/>
            </w:pPr>
            <w:r>
              <w:br/>
            </w:r>
            <w:r>
              <w:rPr>
                <w:szCs w:val="22"/>
              </w:rPr>
              <w:t>64.50</w:t>
            </w:r>
          </w:p>
        </w:tc>
      </w:tr>
      <w:tr>
        <w:tc>
          <w:tcPr>
            <w:tcW w:w="709" w:type="dxa"/>
          </w:tcPr>
          <w:p>
            <w:pPr>
              <w:pStyle w:val="yTableNAm"/>
            </w:pPr>
            <w:r>
              <w:t>4.</w:t>
            </w:r>
          </w:p>
        </w:tc>
        <w:tc>
          <w:tcPr>
            <w:tcW w:w="4961" w:type="dxa"/>
          </w:tcPr>
          <w:p>
            <w:pPr>
              <w:pStyle w:val="yTableNAm"/>
              <w:tabs>
                <w:tab w:val="left" w:leader="dot" w:pos="5041"/>
              </w:tabs>
              <w:ind w:left="601" w:hanging="601"/>
            </w:pPr>
            <w:r>
              <w:t>(a)</w:t>
            </w:r>
            <w:r>
              <w:tab/>
              <w:t xml:space="preserve">For the supply of copies of a will or other document, including marking as an office copy if required — for each page </w:t>
            </w:r>
            <w:r>
              <w:tab/>
            </w:r>
          </w:p>
          <w:p>
            <w:pPr>
              <w:pStyle w:val="yTableNAm"/>
              <w:tabs>
                <w:tab w:val="left" w:leader="dot" w:pos="5041"/>
              </w:tabs>
              <w:ind w:left="601" w:hanging="601"/>
            </w:pPr>
            <w:r>
              <w:t>(b)</w:t>
            </w:r>
            <w:r>
              <w:tab/>
              <w:t xml:space="preserve">For certifying under seal that a copy of a document is a true copy — an additional </w:t>
            </w:r>
            <w:r>
              <w:br/>
              <w:t xml:space="preserve">fee of </w:t>
            </w:r>
            <w:r>
              <w:tab/>
            </w:r>
          </w:p>
        </w:tc>
        <w:tc>
          <w:tcPr>
            <w:tcW w:w="1382" w:type="dxa"/>
          </w:tcPr>
          <w:p>
            <w:pPr>
              <w:pStyle w:val="yTableNAm"/>
              <w:ind w:right="246"/>
              <w:jc w:val="right"/>
            </w:pPr>
            <w:r>
              <w:br/>
            </w:r>
            <w:r>
              <w:br/>
              <w:t>1.50</w:t>
            </w:r>
          </w:p>
          <w:p>
            <w:pPr>
              <w:pStyle w:val="yTableNAm"/>
              <w:ind w:right="246"/>
              <w:jc w:val="right"/>
            </w:pPr>
            <w:r>
              <w:br/>
            </w:r>
            <w:r>
              <w:br/>
            </w:r>
            <w:r>
              <w:rPr>
                <w:szCs w:val="22"/>
              </w:rPr>
              <w:t>15.75</w:t>
            </w:r>
          </w:p>
        </w:tc>
      </w:tr>
      <w:tr>
        <w:tc>
          <w:tcPr>
            <w:tcW w:w="709" w:type="dxa"/>
          </w:tcPr>
          <w:p>
            <w:pPr>
              <w:pStyle w:val="yTableNAm"/>
              <w:keepNext/>
            </w:pPr>
            <w:r>
              <w:t>5.</w:t>
            </w:r>
          </w:p>
        </w:tc>
        <w:tc>
          <w:tcPr>
            <w:tcW w:w="4961" w:type="dxa"/>
          </w:tcPr>
          <w:p>
            <w:pPr>
              <w:pStyle w:val="yTableNAm"/>
              <w:keepNext/>
              <w:ind w:left="601" w:hanging="601"/>
            </w:pPr>
            <w:r>
              <w:t>(a)</w:t>
            </w:r>
            <w:r>
              <w:tab/>
              <w:t xml:space="preserve">For an exemplification of a grant (in addition to the fee payable under item 4(a)); </w:t>
            </w:r>
          </w:p>
          <w:p>
            <w:pPr>
              <w:pStyle w:val="yTableNAm"/>
              <w:keepNext/>
              <w:tabs>
                <w:tab w:val="left" w:leader="dot" w:pos="5041"/>
              </w:tabs>
              <w:ind w:left="601" w:hanging="601"/>
            </w:pPr>
            <w:r>
              <w:t>(b)</w:t>
            </w:r>
            <w:r>
              <w:tab/>
              <w:t xml:space="preserve">For settling and sealing a citation or a subpoena </w:t>
            </w:r>
            <w:r>
              <w:tab/>
            </w:r>
          </w:p>
        </w:tc>
        <w:tc>
          <w:tcPr>
            <w:tcW w:w="1382" w:type="dxa"/>
          </w:tcPr>
          <w:p>
            <w:pPr>
              <w:pStyle w:val="yTableNAm"/>
              <w:keepNext/>
              <w:ind w:right="246"/>
              <w:jc w:val="right"/>
            </w:pPr>
            <w:r>
              <w:br/>
            </w:r>
          </w:p>
          <w:p>
            <w:pPr>
              <w:pStyle w:val="yTableNAm"/>
              <w:keepNext/>
              <w:ind w:right="246"/>
              <w:jc w:val="right"/>
            </w:pPr>
            <w:r>
              <w:br/>
            </w:r>
            <w:r>
              <w:rPr>
                <w:szCs w:val="22"/>
              </w:rPr>
              <w:t>81.00</w:t>
            </w:r>
          </w:p>
        </w:tc>
      </w:tr>
      <w:tr>
        <w:tc>
          <w:tcPr>
            <w:tcW w:w="709" w:type="dxa"/>
          </w:tcPr>
          <w:p>
            <w:pPr>
              <w:pStyle w:val="yTableNAm"/>
            </w:pPr>
            <w:r>
              <w:t>6.</w:t>
            </w:r>
          </w:p>
        </w:tc>
        <w:tc>
          <w:tcPr>
            <w:tcW w:w="4961" w:type="dxa"/>
          </w:tcPr>
          <w:p>
            <w:pPr>
              <w:pStyle w:val="yTableNAm"/>
              <w:tabs>
                <w:tab w:val="left" w:leader="dot" w:pos="5041"/>
              </w:tabs>
            </w:pPr>
            <w:r>
              <w:t xml:space="preserve">For a search for and inspection of a document or file of documents </w:t>
            </w:r>
            <w:r>
              <w:tab/>
            </w:r>
          </w:p>
        </w:tc>
        <w:tc>
          <w:tcPr>
            <w:tcW w:w="1382" w:type="dxa"/>
          </w:tcPr>
          <w:p>
            <w:pPr>
              <w:pStyle w:val="yTableNAm"/>
              <w:ind w:right="246"/>
              <w:jc w:val="right"/>
            </w:pPr>
            <w:r>
              <w:br/>
            </w:r>
            <w:r>
              <w:rPr>
                <w:szCs w:val="22"/>
              </w:rPr>
              <w:t>32.70</w:t>
            </w:r>
          </w:p>
        </w:tc>
      </w:tr>
    </w:tbl>
    <w:p>
      <w:pPr>
        <w:pStyle w:val="yFootnotesection"/>
      </w:pPr>
      <w:r>
        <w:tab/>
        <w:t>[Schedule 3 inserted in Gazette 4 Sep 2009 p. 3471-2; amended in Gazette 8 Mar 2011 p. 784; 20 Dec 2011 p. 5379; 30 Nov 2012 p. 5787</w:t>
      </w:r>
      <w:r>
        <w:noBreakHyphen/>
        <w:t>8; 15 Nov 2013 p. 5242; 27 Jun 2014 p. 2350.]</w:t>
      </w:r>
    </w:p>
    <w:p>
      <w:pPr>
        <w:pStyle w:val="yScheduleHeading"/>
      </w:pPr>
      <w:bookmarkStart w:id="57" w:name="_Toc379203665"/>
      <w:bookmarkStart w:id="58" w:name="_Toc391885697"/>
      <w:bookmarkStart w:id="59" w:name="_Toc392770219"/>
      <w:r>
        <w:rPr>
          <w:rStyle w:val="CharSchNo"/>
        </w:rPr>
        <w:t>Schedule 4</w:t>
      </w:r>
      <w:r>
        <w:t xml:space="preserve"> — </w:t>
      </w:r>
      <w:r>
        <w:rPr>
          <w:rStyle w:val="CharSchText"/>
        </w:rPr>
        <w:t>Forms</w:t>
      </w:r>
      <w:bookmarkEnd w:id="57"/>
      <w:bookmarkEnd w:id="58"/>
      <w:bookmarkEnd w:id="59"/>
    </w:p>
    <w:p>
      <w:pPr>
        <w:pStyle w:val="yShoulderClause"/>
        <w:spacing w:after="120"/>
      </w:pPr>
      <w:r>
        <w:t>[r. 4(7), 7(2)]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047"/>
      </w:tblGrid>
      <w:tr>
        <w:trPr>
          <w:cantSplit/>
        </w:trPr>
        <w:tc>
          <w:tcPr>
            <w:tcW w:w="6662" w:type="dxa"/>
            <w:gridSpan w:val="4"/>
            <w:tcBorders>
              <w:bottom w:val="nil"/>
            </w:tcBorders>
          </w:tcPr>
          <w:p>
            <w:pPr>
              <w:pStyle w:val="yTableNAm"/>
              <w:jc w:val="center"/>
              <w:rPr>
                <w:b/>
                <w:bCs/>
              </w:rPr>
            </w:pPr>
            <w:r>
              <w:rPr>
                <w:b/>
                <w:bCs/>
              </w:rPr>
              <w:t>Form 1</w:t>
            </w:r>
          </w:p>
        </w:tc>
      </w:tr>
      <w:tr>
        <w:trPr>
          <w:cantSplit/>
        </w:trPr>
        <w:tc>
          <w:tcPr>
            <w:tcW w:w="6662" w:type="dxa"/>
            <w:gridSpan w:val="4"/>
            <w:tcBorders>
              <w:top w:val="nil"/>
            </w:tcBorders>
          </w:tcPr>
          <w:p>
            <w:pPr>
              <w:pStyle w:val="yTableNAm"/>
              <w:jc w:val="center"/>
              <w:rPr>
                <w:b/>
                <w:bCs/>
              </w:rPr>
            </w:pPr>
            <w:r>
              <w:rPr>
                <w:b/>
                <w:bCs/>
              </w:rPr>
              <w:t>Declaration that a person is a small business or a non-profit association</w:t>
            </w:r>
          </w:p>
        </w:tc>
      </w:tr>
      <w:tr>
        <w:trPr>
          <w:cantSplit/>
        </w:trPr>
        <w:tc>
          <w:tcPr>
            <w:tcW w:w="3615" w:type="dxa"/>
            <w:gridSpan w:val="3"/>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047" w:type="dxa"/>
          </w:tcPr>
          <w:p>
            <w:pPr>
              <w:pStyle w:val="yTableNAm"/>
            </w:pPr>
            <w:r>
              <w:t>No.         of  2   </w:t>
            </w:r>
          </w:p>
        </w:tc>
      </w:tr>
      <w:tr>
        <w:trPr>
          <w:cantSplit/>
        </w:trPr>
        <w:tc>
          <w:tcPr>
            <w:tcW w:w="6662" w:type="dxa"/>
            <w:gridSpan w:val="4"/>
          </w:tcPr>
          <w:p>
            <w:pPr>
              <w:pStyle w:val="yTableNAm"/>
              <w:tabs>
                <w:tab w:val="left" w:pos="3710"/>
              </w:tabs>
            </w:pPr>
            <w:r>
              <w:rPr>
                <w:b/>
              </w:rPr>
              <w:t>Plaintiff/Appellant*:</w:t>
            </w:r>
            <w:r>
              <w:rPr>
                <w:bCs/>
              </w:rPr>
              <w:tab/>
            </w:r>
            <w:r>
              <w:t>................................................</w:t>
            </w:r>
          </w:p>
          <w:p>
            <w:pPr>
              <w:pStyle w:val="yTableNAm"/>
              <w:tabs>
                <w:tab w:val="left" w:pos="3710"/>
              </w:tabs>
              <w:spacing w:before="0"/>
            </w:pPr>
            <w:r>
              <w:rPr>
                <w:sz w:val="20"/>
              </w:rPr>
              <w:t>(*strike out word that is not applicable)</w:t>
            </w:r>
          </w:p>
        </w:tc>
      </w:tr>
      <w:tr>
        <w:trPr>
          <w:cantSplit/>
        </w:trPr>
        <w:tc>
          <w:tcPr>
            <w:tcW w:w="6662" w:type="dxa"/>
            <w:gridSpan w:val="4"/>
          </w:tcPr>
          <w:p>
            <w:pPr>
              <w:pStyle w:val="yTableNAm"/>
              <w:tabs>
                <w:tab w:val="left" w:pos="3710"/>
              </w:tabs>
            </w:pPr>
            <w:r>
              <w:rPr>
                <w:b/>
              </w:rPr>
              <w:t>Defendant/Respondent*:</w:t>
            </w:r>
            <w:r>
              <w:rPr>
                <w:bCs/>
              </w:rPr>
              <w:tab/>
            </w:r>
            <w:r>
              <w:t>................................................</w:t>
            </w:r>
          </w:p>
          <w:p>
            <w:pPr>
              <w:pStyle w:val="yTableNAm"/>
              <w:tabs>
                <w:tab w:val="left" w:pos="3710"/>
              </w:tabs>
              <w:spacing w:before="0"/>
            </w:pPr>
            <w:r>
              <w:rPr>
                <w:sz w:val="20"/>
              </w:rPr>
              <w:t>(*strike out word that is not applicable)</w:t>
            </w:r>
          </w:p>
        </w:tc>
      </w:tr>
      <w:tr>
        <w:trPr>
          <w:cantSplit/>
        </w:trPr>
        <w:tc>
          <w:tcPr>
            <w:tcW w:w="1701" w:type="dxa"/>
            <w:vMerge w:val="restart"/>
            <w:tcBorders>
              <w:bottom w:val="nil"/>
            </w:tcBorders>
          </w:tcPr>
          <w:p>
            <w:pPr>
              <w:pStyle w:val="yTableNAm"/>
              <w:rPr>
                <w:b/>
                <w:bCs/>
              </w:rPr>
            </w:pPr>
            <w:r>
              <w:rPr>
                <w:b/>
                <w:bCs/>
              </w:rPr>
              <w:t>Applicant:</w:t>
            </w:r>
          </w:p>
        </w:tc>
        <w:tc>
          <w:tcPr>
            <w:tcW w:w="4961" w:type="dxa"/>
            <w:gridSpan w:val="3"/>
            <w:tcBorders>
              <w:bottom w:val="single" w:sz="4" w:space="0" w:color="auto"/>
            </w:tcBorders>
          </w:tcPr>
          <w:p>
            <w:pPr>
              <w:pStyle w:val="yTableNAm"/>
            </w:pPr>
            <w:r>
              <w:t>......................................................................................</w:t>
            </w:r>
          </w:p>
          <w:p>
            <w:pPr>
              <w:pStyle w:val="yTableNAm"/>
              <w:spacing w:before="0"/>
            </w:pPr>
            <w:r>
              <w:t>Full name</w:t>
            </w:r>
          </w:p>
        </w:tc>
      </w:tr>
      <w:tr>
        <w:trPr>
          <w:cantSplit/>
        </w:trPr>
        <w:tc>
          <w:tcPr>
            <w:tcW w:w="1701" w:type="dxa"/>
            <w:vMerge/>
            <w:tcBorders>
              <w:bottom w:val="nil"/>
            </w:tcBorders>
          </w:tcPr>
          <w:p>
            <w:pPr>
              <w:pStyle w:val="yTableNAm"/>
            </w:pPr>
          </w:p>
        </w:tc>
        <w:tc>
          <w:tcPr>
            <w:tcW w:w="4961" w:type="dxa"/>
            <w:gridSpan w:val="3"/>
            <w:tcBorders>
              <w:bottom w:val="single" w:sz="4" w:space="0" w:color="auto"/>
            </w:tcBorders>
          </w:tcPr>
          <w:p>
            <w:pPr>
              <w:pStyle w:val="yTableNAm"/>
            </w:pPr>
            <w:r>
              <w:t>......................................................................................</w:t>
            </w:r>
          </w:p>
          <w:p>
            <w:pPr>
              <w:pStyle w:val="yTableNAm"/>
              <w:spacing w:before="0"/>
            </w:pPr>
            <w:r>
              <w:t>Address</w:t>
            </w:r>
          </w:p>
        </w:tc>
      </w:tr>
      <w:tr>
        <w:trPr>
          <w:cantSplit/>
        </w:trPr>
        <w:tc>
          <w:tcPr>
            <w:tcW w:w="1701" w:type="dxa"/>
            <w:vMerge/>
            <w:tcBorders>
              <w:bottom w:val="nil"/>
            </w:tcBorders>
          </w:tcPr>
          <w:p>
            <w:pPr>
              <w:pStyle w:val="yTableNAm"/>
            </w:pPr>
          </w:p>
        </w:tc>
        <w:tc>
          <w:tcPr>
            <w:tcW w:w="4961" w:type="dxa"/>
            <w:gridSpan w:val="3"/>
            <w:tcBorders>
              <w:bottom w:val="single" w:sz="4" w:space="0" w:color="auto"/>
            </w:tcBorders>
          </w:tcPr>
          <w:p>
            <w:pPr>
              <w:pStyle w:val="yTableNAm"/>
            </w:pPr>
            <w:r>
              <w:t>......................................................................................</w:t>
            </w:r>
          </w:p>
          <w:p>
            <w:pPr>
              <w:pStyle w:val="yTableNAm"/>
              <w:spacing w:before="0"/>
            </w:pPr>
            <w:r>
              <w:t>Name of person in respect of which application made</w:t>
            </w:r>
          </w:p>
        </w:tc>
      </w:tr>
      <w:tr>
        <w:trPr>
          <w:cantSplit/>
        </w:trPr>
        <w:tc>
          <w:tcPr>
            <w:tcW w:w="1701" w:type="dxa"/>
            <w:vMerge/>
            <w:tcBorders>
              <w:bottom w:val="single" w:sz="4" w:space="0" w:color="auto"/>
            </w:tcBorders>
          </w:tcPr>
          <w:p>
            <w:pPr>
              <w:pStyle w:val="yTableNAm"/>
            </w:pPr>
          </w:p>
        </w:tc>
        <w:tc>
          <w:tcPr>
            <w:tcW w:w="4961" w:type="dxa"/>
            <w:gridSpan w:val="3"/>
            <w:tcBorders>
              <w:bottom w:val="single" w:sz="4" w:space="0" w:color="auto"/>
            </w:tcBorders>
          </w:tcPr>
          <w:p>
            <w:pPr>
              <w:pStyle w:val="yTableNAm"/>
            </w:pPr>
            <w:r>
              <w:t>......................................................................................</w:t>
            </w:r>
          </w:p>
          <w:p>
            <w:pPr>
              <w:pStyle w:val="yTableNAm"/>
              <w:spacing w:before="0"/>
            </w:pPr>
            <w:r>
              <w:t>Position held by applicant</w:t>
            </w:r>
          </w:p>
        </w:tc>
      </w:tr>
      <w:tr>
        <w:trPr>
          <w:cantSplit/>
        </w:trPr>
        <w:tc>
          <w:tcPr>
            <w:tcW w:w="6662" w:type="dxa"/>
            <w:gridSpan w:val="4"/>
          </w:tcPr>
          <w:p>
            <w:pPr>
              <w:pStyle w:val="yTableNAm"/>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trPr>
          <w:cantSplit/>
        </w:trPr>
        <w:tc>
          <w:tcPr>
            <w:tcW w:w="2552" w:type="dxa"/>
            <w:gridSpan w:val="2"/>
          </w:tcPr>
          <w:p>
            <w:pPr>
              <w:pStyle w:val="yTableNAm"/>
              <w:rPr>
                <w:b/>
                <w:bCs/>
              </w:rPr>
            </w:pPr>
            <w:r>
              <w:rPr>
                <w:b/>
                <w:bCs/>
              </w:rPr>
              <w:t>Signature of applicant:</w:t>
            </w:r>
          </w:p>
        </w:tc>
        <w:tc>
          <w:tcPr>
            <w:tcW w:w="4110" w:type="dxa"/>
            <w:gridSpan w:val="2"/>
          </w:tcPr>
          <w:p>
            <w:pPr>
              <w:pStyle w:val="yTableNAm"/>
            </w:pPr>
          </w:p>
        </w:tc>
      </w:tr>
      <w:tr>
        <w:trPr>
          <w:cantSplit/>
        </w:trPr>
        <w:tc>
          <w:tcPr>
            <w:tcW w:w="2552" w:type="dxa"/>
            <w:gridSpan w:val="2"/>
          </w:tcPr>
          <w:p>
            <w:pPr>
              <w:pStyle w:val="yTableNAm"/>
              <w:rPr>
                <w:b/>
                <w:bCs/>
              </w:rPr>
            </w:pPr>
            <w:r>
              <w:rPr>
                <w:b/>
                <w:bCs/>
              </w:rPr>
              <w:t>Date:</w:t>
            </w:r>
          </w:p>
        </w:tc>
        <w:tc>
          <w:tcPr>
            <w:tcW w:w="4110" w:type="dxa"/>
            <w:gridSpan w:val="2"/>
          </w:tcPr>
          <w:p>
            <w:pPr>
              <w:pStyle w:val="yTableNAm"/>
            </w:pPr>
          </w:p>
        </w:tc>
      </w:tr>
      <w:tr>
        <w:trPr>
          <w:cantSplit/>
        </w:trPr>
        <w:tc>
          <w:tcPr>
            <w:tcW w:w="6662" w:type="dxa"/>
            <w:gridSpan w:val="4"/>
            <w:tcBorders>
              <w:bottom w:val="single" w:sz="4" w:space="0" w:color="auto"/>
            </w:tcBorders>
          </w:tcPr>
          <w:p>
            <w:pPr>
              <w:pStyle w:val="yTableNAm"/>
              <w:rPr>
                <w:i/>
                <w:sz w:val="16"/>
              </w:rPr>
            </w:pPr>
            <w:r>
              <w:rPr>
                <w:i/>
                <w:sz w:val="16"/>
              </w:rPr>
              <w:t>Note:  It is an offence under regulation 4(13) of the Supreme Court (Fees) Regulations 2002 for a person to make a statement or representation in this declaration that the person knows or has reason to believe is false or misleading in a material particular.  The maximum fine is $1 000.</w:t>
            </w:r>
          </w:p>
        </w:tc>
      </w:tr>
      <w:tr>
        <w:trPr>
          <w:cantSplit/>
        </w:trPr>
        <w:tc>
          <w:tcPr>
            <w:tcW w:w="6662" w:type="dxa"/>
            <w:gridSpan w:val="4"/>
            <w:tcBorders>
              <w:bottom w:val="single" w:sz="4" w:space="0" w:color="auto"/>
            </w:tcBorders>
          </w:tcPr>
          <w:p>
            <w:pPr>
              <w:pStyle w:val="yTableNAm"/>
              <w:rPr>
                <w:i/>
                <w:sz w:val="16"/>
              </w:rPr>
            </w:pPr>
            <w:r>
              <w:rPr>
                <w:sz w:val="16"/>
                <w:vertAlign w:val="superscript"/>
              </w:rPr>
              <w:t xml:space="preserve">1 </w:t>
            </w:r>
            <w:r>
              <w:rPr>
                <w:i/>
                <w:sz w:val="16"/>
              </w:rPr>
              <w:t xml:space="preserve">Under regulation 3 of the Supreme Court (Fees) Regulations 2002 a small business is — </w:t>
            </w:r>
          </w:p>
          <w:p>
            <w:pPr>
              <w:pStyle w:val="yTableNAm"/>
              <w:rPr>
                <w:i/>
                <w:sz w:val="16"/>
              </w:rPr>
            </w:pPr>
            <w:r>
              <w:rPr>
                <w:i/>
                <w:sz w:val="16"/>
              </w:rPr>
              <w:t>an individual or individuals in partnership who wholly own and operate a business undertaking that has less than 20 full-time equivalent employees and partners;</w:t>
            </w:r>
          </w:p>
          <w:p>
            <w:pPr>
              <w:pStyle w:val="yTableNAm"/>
              <w:rPr>
                <w:i/>
                <w:sz w:val="16"/>
              </w:rPr>
            </w:pPr>
            <w:r>
              <w:rPr>
                <w:i/>
                <w:sz w:val="16"/>
              </w:rPr>
              <w:t>a corporation that has less than 20 full-time equivalent employees and that is not a subsidiary of a corporation that has 20 or more full-time equivalent employees;</w:t>
            </w:r>
          </w:p>
        </w:tc>
      </w:tr>
      <w:tr>
        <w:trPr>
          <w:cantSplit/>
        </w:trPr>
        <w:tc>
          <w:tcPr>
            <w:tcW w:w="6662" w:type="dxa"/>
            <w:gridSpan w:val="4"/>
          </w:tcPr>
          <w:p>
            <w:pPr>
              <w:pStyle w:val="yTableNAm"/>
              <w:rPr>
                <w:i/>
                <w:sz w:val="16"/>
              </w:rPr>
            </w:pPr>
            <w:r>
              <w:rPr>
                <w:i/>
                <w:sz w:val="16"/>
              </w:rPr>
              <w:t>a company within the meaning of the Companies (Co</w:t>
            </w:r>
            <w:r>
              <w:rPr>
                <w:i/>
                <w:sz w:val="16"/>
              </w:rPr>
              <w:noBreakHyphen/>
              <w:t>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 or</w:t>
            </w:r>
          </w:p>
          <w:p>
            <w:pPr>
              <w:pStyle w:val="yTableNAm"/>
              <w:rPr>
                <w:sz w:val="16"/>
                <w:vertAlign w:val="superscript"/>
              </w:rPr>
            </w:pPr>
            <w:r>
              <w:rPr>
                <w:i/>
                <w:sz w:val="16"/>
              </w:rPr>
              <w:t>a corporation within the meaning of the Statutory Corporations (Liability of Directors) Act 1996 that has less than 20 full-time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full-time equivalent employees.</w:t>
            </w:r>
          </w:p>
        </w:tc>
      </w:tr>
      <w:tr>
        <w:trPr>
          <w:cantSplit/>
        </w:trPr>
        <w:tc>
          <w:tcPr>
            <w:tcW w:w="6662" w:type="dxa"/>
            <w:gridSpan w:val="4"/>
            <w:tcBorders>
              <w:bottom w:val="single" w:sz="4" w:space="0" w:color="auto"/>
            </w:tcBorders>
          </w:tcPr>
          <w:p>
            <w:pPr>
              <w:pStyle w:val="yTableNAm"/>
              <w:rPr>
                <w:i/>
                <w:sz w:val="16"/>
              </w:rPr>
            </w:pPr>
            <w:r>
              <w:rPr>
                <w:i/>
                <w:sz w:val="16"/>
                <w:vertAlign w:val="superscript"/>
              </w:rPr>
              <w:t>2</w:t>
            </w:r>
            <w:r>
              <w:rPr>
                <w:i/>
                <w:sz w:val="16"/>
              </w:rPr>
              <w:t xml:space="preserve"> Under regulation 3 of the Supreme Court (Fees) Regulations 2002 a non</w:t>
            </w:r>
            <w:r>
              <w:rPr>
                <w:i/>
                <w:sz w:val="16"/>
              </w:rPr>
              <w:noBreakHyphen/>
              <w:t>profit association is a society, club, institution, or body that is not for the purpose of trading or securing pecuniary profit for its members from its transactions.</w:t>
            </w:r>
          </w:p>
        </w:tc>
      </w:tr>
    </w:tbl>
    <w:p>
      <w:pPr>
        <w:pStyle w:val="yFootnotesection"/>
      </w:pPr>
      <w:r>
        <w:tab/>
        <w:t>[Form 1 amended in Gazette 30 Dec 2003 p. 5700; 23 Jun 2005 p. 2700.]</w:t>
      </w:r>
    </w:p>
    <w:p>
      <w:pPr>
        <w:pStyle w:val="Subsection"/>
        <w:ind w:left="0" w:firstLine="0"/>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850"/>
        <w:gridCol w:w="213"/>
        <w:gridCol w:w="71"/>
        <w:gridCol w:w="637"/>
        <w:gridCol w:w="922"/>
        <w:gridCol w:w="567"/>
        <w:gridCol w:w="850"/>
      </w:tblGrid>
      <w:tr>
        <w:tc>
          <w:tcPr>
            <w:tcW w:w="6662" w:type="dxa"/>
            <w:gridSpan w:val="9"/>
          </w:tcPr>
          <w:p>
            <w:pPr>
              <w:pStyle w:val="yTableNAm"/>
              <w:pageBreakBefore/>
              <w:jc w:val="center"/>
              <w:rPr>
                <w:b/>
                <w:bCs/>
              </w:rPr>
            </w:pPr>
            <w:r>
              <w:rPr>
                <w:b/>
                <w:bCs/>
              </w:rPr>
              <w:t>Form 2</w:t>
            </w:r>
          </w:p>
          <w:p>
            <w:pPr>
              <w:pStyle w:val="yTableNAm"/>
              <w:jc w:val="center"/>
              <w:rPr>
                <w:b/>
                <w:bCs/>
              </w:rPr>
            </w:pPr>
            <w:r>
              <w:rPr>
                <w:b/>
                <w:bCs/>
              </w:rPr>
              <w:t>Application to remit fees</w:t>
            </w:r>
          </w:p>
        </w:tc>
      </w:tr>
      <w:tr>
        <w:trPr>
          <w:cantSplit/>
        </w:trPr>
        <w:tc>
          <w:tcPr>
            <w:tcW w:w="3615" w:type="dxa"/>
            <w:gridSpan w:val="4"/>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047" w:type="dxa"/>
            <w:gridSpan w:val="5"/>
          </w:tcPr>
          <w:p>
            <w:pPr>
              <w:pStyle w:val="yTableNAm"/>
            </w:pPr>
            <w:r>
              <w:t>No.</w:t>
            </w:r>
            <w:r>
              <w:tab/>
              <w:t>of  2</w:t>
            </w:r>
          </w:p>
        </w:tc>
      </w:tr>
      <w:tr>
        <w:trPr>
          <w:cantSplit/>
        </w:trPr>
        <w:tc>
          <w:tcPr>
            <w:tcW w:w="6662" w:type="dxa"/>
            <w:gridSpan w:val="9"/>
          </w:tcPr>
          <w:p>
            <w:pPr>
              <w:pStyle w:val="yTableNAm"/>
              <w:tabs>
                <w:tab w:val="left" w:pos="3470"/>
              </w:tabs>
            </w:pPr>
            <w:r>
              <w:rPr>
                <w:b/>
              </w:rPr>
              <w:t>Plaintiff/Appellant*:</w:t>
            </w:r>
            <w:r>
              <w:rPr>
                <w:bCs/>
              </w:rPr>
              <w:tab/>
            </w:r>
            <w:r>
              <w:t>................................................</w:t>
            </w:r>
          </w:p>
          <w:p>
            <w:pPr>
              <w:pStyle w:val="yTableNAm"/>
              <w:tabs>
                <w:tab w:val="left" w:pos="3470"/>
              </w:tabs>
              <w:spacing w:before="0"/>
            </w:pPr>
            <w:r>
              <w:rPr>
                <w:sz w:val="20"/>
              </w:rPr>
              <w:t>(*strike out word that is not applicable)</w:t>
            </w:r>
          </w:p>
        </w:tc>
      </w:tr>
      <w:tr>
        <w:trPr>
          <w:cantSplit/>
        </w:trPr>
        <w:tc>
          <w:tcPr>
            <w:tcW w:w="6662" w:type="dxa"/>
            <w:gridSpan w:val="9"/>
          </w:tcPr>
          <w:p>
            <w:pPr>
              <w:pStyle w:val="yTableNAm"/>
              <w:tabs>
                <w:tab w:val="left" w:pos="3470"/>
              </w:tabs>
            </w:pPr>
            <w:r>
              <w:rPr>
                <w:b/>
              </w:rPr>
              <w:t>Defendant/Respondent*:</w:t>
            </w:r>
            <w:r>
              <w:rPr>
                <w:bCs/>
              </w:rPr>
              <w:tab/>
            </w:r>
            <w:r>
              <w:t>................................................</w:t>
            </w:r>
          </w:p>
          <w:p>
            <w:pPr>
              <w:pStyle w:val="yTableNAm"/>
              <w:tabs>
                <w:tab w:val="left" w:pos="3470"/>
              </w:tabs>
              <w:spacing w:before="0"/>
            </w:pPr>
            <w:r>
              <w:rPr>
                <w:sz w:val="20"/>
              </w:rPr>
              <w:t>(*strike out word that is not applicable)</w:t>
            </w:r>
          </w:p>
        </w:tc>
      </w:tr>
      <w:tr>
        <w:trPr>
          <w:cantSplit/>
          <w:trHeight w:val="433"/>
        </w:trPr>
        <w:tc>
          <w:tcPr>
            <w:tcW w:w="1701" w:type="dxa"/>
            <w:vMerge w:val="restart"/>
          </w:tcPr>
          <w:p>
            <w:pPr>
              <w:pStyle w:val="yTableNAm"/>
              <w:rPr>
                <w:b/>
                <w:bCs/>
              </w:rPr>
            </w:pPr>
            <w:r>
              <w:rPr>
                <w:b/>
                <w:bCs/>
              </w:rPr>
              <w:t>Applicant:</w:t>
            </w:r>
          </w:p>
        </w:tc>
        <w:tc>
          <w:tcPr>
            <w:tcW w:w="4961" w:type="dxa"/>
            <w:gridSpan w:val="8"/>
          </w:tcPr>
          <w:p>
            <w:pPr>
              <w:pStyle w:val="yTableNAm"/>
            </w:pPr>
            <w:r>
              <w:t>......................................................................................</w:t>
            </w:r>
          </w:p>
          <w:p>
            <w:pPr>
              <w:pStyle w:val="yTableNAm"/>
              <w:spacing w:before="0"/>
            </w:pPr>
            <w:r>
              <w:t>Full name</w:t>
            </w:r>
          </w:p>
        </w:tc>
      </w:tr>
      <w:tr>
        <w:trPr>
          <w:cantSplit/>
          <w:trHeight w:val="431"/>
        </w:trPr>
        <w:tc>
          <w:tcPr>
            <w:tcW w:w="1701" w:type="dxa"/>
            <w:vMerge/>
          </w:tcPr>
          <w:p>
            <w:pPr>
              <w:pStyle w:val="yTableNAm"/>
            </w:pPr>
          </w:p>
        </w:tc>
        <w:tc>
          <w:tcPr>
            <w:tcW w:w="4961" w:type="dxa"/>
            <w:gridSpan w:val="8"/>
          </w:tcPr>
          <w:p>
            <w:pPr>
              <w:pStyle w:val="yTableNAm"/>
            </w:pPr>
            <w:r>
              <w:t>......................................................................................</w:t>
            </w:r>
          </w:p>
          <w:p>
            <w:pPr>
              <w:pStyle w:val="yTableNAm"/>
              <w:spacing w:before="0"/>
            </w:pPr>
            <w:r>
              <w:t>Address</w:t>
            </w:r>
          </w:p>
        </w:tc>
      </w:tr>
      <w:tr>
        <w:trPr>
          <w:cantSplit/>
          <w:trHeight w:val="431"/>
        </w:trPr>
        <w:tc>
          <w:tcPr>
            <w:tcW w:w="1701" w:type="dxa"/>
            <w:vMerge/>
          </w:tcPr>
          <w:p>
            <w:pPr>
              <w:pStyle w:val="yTableNAm"/>
            </w:pPr>
          </w:p>
        </w:tc>
        <w:tc>
          <w:tcPr>
            <w:tcW w:w="2622" w:type="dxa"/>
            <w:gridSpan w:val="5"/>
          </w:tcPr>
          <w:p>
            <w:pPr>
              <w:pStyle w:val="yTableNAm"/>
            </w:pPr>
            <w:r>
              <w:t>...........................................</w:t>
            </w:r>
          </w:p>
          <w:p>
            <w:pPr>
              <w:pStyle w:val="yTableNAm"/>
              <w:spacing w:before="0"/>
            </w:pPr>
            <w:r>
              <w:t>Date of birth</w:t>
            </w:r>
          </w:p>
        </w:tc>
        <w:tc>
          <w:tcPr>
            <w:tcW w:w="2339" w:type="dxa"/>
            <w:gridSpan w:val="3"/>
          </w:tcPr>
          <w:p>
            <w:pPr>
              <w:pStyle w:val="yTableNAm"/>
            </w:pPr>
            <w:r>
              <w:t>......................................</w:t>
            </w:r>
          </w:p>
          <w:p>
            <w:pPr>
              <w:pStyle w:val="yTableNAm"/>
              <w:spacing w:before="0"/>
            </w:pPr>
            <w:r>
              <w:t>MDL No.</w:t>
            </w:r>
          </w:p>
        </w:tc>
      </w:tr>
      <w:tr>
        <w:trPr>
          <w:cantSplit/>
          <w:trHeight w:val="431"/>
        </w:trPr>
        <w:tc>
          <w:tcPr>
            <w:tcW w:w="6662" w:type="dxa"/>
            <w:gridSpan w:val="9"/>
          </w:tcPr>
          <w:p>
            <w:pPr>
              <w:pStyle w:val="yTableNAm"/>
            </w:pPr>
            <w:r>
              <w:t>The following reasons are the special reasons for applying to have the fees in relation to the above matter waived/ reduced/ refunded/ deferred*.</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rPr>
                <w:i/>
              </w:rPr>
            </w:pPr>
            <w:r>
              <w:rPr>
                <w:i/>
              </w:rPr>
              <w:t>*</w:t>
            </w:r>
            <w:r>
              <w:rPr>
                <w:i/>
              </w:rPr>
              <w:tab/>
            </w:r>
            <w:r>
              <w:rPr>
                <w:i/>
                <w:sz w:val="16"/>
              </w:rPr>
              <w:t>Strike out those that are not applicable.</w:t>
            </w:r>
          </w:p>
        </w:tc>
      </w:tr>
      <w:tr>
        <w:trPr>
          <w:cantSplit/>
          <w:trHeight w:val="431"/>
        </w:trPr>
        <w:tc>
          <w:tcPr>
            <w:tcW w:w="6662" w:type="dxa"/>
            <w:gridSpan w:val="9"/>
          </w:tcPr>
          <w:p>
            <w:pPr>
              <w:pStyle w:val="yTableNAm"/>
            </w:pPr>
            <w:r>
              <w:t xml:space="preserve">If the special reasons include that an important right or obligation affecting the community or a significant part of the community will be determined, what is the right or obligation? </w:t>
            </w:r>
            <w:r>
              <w:rPr>
                <w:i/>
                <w:sz w:val="16"/>
              </w:rPr>
              <w:t>[Give details of each right or obligation, and explain why it affects</w:t>
            </w:r>
            <w:r>
              <w:rPr>
                <w:sz w:val="16"/>
              </w:rPr>
              <w:t xml:space="preserve"> </w:t>
            </w:r>
            <w:r>
              <w:rPr>
                <w:i/>
                <w:sz w:val="16"/>
              </w:rPr>
              <w:t>the community or a significant part of the community.]</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tc>
      </w:tr>
      <w:tr>
        <w:trPr>
          <w:cantSplit/>
          <w:trHeight w:val="431"/>
        </w:trPr>
        <w:tc>
          <w:tcPr>
            <w:tcW w:w="6662" w:type="dxa"/>
            <w:gridSpan w:val="9"/>
          </w:tcPr>
          <w:p>
            <w:pPr>
              <w:pStyle w:val="yTableNAm"/>
            </w:pPr>
            <w:r>
              <w:t xml:space="preserve">If the special reasons include that the development of the law generally will be affected so as to reduce the need for further litigation, what law will be developed generally?  </w:t>
            </w:r>
            <w:r>
              <w:rPr>
                <w:i/>
                <w:sz w:val="16"/>
              </w:rPr>
              <w:t>[Give details of how a determination in relation to that law will reduce the need for further litigation.]</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tc>
      </w:tr>
      <w:tr>
        <w:trPr>
          <w:cantSplit/>
          <w:trHeight w:val="429"/>
        </w:trPr>
        <w:tc>
          <w:tcPr>
            <w:tcW w:w="6662" w:type="dxa"/>
            <w:gridSpan w:val="9"/>
          </w:tcPr>
          <w:p>
            <w:pPr>
              <w:pStyle w:val="yTableNAm"/>
            </w:pPr>
            <w:r>
              <w:t>If the special reasons include financial hardship the information required in the following part of this form must be provided by the applicant if the applicant is a natural person.</w:t>
            </w:r>
          </w:p>
        </w:tc>
      </w:tr>
      <w:tr>
        <w:trPr>
          <w:cantSplit/>
          <w:trHeight w:val="429"/>
        </w:trPr>
        <w:tc>
          <w:tcPr>
            <w:tcW w:w="6662" w:type="dxa"/>
            <w:gridSpan w:val="9"/>
          </w:tcPr>
          <w:p>
            <w:pPr>
              <w:pStyle w:val="yTableNAm"/>
            </w:pPr>
            <w:r>
              <w:t>I am employed as a ................................ by ............................................* Their business address is .........................................................................*</w:t>
            </w:r>
          </w:p>
        </w:tc>
      </w:tr>
      <w:tr>
        <w:trPr>
          <w:cantSplit/>
          <w:trHeight w:val="429"/>
        </w:trPr>
        <w:tc>
          <w:tcPr>
            <w:tcW w:w="6662" w:type="dxa"/>
            <w:gridSpan w:val="9"/>
          </w:tcPr>
          <w:p>
            <w:pPr>
              <w:pStyle w:val="yTableNAm"/>
            </w:pPr>
            <w:r>
              <w:t>I am unemployed/ a pensioner* and registered with the Department of Social Security at .......................................................................................</w:t>
            </w:r>
          </w:p>
        </w:tc>
      </w:tr>
      <w:tr>
        <w:trPr>
          <w:cantSplit/>
          <w:trHeight w:val="429"/>
        </w:trPr>
        <w:tc>
          <w:tcPr>
            <w:tcW w:w="6662" w:type="dxa"/>
            <w:gridSpan w:val="9"/>
          </w:tcPr>
          <w:p>
            <w:pPr>
              <w:pStyle w:val="yTableNAm"/>
            </w:pPr>
            <w:r>
              <w:t>I am single/ married/ in a de facto relationship/ separated.*</w:t>
            </w:r>
          </w:p>
        </w:tc>
      </w:tr>
      <w:tr>
        <w:trPr>
          <w:cantSplit/>
          <w:trHeight w:val="429"/>
        </w:trPr>
        <w:tc>
          <w:tcPr>
            <w:tcW w:w="6662" w:type="dxa"/>
            <w:gridSpan w:val="9"/>
          </w:tcPr>
          <w:p>
            <w:pPr>
              <w:pStyle w:val="yTableNAm"/>
              <w:spacing w:before="80"/>
            </w:pPr>
            <w:r>
              <w:t>I have/ do not have* a dependant wife/ husband/ de facto partner* and .............. dependant children.</w:t>
            </w:r>
          </w:p>
        </w:tc>
      </w:tr>
      <w:tr>
        <w:trPr>
          <w:cantSplit/>
          <w:trHeight w:val="429"/>
        </w:trPr>
        <w:tc>
          <w:tcPr>
            <w:tcW w:w="6662" w:type="dxa"/>
            <w:gridSpan w:val="9"/>
          </w:tcPr>
          <w:p>
            <w:pPr>
              <w:pStyle w:val="yTableNAm"/>
            </w:pPr>
            <w:r>
              <w:t xml:space="preserve">My weekly/ fortnightly* income and expenditure is as follows (in whole dollars) — </w:t>
            </w:r>
          </w:p>
        </w:tc>
      </w:tr>
      <w:tr>
        <w:trPr>
          <w:cantSplit/>
          <w:trHeight w:val="448"/>
        </w:trPr>
        <w:tc>
          <w:tcPr>
            <w:tcW w:w="3402" w:type="dxa"/>
            <w:gridSpan w:val="3"/>
            <w:tcBorders>
              <w:bottom w:val="single" w:sz="4" w:space="0" w:color="auto"/>
            </w:tcBorders>
          </w:tcPr>
          <w:p>
            <w:pPr>
              <w:pStyle w:val="yTableNAm"/>
            </w:pPr>
            <w:r>
              <w:t>Income</w:t>
            </w:r>
          </w:p>
        </w:tc>
        <w:tc>
          <w:tcPr>
            <w:tcW w:w="3260" w:type="dxa"/>
            <w:gridSpan w:val="6"/>
            <w:tcBorders>
              <w:bottom w:val="single" w:sz="4" w:space="0" w:color="auto"/>
            </w:tcBorders>
          </w:tcPr>
          <w:p>
            <w:pPr>
              <w:pStyle w:val="yTableNAm"/>
            </w:pPr>
            <w:r>
              <w:t>Expenditure</w:t>
            </w:r>
          </w:p>
        </w:tc>
      </w:tr>
      <w:tr>
        <w:trPr>
          <w:cantSplit/>
          <w:trHeight w:val="442"/>
        </w:trPr>
        <w:tc>
          <w:tcPr>
            <w:tcW w:w="2552" w:type="dxa"/>
            <w:gridSpan w:val="2"/>
            <w:tcBorders>
              <w:bottom w:val="single" w:sz="4" w:space="0" w:color="auto"/>
            </w:tcBorders>
          </w:tcPr>
          <w:p>
            <w:pPr>
              <w:pStyle w:val="yTableNAm"/>
            </w:pPr>
            <w:r>
              <w:t>Wage/salary/benefit (net)</w:t>
            </w:r>
          </w:p>
        </w:tc>
        <w:tc>
          <w:tcPr>
            <w:tcW w:w="850" w:type="dxa"/>
            <w:tcBorders>
              <w:bottom w:val="single" w:sz="4" w:space="0" w:color="auto"/>
            </w:tcBorders>
          </w:tcPr>
          <w:p>
            <w:pPr>
              <w:pStyle w:val="yTableNAm"/>
            </w:pPr>
          </w:p>
        </w:tc>
        <w:tc>
          <w:tcPr>
            <w:tcW w:w="2410" w:type="dxa"/>
            <w:gridSpan w:val="5"/>
            <w:tcBorders>
              <w:bottom w:val="single" w:sz="4" w:space="0" w:color="auto"/>
            </w:tcBorders>
          </w:tcPr>
          <w:p>
            <w:pPr>
              <w:pStyle w:val="yTableNAm"/>
            </w:pPr>
            <w:r>
              <w:t>Rent/board</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Self</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Mortgage payment</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Spouse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Maintenance for dependants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De facto partner</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Food</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Total</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Electricity/gas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Money in bank or other financial institution</w:t>
            </w:r>
          </w:p>
        </w:tc>
        <w:tc>
          <w:tcPr>
            <w:tcW w:w="850" w:type="dxa"/>
            <w:tcBorders>
              <w:bottom w:val="single" w:sz="4" w:space="0" w:color="auto"/>
            </w:tcBorders>
          </w:tcPr>
          <w:p>
            <w:pPr>
              <w:pStyle w:val="yTableNAm"/>
            </w:pPr>
          </w:p>
        </w:tc>
        <w:tc>
          <w:tcPr>
            <w:tcW w:w="2410" w:type="dxa"/>
            <w:gridSpan w:val="5"/>
            <w:tcBorders>
              <w:bottom w:val="single" w:sz="4" w:space="0" w:color="auto"/>
            </w:tcBorders>
          </w:tcPr>
          <w:p>
            <w:pPr>
              <w:pStyle w:val="yTableNAm"/>
            </w:pPr>
            <w:r>
              <w:t>Telephone</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Self</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Water</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Spouse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Rates and taxes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De facto partner</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Court orders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Total</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Lease or other (give details)</w:t>
            </w:r>
          </w:p>
          <w:p>
            <w:pPr>
              <w:pStyle w:val="yTableNAm"/>
              <w:spacing w:before="80"/>
            </w:pPr>
          </w:p>
          <w:p>
            <w:pPr>
              <w:pStyle w:val="yTableNAm"/>
            </w:pP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Income from investments</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Other debts owing (give details)</w:t>
            </w:r>
          </w:p>
          <w:p>
            <w:pPr>
              <w:pStyle w:val="yTableNAm"/>
              <w:spacing w:before="80"/>
            </w:pPr>
          </w:p>
          <w:p>
            <w:pPr>
              <w:pStyle w:val="yTableNAm"/>
            </w:pP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Other income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42"/>
        </w:trPr>
        <w:tc>
          <w:tcPr>
            <w:tcW w:w="2552" w:type="dxa"/>
            <w:gridSpan w:val="2"/>
            <w:tcBorders>
              <w:bottom w:val="single" w:sz="4" w:space="0" w:color="auto"/>
            </w:tcBorders>
          </w:tcPr>
          <w:p>
            <w:pPr>
              <w:pStyle w:val="yTableNAm"/>
            </w:pPr>
            <w:r>
              <w:t>Money owed to me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29"/>
        </w:trPr>
        <w:tc>
          <w:tcPr>
            <w:tcW w:w="2552" w:type="dxa"/>
            <w:gridSpan w:val="2"/>
          </w:tcPr>
          <w:p>
            <w:pPr>
              <w:pStyle w:val="yTableNAm"/>
            </w:pPr>
            <w:r>
              <w:t>TOTAL</w:t>
            </w:r>
          </w:p>
        </w:tc>
        <w:tc>
          <w:tcPr>
            <w:tcW w:w="850" w:type="dxa"/>
          </w:tcPr>
          <w:p>
            <w:pPr>
              <w:pStyle w:val="yTableNAm"/>
            </w:pPr>
          </w:p>
        </w:tc>
        <w:tc>
          <w:tcPr>
            <w:tcW w:w="2410" w:type="dxa"/>
            <w:gridSpan w:val="5"/>
          </w:tcPr>
          <w:p>
            <w:pPr>
              <w:pStyle w:val="yTableNAm"/>
            </w:pPr>
            <w:r>
              <w:t>TOTAL</w:t>
            </w:r>
          </w:p>
        </w:tc>
        <w:tc>
          <w:tcPr>
            <w:tcW w:w="850" w:type="dxa"/>
          </w:tcPr>
          <w:p>
            <w:pPr>
              <w:pStyle w:val="yTableNAm"/>
            </w:pPr>
          </w:p>
        </w:tc>
      </w:tr>
      <w:tr>
        <w:trPr>
          <w:cantSplit/>
          <w:trHeight w:val="429"/>
        </w:trPr>
        <w:tc>
          <w:tcPr>
            <w:tcW w:w="3402" w:type="dxa"/>
            <w:gridSpan w:val="3"/>
          </w:tcPr>
          <w:p>
            <w:pPr>
              <w:pStyle w:val="yTableNAm"/>
            </w:pPr>
            <w:r>
              <w:t>ASSETS</w:t>
            </w:r>
          </w:p>
        </w:tc>
        <w:tc>
          <w:tcPr>
            <w:tcW w:w="3260" w:type="dxa"/>
            <w:gridSpan w:val="6"/>
          </w:tcPr>
          <w:p>
            <w:pPr>
              <w:pStyle w:val="yTableNAm"/>
            </w:pPr>
            <w:r>
              <w:t>VALUE</w:t>
            </w:r>
          </w:p>
          <w:p>
            <w:pPr>
              <w:pStyle w:val="yTableNAm"/>
              <w:spacing w:before="80"/>
            </w:pPr>
            <w:r>
              <w:t>$   </w:t>
            </w:r>
          </w:p>
        </w:tc>
      </w:tr>
      <w:tr>
        <w:trPr>
          <w:cantSplit/>
          <w:trHeight w:val="429"/>
        </w:trPr>
        <w:tc>
          <w:tcPr>
            <w:tcW w:w="6662" w:type="dxa"/>
            <w:gridSpan w:val="9"/>
          </w:tcPr>
          <w:p>
            <w:pPr>
              <w:pStyle w:val="yTableNAm"/>
            </w:pPr>
            <w:r>
              <w:t xml:space="preserve">My assets and liabilities are as follows — </w:t>
            </w:r>
          </w:p>
        </w:tc>
      </w:tr>
      <w:tr>
        <w:trPr>
          <w:cantSplit/>
          <w:trHeight w:val="429"/>
        </w:trPr>
        <w:tc>
          <w:tcPr>
            <w:tcW w:w="6662" w:type="dxa"/>
            <w:gridSpan w:val="9"/>
          </w:tcPr>
          <w:p>
            <w:pPr>
              <w:pStyle w:val="yTableNAm"/>
            </w:pPr>
            <w:r>
              <w:t>House or other real property (give addresses)</w:t>
            </w:r>
          </w:p>
        </w:tc>
      </w:tr>
      <w:tr>
        <w:trPr>
          <w:cantSplit/>
          <w:trHeight w:val="429"/>
        </w:trPr>
        <w:tc>
          <w:tcPr>
            <w:tcW w:w="5812" w:type="dxa"/>
            <w:gridSpan w:val="8"/>
          </w:tcPr>
          <w:p>
            <w:pPr>
              <w:pStyle w:val="yTableNAm"/>
            </w:pPr>
            <w:r>
              <w:t>................................................................................................</w:t>
            </w:r>
          </w:p>
          <w:p>
            <w:pPr>
              <w:pStyle w:val="yTableNAm"/>
              <w:spacing w:before="80"/>
            </w:pPr>
            <w:r>
              <w:t>................................................................................................</w:t>
            </w:r>
          </w:p>
        </w:tc>
        <w:tc>
          <w:tcPr>
            <w:tcW w:w="850" w:type="dxa"/>
          </w:tcPr>
          <w:p>
            <w:pPr>
              <w:pStyle w:val="yTableNAm"/>
            </w:pPr>
            <w:r>
              <w:t>...........</w:t>
            </w:r>
          </w:p>
          <w:p>
            <w:pPr>
              <w:pStyle w:val="yTableNAm"/>
              <w:spacing w:before="80"/>
            </w:pPr>
            <w:r>
              <w:t>...........</w:t>
            </w:r>
          </w:p>
        </w:tc>
      </w:tr>
      <w:tr>
        <w:trPr>
          <w:cantSplit/>
          <w:trHeight w:val="429"/>
        </w:trPr>
        <w:tc>
          <w:tcPr>
            <w:tcW w:w="5812" w:type="dxa"/>
            <w:gridSpan w:val="8"/>
          </w:tcPr>
          <w:p>
            <w:pPr>
              <w:pStyle w:val="yTableNAm"/>
            </w:pPr>
            <w:r>
              <w:t>TOTAL</w:t>
            </w:r>
          </w:p>
        </w:tc>
        <w:tc>
          <w:tcPr>
            <w:tcW w:w="850" w:type="dxa"/>
          </w:tcPr>
          <w:p>
            <w:pPr>
              <w:pStyle w:val="yTableNAm"/>
              <w:rPr>
                <w:u w:val="single"/>
              </w:rPr>
            </w:pPr>
          </w:p>
        </w:tc>
      </w:tr>
      <w:tr>
        <w:trPr>
          <w:cantSplit/>
          <w:trHeight w:val="429"/>
        </w:trPr>
        <w:tc>
          <w:tcPr>
            <w:tcW w:w="6662" w:type="dxa"/>
            <w:gridSpan w:val="9"/>
          </w:tcPr>
          <w:p>
            <w:pPr>
              <w:pStyle w:val="yTableNAm"/>
            </w:pPr>
            <w:r>
              <w:t>Motor vehicles (car, utility, motor cycle, truck, etc.)</w:t>
            </w:r>
          </w:p>
        </w:tc>
      </w:tr>
      <w:tr>
        <w:trPr>
          <w:cantSplit/>
          <w:trHeight w:val="442"/>
        </w:trPr>
        <w:tc>
          <w:tcPr>
            <w:tcW w:w="3686" w:type="dxa"/>
            <w:gridSpan w:val="5"/>
            <w:tcBorders>
              <w:bottom w:val="single" w:sz="4" w:space="0" w:color="auto"/>
            </w:tcBorders>
          </w:tcPr>
          <w:p>
            <w:pPr>
              <w:pStyle w:val="yTableNAm"/>
            </w:pPr>
            <w:r>
              <w:t>Make and model</w:t>
            </w:r>
          </w:p>
        </w:tc>
        <w:tc>
          <w:tcPr>
            <w:tcW w:w="2126" w:type="dxa"/>
            <w:gridSpan w:val="3"/>
            <w:tcBorders>
              <w:bottom w:val="single" w:sz="4" w:space="0" w:color="auto"/>
            </w:tcBorders>
          </w:tcPr>
          <w:p>
            <w:pPr>
              <w:pStyle w:val="yTableNAm"/>
            </w:pPr>
            <w:r>
              <w:t>Reg. No</w:t>
            </w:r>
          </w:p>
        </w:tc>
        <w:tc>
          <w:tcPr>
            <w:tcW w:w="850" w:type="dxa"/>
            <w:tcBorders>
              <w:bottom w:val="single" w:sz="4" w:space="0" w:color="auto"/>
            </w:tcBorders>
          </w:tcPr>
          <w:p>
            <w:pPr>
              <w:pStyle w:val="yTableNAm"/>
            </w:pPr>
          </w:p>
        </w:tc>
      </w:tr>
      <w:tr>
        <w:trPr>
          <w:cantSplit/>
          <w:trHeight w:val="441"/>
        </w:trPr>
        <w:tc>
          <w:tcPr>
            <w:tcW w:w="3686" w:type="dxa"/>
            <w:gridSpan w:val="5"/>
            <w:tcBorders>
              <w:bottom w:val="single" w:sz="4" w:space="0" w:color="auto"/>
            </w:tcBorders>
          </w:tcPr>
          <w:p>
            <w:pPr>
              <w:pStyle w:val="yTableNAm"/>
            </w:pPr>
          </w:p>
        </w:tc>
        <w:tc>
          <w:tcPr>
            <w:tcW w:w="2126" w:type="dxa"/>
            <w:gridSpan w:val="3"/>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41"/>
        </w:trPr>
        <w:tc>
          <w:tcPr>
            <w:tcW w:w="3686" w:type="dxa"/>
            <w:gridSpan w:val="5"/>
            <w:tcBorders>
              <w:bottom w:val="single" w:sz="4" w:space="0" w:color="auto"/>
            </w:tcBorders>
          </w:tcPr>
          <w:p>
            <w:pPr>
              <w:pStyle w:val="yTableNAm"/>
            </w:pPr>
          </w:p>
        </w:tc>
        <w:tc>
          <w:tcPr>
            <w:tcW w:w="2126" w:type="dxa"/>
            <w:gridSpan w:val="3"/>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29"/>
        </w:trPr>
        <w:tc>
          <w:tcPr>
            <w:tcW w:w="5812" w:type="dxa"/>
            <w:gridSpan w:val="8"/>
          </w:tcPr>
          <w:p>
            <w:pPr>
              <w:pStyle w:val="yTableNAm"/>
            </w:pPr>
            <w:r>
              <w:t>TOTAL</w:t>
            </w:r>
          </w:p>
        </w:tc>
        <w:tc>
          <w:tcPr>
            <w:tcW w:w="850" w:type="dxa"/>
          </w:tcPr>
          <w:p>
            <w:pPr>
              <w:pStyle w:val="yTableNAm"/>
            </w:pPr>
          </w:p>
        </w:tc>
      </w:tr>
      <w:tr>
        <w:trPr>
          <w:cantSplit/>
          <w:trHeight w:val="429"/>
        </w:trPr>
        <w:tc>
          <w:tcPr>
            <w:tcW w:w="6662" w:type="dxa"/>
            <w:gridSpan w:val="9"/>
          </w:tcPr>
          <w:p>
            <w:pPr>
              <w:pStyle w:val="yTableNAm"/>
            </w:pPr>
            <w:r>
              <w:t>Home contents</w:t>
            </w:r>
          </w:p>
        </w:tc>
      </w:tr>
      <w:tr>
        <w:trPr>
          <w:cantSplit/>
          <w:trHeight w:val="443"/>
        </w:trPr>
        <w:tc>
          <w:tcPr>
            <w:tcW w:w="3686" w:type="dxa"/>
            <w:gridSpan w:val="5"/>
            <w:tcBorders>
              <w:bottom w:val="single" w:sz="4" w:space="0" w:color="auto"/>
            </w:tcBorders>
          </w:tcPr>
          <w:p>
            <w:pPr>
              <w:pStyle w:val="yTableNAm"/>
            </w:pPr>
            <w:r>
              <w:t>Television</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Video recorder</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Stereo system</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Furniture</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Dishwasher</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Microwave oven</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29"/>
        </w:trPr>
        <w:tc>
          <w:tcPr>
            <w:tcW w:w="5812" w:type="dxa"/>
            <w:gridSpan w:val="8"/>
          </w:tcPr>
          <w:p>
            <w:pPr>
              <w:pStyle w:val="yTableNAm"/>
            </w:pPr>
            <w:r>
              <w:t>Collection of coins, stamps, etc</w:t>
            </w:r>
          </w:p>
        </w:tc>
        <w:tc>
          <w:tcPr>
            <w:tcW w:w="850" w:type="dxa"/>
          </w:tcPr>
          <w:p>
            <w:pPr>
              <w:pStyle w:val="yTableNAm"/>
            </w:pPr>
          </w:p>
        </w:tc>
      </w:tr>
      <w:tr>
        <w:trPr>
          <w:cantSplit/>
          <w:trHeight w:val="429"/>
        </w:trPr>
        <w:tc>
          <w:tcPr>
            <w:tcW w:w="5812" w:type="dxa"/>
            <w:gridSpan w:val="8"/>
          </w:tcPr>
          <w:p>
            <w:pPr>
              <w:pStyle w:val="yTableNAm"/>
            </w:pPr>
            <w:r>
              <w:t>Other collectables</w:t>
            </w:r>
          </w:p>
        </w:tc>
        <w:tc>
          <w:tcPr>
            <w:tcW w:w="850" w:type="dxa"/>
          </w:tcPr>
          <w:p>
            <w:pPr>
              <w:pStyle w:val="yTableNAm"/>
            </w:pPr>
          </w:p>
        </w:tc>
      </w:tr>
      <w:tr>
        <w:trPr>
          <w:cantSplit/>
          <w:trHeight w:val="429"/>
        </w:trPr>
        <w:tc>
          <w:tcPr>
            <w:tcW w:w="5812" w:type="dxa"/>
            <w:gridSpan w:val="8"/>
          </w:tcPr>
          <w:p>
            <w:pPr>
              <w:pStyle w:val="yTableNAm"/>
            </w:pPr>
            <w:r>
              <w:t>Interest in business or company</w:t>
            </w:r>
          </w:p>
        </w:tc>
        <w:tc>
          <w:tcPr>
            <w:tcW w:w="850" w:type="dxa"/>
          </w:tcPr>
          <w:p>
            <w:pPr>
              <w:pStyle w:val="yTableNAm"/>
            </w:pPr>
          </w:p>
        </w:tc>
      </w:tr>
      <w:tr>
        <w:trPr>
          <w:cantSplit/>
          <w:trHeight w:val="429"/>
        </w:trPr>
        <w:tc>
          <w:tcPr>
            <w:tcW w:w="5812" w:type="dxa"/>
            <w:gridSpan w:val="8"/>
          </w:tcPr>
          <w:p>
            <w:pPr>
              <w:pStyle w:val="yTableNAm"/>
            </w:pPr>
            <w:r>
              <w:t>Other assets</w:t>
            </w:r>
          </w:p>
        </w:tc>
        <w:tc>
          <w:tcPr>
            <w:tcW w:w="850" w:type="dxa"/>
          </w:tcPr>
          <w:p>
            <w:pPr>
              <w:pStyle w:val="yTableNAm"/>
            </w:pPr>
          </w:p>
        </w:tc>
      </w:tr>
      <w:tr>
        <w:trPr>
          <w:cantSplit/>
          <w:trHeight w:val="429"/>
        </w:trPr>
        <w:tc>
          <w:tcPr>
            <w:tcW w:w="5812" w:type="dxa"/>
            <w:gridSpan w:val="8"/>
          </w:tcPr>
          <w:p>
            <w:pPr>
              <w:pStyle w:val="yTableNAm"/>
            </w:pPr>
            <w:r>
              <w:t>TOTAL</w:t>
            </w:r>
          </w:p>
        </w:tc>
        <w:tc>
          <w:tcPr>
            <w:tcW w:w="850" w:type="dxa"/>
          </w:tcPr>
          <w:p>
            <w:pPr>
              <w:pStyle w:val="yTableNAm"/>
            </w:pPr>
          </w:p>
        </w:tc>
      </w:tr>
      <w:tr>
        <w:trPr>
          <w:cantSplit/>
          <w:trHeight w:val="429"/>
        </w:trPr>
        <w:tc>
          <w:tcPr>
            <w:tcW w:w="5812" w:type="dxa"/>
            <w:gridSpan w:val="8"/>
          </w:tcPr>
          <w:p>
            <w:pPr>
              <w:pStyle w:val="yTableNAm"/>
            </w:pPr>
            <w:r>
              <w:t>LIABILITIES</w:t>
            </w:r>
          </w:p>
        </w:tc>
        <w:tc>
          <w:tcPr>
            <w:tcW w:w="850" w:type="dxa"/>
          </w:tcPr>
          <w:p>
            <w:pPr>
              <w:pStyle w:val="yTableNAm"/>
            </w:pPr>
          </w:p>
        </w:tc>
      </w:tr>
      <w:tr>
        <w:trPr>
          <w:cantSplit/>
          <w:trHeight w:val="429"/>
        </w:trPr>
        <w:tc>
          <w:tcPr>
            <w:tcW w:w="5812" w:type="dxa"/>
            <w:gridSpan w:val="8"/>
          </w:tcPr>
          <w:p>
            <w:pPr>
              <w:pStyle w:val="yTableNAm"/>
            </w:pPr>
            <w:r>
              <w:t>Mortgage to ....................................................... for $</w:t>
            </w:r>
          </w:p>
        </w:tc>
        <w:tc>
          <w:tcPr>
            <w:tcW w:w="850" w:type="dxa"/>
          </w:tcPr>
          <w:p>
            <w:pPr>
              <w:pStyle w:val="yTableNAm"/>
            </w:pPr>
          </w:p>
        </w:tc>
      </w:tr>
      <w:tr>
        <w:trPr>
          <w:cantSplit/>
          <w:trHeight w:val="429"/>
        </w:trPr>
        <w:tc>
          <w:tcPr>
            <w:tcW w:w="5812" w:type="dxa"/>
            <w:gridSpan w:val="8"/>
          </w:tcPr>
          <w:p>
            <w:pPr>
              <w:pStyle w:val="yTableNAm"/>
            </w:pPr>
            <w:r>
              <w:t>Other to ............................................................. for $</w:t>
            </w:r>
          </w:p>
        </w:tc>
        <w:tc>
          <w:tcPr>
            <w:tcW w:w="850" w:type="dxa"/>
          </w:tcPr>
          <w:p>
            <w:pPr>
              <w:pStyle w:val="yTableNAm"/>
            </w:pPr>
          </w:p>
        </w:tc>
      </w:tr>
      <w:tr>
        <w:trPr>
          <w:cantSplit/>
          <w:trHeight w:val="429"/>
        </w:trPr>
        <w:tc>
          <w:tcPr>
            <w:tcW w:w="5812" w:type="dxa"/>
            <w:gridSpan w:val="8"/>
          </w:tcPr>
          <w:p>
            <w:pPr>
              <w:pStyle w:val="yTableNAm"/>
            </w:pPr>
            <w:r>
              <w:t>Time to pay order ............................................. for $</w:t>
            </w:r>
          </w:p>
        </w:tc>
        <w:tc>
          <w:tcPr>
            <w:tcW w:w="850" w:type="dxa"/>
          </w:tcPr>
          <w:p>
            <w:pPr>
              <w:pStyle w:val="yTableNAm"/>
            </w:pPr>
          </w:p>
        </w:tc>
      </w:tr>
      <w:tr>
        <w:trPr>
          <w:cantSplit/>
          <w:trHeight w:val="429"/>
        </w:trPr>
        <w:tc>
          <w:tcPr>
            <w:tcW w:w="5812" w:type="dxa"/>
            <w:gridSpan w:val="8"/>
          </w:tcPr>
          <w:p>
            <w:pPr>
              <w:pStyle w:val="yTableNAm"/>
            </w:pPr>
            <w:r>
              <w:t>TOTAL</w:t>
            </w:r>
          </w:p>
        </w:tc>
        <w:tc>
          <w:tcPr>
            <w:tcW w:w="850" w:type="dxa"/>
          </w:tcPr>
          <w:p>
            <w:pPr>
              <w:pStyle w:val="yTableNAm"/>
            </w:pPr>
          </w:p>
        </w:tc>
      </w:tr>
      <w:tr>
        <w:trPr>
          <w:cantSplit/>
        </w:trPr>
        <w:tc>
          <w:tcPr>
            <w:tcW w:w="5812" w:type="dxa"/>
            <w:gridSpan w:val="8"/>
          </w:tcPr>
          <w:p>
            <w:pPr>
              <w:pStyle w:val="yTableNAm"/>
              <w:spacing w:before="80"/>
            </w:pPr>
          </w:p>
        </w:tc>
        <w:tc>
          <w:tcPr>
            <w:tcW w:w="850" w:type="dxa"/>
          </w:tcPr>
          <w:p>
            <w:pPr>
              <w:pStyle w:val="yTableNAm"/>
              <w:spacing w:before="0"/>
            </w:pPr>
          </w:p>
        </w:tc>
      </w:tr>
      <w:tr>
        <w:trPr>
          <w:cantSplit/>
        </w:trPr>
        <w:tc>
          <w:tcPr>
            <w:tcW w:w="6662" w:type="dxa"/>
            <w:gridSpan w:val="9"/>
          </w:tcPr>
          <w:p>
            <w:pPr>
              <w:pStyle w:val="yTableNAm"/>
            </w:pPr>
            <w:r>
              <w:t>If the special reasons include financial hardship the information required in the following part of this form must be provided by the applicant if the applicant is a corporation or incorporated association.</w:t>
            </w:r>
          </w:p>
        </w:tc>
      </w:tr>
      <w:tr>
        <w:tc>
          <w:tcPr>
            <w:tcW w:w="5245" w:type="dxa"/>
            <w:gridSpan w:val="7"/>
          </w:tcPr>
          <w:p>
            <w:pPr>
              <w:pStyle w:val="yTableNAm"/>
            </w:pPr>
            <w:r>
              <w:t>INCOME</w:t>
            </w:r>
          </w:p>
        </w:tc>
        <w:tc>
          <w:tcPr>
            <w:tcW w:w="1417" w:type="dxa"/>
            <w:gridSpan w:val="2"/>
          </w:tcPr>
          <w:p>
            <w:pPr>
              <w:pStyle w:val="yTableNAm"/>
            </w:pPr>
            <w:r>
              <w:t>$</w:t>
            </w:r>
          </w:p>
        </w:tc>
      </w:tr>
      <w:tr>
        <w:tc>
          <w:tcPr>
            <w:tcW w:w="5245" w:type="dxa"/>
            <w:gridSpan w:val="7"/>
          </w:tcPr>
          <w:p>
            <w:pPr>
              <w:pStyle w:val="yTableNAm"/>
            </w:pPr>
            <w:r>
              <w:t>LIABILITIES</w:t>
            </w:r>
          </w:p>
        </w:tc>
        <w:tc>
          <w:tcPr>
            <w:tcW w:w="1417" w:type="dxa"/>
            <w:gridSpan w:val="2"/>
          </w:tcPr>
          <w:p>
            <w:pPr>
              <w:pStyle w:val="yTableNAm"/>
            </w:pPr>
            <w:r>
              <w:t>$</w:t>
            </w:r>
          </w:p>
        </w:tc>
      </w:tr>
      <w:tr>
        <w:tc>
          <w:tcPr>
            <w:tcW w:w="5245" w:type="dxa"/>
            <w:gridSpan w:val="7"/>
          </w:tcPr>
          <w:p>
            <w:pPr>
              <w:pStyle w:val="yTableNAm"/>
            </w:pPr>
            <w:r>
              <w:t>ASSETS</w:t>
            </w:r>
          </w:p>
        </w:tc>
        <w:tc>
          <w:tcPr>
            <w:tcW w:w="1417" w:type="dxa"/>
            <w:gridSpan w:val="2"/>
          </w:tcPr>
          <w:p>
            <w:pPr>
              <w:pStyle w:val="yTableNAm"/>
            </w:pPr>
            <w:r>
              <w:t>VALUE</w:t>
            </w:r>
          </w:p>
          <w:p>
            <w:pPr>
              <w:pStyle w:val="yTableNAm"/>
              <w:spacing w:before="80"/>
            </w:pPr>
            <w:r>
              <w:t>$</w:t>
            </w:r>
          </w:p>
        </w:tc>
      </w:tr>
      <w:tr>
        <w:trPr>
          <w:cantSplit/>
          <w:trHeight w:val="429"/>
        </w:trPr>
        <w:tc>
          <w:tcPr>
            <w:tcW w:w="2552" w:type="dxa"/>
            <w:gridSpan w:val="2"/>
          </w:tcPr>
          <w:p>
            <w:pPr>
              <w:pStyle w:val="yTableNAm"/>
            </w:pPr>
            <w:r>
              <w:t>Signature of applicant:</w:t>
            </w:r>
          </w:p>
        </w:tc>
        <w:tc>
          <w:tcPr>
            <w:tcW w:w="4110" w:type="dxa"/>
            <w:gridSpan w:val="7"/>
          </w:tcPr>
          <w:p>
            <w:pPr>
              <w:pStyle w:val="yTableNAm"/>
            </w:pPr>
          </w:p>
        </w:tc>
      </w:tr>
      <w:tr>
        <w:trPr>
          <w:cantSplit/>
          <w:trHeight w:val="429"/>
        </w:trPr>
        <w:tc>
          <w:tcPr>
            <w:tcW w:w="2552" w:type="dxa"/>
            <w:gridSpan w:val="2"/>
          </w:tcPr>
          <w:p>
            <w:pPr>
              <w:pStyle w:val="yTableNAm"/>
            </w:pPr>
            <w:r>
              <w:t>Date:</w:t>
            </w:r>
          </w:p>
        </w:tc>
        <w:tc>
          <w:tcPr>
            <w:tcW w:w="4110" w:type="dxa"/>
            <w:gridSpan w:val="7"/>
          </w:tcPr>
          <w:p>
            <w:pPr>
              <w:pStyle w:val="yTableNAm"/>
            </w:pPr>
          </w:p>
        </w:tc>
      </w:tr>
      <w:tr>
        <w:trPr>
          <w:cantSplit/>
          <w:trHeight w:val="429"/>
        </w:trPr>
        <w:tc>
          <w:tcPr>
            <w:tcW w:w="6662" w:type="dxa"/>
            <w:gridSpan w:val="9"/>
            <w:tcBorders>
              <w:bottom w:val="single" w:sz="4" w:space="0" w:color="auto"/>
            </w:tcBorders>
          </w:tcPr>
          <w:p>
            <w:pPr>
              <w:pStyle w:val="yTableNAm"/>
              <w:rPr>
                <w:i/>
                <w:sz w:val="16"/>
              </w:rPr>
            </w:pPr>
            <w:r>
              <w:rPr>
                <w:i/>
              </w:rPr>
              <w:t>*</w:t>
            </w:r>
            <w:r>
              <w:rPr>
                <w:i/>
              </w:rPr>
              <w:tab/>
            </w:r>
            <w:r>
              <w:rPr>
                <w:i/>
                <w:sz w:val="16"/>
              </w:rPr>
              <w:t>Strike out words that are not applicable.</w:t>
            </w:r>
          </w:p>
          <w:p>
            <w:pPr>
              <w:pStyle w:val="yTableNAm"/>
              <w:rPr>
                <w:i/>
              </w:rPr>
            </w:pPr>
            <w:r>
              <w:rPr>
                <w:i/>
                <w:sz w:val="16"/>
              </w:rPr>
              <w:t>Note:  It is an offence under regulation 7(4) of the </w:t>
            </w:r>
            <w:r>
              <w:rPr>
                <w:rFonts w:ascii="Times" w:hAnsi="Times"/>
                <w:i/>
                <w:sz w:val="16"/>
              </w:rPr>
              <w:t>Supreme Court (Fees) Regulations 2002 for a person to make a statement or representation in this application that the person knows or has reason to believe is false or misleading in a material particular.  The maximum fine is $1 000.</w:t>
            </w:r>
          </w:p>
        </w:tc>
      </w:tr>
    </w:tbl>
    <w:p>
      <w:pPr>
        <w:pStyle w:val="yFootnotesection"/>
      </w:pPr>
      <w:r>
        <w:tab/>
        <w:t>[Form 2 amended in Gazette 30 Jun 2003 p. 2633; 30 Dec 2003 p. 5700</w:t>
      </w:r>
      <w:r>
        <w:noBreakHyphen/>
        <w:t>1; 28 Apr 2005 p. 1763; 23 Jun 2005 p. 2700.]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yTableNAm"/>
              <w:pageBreakBefore/>
              <w:jc w:val="center"/>
              <w:rPr>
                <w:b/>
                <w:bCs/>
              </w:rPr>
            </w:pPr>
            <w:r>
              <w:rPr>
                <w:b/>
                <w:bCs/>
              </w:rPr>
              <w:t>Form 3</w:t>
            </w:r>
          </w:p>
          <w:p>
            <w:pPr>
              <w:pStyle w:val="yTableNAm"/>
              <w:jc w:val="center"/>
              <w:rPr>
                <w:b/>
                <w:bCs/>
              </w:rPr>
            </w:pPr>
            <w:r>
              <w:rPr>
                <w:b/>
                <w:bCs/>
              </w:rPr>
              <w:t>Application for determination of dispute about fees</w:t>
            </w:r>
          </w:p>
        </w:tc>
      </w:tr>
      <w:tr>
        <w:trPr>
          <w:cantSplit/>
        </w:trPr>
        <w:tc>
          <w:tcPr>
            <w:tcW w:w="3615" w:type="dxa"/>
            <w:gridSpan w:val="2"/>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047" w:type="dxa"/>
            <w:gridSpan w:val="2"/>
          </w:tcPr>
          <w:p>
            <w:pPr>
              <w:pStyle w:val="yTableNAm"/>
            </w:pPr>
            <w:r>
              <w:t xml:space="preserve">No.       of             20    </w:t>
            </w:r>
          </w:p>
        </w:tc>
      </w:tr>
      <w:tr>
        <w:trPr>
          <w:cantSplit/>
        </w:trPr>
        <w:tc>
          <w:tcPr>
            <w:tcW w:w="6662" w:type="dxa"/>
            <w:gridSpan w:val="4"/>
          </w:tcPr>
          <w:p>
            <w:pPr>
              <w:pStyle w:val="yTableNAm"/>
              <w:tabs>
                <w:tab w:val="left" w:pos="3470"/>
              </w:tabs>
            </w:pPr>
            <w:r>
              <w:rPr>
                <w:b/>
                <w:bCs/>
              </w:rPr>
              <w:t>Plaintiff/Appellant*:</w:t>
            </w:r>
            <w:r>
              <w:tab/>
              <w:t>....................................................</w:t>
            </w:r>
          </w:p>
          <w:p>
            <w:pPr>
              <w:pStyle w:val="yTableNAm"/>
              <w:tabs>
                <w:tab w:val="left" w:pos="3470"/>
              </w:tabs>
              <w:spacing w:before="0"/>
            </w:pPr>
            <w:r>
              <w:rPr>
                <w:sz w:val="20"/>
              </w:rPr>
              <w:t>(*strike out word that is not applicable)</w:t>
            </w:r>
          </w:p>
        </w:tc>
      </w:tr>
      <w:tr>
        <w:trPr>
          <w:cantSplit/>
        </w:trPr>
        <w:tc>
          <w:tcPr>
            <w:tcW w:w="6662" w:type="dxa"/>
            <w:gridSpan w:val="4"/>
          </w:tcPr>
          <w:p>
            <w:pPr>
              <w:pStyle w:val="yTableNAm"/>
              <w:tabs>
                <w:tab w:val="left" w:pos="3470"/>
              </w:tabs>
            </w:pPr>
            <w:r>
              <w:rPr>
                <w:b/>
                <w:bCs/>
              </w:rPr>
              <w:t>Defendant/Respondent*:</w:t>
            </w:r>
            <w:r>
              <w:tab/>
              <w:t>....................................................</w:t>
            </w:r>
          </w:p>
          <w:p>
            <w:pPr>
              <w:pStyle w:val="yTableNAm"/>
              <w:tabs>
                <w:tab w:val="left" w:pos="3470"/>
              </w:tabs>
              <w:spacing w:before="0"/>
            </w:pPr>
            <w:r>
              <w:rPr>
                <w:sz w:val="20"/>
              </w:rPr>
              <w:t>(*strike out word that is not applicable)</w:t>
            </w:r>
          </w:p>
        </w:tc>
      </w:tr>
      <w:tr>
        <w:trPr>
          <w:cantSplit/>
        </w:trPr>
        <w:tc>
          <w:tcPr>
            <w:tcW w:w="1701" w:type="dxa"/>
          </w:tcPr>
          <w:p>
            <w:pPr>
              <w:pStyle w:val="yTableNAm"/>
              <w:rPr>
                <w:b/>
                <w:bCs/>
              </w:rPr>
            </w:pPr>
            <w:r>
              <w:rPr>
                <w:b/>
                <w:bCs/>
              </w:rPr>
              <w:t>Application:</w:t>
            </w:r>
          </w:p>
        </w:tc>
        <w:tc>
          <w:tcPr>
            <w:tcW w:w="4961" w:type="dxa"/>
            <w:gridSpan w:val="3"/>
          </w:tcPr>
          <w:p>
            <w:pPr>
              <w:pStyle w:val="yTableNAm"/>
            </w:pPr>
            <w:r>
              <w:t xml:space="preserve">To the Principal Registrar for a determination under s. 171(3) of the </w:t>
            </w:r>
            <w:r>
              <w:rPr>
                <w:i/>
                <w:iCs/>
              </w:rPr>
              <w:t xml:space="preserve">Supreme Court Act 1935 </w:t>
            </w:r>
            <w:r>
              <w:t xml:space="preserve">of a question regarding fees. </w:t>
            </w:r>
          </w:p>
        </w:tc>
      </w:tr>
      <w:tr>
        <w:trPr>
          <w:cantSplit/>
        </w:trPr>
        <w:tc>
          <w:tcPr>
            <w:tcW w:w="1701" w:type="dxa"/>
            <w:vMerge w:val="restart"/>
          </w:tcPr>
          <w:p>
            <w:pPr>
              <w:pStyle w:val="yTableNAm"/>
              <w:rPr>
                <w:b/>
                <w:bCs/>
              </w:rPr>
            </w:pPr>
            <w:r>
              <w:rPr>
                <w:b/>
                <w:bCs/>
              </w:rPr>
              <w:t>Applicant:</w:t>
            </w:r>
          </w:p>
        </w:tc>
        <w:tc>
          <w:tcPr>
            <w:tcW w:w="4961" w:type="dxa"/>
            <w:gridSpan w:val="3"/>
          </w:tcPr>
          <w:p>
            <w:pPr>
              <w:pStyle w:val="yTableNAm"/>
            </w:pPr>
            <w:r>
              <w:t>......................................................................................</w:t>
            </w:r>
            <w:r>
              <w:br/>
              <w:t>Full name</w:t>
            </w:r>
          </w:p>
        </w:tc>
      </w:tr>
      <w:tr>
        <w:trPr>
          <w:cantSplit/>
        </w:trPr>
        <w:tc>
          <w:tcPr>
            <w:tcW w:w="1701" w:type="dxa"/>
            <w:vMerge/>
          </w:tcPr>
          <w:p>
            <w:pPr>
              <w:pStyle w:val="yTableNAm"/>
            </w:pPr>
          </w:p>
        </w:tc>
        <w:tc>
          <w:tcPr>
            <w:tcW w:w="4961" w:type="dxa"/>
            <w:gridSpan w:val="3"/>
          </w:tcPr>
          <w:p>
            <w:pPr>
              <w:pStyle w:val="yTableNAm"/>
            </w:pPr>
            <w:r>
              <w:t>......................................................................................</w:t>
            </w:r>
            <w:r>
              <w:br/>
              <w:t>Address</w:t>
            </w:r>
          </w:p>
        </w:tc>
      </w:tr>
      <w:tr>
        <w:trPr>
          <w:cantSplit/>
        </w:trPr>
        <w:tc>
          <w:tcPr>
            <w:tcW w:w="1701" w:type="dxa"/>
            <w:vMerge/>
          </w:tcPr>
          <w:p>
            <w:pPr>
              <w:pStyle w:val="yTableNAm"/>
            </w:pPr>
          </w:p>
        </w:tc>
        <w:tc>
          <w:tcPr>
            <w:tcW w:w="2622" w:type="dxa"/>
            <w:gridSpan w:val="2"/>
          </w:tcPr>
          <w:p>
            <w:pPr>
              <w:pStyle w:val="yTableNAm"/>
            </w:pPr>
            <w:r>
              <w:t>...........................................</w:t>
            </w:r>
            <w:r>
              <w:br/>
              <w:t>Date of birth</w:t>
            </w:r>
          </w:p>
        </w:tc>
        <w:tc>
          <w:tcPr>
            <w:tcW w:w="2339" w:type="dxa"/>
          </w:tcPr>
          <w:p>
            <w:pPr>
              <w:pStyle w:val="yTableNAm"/>
            </w:pPr>
            <w:r>
              <w:t>......................................</w:t>
            </w:r>
            <w:r>
              <w:br/>
              <w:t>MDL No.</w:t>
            </w:r>
          </w:p>
        </w:tc>
      </w:tr>
      <w:tr>
        <w:trPr>
          <w:cantSplit/>
        </w:trPr>
        <w:tc>
          <w:tcPr>
            <w:tcW w:w="1701" w:type="dxa"/>
            <w:vMerge w:val="restart"/>
          </w:tcPr>
          <w:p>
            <w:pPr>
              <w:pStyle w:val="yTableNAm"/>
              <w:rPr>
                <w:b/>
                <w:bCs/>
              </w:rPr>
            </w:pPr>
            <w:r>
              <w:rPr>
                <w:b/>
                <w:bCs/>
              </w:rPr>
              <w:t>Disputed fee:</w:t>
            </w:r>
          </w:p>
        </w:tc>
        <w:tc>
          <w:tcPr>
            <w:tcW w:w="4961" w:type="dxa"/>
            <w:gridSpan w:val="3"/>
          </w:tcPr>
          <w:p>
            <w:pPr>
              <w:pStyle w:val="yTableNAm"/>
            </w:pPr>
            <w:r>
              <w:t>The disputed fee is for .................................................</w:t>
            </w:r>
          </w:p>
          <w:p>
            <w:pPr>
              <w:pStyle w:val="yTableNAm"/>
              <w:spacing w:before="80"/>
            </w:pPr>
            <w:r>
              <w:t>......................................................................................</w:t>
            </w:r>
          </w:p>
          <w:p>
            <w:pPr>
              <w:pStyle w:val="yTableNAm"/>
              <w:spacing w:before="80"/>
            </w:pPr>
            <w:r>
              <w:t>......................................................................................</w:t>
            </w:r>
          </w:p>
        </w:tc>
      </w:tr>
      <w:tr>
        <w:trPr>
          <w:cantSplit/>
        </w:trPr>
        <w:tc>
          <w:tcPr>
            <w:tcW w:w="1701" w:type="dxa"/>
            <w:vMerge/>
          </w:tcPr>
          <w:p>
            <w:pPr>
              <w:pStyle w:val="yTableNAm"/>
            </w:pPr>
          </w:p>
        </w:tc>
        <w:tc>
          <w:tcPr>
            <w:tcW w:w="4961" w:type="dxa"/>
            <w:gridSpan w:val="3"/>
          </w:tcPr>
          <w:p>
            <w:pPr>
              <w:pStyle w:val="yTableNAm"/>
            </w:pPr>
            <w:r>
              <w:rPr>
                <w:iCs/>
              </w:rPr>
              <w:t xml:space="preserve">Payable under the </w:t>
            </w:r>
            <w:r>
              <w:rPr>
                <w:i/>
              </w:rPr>
              <w:t>Supreme Court (Fees) Regulations 2002</w:t>
            </w:r>
            <w:r>
              <w:rPr>
                <w:iCs/>
              </w:rPr>
              <w:t xml:space="preserve"> — </w:t>
            </w:r>
          </w:p>
          <w:p>
            <w:pPr>
              <w:pStyle w:val="yTableNAm"/>
              <w:spacing w:before="80"/>
              <w:rPr>
                <w:i/>
              </w:rPr>
            </w:pPr>
            <w:r>
              <w:rPr>
                <w:rFonts w:ascii="MS Mincho" w:eastAsia="MS Mincho" w:hAnsi="MS Mincho" w:hint="eastAsia"/>
              </w:rPr>
              <w:t>❑</w:t>
            </w:r>
            <w:r>
              <w:rPr>
                <w:rFonts w:ascii="MS Mincho" w:eastAsia="MS Mincho" w:hAnsi="MS Mincho"/>
              </w:rPr>
              <w:tab/>
            </w:r>
            <w:r>
              <w:t>Schedule 1 item ................................................</w:t>
            </w:r>
          </w:p>
          <w:p>
            <w:pPr>
              <w:pStyle w:val="yTableNAm"/>
              <w:spacing w:before="80"/>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pPr>
              <w:pStyle w:val="yTableNAm"/>
              <w:spacing w:before="80"/>
            </w:pPr>
            <w:r>
              <w:rPr>
                <w:rFonts w:ascii="MS Mincho" w:eastAsia="MS Mincho" w:hAnsi="MS Mincho" w:hint="eastAsia"/>
              </w:rPr>
              <w:t>❑</w:t>
            </w:r>
            <w:r>
              <w:rPr>
                <w:rFonts w:ascii="MS Mincho" w:eastAsia="MS Mincho" w:hAnsi="MS Mincho"/>
              </w:rPr>
              <w:tab/>
            </w:r>
            <w:r>
              <w:t>Schedule 3 item ................................................</w:t>
            </w:r>
          </w:p>
        </w:tc>
      </w:tr>
      <w:tr>
        <w:trPr>
          <w:cantSplit/>
        </w:trPr>
        <w:tc>
          <w:tcPr>
            <w:tcW w:w="1701" w:type="dxa"/>
            <w:vMerge/>
          </w:tcPr>
          <w:p>
            <w:pPr>
              <w:pStyle w:val="yTableNAm"/>
            </w:pPr>
          </w:p>
        </w:tc>
        <w:tc>
          <w:tcPr>
            <w:tcW w:w="4961" w:type="dxa"/>
            <w:gridSpan w:val="3"/>
          </w:tcPr>
          <w:p>
            <w:pPr>
              <w:pStyle w:val="yTableNAm"/>
            </w:pPr>
            <w:r>
              <w:t xml:space="preserve">I dispute — </w:t>
            </w:r>
          </w:p>
          <w:p>
            <w:pPr>
              <w:pStyle w:val="yTableNAm"/>
              <w:spacing w:before="80"/>
            </w:pPr>
            <w:r>
              <w:rPr>
                <w:rFonts w:ascii="MS Mincho" w:eastAsia="MS Mincho" w:hAnsi="MS Mincho" w:hint="eastAsia"/>
              </w:rPr>
              <w:t>❑</w:t>
            </w:r>
            <w:r>
              <w:rPr>
                <w:rFonts w:ascii="MS Mincho" w:eastAsia="MS Mincho" w:hAnsi="MS Mincho"/>
              </w:rPr>
              <w:tab/>
            </w:r>
            <w:r>
              <w:t>that the fee is payable</w:t>
            </w:r>
          </w:p>
          <w:p>
            <w:pPr>
              <w:pStyle w:val="yTableNAm"/>
              <w:spacing w:before="80"/>
            </w:pPr>
            <w:r>
              <w:rPr>
                <w:rFonts w:ascii="MS Mincho" w:eastAsia="MS Mincho" w:hAnsi="MS Mincho" w:hint="eastAsia"/>
              </w:rPr>
              <w:t>❑</w:t>
            </w:r>
            <w:r>
              <w:tab/>
              <w:t>the amount of the fee</w:t>
            </w:r>
          </w:p>
          <w:p>
            <w:pPr>
              <w:pStyle w:val="yTableNAm"/>
              <w:spacing w:before="80"/>
            </w:pPr>
            <w:r>
              <w:rPr>
                <w:rFonts w:ascii="MS Mincho" w:eastAsia="MS Mincho" w:hAnsi="MS Mincho" w:hint="eastAsia"/>
              </w:rPr>
              <w:t>❑</w:t>
            </w:r>
            <w:r>
              <w:tab/>
              <w:t xml:space="preserve">other </w:t>
            </w:r>
            <w:r>
              <w:rPr>
                <w:i/>
                <w:iCs/>
                <w:sz w:val="16"/>
              </w:rPr>
              <w:t>[give details]</w:t>
            </w:r>
            <w:r>
              <w:t>..................................................</w:t>
            </w:r>
          </w:p>
          <w:p>
            <w:pPr>
              <w:pStyle w:val="yTableNAm"/>
              <w:spacing w:before="80"/>
            </w:pPr>
            <w:r>
              <w:tab/>
              <w:t>...........................................................................</w:t>
            </w:r>
          </w:p>
        </w:tc>
      </w:tr>
      <w:tr>
        <w:trPr>
          <w:cantSplit/>
        </w:trPr>
        <w:tc>
          <w:tcPr>
            <w:tcW w:w="6662" w:type="dxa"/>
            <w:gridSpan w:val="4"/>
          </w:tcPr>
          <w:p>
            <w:pPr>
              <w:pStyle w:val="yTableNAm"/>
            </w:pPr>
            <w:r>
              <w:t>I dispute the fee because ............................................................................</w:t>
            </w:r>
          </w:p>
          <w:p>
            <w:pPr>
              <w:pStyle w:val="yTableNAm"/>
            </w:pPr>
            <w:r>
              <w:t>.....................................................................................................................</w:t>
            </w:r>
          </w:p>
          <w:p>
            <w:pPr>
              <w:pStyle w:val="yTableNAm"/>
            </w:pPr>
            <w:r>
              <w:t>.....................................................................................................................</w:t>
            </w:r>
          </w:p>
          <w:p>
            <w:pPr>
              <w:pStyle w:val="yTableNAm"/>
            </w:pPr>
            <w:r>
              <w:t>.....................................................................................................................</w:t>
            </w:r>
          </w:p>
          <w:p>
            <w:pPr>
              <w:pStyle w:val="yTableNAm"/>
            </w:pPr>
            <w:r>
              <w:t>.....................................................................................................................</w:t>
            </w:r>
          </w:p>
        </w:tc>
      </w:tr>
      <w:tr>
        <w:trPr>
          <w:cantSplit/>
        </w:trPr>
        <w:tc>
          <w:tcPr>
            <w:tcW w:w="1701" w:type="dxa"/>
          </w:tcPr>
          <w:p>
            <w:pPr>
              <w:pStyle w:val="yTableNAm"/>
              <w:rPr>
                <w:b/>
                <w:bCs/>
              </w:rPr>
            </w:pPr>
            <w:r>
              <w:rPr>
                <w:b/>
                <w:bCs/>
              </w:rPr>
              <w:t>Signature of applicant:</w:t>
            </w:r>
          </w:p>
        </w:tc>
        <w:tc>
          <w:tcPr>
            <w:tcW w:w="4961" w:type="dxa"/>
            <w:gridSpan w:val="3"/>
          </w:tcPr>
          <w:p>
            <w:pPr>
              <w:pStyle w:val="yTableNAm"/>
            </w:pPr>
            <w:r>
              <w:br/>
              <w:t>......................................................................................</w:t>
            </w:r>
          </w:p>
        </w:tc>
      </w:tr>
      <w:tr>
        <w:trPr>
          <w:cantSplit/>
        </w:trPr>
        <w:tc>
          <w:tcPr>
            <w:tcW w:w="1701" w:type="dxa"/>
          </w:tcPr>
          <w:p>
            <w:pPr>
              <w:pStyle w:val="yTableNAm"/>
              <w:rPr>
                <w:b/>
                <w:bCs/>
              </w:rPr>
            </w:pPr>
            <w:r>
              <w:rPr>
                <w:b/>
                <w:bCs/>
              </w:rPr>
              <w:t>Date:</w:t>
            </w:r>
          </w:p>
        </w:tc>
        <w:tc>
          <w:tcPr>
            <w:tcW w:w="4961" w:type="dxa"/>
            <w:gridSpan w:val="3"/>
          </w:tcPr>
          <w:p>
            <w:pPr>
              <w:pStyle w:val="yTableNAm"/>
            </w:pPr>
            <w:r>
              <w:rPr>
                <w:rFonts w:eastAsia="MS Mincho"/>
              </w:rPr>
              <w:t xml:space="preserve">     /         /20      </w:t>
            </w:r>
          </w:p>
        </w:tc>
      </w:tr>
    </w:tbl>
    <w:p>
      <w:pPr>
        <w:pStyle w:val="yFootnotesection"/>
      </w:pPr>
      <w:r>
        <w:tab/>
        <w:t>[Form 3 inserted in Gazette 28 Apr 2005 p. 1763; amended in Gazette 23 Jun 2005 p. 2701.]</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60" w:name="_Toc379203666"/>
      <w:bookmarkStart w:id="61" w:name="_Toc391885698"/>
      <w:bookmarkStart w:id="62" w:name="_Toc392770220"/>
      <w:r>
        <w:t>Notes</w:t>
      </w:r>
      <w:bookmarkEnd w:id="60"/>
      <w:bookmarkEnd w:id="61"/>
      <w:bookmarkEnd w:id="62"/>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(Fees)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63" w:name="_Toc392770221"/>
      <w:bookmarkStart w:id="64" w:name="_Toc391885699"/>
      <w:r>
        <w:t>Compilation table</w:t>
      </w:r>
      <w:bookmarkEnd w:id="63"/>
      <w:bookmarkEnd w:id="64"/>
    </w:p>
    <w:tbl>
      <w:tblPr>
        <w:tblW w:w="0" w:type="auto"/>
        <w:tblInd w:w="84" w:type="dxa"/>
        <w:tblLayout w:type="fixed"/>
        <w:tblCellMar>
          <w:left w:w="56" w:type="dxa"/>
          <w:right w:w="56" w:type="dxa"/>
        </w:tblCellMar>
        <w:tblLook w:val="0000" w:firstRow="0" w:lastRow="0" w:firstColumn="0" w:lastColumn="0" w:noHBand="0" w:noVBand="0"/>
      </w:tblPr>
      <w:tblGrid>
        <w:gridCol w:w="3122"/>
        <w:gridCol w:w="1277"/>
        <w:gridCol w:w="11"/>
        <w:gridCol w:w="2682"/>
        <w:gridCol w:w="12"/>
      </w:tblGrid>
      <w:tr>
        <w:trPr>
          <w:tblHeader/>
        </w:trPr>
        <w:tc>
          <w:tcPr>
            <w:tcW w:w="3122" w:type="dxa"/>
            <w:tcBorders>
              <w:top w:val="single" w:sz="8" w:space="0" w:color="auto"/>
              <w:bottom w:val="single" w:sz="8" w:space="0" w:color="auto"/>
            </w:tcBorders>
          </w:tcPr>
          <w:p>
            <w:pPr>
              <w:pStyle w:val="nTable"/>
              <w:spacing w:after="40"/>
              <w:rPr>
                <w:b/>
                <w:sz w:val="19"/>
              </w:rPr>
            </w:pPr>
            <w:r>
              <w:rPr>
                <w:b/>
                <w:sz w:val="19"/>
              </w:rPr>
              <w:t>Citation</w:t>
            </w:r>
          </w:p>
        </w:tc>
        <w:tc>
          <w:tcPr>
            <w:tcW w:w="1277" w:type="dxa"/>
            <w:tcBorders>
              <w:top w:val="single" w:sz="8" w:space="0" w:color="auto"/>
              <w:bottom w:val="single" w:sz="8" w:space="0" w:color="auto"/>
            </w:tcBorders>
          </w:tcPr>
          <w:p>
            <w:pPr>
              <w:pStyle w:val="nTable"/>
              <w:spacing w:after="40"/>
              <w:rPr>
                <w:b/>
                <w:sz w:val="19"/>
              </w:rPr>
            </w:pPr>
            <w:r>
              <w:rPr>
                <w:b/>
                <w:sz w:val="19"/>
              </w:rPr>
              <w:t>Gazettal</w:t>
            </w:r>
          </w:p>
        </w:tc>
        <w:tc>
          <w:tcPr>
            <w:tcW w:w="2705" w:type="dxa"/>
            <w:gridSpan w:val="3"/>
            <w:tcBorders>
              <w:top w:val="single" w:sz="8" w:space="0" w:color="auto"/>
              <w:bottom w:val="single" w:sz="8" w:space="0" w:color="auto"/>
            </w:tcBorders>
          </w:tcPr>
          <w:p>
            <w:pPr>
              <w:pStyle w:val="nTable"/>
              <w:spacing w:after="40"/>
              <w:rPr>
                <w:b/>
                <w:sz w:val="19"/>
              </w:rPr>
            </w:pPr>
            <w:r>
              <w:rPr>
                <w:b/>
                <w:sz w:val="19"/>
              </w:rPr>
              <w:t>Commencement</w:t>
            </w:r>
          </w:p>
        </w:tc>
      </w:tr>
      <w:tr>
        <w:tc>
          <w:tcPr>
            <w:tcW w:w="3122" w:type="dxa"/>
            <w:tcBorders>
              <w:top w:val="single" w:sz="8" w:space="0" w:color="auto"/>
            </w:tcBorders>
          </w:tcPr>
          <w:p>
            <w:pPr>
              <w:pStyle w:val="nTable"/>
              <w:spacing w:after="40"/>
              <w:rPr>
                <w:sz w:val="19"/>
              </w:rPr>
            </w:pPr>
            <w:r>
              <w:rPr>
                <w:i/>
                <w:sz w:val="19"/>
              </w:rPr>
              <w:t>Supreme Court (Fees) Regulations 2002</w:t>
            </w:r>
          </w:p>
        </w:tc>
        <w:tc>
          <w:tcPr>
            <w:tcW w:w="1277" w:type="dxa"/>
            <w:tcBorders>
              <w:top w:val="single" w:sz="8" w:space="0" w:color="auto"/>
            </w:tcBorders>
          </w:tcPr>
          <w:p>
            <w:pPr>
              <w:pStyle w:val="nTable"/>
              <w:spacing w:after="40"/>
              <w:rPr>
                <w:sz w:val="19"/>
              </w:rPr>
            </w:pPr>
            <w:r>
              <w:rPr>
                <w:sz w:val="19"/>
              </w:rPr>
              <w:t>27 Dec 2001 p. 6583-616</w:t>
            </w:r>
          </w:p>
        </w:tc>
        <w:tc>
          <w:tcPr>
            <w:tcW w:w="2705" w:type="dxa"/>
            <w:gridSpan w:val="3"/>
            <w:tcBorders>
              <w:top w:val="single" w:sz="8" w:space="0" w:color="auto"/>
            </w:tcBorders>
          </w:tcPr>
          <w:p>
            <w:pPr>
              <w:pStyle w:val="nTable"/>
              <w:spacing w:after="40"/>
              <w:rPr>
                <w:sz w:val="19"/>
              </w:rPr>
            </w:pPr>
            <w:r>
              <w:rPr>
                <w:sz w:val="19"/>
              </w:rPr>
              <w:t>1 Jan 2002 (see r. 2)</w:t>
            </w:r>
          </w:p>
        </w:tc>
      </w:tr>
      <w:tr>
        <w:tc>
          <w:tcPr>
            <w:tcW w:w="3122" w:type="dxa"/>
          </w:tcPr>
          <w:p>
            <w:pPr>
              <w:pStyle w:val="nTable"/>
              <w:spacing w:after="40"/>
              <w:rPr>
                <w:i/>
                <w:sz w:val="19"/>
              </w:rPr>
            </w:pPr>
            <w:r>
              <w:rPr>
                <w:i/>
                <w:sz w:val="19"/>
              </w:rPr>
              <w:t>Supreme Court (Fees) Amendment Regulations 2002</w:t>
            </w:r>
          </w:p>
        </w:tc>
        <w:tc>
          <w:tcPr>
            <w:tcW w:w="1277" w:type="dxa"/>
          </w:tcPr>
          <w:p>
            <w:pPr>
              <w:pStyle w:val="nTable"/>
              <w:spacing w:after="40"/>
              <w:rPr>
                <w:sz w:val="19"/>
              </w:rPr>
            </w:pPr>
            <w:r>
              <w:rPr>
                <w:sz w:val="19"/>
              </w:rPr>
              <w:t>15 Feb 2002 p. 643</w:t>
            </w:r>
          </w:p>
        </w:tc>
        <w:tc>
          <w:tcPr>
            <w:tcW w:w="2705" w:type="dxa"/>
            <w:gridSpan w:val="3"/>
          </w:tcPr>
          <w:p>
            <w:pPr>
              <w:pStyle w:val="nTable"/>
              <w:spacing w:after="40"/>
              <w:rPr>
                <w:sz w:val="19"/>
              </w:rPr>
            </w:pPr>
            <w:r>
              <w:rPr>
                <w:sz w:val="19"/>
              </w:rPr>
              <w:t>15 Feb 2002</w:t>
            </w:r>
          </w:p>
        </w:tc>
      </w:tr>
      <w:tr>
        <w:trPr>
          <w:cantSplit/>
        </w:trPr>
        <w:tc>
          <w:tcPr>
            <w:tcW w:w="3122" w:type="dxa"/>
          </w:tcPr>
          <w:p>
            <w:pPr>
              <w:pStyle w:val="nTable"/>
              <w:spacing w:after="40"/>
              <w:ind w:right="113"/>
              <w:rPr>
                <w:i/>
                <w:spacing w:val="-2"/>
                <w:sz w:val="19"/>
              </w:rPr>
            </w:pPr>
            <w:r>
              <w:rPr>
                <w:i/>
                <w:sz w:val="19"/>
              </w:rPr>
              <w:t>Equality of Status Subsidiary Legislation Amendment Regulations 2003</w:t>
            </w:r>
            <w:r>
              <w:rPr>
                <w:sz w:val="19"/>
              </w:rPr>
              <w:t xml:space="preserve"> Pt. 38</w:t>
            </w:r>
          </w:p>
        </w:tc>
        <w:tc>
          <w:tcPr>
            <w:tcW w:w="1277" w:type="dxa"/>
          </w:tcPr>
          <w:p>
            <w:pPr>
              <w:pStyle w:val="nTable"/>
              <w:spacing w:after="40"/>
              <w:rPr>
                <w:spacing w:val="-2"/>
                <w:sz w:val="19"/>
              </w:rPr>
            </w:pPr>
            <w:r>
              <w:rPr>
                <w:sz w:val="19"/>
              </w:rPr>
              <w:t>30 Jun 2003 p. 2581</w:t>
            </w:r>
            <w:r>
              <w:rPr>
                <w:sz w:val="19"/>
              </w:rPr>
              <w:noBreakHyphen/>
              <w:t>638</w:t>
            </w:r>
          </w:p>
        </w:tc>
        <w:tc>
          <w:tcPr>
            <w:tcW w:w="2705" w:type="dxa"/>
            <w:gridSpan w:val="3"/>
          </w:tcPr>
          <w:p>
            <w:pPr>
              <w:pStyle w:val="nTable"/>
              <w:spacing w:after="40"/>
              <w:rPr>
                <w:spacing w:val="-2"/>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22" w:type="dxa"/>
          </w:tcPr>
          <w:p>
            <w:pPr>
              <w:pStyle w:val="nTable"/>
              <w:spacing w:after="40"/>
              <w:ind w:right="113"/>
              <w:rPr>
                <w:i/>
                <w:sz w:val="19"/>
              </w:rPr>
            </w:pPr>
            <w:r>
              <w:rPr>
                <w:i/>
                <w:sz w:val="19"/>
              </w:rPr>
              <w:t>Supreme Court (Fees) Amendment Regulations 2003</w:t>
            </w:r>
          </w:p>
        </w:tc>
        <w:tc>
          <w:tcPr>
            <w:tcW w:w="1277" w:type="dxa"/>
          </w:tcPr>
          <w:p>
            <w:pPr>
              <w:pStyle w:val="nTable"/>
              <w:spacing w:after="40"/>
              <w:rPr>
                <w:sz w:val="19"/>
              </w:rPr>
            </w:pPr>
            <w:r>
              <w:rPr>
                <w:sz w:val="19"/>
              </w:rPr>
              <w:t>30 Dec 2003 p. 5693-701</w:t>
            </w:r>
          </w:p>
        </w:tc>
        <w:tc>
          <w:tcPr>
            <w:tcW w:w="2705" w:type="dxa"/>
            <w:gridSpan w:val="3"/>
          </w:tcPr>
          <w:p>
            <w:pPr>
              <w:pStyle w:val="nTable"/>
              <w:spacing w:after="40"/>
              <w:rPr>
                <w:i/>
                <w:sz w:val="19"/>
              </w:rPr>
            </w:pPr>
            <w:r>
              <w:rPr>
                <w:sz w:val="19"/>
              </w:rPr>
              <w:t>1 Jan 2004 (see r. 2)</w:t>
            </w:r>
          </w:p>
        </w:tc>
      </w:tr>
      <w:tr>
        <w:trPr>
          <w:cantSplit/>
        </w:trPr>
        <w:tc>
          <w:tcPr>
            <w:tcW w:w="3122" w:type="dxa"/>
          </w:tcPr>
          <w:p>
            <w:pPr>
              <w:pStyle w:val="nTable"/>
              <w:spacing w:after="40"/>
              <w:ind w:right="113"/>
              <w:rPr>
                <w:i/>
                <w:sz w:val="19"/>
              </w:rPr>
            </w:pPr>
            <w:r>
              <w:rPr>
                <w:i/>
                <w:sz w:val="19"/>
              </w:rPr>
              <w:t>Supreme Court (Fees) Amendment Regulations 2005</w:t>
            </w:r>
          </w:p>
        </w:tc>
        <w:tc>
          <w:tcPr>
            <w:tcW w:w="1277" w:type="dxa"/>
          </w:tcPr>
          <w:p>
            <w:pPr>
              <w:pStyle w:val="nTable"/>
              <w:spacing w:after="40"/>
              <w:rPr>
                <w:sz w:val="19"/>
              </w:rPr>
            </w:pPr>
            <w:r>
              <w:rPr>
                <w:sz w:val="19"/>
              </w:rPr>
              <w:t>28 Apr 2005 p. 1758-63</w:t>
            </w:r>
          </w:p>
        </w:tc>
        <w:tc>
          <w:tcPr>
            <w:tcW w:w="2705" w:type="dxa"/>
            <w:gridSpan w:val="3"/>
          </w:tcPr>
          <w:p>
            <w:pPr>
              <w:pStyle w:val="nTable"/>
              <w:spacing w:after="40"/>
              <w:rPr>
                <w:sz w:val="19"/>
              </w:rPr>
            </w:pPr>
            <w:r>
              <w:rPr>
                <w:sz w:val="19"/>
              </w:rPr>
              <w:t xml:space="preserve">1 May 2005 (see r. 2 and </w:t>
            </w:r>
            <w:r>
              <w:rPr>
                <w:i/>
                <w:iCs/>
                <w:sz w:val="19"/>
              </w:rPr>
              <w:t>Gazette</w:t>
            </w:r>
            <w:r>
              <w:rPr>
                <w:sz w:val="19"/>
              </w:rPr>
              <w:t xml:space="preserve"> 31 Dec 2004 p. 7128)</w:t>
            </w:r>
          </w:p>
        </w:tc>
      </w:tr>
      <w:tr>
        <w:trPr>
          <w:cantSplit/>
        </w:trPr>
        <w:tc>
          <w:tcPr>
            <w:tcW w:w="3122" w:type="dxa"/>
          </w:tcPr>
          <w:p>
            <w:pPr>
              <w:pStyle w:val="nTable"/>
              <w:spacing w:after="40"/>
              <w:ind w:right="113"/>
              <w:rPr>
                <w:i/>
                <w:sz w:val="19"/>
              </w:rPr>
            </w:pPr>
            <w:r>
              <w:rPr>
                <w:i/>
                <w:sz w:val="19"/>
              </w:rPr>
              <w:t>Supreme Court (Fees) Amendment Regulations (No. 2) 2005</w:t>
            </w:r>
          </w:p>
        </w:tc>
        <w:tc>
          <w:tcPr>
            <w:tcW w:w="1277" w:type="dxa"/>
          </w:tcPr>
          <w:p>
            <w:pPr>
              <w:pStyle w:val="nTable"/>
              <w:spacing w:after="40"/>
              <w:rPr>
                <w:sz w:val="19"/>
              </w:rPr>
            </w:pPr>
            <w:r>
              <w:rPr>
                <w:sz w:val="19"/>
              </w:rPr>
              <w:t>23 Jun 2005 p. 2693-701</w:t>
            </w:r>
          </w:p>
        </w:tc>
        <w:tc>
          <w:tcPr>
            <w:tcW w:w="2705" w:type="dxa"/>
            <w:gridSpan w:val="3"/>
          </w:tcPr>
          <w:p>
            <w:pPr>
              <w:pStyle w:val="nTable"/>
              <w:spacing w:after="40"/>
              <w:rPr>
                <w:sz w:val="19"/>
              </w:rPr>
            </w:pPr>
            <w:r>
              <w:rPr>
                <w:sz w:val="19"/>
              </w:rPr>
              <w:t>1 Jul 2005 (see r. 2)</w:t>
            </w:r>
          </w:p>
        </w:tc>
      </w:tr>
      <w:tr>
        <w:trPr>
          <w:cantSplit/>
        </w:trPr>
        <w:tc>
          <w:tcPr>
            <w:tcW w:w="3122" w:type="dxa"/>
          </w:tcPr>
          <w:p>
            <w:pPr>
              <w:pStyle w:val="nTable"/>
              <w:spacing w:after="40"/>
              <w:ind w:right="113"/>
              <w:rPr>
                <w:i/>
                <w:sz w:val="19"/>
              </w:rPr>
            </w:pPr>
            <w:r>
              <w:rPr>
                <w:i/>
                <w:sz w:val="19"/>
              </w:rPr>
              <w:t>Supreme Court (Fees) Amendment Regulations 2006</w:t>
            </w:r>
          </w:p>
        </w:tc>
        <w:tc>
          <w:tcPr>
            <w:tcW w:w="1277" w:type="dxa"/>
          </w:tcPr>
          <w:p>
            <w:pPr>
              <w:pStyle w:val="nTable"/>
              <w:spacing w:after="40"/>
              <w:rPr>
                <w:sz w:val="19"/>
              </w:rPr>
            </w:pPr>
            <w:r>
              <w:rPr>
                <w:sz w:val="19"/>
              </w:rPr>
              <w:t>23 Jun 2006 p. 2184</w:t>
            </w:r>
            <w:r>
              <w:rPr>
                <w:sz w:val="19"/>
              </w:rPr>
              <w:noBreakHyphen/>
              <w:t>7</w:t>
            </w:r>
          </w:p>
        </w:tc>
        <w:tc>
          <w:tcPr>
            <w:tcW w:w="2705" w:type="dxa"/>
            <w:gridSpan w:val="3"/>
          </w:tcPr>
          <w:p>
            <w:pPr>
              <w:pStyle w:val="nTable"/>
              <w:spacing w:after="40"/>
              <w:rPr>
                <w:sz w:val="19"/>
              </w:rPr>
            </w:pPr>
            <w:r>
              <w:rPr>
                <w:sz w:val="19"/>
              </w:rPr>
              <w:t>1 Jul 2006 (see r. 2)</w:t>
            </w:r>
          </w:p>
        </w:tc>
      </w:tr>
      <w:tr>
        <w:trPr>
          <w:cantSplit/>
        </w:trPr>
        <w:tc>
          <w:tcPr>
            <w:tcW w:w="7104" w:type="dxa"/>
            <w:gridSpan w:val="5"/>
          </w:tcPr>
          <w:p>
            <w:pPr>
              <w:pStyle w:val="nTable"/>
              <w:spacing w:after="40"/>
              <w:rPr>
                <w:sz w:val="19"/>
              </w:rPr>
            </w:pPr>
            <w:r>
              <w:rPr>
                <w:b/>
                <w:bCs/>
                <w:sz w:val="19"/>
              </w:rPr>
              <w:t xml:space="preserve">Reprint 1: The </w:t>
            </w:r>
            <w:r>
              <w:rPr>
                <w:b/>
                <w:bCs/>
                <w:i/>
                <w:sz w:val="19"/>
              </w:rPr>
              <w:t>Supreme Court (Fees) Regulations 2002</w:t>
            </w:r>
            <w:r>
              <w:rPr>
                <w:b/>
                <w:bCs/>
                <w:sz w:val="19"/>
              </w:rPr>
              <w:t xml:space="preserve"> as at 18 Aug 2006</w:t>
            </w:r>
            <w:r>
              <w:rPr>
                <w:sz w:val="19"/>
              </w:rPr>
              <w:t xml:space="preserve"> (includes amendments listed above)</w:t>
            </w:r>
          </w:p>
        </w:tc>
      </w:tr>
      <w:tr>
        <w:trPr>
          <w:cantSplit/>
        </w:trPr>
        <w:tc>
          <w:tcPr>
            <w:tcW w:w="3122" w:type="dxa"/>
          </w:tcPr>
          <w:p>
            <w:pPr>
              <w:pStyle w:val="nTable"/>
              <w:spacing w:after="40"/>
              <w:ind w:right="113"/>
              <w:rPr>
                <w:i/>
                <w:sz w:val="19"/>
              </w:rPr>
            </w:pPr>
            <w:r>
              <w:rPr>
                <w:i/>
                <w:sz w:val="19"/>
              </w:rPr>
              <w:t>Supreme Court (Fees) Amendment Regulations 2007</w:t>
            </w:r>
          </w:p>
        </w:tc>
        <w:tc>
          <w:tcPr>
            <w:tcW w:w="1277" w:type="dxa"/>
          </w:tcPr>
          <w:p>
            <w:pPr>
              <w:pStyle w:val="nTable"/>
              <w:spacing w:after="40"/>
              <w:rPr>
                <w:sz w:val="19"/>
              </w:rPr>
            </w:pPr>
            <w:r>
              <w:rPr>
                <w:sz w:val="19"/>
              </w:rPr>
              <w:t>26 Jun 2007 p. 3042-4</w:t>
            </w:r>
          </w:p>
        </w:tc>
        <w:tc>
          <w:tcPr>
            <w:tcW w:w="2705" w:type="dxa"/>
            <w:gridSpan w:val="3"/>
          </w:tcPr>
          <w:p>
            <w:pPr>
              <w:pStyle w:val="nTable"/>
              <w:spacing w:after="40"/>
              <w:rPr>
                <w:sz w:val="19"/>
              </w:rPr>
            </w:pPr>
            <w:r>
              <w:rPr>
                <w:sz w:val="19"/>
              </w:rPr>
              <w:t>r. 1 and 2: 26 Jun 2007 (see r. 2(a));</w:t>
            </w:r>
            <w:r>
              <w:rPr>
                <w:sz w:val="19"/>
              </w:rPr>
              <w:br/>
              <w:t>Regulations other than r. 1 and 2: 1 Jul 2007 (see r. 2(b)(i))</w:t>
            </w:r>
          </w:p>
        </w:tc>
      </w:tr>
      <w:tr>
        <w:trPr>
          <w:gridAfter w:val="1"/>
          <w:wAfter w:w="12" w:type="dxa"/>
          <w:cantSplit/>
        </w:trPr>
        <w:tc>
          <w:tcPr>
            <w:tcW w:w="3122" w:type="dxa"/>
          </w:tcPr>
          <w:p>
            <w:pPr>
              <w:pStyle w:val="nTable"/>
              <w:spacing w:after="40"/>
              <w:ind w:right="113"/>
              <w:rPr>
                <w:i/>
                <w:sz w:val="19"/>
              </w:rPr>
            </w:pPr>
            <w:r>
              <w:rPr>
                <w:i/>
                <w:sz w:val="19"/>
              </w:rPr>
              <w:t>Supreme Court (Fees) Amendment Regulations 2008</w:t>
            </w:r>
          </w:p>
        </w:tc>
        <w:tc>
          <w:tcPr>
            <w:tcW w:w="1277" w:type="dxa"/>
          </w:tcPr>
          <w:p>
            <w:pPr>
              <w:pStyle w:val="nTable"/>
              <w:spacing w:after="40"/>
              <w:rPr>
                <w:sz w:val="19"/>
              </w:rPr>
            </w:pPr>
            <w:r>
              <w:rPr>
                <w:sz w:val="19"/>
              </w:rPr>
              <w:t>8 Feb 2008 p. 313-14</w:t>
            </w:r>
          </w:p>
        </w:tc>
        <w:tc>
          <w:tcPr>
            <w:tcW w:w="2693" w:type="dxa"/>
            <w:gridSpan w:val="2"/>
          </w:tcPr>
          <w:p>
            <w:pPr>
              <w:pStyle w:val="nTable"/>
              <w:spacing w:after="40"/>
              <w:rPr>
                <w:sz w:val="19"/>
              </w:rPr>
            </w:pPr>
            <w:r>
              <w:rPr>
                <w:sz w:val="19"/>
              </w:rPr>
              <w:t>r. 1 and 2: 8 Feb 2008 (see r. 2(a));</w:t>
            </w:r>
            <w:r>
              <w:rPr>
                <w:sz w:val="19"/>
              </w:rPr>
              <w:br/>
              <w:t xml:space="preserve">Regulations other than r. 1 and 2: 9 Feb 2008 (see r. 2(b) and </w:t>
            </w:r>
            <w:r>
              <w:rPr>
                <w:i/>
                <w:iCs/>
                <w:sz w:val="19"/>
              </w:rPr>
              <w:t>Gazette</w:t>
            </w:r>
            <w:r>
              <w:rPr>
                <w:sz w:val="19"/>
              </w:rPr>
              <w:t xml:space="preserve"> 8 Feb 2008 p. 313)</w:t>
            </w:r>
          </w:p>
        </w:tc>
      </w:tr>
      <w:tr>
        <w:trPr>
          <w:gridAfter w:val="1"/>
          <w:wAfter w:w="12" w:type="dxa"/>
          <w:cantSplit/>
        </w:trPr>
        <w:tc>
          <w:tcPr>
            <w:tcW w:w="3122" w:type="dxa"/>
          </w:tcPr>
          <w:p>
            <w:pPr>
              <w:pStyle w:val="nTable"/>
              <w:spacing w:after="40"/>
              <w:ind w:right="113"/>
              <w:rPr>
                <w:i/>
                <w:sz w:val="19"/>
              </w:rPr>
            </w:pPr>
            <w:r>
              <w:rPr>
                <w:i/>
                <w:sz w:val="19"/>
              </w:rPr>
              <w:t>Supreme Court (Fees) Amendment Regulations (No. 2) 2008</w:t>
            </w:r>
          </w:p>
        </w:tc>
        <w:tc>
          <w:tcPr>
            <w:tcW w:w="1277" w:type="dxa"/>
          </w:tcPr>
          <w:p>
            <w:pPr>
              <w:pStyle w:val="nTable"/>
              <w:spacing w:after="40"/>
              <w:rPr>
                <w:sz w:val="19"/>
              </w:rPr>
            </w:pPr>
            <w:r>
              <w:rPr>
                <w:sz w:val="19"/>
              </w:rPr>
              <w:t>27 Jun 2008 p. 3059-62</w:t>
            </w:r>
          </w:p>
        </w:tc>
        <w:tc>
          <w:tcPr>
            <w:tcW w:w="2693" w:type="dxa"/>
            <w:gridSpan w:val="2"/>
          </w:tcPr>
          <w:p>
            <w:pPr>
              <w:pStyle w:val="nTable"/>
              <w:spacing w:after="40"/>
              <w:rPr>
                <w:sz w:val="19"/>
              </w:rPr>
            </w:pPr>
            <w:r>
              <w:rPr>
                <w:snapToGrid w:val="0"/>
                <w:sz w:val="19"/>
              </w:rPr>
              <w:t>r. 1 and 2: 27 Jun 2008 (see r. 2(a));</w:t>
            </w:r>
            <w:r>
              <w:rPr>
                <w:snapToGrid w:val="0"/>
                <w:sz w:val="19"/>
              </w:rPr>
              <w:br/>
              <w:t>Regulations other than r. 1 and 2: 1 Jul 2008 (see r. 2(b))</w:t>
            </w:r>
          </w:p>
        </w:tc>
      </w:tr>
      <w:tr>
        <w:trPr>
          <w:gridAfter w:val="1"/>
          <w:wAfter w:w="12" w:type="dxa"/>
          <w:cantSplit/>
        </w:trPr>
        <w:tc>
          <w:tcPr>
            <w:tcW w:w="3122" w:type="dxa"/>
          </w:tcPr>
          <w:p>
            <w:pPr>
              <w:pStyle w:val="nTable"/>
              <w:spacing w:after="40"/>
              <w:ind w:right="113"/>
              <w:rPr>
                <w:i/>
                <w:sz w:val="19"/>
              </w:rPr>
            </w:pPr>
            <w:r>
              <w:rPr>
                <w:i/>
                <w:sz w:val="19"/>
              </w:rPr>
              <w:t>Supreme Court (Fees) Amendment Regulations 2009</w:t>
            </w:r>
          </w:p>
        </w:tc>
        <w:tc>
          <w:tcPr>
            <w:tcW w:w="1277" w:type="dxa"/>
          </w:tcPr>
          <w:p>
            <w:pPr>
              <w:pStyle w:val="nTable"/>
              <w:spacing w:after="40"/>
              <w:rPr>
                <w:sz w:val="19"/>
              </w:rPr>
            </w:pPr>
            <w:r>
              <w:rPr>
                <w:sz w:val="19"/>
              </w:rPr>
              <w:t>9 Jun 2009 p. 1921</w:t>
            </w:r>
            <w:r>
              <w:rPr>
                <w:sz w:val="19"/>
              </w:rPr>
              <w:noBreakHyphen/>
              <w:t>2</w:t>
            </w:r>
          </w:p>
        </w:tc>
        <w:tc>
          <w:tcPr>
            <w:tcW w:w="2693" w:type="dxa"/>
            <w:gridSpan w:val="2"/>
          </w:tcPr>
          <w:p>
            <w:pPr>
              <w:pStyle w:val="nTable"/>
              <w:spacing w:after="40"/>
              <w:rPr>
                <w:snapToGrid w:val="0"/>
                <w:sz w:val="19"/>
              </w:rPr>
            </w:pPr>
            <w:r>
              <w:rPr>
                <w:snapToGrid w:val="0"/>
                <w:spacing w:val="-2"/>
                <w:sz w:val="19"/>
              </w:rPr>
              <w:t>r. 1 and 2: 9 Jun 2009 (see r. 2(a));</w:t>
            </w:r>
            <w:r>
              <w:rPr>
                <w:snapToGrid w:val="0"/>
                <w:spacing w:val="-2"/>
                <w:sz w:val="19"/>
              </w:rPr>
              <w:br/>
              <w:t>Regulations other than r. 1 and 2: 10 Jun 2009 (see r. 2(b))</w:t>
            </w:r>
          </w:p>
        </w:tc>
      </w:tr>
      <w:tr>
        <w:trPr>
          <w:cantSplit/>
        </w:trPr>
        <w:tc>
          <w:tcPr>
            <w:tcW w:w="3122" w:type="dxa"/>
          </w:tcPr>
          <w:p>
            <w:pPr>
              <w:pStyle w:val="nTable"/>
              <w:spacing w:after="40"/>
              <w:ind w:right="113"/>
              <w:rPr>
                <w:i/>
                <w:sz w:val="19"/>
              </w:rPr>
            </w:pPr>
            <w:r>
              <w:rPr>
                <w:i/>
                <w:sz w:val="19"/>
              </w:rPr>
              <w:t>Supreme Court (Fees) Amendment Regulations (No. 2) 2009</w:t>
            </w:r>
          </w:p>
        </w:tc>
        <w:tc>
          <w:tcPr>
            <w:tcW w:w="1288" w:type="dxa"/>
            <w:gridSpan w:val="2"/>
          </w:tcPr>
          <w:p>
            <w:pPr>
              <w:pStyle w:val="nTable"/>
              <w:spacing w:after="40"/>
              <w:rPr>
                <w:sz w:val="19"/>
              </w:rPr>
            </w:pPr>
            <w:r>
              <w:rPr>
                <w:sz w:val="19"/>
              </w:rPr>
              <w:t>4 Sep 2009 p. 3461-72</w:t>
            </w:r>
          </w:p>
        </w:tc>
        <w:tc>
          <w:tcPr>
            <w:tcW w:w="2694" w:type="dxa"/>
            <w:gridSpan w:val="2"/>
          </w:tcPr>
          <w:p>
            <w:pPr>
              <w:pStyle w:val="nTable"/>
              <w:spacing w:after="40"/>
              <w:rPr>
                <w:snapToGrid w:val="0"/>
                <w:spacing w:val="-2"/>
                <w:sz w:val="19"/>
              </w:rPr>
            </w:pPr>
            <w:r>
              <w:rPr>
                <w:snapToGrid w:val="0"/>
                <w:spacing w:val="-2"/>
                <w:sz w:val="19"/>
              </w:rPr>
              <w:t>r. 1 and 2: 4 Sep 2009 (see r. 2(a));</w:t>
            </w:r>
            <w:r>
              <w:rPr>
                <w:snapToGrid w:val="0"/>
                <w:spacing w:val="-2"/>
                <w:sz w:val="19"/>
              </w:rPr>
              <w:br/>
              <w:t>Regulations other than r. 1 and 2: 5 Sep 2009 (see r. 2(b))</w:t>
            </w:r>
          </w:p>
        </w:tc>
      </w:tr>
      <w:tr>
        <w:trPr>
          <w:gridAfter w:val="1"/>
          <w:wAfter w:w="12" w:type="dxa"/>
          <w:cantSplit/>
        </w:trPr>
        <w:tc>
          <w:tcPr>
            <w:tcW w:w="7092" w:type="dxa"/>
            <w:gridSpan w:val="4"/>
          </w:tcPr>
          <w:p>
            <w:pPr>
              <w:pStyle w:val="nTable"/>
              <w:spacing w:after="40"/>
              <w:rPr>
                <w:snapToGrid w:val="0"/>
                <w:spacing w:val="-2"/>
                <w:sz w:val="19"/>
              </w:rPr>
            </w:pPr>
            <w:r>
              <w:rPr>
                <w:b/>
                <w:bCs/>
                <w:sz w:val="19"/>
              </w:rPr>
              <w:t xml:space="preserve">Reprint 2: The </w:t>
            </w:r>
            <w:r>
              <w:rPr>
                <w:b/>
                <w:bCs/>
                <w:i/>
                <w:sz w:val="19"/>
              </w:rPr>
              <w:t>Supreme Court (Fees) Regulations 2002</w:t>
            </w:r>
            <w:r>
              <w:rPr>
                <w:b/>
                <w:bCs/>
                <w:sz w:val="19"/>
              </w:rPr>
              <w:t xml:space="preserve"> as at 13 Nov 2009</w:t>
            </w:r>
            <w:r>
              <w:rPr>
                <w:sz w:val="19"/>
              </w:rPr>
              <w:t xml:space="preserve"> (includes amendments listed above)</w:t>
            </w:r>
          </w:p>
        </w:tc>
      </w:tr>
      <w:tr>
        <w:trPr>
          <w:cantSplit/>
        </w:trPr>
        <w:tc>
          <w:tcPr>
            <w:tcW w:w="3122" w:type="dxa"/>
          </w:tcPr>
          <w:p>
            <w:pPr>
              <w:pStyle w:val="nTable"/>
              <w:spacing w:after="40"/>
              <w:ind w:right="113"/>
              <w:rPr>
                <w:rFonts w:ascii="Times" w:hAnsi="Times"/>
                <w:i/>
                <w:sz w:val="19"/>
              </w:rPr>
            </w:pPr>
            <w:r>
              <w:rPr>
                <w:rFonts w:ascii="Times" w:hAnsi="Times"/>
                <w:i/>
                <w:sz w:val="19"/>
              </w:rPr>
              <w:t>Supreme Court (Fees) Amendment Regulations 2010</w:t>
            </w:r>
          </w:p>
        </w:tc>
        <w:tc>
          <w:tcPr>
            <w:tcW w:w="1288" w:type="dxa"/>
            <w:gridSpan w:val="2"/>
          </w:tcPr>
          <w:p>
            <w:pPr>
              <w:pStyle w:val="nTable"/>
              <w:spacing w:after="40"/>
              <w:rPr>
                <w:rFonts w:ascii="Times" w:hAnsi="Times"/>
                <w:sz w:val="19"/>
              </w:rPr>
            </w:pPr>
            <w:r>
              <w:rPr>
                <w:rFonts w:ascii="Times" w:hAnsi="Times"/>
                <w:sz w:val="19"/>
              </w:rPr>
              <w:t>30 Jul 2010 p. 3496-7</w:t>
            </w:r>
          </w:p>
        </w:tc>
        <w:tc>
          <w:tcPr>
            <w:tcW w:w="2694" w:type="dxa"/>
            <w:gridSpan w:val="2"/>
          </w:tcPr>
          <w:p>
            <w:pPr>
              <w:pStyle w:val="nTable"/>
              <w:spacing w:after="40"/>
              <w:rPr>
                <w:rFonts w:ascii="Times" w:hAnsi="Times"/>
                <w:snapToGrid w:val="0"/>
                <w:sz w:val="19"/>
              </w:rPr>
            </w:pPr>
            <w:r>
              <w:rPr>
                <w:rFonts w:ascii="Times" w:hAnsi="Times"/>
                <w:snapToGrid w:val="0"/>
                <w:sz w:val="19"/>
              </w:rPr>
              <w:t xml:space="preserve">r. 1 and 2: </w:t>
            </w:r>
            <w:r>
              <w:rPr>
                <w:rFonts w:ascii="Times" w:hAnsi="Times"/>
                <w:sz w:val="19"/>
              </w:rPr>
              <w:t>30 Jul 2010</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31 Jul 2010</w:t>
            </w:r>
            <w:r>
              <w:rPr>
                <w:rFonts w:ascii="Times" w:hAnsi="Times"/>
                <w:snapToGrid w:val="0"/>
                <w:sz w:val="19"/>
              </w:rPr>
              <w:t xml:space="preserve"> (see r. 2(b))</w:t>
            </w:r>
          </w:p>
        </w:tc>
      </w:tr>
      <w:tr>
        <w:trPr>
          <w:cantSplit/>
        </w:trPr>
        <w:tc>
          <w:tcPr>
            <w:tcW w:w="3122" w:type="dxa"/>
          </w:tcPr>
          <w:p>
            <w:pPr>
              <w:pStyle w:val="nTable"/>
              <w:spacing w:after="40"/>
              <w:ind w:right="113"/>
              <w:rPr>
                <w:rFonts w:ascii="Times" w:hAnsi="Times"/>
                <w:i/>
                <w:sz w:val="19"/>
              </w:rPr>
            </w:pPr>
            <w:r>
              <w:rPr>
                <w:rFonts w:ascii="Times" w:hAnsi="Times"/>
                <w:i/>
                <w:sz w:val="19"/>
              </w:rPr>
              <w:t>Supreme Court (Fees) Amendment Regulations 2011</w:t>
            </w:r>
          </w:p>
        </w:tc>
        <w:tc>
          <w:tcPr>
            <w:tcW w:w="1288" w:type="dxa"/>
            <w:gridSpan w:val="2"/>
          </w:tcPr>
          <w:p>
            <w:pPr>
              <w:pStyle w:val="nTable"/>
              <w:spacing w:after="40"/>
              <w:rPr>
                <w:rFonts w:ascii="Times" w:hAnsi="Times"/>
                <w:sz w:val="19"/>
              </w:rPr>
            </w:pPr>
            <w:r>
              <w:rPr>
                <w:rFonts w:ascii="Times" w:hAnsi="Times"/>
                <w:sz w:val="19"/>
              </w:rPr>
              <w:t>8 Mar 2011 p. 781</w:t>
            </w:r>
            <w:r>
              <w:rPr>
                <w:rFonts w:ascii="Times" w:hAnsi="Times"/>
                <w:sz w:val="19"/>
              </w:rPr>
              <w:noBreakHyphen/>
              <w:t>4</w:t>
            </w:r>
          </w:p>
        </w:tc>
        <w:tc>
          <w:tcPr>
            <w:tcW w:w="2694" w:type="dxa"/>
            <w:gridSpan w:val="2"/>
          </w:tcPr>
          <w:p>
            <w:pPr>
              <w:pStyle w:val="nTable"/>
              <w:spacing w:after="40"/>
              <w:rPr>
                <w:rFonts w:ascii="Times" w:hAnsi="Times"/>
                <w:snapToGrid w:val="0"/>
                <w:sz w:val="19"/>
              </w:rPr>
            </w:pPr>
            <w:r>
              <w:rPr>
                <w:rFonts w:ascii="Times" w:hAnsi="Times"/>
                <w:snapToGrid w:val="0"/>
                <w:sz w:val="19"/>
              </w:rPr>
              <w:t>r. 1 and 2: 8 Mar 2011 (see r. 2(a));</w:t>
            </w:r>
            <w:r>
              <w:rPr>
                <w:rFonts w:ascii="Times" w:hAnsi="Times"/>
                <w:snapToGrid w:val="0"/>
                <w:sz w:val="19"/>
              </w:rPr>
              <w:br/>
              <w:t>Regulations other than r. 1 and 2: 9 Mar 2011 (see r. 2(b))</w:t>
            </w:r>
          </w:p>
        </w:tc>
      </w:tr>
      <w:tr>
        <w:trPr>
          <w:cantSplit/>
        </w:trPr>
        <w:tc>
          <w:tcPr>
            <w:tcW w:w="3122" w:type="dxa"/>
          </w:tcPr>
          <w:p>
            <w:pPr>
              <w:pStyle w:val="nTable"/>
              <w:spacing w:after="40"/>
              <w:ind w:right="113"/>
              <w:rPr>
                <w:rFonts w:ascii="Times" w:hAnsi="Times"/>
                <w:i/>
                <w:sz w:val="19"/>
              </w:rPr>
            </w:pPr>
            <w:r>
              <w:rPr>
                <w:rFonts w:ascii="Times" w:hAnsi="Times"/>
                <w:i/>
                <w:sz w:val="19"/>
              </w:rPr>
              <w:t>Supreme Court (Fees) Amendment Regulations (No. 2) 2011</w:t>
            </w:r>
          </w:p>
        </w:tc>
        <w:tc>
          <w:tcPr>
            <w:tcW w:w="1288" w:type="dxa"/>
            <w:gridSpan w:val="2"/>
          </w:tcPr>
          <w:p>
            <w:pPr>
              <w:pStyle w:val="nTable"/>
              <w:spacing w:after="40"/>
              <w:rPr>
                <w:rFonts w:ascii="Times" w:hAnsi="Times"/>
                <w:sz w:val="19"/>
              </w:rPr>
            </w:pPr>
            <w:r>
              <w:rPr>
                <w:rFonts w:ascii="Times" w:hAnsi="Times"/>
                <w:sz w:val="19"/>
              </w:rPr>
              <w:t>20 Dec 2011 p. 5376-9</w:t>
            </w:r>
          </w:p>
        </w:tc>
        <w:tc>
          <w:tcPr>
            <w:tcW w:w="2694" w:type="dxa"/>
            <w:gridSpan w:val="2"/>
          </w:tcPr>
          <w:p>
            <w:pPr>
              <w:pStyle w:val="nTable"/>
              <w:spacing w:after="40"/>
              <w:rPr>
                <w:rFonts w:ascii="Times" w:hAnsi="Times"/>
                <w:snapToGrid w:val="0"/>
                <w:sz w:val="19"/>
              </w:rPr>
            </w:pPr>
            <w:r>
              <w:rPr>
                <w:rFonts w:ascii="Times" w:hAnsi="Times"/>
                <w:snapToGrid w:val="0"/>
                <w:sz w:val="19"/>
              </w:rPr>
              <w:t>r. 1 and 2: 20 Dec 2011 (see r. 2(a));</w:t>
            </w:r>
            <w:r>
              <w:rPr>
                <w:rFonts w:ascii="Times" w:hAnsi="Times"/>
                <w:snapToGrid w:val="0"/>
                <w:sz w:val="19"/>
              </w:rPr>
              <w:br/>
              <w:t>Regulations other than r. 1 and 2: 21 Dec 2011 (see r. 2(b))</w:t>
            </w:r>
          </w:p>
        </w:tc>
      </w:tr>
      <w:tr>
        <w:trPr>
          <w:cantSplit/>
        </w:trPr>
        <w:tc>
          <w:tcPr>
            <w:tcW w:w="3122" w:type="dxa"/>
          </w:tcPr>
          <w:p>
            <w:pPr>
              <w:pStyle w:val="nTable"/>
              <w:spacing w:after="40"/>
              <w:ind w:right="113"/>
              <w:rPr>
                <w:rFonts w:ascii="Times" w:hAnsi="Times"/>
                <w:i/>
                <w:sz w:val="19"/>
              </w:rPr>
            </w:pPr>
            <w:r>
              <w:rPr>
                <w:rFonts w:ascii="Times" w:hAnsi="Times"/>
                <w:i/>
                <w:sz w:val="19"/>
              </w:rPr>
              <w:t>Supreme Court (Fees) Amendment Regulations 2012</w:t>
            </w:r>
          </w:p>
        </w:tc>
        <w:tc>
          <w:tcPr>
            <w:tcW w:w="1288" w:type="dxa"/>
            <w:gridSpan w:val="2"/>
          </w:tcPr>
          <w:p>
            <w:pPr>
              <w:pStyle w:val="nTable"/>
              <w:spacing w:after="40"/>
              <w:rPr>
                <w:rFonts w:ascii="Times" w:hAnsi="Times"/>
                <w:sz w:val="19"/>
              </w:rPr>
            </w:pPr>
            <w:r>
              <w:rPr>
                <w:rFonts w:ascii="Times" w:hAnsi="Times"/>
                <w:sz w:val="19"/>
              </w:rPr>
              <w:t>27 Mar 2012 p. 1508</w:t>
            </w:r>
          </w:p>
        </w:tc>
        <w:tc>
          <w:tcPr>
            <w:tcW w:w="2694" w:type="dxa"/>
            <w:gridSpan w:val="2"/>
          </w:tcPr>
          <w:p>
            <w:pPr>
              <w:pStyle w:val="nTable"/>
              <w:spacing w:after="40"/>
              <w:rPr>
                <w:rFonts w:ascii="Times" w:hAnsi="Times"/>
                <w:snapToGrid w:val="0"/>
                <w:sz w:val="19"/>
              </w:rPr>
            </w:pPr>
            <w:r>
              <w:rPr>
                <w:rFonts w:ascii="Times" w:hAnsi="Times"/>
                <w:snapToGrid w:val="0"/>
                <w:sz w:val="19"/>
              </w:rPr>
              <w:t>r. 1 and 2: 27 Mar 2012 (see r. 2(a));</w:t>
            </w:r>
            <w:r>
              <w:rPr>
                <w:rFonts w:ascii="Times" w:hAnsi="Times"/>
                <w:snapToGrid w:val="0"/>
                <w:sz w:val="19"/>
              </w:rPr>
              <w:br/>
              <w:t>Regulations other than r. 1 and 2: 28 Mar 2012 (see r. 2(b))</w:t>
            </w:r>
          </w:p>
        </w:tc>
      </w:tr>
      <w:tr>
        <w:trPr>
          <w:cantSplit/>
        </w:trPr>
        <w:tc>
          <w:tcPr>
            <w:tcW w:w="3122" w:type="dxa"/>
          </w:tcPr>
          <w:p>
            <w:pPr>
              <w:pStyle w:val="nTable"/>
              <w:spacing w:after="40"/>
              <w:ind w:right="113"/>
              <w:rPr>
                <w:rFonts w:ascii="Times" w:hAnsi="Times"/>
                <w:i/>
                <w:sz w:val="19"/>
              </w:rPr>
            </w:pPr>
            <w:r>
              <w:rPr>
                <w:rFonts w:ascii="Times" w:hAnsi="Times"/>
                <w:i/>
                <w:sz w:val="19"/>
              </w:rPr>
              <w:t>Supreme Court (Fees) Amendment Regulations (No. 3) 2012</w:t>
            </w:r>
          </w:p>
        </w:tc>
        <w:tc>
          <w:tcPr>
            <w:tcW w:w="1288" w:type="dxa"/>
            <w:gridSpan w:val="2"/>
          </w:tcPr>
          <w:p>
            <w:pPr>
              <w:pStyle w:val="nTable"/>
              <w:spacing w:after="40"/>
              <w:rPr>
                <w:rFonts w:ascii="Times" w:hAnsi="Times"/>
                <w:sz w:val="19"/>
              </w:rPr>
            </w:pPr>
            <w:r>
              <w:rPr>
                <w:rFonts w:ascii="Times" w:hAnsi="Times"/>
                <w:sz w:val="19"/>
              </w:rPr>
              <w:t>30 Nov 2012 p. 5784</w:t>
            </w:r>
            <w:r>
              <w:rPr>
                <w:rFonts w:ascii="Times" w:hAnsi="Times"/>
                <w:sz w:val="19"/>
              </w:rPr>
              <w:noBreakHyphen/>
              <w:t>8</w:t>
            </w:r>
          </w:p>
        </w:tc>
        <w:tc>
          <w:tcPr>
            <w:tcW w:w="2694" w:type="dxa"/>
            <w:gridSpan w:val="2"/>
          </w:tcPr>
          <w:p>
            <w:pPr>
              <w:pStyle w:val="nTable"/>
              <w:spacing w:after="40"/>
              <w:rPr>
                <w:rFonts w:ascii="Times" w:hAnsi="Times"/>
                <w:snapToGrid w:val="0"/>
                <w:sz w:val="19"/>
              </w:rPr>
            </w:pPr>
            <w:r>
              <w:rPr>
                <w:rFonts w:ascii="Times" w:hAnsi="Times"/>
                <w:snapToGrid w:val="0"/>
                <w:sz w:val="19"/>
              </w:rPr>
              <w:t>r. 1 and 2: 30 Nov 2012 (see r. 2(a));</w:t>
            </w:r>
            <w:r>
              <w:rPr>
                <w:rFonts w:ascii="Times" w:hAnsi="Times"/>
                <w:snapToGrid w:val="0"/>
                <w:sz w:val="19"/>
              </w:rPr>
              <w:br/>
              <w:t>Regulations other than r. 1 and 2: 1 Dec 2012 (see r. 2(b))</w:t>
            </w:r>
          </w:p>
        </w:tc>
      </w:tr>
      <w:tr>
        <w:trPr>
          <w:cantSplit/>
        </w:trPr>
        <w:tc>
          <w:tcPr>
            <w:tcW w:w="3122" w:type="dxa"/>
          </w:tcPr>
          <w:p>
            <w:pPr>
              <w:pStyle w:val="nTable"/>
              <w:spacing w:after="40"/>
              <w:ind w:right="113"/>
              <w:rPr>
                <w:rFonts w:ascii="Times" w:hAnsi="Times"/>
                <w:i/>
                <w:sz w:val="19"/>
              </w:rPr>
            </w:pPr>
            <w:r>
              <w:rPr>
                <w:i/>
                <w:sz w:val="19"/>
              </w:rPr>
              <w:t>Supreme Court (Fees) Amendment Regulations 2013</w:t>
            </w:r>
          </w:p>
        </w:tc>
        <w:tc>
          <w:tcPr>
            <w:tcW w:w="1288" w:type="dxa"/>
            <w:gridSpan w:val="2"/>
          </w:tcPr>
          <w:p>
            <w:pPr>
              <w:pStyle w:val="nTable"/>
              <w:spacing w:after="40"/>
              <w:rPr>
                <w:rFonts w:ascii="Times" w:hAnsi="Times"/>
                <w:sz w:val="19"/>
              </w:rPr>
            </w:pPr>
            <w:r>
              <w:rPr>
                <w:sz w:val="19"/>
              </w:rPr>
              <w:t>19 Jul 2013 p. 3268-9</w:t>
            </w:r>
          </w:p>
        </w:tc>
        <w:tc>
          <w:tcPr>
            <w:tcW w:w="2694" w:type="dxa"/>
            <w:gridSpan w:val="2"/>
          </w:tcPr>
          <w:p>
            <w:pPr>
              <w:pStyle w:val="nTable"/>
              <w:spacing w:after="40"/>
              <w:rPr>
                <w:rFonts w:ascii="Times" w:hAnsi="Times"/>
                <w:snapToGrid w:val="0"/>
                <w:sz w:val="19"/>
              </w:rPr>
            </w:pPr>
            <w:r>
              <w:rPr>
                <w:sz w:val="19"/>
              </w:rPr>
              <w:t>r. 1 and 2: 19 Jul 2013 (see r. 2(a));</w:t>
            </w:r>
            <w:r>
              <w:rPr>
                <w:sz w:val="19"/>
              </w:rPr>
              <w:br/>
              <w:t xml:space="preserve">Regulations other than r. 1 and 2: 7 Aug 2013 (see r. 2(b) and </w:t>
            </w:r>
            <w:r>
              <w:rPr>
                <w:i/>
                <w:sz w:val="19"/>
              </w:rPr>
              <w:t>Gazette</w:t>
            </w:r>
            <w:r>
              <w:rPr>
                <w:sz w:val="19"/>
              </w:rPr>
              <w:t xml:space="preserve"> 6 Aug 2013 p. 3677)</w:t>
            </w:r>
          </w:p>
        </w:tc>
      </w:tr>
      <w:tr>
        <w:trPr>
          <w:cantSplit/>
        </w:trPr>
        <w:tc>
          <w:tcPr>
            <w:tcW w:w="3122" w:type="dxa"/>
          </w:tcPr>
          <w:p>
            <w:pPr>
              <w:pStyle w:val="nTable"/>
              <w:spacing w:after="40"/>
              <w:ind w:right="113"/>
              <w:rPr>
                <w:i/>
                <w:sz w:val="19"/>
              </w:rPr>
            </w:pPr>
            <w:r>
              <w:rPr>
                <w:rFonts w:ascii="Times" w:hAnsi="Times"/>
                <w:i/>
                <w:sz w:val="19"/>
              </w:rPr>
              <w:t>Supreme Court (Fees) Amendment Regulations (No. 2) 2013</w:t>
            </w:r>
          </w:p>
        </w:tc>
        <w:tc>
          <w:tcPr>
            <w:tcW w:w="1288" w:type="dxa"/>
            <w:gridSpan w:val="2"/>
          </w:tcPr>
          <w:p>
            <w:pPr>
              <w:pStyle w:val="nTable"/>
              <w:spacing w:after="40"/>
              <w:rPr>
                <w:sz w:val="19"/>
              </w:rPr>
            </w:pPr>
            <w:r>
              <w:rPr>
                <w:sz w:val="19"/>
              </w:rPr>
              <w:t>15 Nov 2013 p. 5239-42</w:t>
            </w:r>
          </w:p>
        </w:tc>
        <w:tc>
          <w:tcPr>
            <w:tcW w:w="2694" w:type="dxa"/>
            <w:gridSpan w:val="2"/>
          </w:tcPr>
          <w:p>
            <w:pPr>
              <w:pStyle w:val="nTable"/>
              <w:spacing w:after="40"/>
              <w:rPr>
                <w:sz w:val="19"/>
              </w:rPr>
            </w:pPr>
            <w:r>
              <w:rPr>
                <w:rFonts w:ascii="Times" w:hAnsi="Times"/>
                <w:snapToGrid w:val="0"/>
                <w:sz w:val="19"/>
              </w:rPr>
              <w:t>r. 1 and 2: 15 Nov 2013 (see r. 2(a));</w:t>
            </w:r>
            <w:r>
              <w:rPr>
                <w:rFonts w:ascii="Times" w:hAnsi="Times"/>
                <w:snapToGrid w:val="0"/>
                <w:sz w:val="19"/>
              </w:rPr>
              <w:br/>
              <w:t>Regulations other than r. 1 and 2: 16 Nov 2013 (see r. 2(b))</w:t>
            </w:r>
          </w:p>
        </w:tc>
      </w:tr>
      <w:tr>
        <w:trPr>
          <w:cantSplit/>
        </w:trPr>
        <w:tc>
          <w:tcPr>
            <w:tcW w:w="3122" w:type="dxa"/>
          </w:tcPr>
          <w:p>
            <w:pPr>
              <w:pStyle w:val="nTable"/>
              <w:spacing w:after="40"/>
              <w:ind w:right="113"/>
              <w:rPr>
                <w:rFonts w:ascii="Times" w:hAnsi="Times"/>
                <w:i/>
                <w:sz w:val="19"/>
              </w:rPr>
            </w:pPr>
            <w:r>
              <w:rPr>
                <w:rFonts w:ascii="Times" w:hAnsi="Times"/>
                <w:i/>
                <w:sz w:val="19"/>
              </w:rPr>
              <w:t>Supreme Court (Fees) Amendment Regulations (No. 2) 2014</w:t>
            </w:r>
          </w:p>
        </w:tc>
        <w:tc>
          <w:tcPr>
            <w:tcW w:w="1288" w:type="dxa"/>
            <w:gridSpan w:val="2"/>
          </w:tcPr>
          <w:p>
            <w:pPr>
              <w:pStyle w:val="nTable"/>
              <w:spacing w:after="40"/>
              <w:rPr>
                <w:sz w:val="19"/>
              </w:rPr>
            </w:pPr>
            <w:r>
              <w:rPr>
                <w:sz w:val="19"/>
              </w:rPr>
              <w:t>27 Jun 2014 p. 2347-50</w:t>
            </w:r>
          </w:p>
        </w:tc>
        <w:tc>
          <w:tcPr>
            <w:tcW w:w="2694" w:type="dxa"/>
            <w:gridSpan w:val="2"/>
          </w:tcPr>
          <w:p>
            <w:pPr>
              <w:pStyle w:val="nTable"/>
              <w:spacing w:after="40"/>
              <w:rPr>
                <w:rFonts w:ascii="Times" w:hAnsi="Times"/>
                <w:snapToGrid w:val="0"/>
                <w:sz w:val="19"/>
              </w:rPr>
            </w:pPr>
            <w:r>
              <w:rPr>
                <w:rFonts w:ascii="Times" w:hAnsi="Times"/>
                <w:snapToGrid w:val="0"/>
                <w:sz w:val="19"/>
              </w:rPr>
              <w:t>r. 1 and 2: 27 Jun 2014 (see r. 2(a));</w:t>
            </w:r>
            <w:r>
              <w:rPr>
                <w:rFonts w:ascii="Times" w:hAnsi="Times"/>
                <w:snapToGrid w:val="0"/>
                <w:sz w:val="19"/>
              </w:rPr>
              <w:br/>
              <w:t>Regulations other than r. 1 and 2: 1 Jul 2014 (see r. 2(b)(</w:t>
            </w:r>
            <w:del w:id="65" w:author="Master Repository Process" w:date="2021-09-18T01:56:00Z">
              <w:r>
                <w:rPr>
                  <w:rFonts w:ascii="Times" w:hAnsi="Times"/>
                  <w:snapToGrid w:val="0"/>
                  <w:sz w:val="19"/>
                </w:rPr>
                <w:delText>i</w:delText>
              </w:r>
            </w:del>
            <w:ins w:id="66" w:author="Master Repository Process" w:date="2021-09-18T01:56:00Z">
              <w:r>
                <w:rPr>
                  <w:rFonts w:ascii="Times" w:hAnsi="Times"/>
                  <w:snapToGrid w:val="0"/>
                  <w:sz w:val="19"/>
                </w:rPr>
                <w:t>ii</w:t>
              </w:r>
            </w:ins>
            <w:r>
              <w:rPr>
                <w:rFonts w:ascii="Times" w:hAnsi="Times"/>
                <w:snapToGrid w:val="0"/>
                <w:sz w:val="19"/>
              </w:rPr>
              <w:t>))</w:t>
            </w:r>
          </w:p>
        </w:tc>
      </w:tr>
      <w:tr>
        <w:trPr>
          <w:cantSplit/>
          <w:ins w:id="67" w:author="Master Repository Process" w:date="2021-09-18T01:56:00Z"/>
        </w:trPr>
        <w:tc>
          <w:tcPr>
            <w:tcW w:w="3122" w:type="dxa"/>
            <w:tcBorders>
              <w:bottom w:val="single" w:sz="4" w:space="0" w:color="auto"/>
            </w:tcBorders>
          </w:tcPr>
          <w:p>
            <w:pPr>
              <w:pStyle w:val="nTable"/>
              <w:spacing w:after="40"/>
              <w:ind w:right="113"/>
              <w:rPr>
                <w:ins w:id="68" w:author="Master Repository Process" w:date="2021-09-18T01:56:00Z"/>
                <w:rFonts w:ascii="Times" w:hAnsi="Times"/>
                <w:i/>
                <w:sz w:val="19"/>
              </w:rPr>
            </w:pPr>
            <w:ins w:id="69" w:author="Master Repository Process" w:date="2021-09-18T01:56:00Z">
              <w:r>
                <w:rPr>
                  <w:rFonts w:ascii="Times" w:hAnsi="Times"/>
                  <w:i/>
                  <w:sz w:val="19"/>
                </w:rPr>
                <w:t>Supreme Court (Fees) Amendment Regulations (No. 3) 2014</w:t>
              </w:r>
            </w:ins>
          </w:p>
        </w:tc>
        <w:tc>
          <w:tcPr>
            <w:tcW w:w="1288" w:type="dxa"/>
            <w:gridSpan w:val="2"/>
            <w:tcBorders>
              <w:bottom w:val="single" w:sz="4" w:space="0" w:color="auto"/>
            </w:tcBorders>
          </w:tcPr>
          <w:p>
            <w:pPr>
              <w:pStyle w:val="nTable"/>
              <w:spacing w:after="40"/>
              <w:rPr>
                <w:ins w:id="70" w:author="Master Repository Process" w:date="2021-09-18T01:56:00Z"/>
                <w:sz w:val="19"/>
              </w:rPr>
            </w:pPr>
            <w:ins w:id="71" w:author="Master Repository Process" w:date="2021-09-18T01:56:00Z">
              <w:r>
                <w:rPr>
                  <w:sz w:val="19"/>
                </w:rPr>
                <w:t>11 Jul 2014 p. 2437</w:t>
              </w:r>
              <w:r>
                <w:rPr>
                  <w:sz w:val="19"/>
                </w:rPr>
                <w:noBreakHyphen/>
                <w:t>8</w:t>
              </w:r>
            </w:ins>
          </w:p>
        </w:tc>
        <w:tc>
          <w:tcPr>
            <w:tcW w:w="2694" w:type="dxa"/>
            <w:gridSpan w:val="2"/>
            <w:tcBorders>
              <w:bottom w:val="single" w:sz="4" w:space="0" w:color="auto"/>
            </w:tcBorders>
          </w:tcPr>
          <w:p>
            <w:pPr>
              <w:pStyle w:val="nTable"/>
              <w:spacing w:after="40"/>
              <w:rPr>
                <w:ins w:id="72" w:author="Master Repository Process" w:date="2021-09-18T01:56:00Z"/>
                <w:rFonts w:ascii="Times" w:hAnsi="Times"/>
                <w:snapToGrid w:val="0"/>
                <w:sz w:val="19"/>
              </w:rPr>
            </w:pPr>
            <w:ins w:id="73" w:author="Master Repository Process" w:date="2021-09-18T01:56:00Z">
              <w:r>
                <w:rPr>
                  <w:rFonts w:ascii="Times" w:hAnsi="Times"/>
                  <w:snapToGrid w:val="0"/>
                  <w:sz w:val="19"/>
                </w:rPr>
                <w:t>r. 1 and 2: 11 Jul 2014 (see r. 2(a));</w:t>
              </w:r>
              <w:r>
                <w:rPr>
                  <w:rFonts w:ascii="Times" w:hAnsi="Times"/>
                  <w:snapToGrid w:val="0"/>
                  <w:sz w:val="19"/>
                </w:rPr>
                <w:br/>
                <w:t>Regulations other than r. 1 and 2: 12 Jul 2014 (see r. 2(b)(ii))</w:t>
              </w:r>
            </w:ins>
          </w:p>
        </w:tc>
      </w:tr>
    </w:tbl>
    <w:p/>
    <w:p>
      <w:pPr>
        <w:sectPr>
          <w:headerReference w:type="even" r:id="rId24"/>
          <w:headerReference w:type="default" r:id="rId25"/>
          <w:pgSz w:w="11906" w:h="16838" w:code="9"/>
          <w:pgMar w:top="2376" w:right="2404" w:bottom="3544" w:left="2404" w:header="720" w:footer="3380" w:gutter="0"/>
          <w:cols w:space="720"/>
          <w:noEndnote/>
          <w:docGrid w:linePitch="326"/>
        </w:sectPr>
      </w:pPr>
    </w:p>
    <w:p/>
    <w:sectPr>
      <w:headerReference w:type="even"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Supreme Court (Fees) Regulations 2002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Supreme Court (Fees) Regulations 2002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D2231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0A5B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742C16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D94F54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EBE91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434E88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50E21E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63CB8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03CBE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2ACCA9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62E70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29F4C048"/>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US" w:vendorID="64" w:dllVersion="5" w:nlCheck="1" w:checkStyle="1"/>
  <w:activeWritingStyle w:appName="MSWord" w:lang="en-US" w:vendorID="64" w:dllVersion="6" w:nlCheck="1" w:checkStyle="1"/>
  <w:activeWritingStyle w:appName="MSWord" w:lang="en-AU"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203145216"/>
    <w:docVar w:name="WAFER_20140203143929" w:val="RemoveTocBookmarks,RemoveUnusedBookmarks,RemoveLanguageTags,UsedStyles,ResetPageSize,UpdateArrangement"/>
    <w:docVar w:name="WAFER_20140203143929_GUID" w:val="1158bcd0-1680-4115-97fc-3d54906ac9b6"/>
    <w:docVar w:name="WAFER_20140203145216" w:val="RemoveTocBookmarks,RunningHeaders"/>
    <w:docVar w:name="WAFER_20140203145216_GUID" w:val="6da47f7c-4ccb-40a9-9632-5de13bafb5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BFD79B3C-75E9-4D77-9CC3-05417EACC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51475F-471F-4505-BD88-7D096E4397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8026</Words>
  <Characters>40612</Characters>
  <Application>Microsoft Office Word</Application>
  <DocSecurity>0</DocSecurity>
  <Lines>1846</Lines>
  <Paragraphs>917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47721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02-j0-00 - 02-k0-01</dc:title>
  <dc:subject/>
  <dc:creator/>
  <cp:keywords/>
  <dc:description/>
  <cp:lastModifiedBy>Master Repository Process</cp:lastModifiedBy>
  <cp:revision>2</cp:revision>
  <cp:lastPrinted>2009-11-13T03:17:00Z</cp:lastPrinted>
  <dcterms:created xsi:type="dcterms:W3CDTF">2021-09-17T17:56:00Z</dcterms:created>
  <dcterms:modified xsi:type="dcterms:W3CDTF">2021-09-17T17:56:00Z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CommencementDate">
    <vt:lpwstr>20140712</vt:lpwstr>
  </property>
  <property fmtid="{D5CDD505-2E9C-101B-9397-08002B2CF9AE}" pid="4" name="DocumentType">
    <vt:lpwstr>Reg</vt:lpwstr>
  </property>
  <property fmtid="{D5CDD505-2E9C-101B-9397-08002B2CF9AE}" pid="5" name="OwlsUID">
    <vt:i4>3576</vt:i4>
  </property>
  <property fmtid="{D5CDD505-2E9C-101B-9397-08002B2CF9AE}" pid="6" name="ReprintNo">
    <vt:lpwstr>2</vt:lpwstr>
  </property>
  <property fmtid="{D5CDD505-2E9C-101B-9397-08002B2CF9AE}" pid="7" name="FromSuffix">
    <vt:lpwstr>02-j0-00</vt:lpwstr>
  </property>
  <property fmtid="{D5CDD505-2E9C-101B-9397-08002B2CF9AE}" pid="8" name="FromAsAtDate">
    <vt:lpwstr>01 Jul 2014</vt:lpwstr>
  </property>
  <property fmtid="{D5CDD505-2E9C-101B-9397-08002B2CF9AE}" pid="9" name="ToSuffix">
    <vt:lpwstr>02-k0-01</vt:lpwstr>
  </property>
  <property fmtid="{D5CDD505-2E9C-101B-9397-08002B2CF9AE}" pid="10" name="ToAsAtDate">
    <vt:lpwstr>12 Jul 2014</vt:lpwstr>
  </property>
</Properties>
</file>