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2014</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01 Aug 2014</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21:04:00Z"/>
        </w:trPr>
        <w:tc>
          <w:tcPr>
            <w:tcW w:w="2434" w:type="dxa"/>
            <w:vMerge w:val="restart"/>
          </w:tcPr>
          <w:p>
            <w:pPr>
              <w:rPr>
                <w:del w:id="1" w:author="Master Repository Process" w:date="2021-09-18T21:04:00Z"/>
              </w:rPr>
            </w:pPr>
          </w:p>
        </w:tc>
        <w:tc>
          <w:tcPr>
            <w:tcW w:w="2434" w:type="dxa"/>
            <w:vMerge w:val="restart"/>
          </w:tcPr>
          <w:p>
            <w:pPr>
              <w:jc w:val="center"/>
              <w:rPr>
                <w:del w:id="2" w:author="Master Repository Process" w:date="2021-09-18T21:04:00Z"/>
              </w:rPr>
            </w:pPr>
            <w:del w:id="3" w:author="Master Repository Process" w:date="2021-09-18T21:04: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21:04:00Z"/>
              </w:rPr>
            </w:pPr>
            <w:del w:id="5" w:author="Master Repository Process" w:date="2021-09-18T21:0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21:04:00Z"/>
        </w:trPr>
        <w:tc>
          <w:tcPr>
            <w:tcW w:w="2434" w:type="dxa"/>
            <w:vMerge/>
          </w:tcPr>
          <w:p>
            <w:pPr>
              <w:rPr>
                <w:del w:id="7" w:author="Master Repository Process" w:date="2021-09-18T21:04:00Z"/>
              </w:rPr>
            </w:pPr>
          </w:p>
        </w:tc>
        <w:tc>
          <w:tcPr>
            <w:tcW w:w="2434" w:type="dxa"/>
            <w:vMerge/>
          </w:tcPr>
          <w:p>
            <w:pPr>
              <w:jc w:val="center"/>
              <w:rPr>
                <w:del w:id="8" w:author="Master Repository Process" w:date="2021-09-18T21:04:00Z"/>
              </w:rPr>
            </w:pPr>
          </w:p>
        </w:tc>
        <w:tc>
          <w:tcPr>
            <w:tcW w:w="2434" w:type="dxa"/>
          </w:tcPr>
          <w:p>
            <w:pPr>
              <w:keepNext/>
              <w:rPr>
                <w:del w:id="9" w:author="Master Repository Process" w:date="2021-09-18T21:04:00Z"/>
                <w:b/>
                <w:sz w:val="22"/>
              </w:rPr>
            </w:pPr>
            <w:del w:id="10" w:author="Master Repository Process" w:date="2021-09-18T21:04:00Z">
              <w:r>
                <w:rPr>
                  <w:b/>
                  <w:sz w:val="22"/>
                </w:rPr>
                <w:delText>at 7</w:delText>
              </w:r>
              <w:r>
                <w:rPr>
                  <w:b/>
                  <w:snapToGrid w:val="0"/>
                  <w:sz w:val="22"/>
                </w:rPr>
                <w:delText xml:space="preserve"> March 2014</w:delText>
              </w:r>
            </w:del>
          </w:p>
        </w:tc>
      </w:tr>
    </w:tbl>
    <w:p>
      <w:pPr>
        <w:pStyle w:val="WA"/>
        <w:spacing w:before="120"/>
      </w:pPr>
      <w:r>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1" w:name="_Toc394914706"/>
      <w:bookmarkStart w:id="12" w:name="_Toc383698215"/>
      <w:bookmarkStart w:id="13" w:name="_Toc393111324"/>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 matters</w:t>
      </w:r>
      <w:bookmarkEnd w:id="11"/>
      <w:bookmarkEnd w:id="12"/>
      <w:bookmarkEnd w:id="13"/>
    </w:p>
    <w:p>
      <w:pPr>
        <w:pStyle w:val="Heading5"/>
      </w:pPr>
      <w:bookmarkStart w:id="15" w:name="_Toc394914707"/>
      <w:bookmarkStart w:id="16" w:name="_Toc393111325"/>
      <w:r>
        <w:rPr>
          <w:rStyle w:val="CharSectno"/>
        </w:rPr>
        <w:t>1</w:t>
      </w:r>
      <w:r>
        <w:t>.</w:t>
      </w:r>
      <w:r>
        <w:tab/>
        <w:t>Citation</w:t>
      </w:r>
      <w:bookmarkEnd w:id="15"/>
      <w:bookmarkEnd w:id="16"/>
    </w:p>
    <w:p>
      <w:pPr>
        <w:pStyle w:val="Subsection"/>
      </w:pPr>
      <w:r>
        <w:tab/>
      </w:r>
      <w:r>
        <w:tab/>
      </w:r>
      <w:bookmarkStart w:id="17" w:name="Start_Cursor"/>
      <w:bookmarkEnd w:id="17"/>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18" w:name="_Toc394914708"/>
      <w:bookmarkStart w:id="19" w:name="_Toc393111326"/>
      <w:r>
        <w:rPr>
          <w:rStyle w:val="CharSectno"/>
        </w:rPr>
        <w:t>2</w:t>
      </w:r>
      <w:r>
        <w:rPr>
          <w:spacing w:val="-2"/>
        </w:rPr>
        <w:t>.</w:t>
      </w:r>
      <w:r>
        <w:rPr>
          <w:spacing w:val="-2"/>
        </w:rPr>
        <w:tab/>
        <w:t>Commencement</w:t>
      </w:r>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20" w:name="_Toc394914709"/>
      <w:bookmarkStart w:id="21" w:name="_Toc393111327"/>
      <w:r>
        <w:rPr>
          <w:rStyle w:val="CharSectno"/>
        </w:rPr>
        <w:t>3</w:t>
      </w:r>
      <w:r>
        <w:t>.</w:t>
      </w:r>
      <w:r>
        <w:tab/>
        <w:t>Terms used</w:t>
      </w:r>
      <w:bookmarkEnd w:id="20"/>
      <w:bookmarkEnd w:id="21"/>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w:t>
      </w:r>
    </w:p>
    <w:p>
      <w:pPr>
        <w:pStyle w:val="Heading2"/>
      </w:pPr>
      <w:bookmarkStart w:id="22" w:name="_Toc394914710"/>
      <w:bookmarkStart w:id="23" w:name="_Toc383698219"/>
      <w:bookmarkStart w:id="24" w:name="_Toc393111328"/>
      <w:r>
        <w:rPr>
          <w:rStyle w:val="CharPartNo"/>
        </w:rPr>
        <w:t>Part 2</w:t>
      </w:r>
      <w:r>
        <w:rPr>
          <w:rStyle w:val="CharDivNo"/>
        </w:rPr>
        <w:t> </w:t>
      </w:r>
      <w:r>
        <w:t>—</w:t>
      </w:r>
      <w:r>
        <w:rPr>
          <w:rStyle w:val="CharDivText"/>
        </w:rPr>
        <w:t> </w:t>
      </w:r>
      <w:r>
        <w:rPr>
          <w:rStyle w:val="CharPartText"/>
        </w:rPr>
        <w:t>General matters</w:t>
      </w:r>
      <w:bookmarkEnd w:id="22"/>
      <w:bookmarkEnd w:id="23"/>
      <w:bookmarkEnd w:id="24"/>
    </w:p>
    <w:p>
      <w:pPr>
        <w:pStyle w:val="Heading5"/>
      </w:pPr>
      <w:bookmarkStart w:id="25" w:name="_Toc394914711"/>
      <w:bookmarkStart w:id="26" w:name="_Toc393111329"/>
      <w:r>
        <w:rPr>
          <w:rStyle w:val="CharSectno"/>
        </w:rPr>
        <w:t>4</w:t>
      </w:r>
      <w:r>
        <w:t>.</w:t>
      </w:r>
      <w:r>
        <w:tab/>
        <w:t>Approved VET courses (Act s. 5(1))</w:t>
      </w:r>
      <w:bookmarkEnd w:id="25"/>
      <w:bookmarkEnd w:id="26"/>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Footnotesection"/>
      </w:pPr>
      <w:r>
        <w:tab/>
        <w:t>[Regulation 4 amended in Gazette 17 Dec 2013 p.</w:t>
      </w:r>
      <w:r>
        <w:rPr>
          <w:sz w:val="19"/>
        </w:rPr>
        <w:t> </w:t>
      </w:r>
      <w:r>
        <w:t>6220.]</w:t>
      </w:r>
    </w:p>
    <w:p>
      <w:pPr>
        <w:pStyle w:val="Heading5"/>
      </w:pPr>
      <w:bookmarkStart w:id="27" w:name="_Toc394914712"/>
      <w:bookmarkStart w:id="28" w:name="_Toc393111330"/>
      <w:r>
        <w:rPr>
          <w:rStyle w:val="CharSectno"/>
        </w:rPr>
        <w:t>5</w:t>
      </w:r>
      <w:r>
        <w:t>.</w:t>
      </w:r>
      <w:r>
        <w:tab/>
        <w:t>Corresponding laws (Act s. 5(1))</w:t>
      </w:r>
      <w:bookmarkEnd w:id="27"/>
      <w:bookmarkEnd w:id="28"/>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29" w:name="_Toc394914713"/>
      <w:bookmarkStart w:id="30" w:name="_Toc393111331"/>
      <w:r>
        <w:rPr>
          <w:rStyle w:val="CharSectno"/>
        </w:rPr>
        <w:t>6</w:t>
      </w:r>
      <w:r>
        <w:t>.</w:t>
      </w:r>
      <w:r>
        <w:tab/>
        <w:t>Prescribed VET qualifications (Act s. 5(1))</w:t>
      </w:r>
      <w:bookmarkEnd w:id="29"/>
      <w:bookmarkEnd w:id="30"/>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31" w:name="_Toc394914714"/>
      <w:bookmarkStart w:id="32" w:name="_Toc383698223"/>
      <w:bookmarkStart w:id="33" w:name="_Toc393111332"/>
      <w:r>
        <w:rPr>
          <w:rStyle w:val="CharPartNo"/>
        </w:rPr>
        <w:t>Part 3</w:t>
      </w:r>
      <w:r>
        <w:t> — </w:t>
      </w:r>
      <w:r>
        <w:rPr>
          <w:rStyle w:val="CharPartText"/>
        </w:rPr>
        <w:t>Regulations for Part 7A of the Act</w:t>
      </w:r>
      <w:bookmarkEnd w:id="31"/>
      <w:bookmarkEnd w:id="32"/>
      <w:bookmarkEnd w:id="33"/>
    </w:p>
    <w:p>
      <w:pPr>
        <w:pStyle w:val="Heading3"/>
      </w:pPr>
      <w:bookmarkStart w:id="34" w:name="_Toc394914715"/>
      <w:bookmarkStart w:id="35" w:name="_Toc383698224"/>
      <w:bookmarkStart w:id="36" w:name="_Toc393111333"/>
      <w:r>
        <w:rPr>
          <w:rStyle w:val="CharDivNo"/>
        </w:rPr>
        <w:t>Division 1</w:t>
      </w:r>
      <w:r>
        <w:t> — </w:t>
      </w:r>
      <w:r>
        <w:rPr>
          <w:rStyle w:val="CharDivText"/>
        </w:rPr>
        <w:t>General matters</w:t>
      </w:r>
      <w:bookmarkEnd w:id="34"/>
      <w:bookmarkEnd w:id="35"/>
      <w:bookmarkEnd w:id="36"/>
    </w:p>
    <w:p>
      <w:pPr>
        <w:pStyle w:val="Heading5"/>
      </w:pPr>
      <w:bookmarkStart w:id="37" w:name="_Toc394914716"/>
      <w:bookmarkStart w:id="38" w:name="_Toc393111334"/>
      <w:r>
        <w:rPr>
          <w:rStyle w:val="CharSectno"/>
        </w:rPr>
        <w:t>7</w:t>
      </w:r>
      <w:r>
        <w:t>.</w:t>
      </w:r>
      <w:r>
        <w:tab/>
        <w:t>Terms used</w:t>
      </w:r>
      <w:bookmarkEnd w:id="37"/>
      <w:bookmarkEnd w:id="38"/>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rPr>
          <w:b/>
          <w:i/>
        </w:rPr>
        <w:tab/>
      </w:r>
      <w:r>
        <w:rPr>
          <w:rStyle w:val="CharDefText"/>
        </w:rPr>
        <w:t>compliance monitoring audit</w:t>
      </w:r>
      <w:r>
        <w:t xml:space="preserve"> means a compliance monitoring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or the Standards for VET Regulators is a reference to the standard as published from time to time.</w:t>
      </w:r>
    </w:p>
    <w:p>
      <w:pPr>
        <w:pStyle w:val="Footnotesection"/>
      </w:pPr>
      <w:r>
        <w:tab/>
        <w:t>[Regulation 7 amended in Gazette 25 Oct 2011 p. 4509; 17 Dec 2013 p. 6220.]</w:t>
      </w:r>
    </w:p>
    <w:p>
      <w:pPr>
        <w:pStyle w:val="Heading5"/>
      </w:pPr>
      <w:bookmarkStart w:id="39" w:name="_Toc394914717"/>
      <w:bookmarkStart w:id="40" w:name="_Toc393111335"/>
      <w:r>
        <w:rPr>
          <w:rStyle w:val="CharSectno"/>
        </w:rPr>
        <w:t>8</w:t>
      </w:r>
      <w:r>
        <w:t>.</w:t>
      </w:r>
      <w:r>
        <w:tab/>
        <w:t>Council to have regard to Standards for VET Regulators</w:t>
      </w:r>
      <w:bookmarkEnd w:id="39"/>
      <w:bookmarkEnd w:id="40"/>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r>
        <w:tab/>
        <w:t>[Regulation 8 amended in Gazette 25 Oct 2011 p. 4509; 17 Dec 2013 p. 6220.]</w:t>
      </w:r>
    </w:p>
    <w:p>
      <w:pPr>
        <w:pStyle w:val="Heading5"/>
      </w:pPr>
      <w:bookmarkStart w:id="41" w:name="_Toc394914718"/>
      <w:bookmarkStart w:id="42" w:name="_Toc393111336"/>
      <w:r>
        <w:rPr>
          <w:rStyle w:val="CharSectno"/>
        </w:rPr>
        <w:t>9</w:t>
      </w:r>
      <w:r>
        <w:t>.</w:t>
      </w:r>
      <w:r>
        <w:tab/>
        <w:t>Register</w:t>
      </w:r>
      <w:bookmarkEnd w:id="41"/>
      <w:bookmarkEnd w:id="42"/>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43" w:name="_Toc394914719"/>
      <w:bookmarkStart w:id="44" w:name="_Toc383698228"/>
      <w:bookmarkStart w:id="45" w:name="_Toc393111337"/>
      <w:r>
        <w:rPr>
          <w:rStyle w:val="CharDivNo"/>
        </w:rPr>
        <w:t>Division 2</w:t>
      </w:r>
      <w:r>
        <w:t> — </w:t>
      </w:r>
      <w:r>
        <w:rPr>
          <w:rStyle w:val="CharDivText"/>
        </w:rPr>
        <w:t>Registration of training providers</w:t>
      </w:r>
      <w:bookmarkEnd w:id="43"/>
      <w:bookmarkEnd w:id="44"/>
      <w:bookmarkEnd w:id="45"/>
    </w:p>
    <w:p>
      <w:pPr>
        <w:pStyle w:val="Heading5"/>
      </w:pPr>
      <w:bookmarkStart w:id="46" w:name="_Toc394914720"/>
      <w:bookmarkStart w:id="47" w:name="_Toc393111338"/>
      <w:r>
        <w:rPr>
          <w:rStyle w:val="CharSectno"/>
        </w:rPr>
        <w:t>10</w:t>
      </w:r>
      <w:r>
        <w:t>.</w:t>
      </w:r>
      <w:r>
        <w:tab/>
        <w:t>Applying to be registered training provider</w:t>
      </w:r>
      <w:bookmarkEnd w:id="46"/>
      <w:bookmarkEnd w:id="47"/>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48" w:name="_Toc394914721"/>
      <w:bookmarkStart w:id="49" w:name="_Toc393111339"/>
      <w:r>
        <w:rPr>
          <w:rStyle w:val="CharSectno"/>
        </w:rPr>
        <w:t>11</w:t>
      </w:r>
      <w:r>
        <w:t>.</w:t>
      </w:r>
      <w:r>
        <w:tab/>
        <w:t>Dealing with applications</w:t>
      </w:r>
      <w:bookmarkEnd w:id="48"/>
      <w:bookmarkEnd w:id="49"/>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50" w:name="_Toc394914722"/>
      <w:bookmarkStart w:id="51" w:name="_Toc393111340"/>
      <w:r>
        <w:rPr>
          <w:rStyle w:val="CharSectno"/>
        </w:rPr>
        <w:t>12</w:t>
      </w:r>
      <w:r>
        <w:t>.</w:t>
      </w:r>
      <w:r>
        <w:tab/>
        <w:t>Registering training providers</w:t>
      </w:r>
      <w:bookmarkEnd w:id="50"/>
      <w:bookmarkEnd w:id="51"/>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w:t>
      </w:r>
    </w:p>
    <w:p>
      <w:pPr>
        <w:pStyle w:val="Heading5"/>
      </w:pPr>
      <w:bookmarkStart w:id="52" w:name="_Toc394914723"/>
      <w:bookmarkStart w:id="53" w:name="_Toc393111341"/>
      <w:r>
        <w:rPr>
          <w:rStyle w:val="CharSectno"/>
        </w:rPr>
        <w:t>13</w:t>
      </w:r>
      <w:r>
        <w:t>.</w:t>
      </w:r>
      <w:r>
        <w:tab/>
        <w:t>Conditions of registration</w:t>
      </w:r>
      <w:bookmarkEnd w:id="52"/>
      <w:bookmarkEnd w:id="53"/>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or a compliance monitoring audit shows the provider does meet those 3 standards, take all steps necessary to meet them;</w:t>
      </w:r>
    </w:p>
    <w:p>
      <w:pPr>
        <w:pStyle w:val="Ednotepara"/>
      </w:pPr>
      <w:r>
        <w:tab/>
        <w:t>[(c)</w:t>
      </w:r>
      <w:r>
        <w:tab/>
        <w:t>deleted]</w:t>
      </w:r>
    </w:p>
    <w:p>
      <w:pPr>
        <w:pStyle w:val="Indenta"/>
      </w:pPr>
      <w:r>
        <w:tab/>
        <w:t>(d)</w:t>
      </w:r>
      <w:r>
        <w:tab/>
        <w:t>the provider must, if a compliance audit or a compliance monitoring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continuing registration requirements.</w:t>
      </w:r>
    </w:p>
    <w:p>
      <w:pPr>
        <w:pStyle w:val="Footnotesection"/>
      </w:pPr>
      <w:r>
        <w:tab/>
        <w:t>[Regulation 13 amended in Gazette 25 Oct 2011 p. 4510; 17 Dec 2013 p. 6222.]</w:t>
      </w:r>
    </w:p>
    <w:p>
      <w:pPr>
        <w:pStyle w:val="Heading5"/>
      </w:pPr>
      <w:bookmarkStart w:id="54" w:name="_Toc394914724"/>
      <w:bookmarkStart w:id="55" w:name="_Toc393111342"/>
      <w:r>
        <w:rPr>
          <w:rStyle w:val="CharSectno"/>
        </w:rPr>
        <w:t>14</w:t>
      </w:r>
      <w:r>
        <w:t>.</w:t>
      </w:r>
      <w:r>
        <w:tab/>
        <w:t>Period of registration</w:t>
      </w:r>
      <w:bookmarkEnd w:id="54"/>
      <w:bookmarkEnd w:id="55"/>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56" w:name="_Toc394914725"/>
      <w:bookmarkStart w:id="57" w:name="_Toc393111343"/>
      <w:r>
        <w:rPr>
          <w:rStyle w:val="CharSectno"/>
        </w:rPr>
        <w:t>15</w:t>
      </w:r>
      <w:r>
        <w:t>.</w:t>
      </w:r>
      <w:r>
        <w:tab/>
        <w:t>Annual fees payable by registered training providers</w:t>
      </w:r>
      <w:bookmarkEnd w:id="56"/>
      <w:bookmarkEnd w:id="57"/>
    </w:p>
    <w:p>
      <w:pPr>
        <w:pStyle w:val="Subsection"/>
      </w:pPr>
      <w:r>
        <w:tab/>
      </w:r>
      <w:r>
        <w:tab/>
        <w:t>A WA registered provider must pay an annual fee set under regulation 23 on or before each anniversary of the provider’s registration or its renewal.</w:t>
      </w:r>
    </w:p>
    <w:p>
      <w:pPr>
        <w:pStyle w:val="Heading5"/>
      </w:pPr>
      <w:bookmarkStart w:id="58" w:name="_Toc394914726"/>
      <w:bookmarkStart w:id="59" w:name="_Toc393111344"/>
      <w:r>
        <w:rPr>
          <w:rStyle w:val="CharSectno"/>
        </w:rPr>
        <w:t>16</w:t>
      </w:r>
      <w:r>
        <w:t>.</w:t>
      </w:r>
      <w:r>
        <w:tab/>
        <w:t>Renewal of registration</w:t>
      </w:r>
      <w:bookmarkEnd w:id="58"/>
      <w:bookmarkEnd w:id="59"/>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r>
        <w:tab/>
        <w:t>[Regulation 16 amended in Gazette 25 Oct 2011 p. 4510; 17 Dec 2013 p. 6222.]</w:t>
      </w:r>
    </w:p>
    <w:p>
      <w:pPr>
        <w:pStyle w:val="Heading5"/>
      </w:pPr>
      <w:bookmarkStart w:id="60" w:name="_Toc394914727"/>
      <w:bookmarkStart w:id="61" w:name="_Toc393111345"/>
      <w:r>
        <w:rPr>
          <w:rStyle w:val="CharSectno"/>
        </w:rPr>
        <w:t>17</w:t>
      </w:r>
      <w:r>
        <w:t>.</w:t>
      </w:r>
      <w:r>
        <w:tab/>
        <w:t>Varying registrations</w:t>
      </w:r>
      <w:bookmarkEnd w:id="60"/>
      <w:bookmarkEnd w:id="61"/>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meets the standards in the continuing registration requirements; or</w:t>
      </w:r>
    </w:p>
    <w:p>
      <w:pPr>
        <w:pStyle w:val="Indenta"/>
      </w:pPr>
      <w:r>
        <w:tab/>
        <w:t>(b)</w:t>
      </w:r>
      <w:r>
        <w:tab/>
        <w:t>a compliance audit or a compliance monitoring audit has been conducted on the provider within the previous 3 months and the provider has been found to meet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w:t>
      </w:r>
    </w:p>
    <w:p>
      <w:pPr>
        <w:pStyle w:val="Heading5"/>
      </w:pPr>
      <w:bookmarkStart w:id="62" w:name="_Toc394914728"/>
      <w:bookmarkStart w:id="63" w:name="_Toc393111346"/>
      <w:r>
        <w:rPr>
          <w:rStyle w:val="CharSectno"/>
        </w:rPr>
        <w:t>18</w:t>
      </w:r>
      <w:r>
        <w:t>.</w:t>
      </w:r>
      <w:r>
        <w:tab/>
        <w:t>Cancelling registration if provider’s operations change</w:t>
      </w:r>
      <w:bookmarkEnd w:id="62"/>
      <w:bookmarkEnd w:id="63"/>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64" w:name="_Toc394914729"/>
      <w:bookmarkStart w:id="65" w:name="_Toc393111347"/>
      <w:r>
        <w:rPr>
          <w:rStyle w:val="CharSectno"/>
        </w:rPr>
        <w:t>19</w:t>
      </w:r>
      <w:r>
        <w:t>.</w:t>
      </w:r>
      <w:r>
        <w:tab/>
        <w:t>Suspending or cancelling registration</w:t>
      </w:r>
      <w:bookmarkEnd w:id="64"/>
      <w:bookmarkEnd w:id="65"/>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Subsection"/>
        <w:rPr>
          <w:del w:id="66" w:author="Master Repository Process" w:date="2021-09-18T21:04:00Z"/>
        </w:rPr>
      </w:pPr>
      <w:del w:id="67" w:author="Master Repository Process" w:date="2021-09-18T21:04:00Z">
        <w:r>
          <w:tab/>
          <w:delText>(9)</w:delText>
        </w:r>
        <w:r>
          <w:tab/>
          <w:delText>A request by a WA registered provider for the cancellation of its registration must be accompanied by the fee set under regulation 23.</w:delText>
        </w:r>
      </w:del>
    </w:p>
    <w:p>
      <w:pPr>
        <w:pStyle w:val="Ednotesubsection"/>
        <w:rPr>
          <w:ins w:id="68" w:author="Master Repository Process" w:date="2021-09-18T21:04:00Z"/>
        </w:rPr>
      </w:pPr>
      <w:ins w:id="69" w:author="Master Repository Process" w:date="2021-09-18T21:04:00Z">
        <w:r>
          <w:tab/>
          <w:t>[(9)</w:t>
        </w:r>
        <w:r>
          <w:tab/>
          <w:t>deleted]</w:t>
        </w:r>
      </w:ins>
    </w:p>
    <w:p>
      <w:pPr>
        <w:pStyle w:val="Footnotesection"/>
      </w:pPr>
      <w:r>
        <w:tab/>
        <w:t>[Regulation 19 amended in Gazette 25 Oct 2011 p. 4510; 17 Dec 2013 p. 6223</w:t>
      </w:r>
      <w:ins w:id="70" w:author="Master Repository Process" w:date="2021-09-18T21:04:00Z">
        <w:r>
          <w:t>; 15 Jul 2014 p. 2463</w:t>
        </w:r>
      </w:ins>
      <w:r>
        <w:t>.]</w:t>
      </w:r>
    </w:p>
    <w:p>
      <w:pPr>
        <w:pStyle w:val="Heading5"/>
      </w:pPr>
      <w:bookmarkStart w:id="71" w:name="_Toc394914730"/>
      <w:bookmarkStart w:id="72" w:name="_Toc393111348"/>
      <w:r>
        <w:rPr>
          <w:rStyle w:val="CharSectno"/>
        </w:rPr>
        <w:t>20</w:t>
      </w:r>
      <w:r>
        <w:t>.</w:t>
      </w:r>
      <w:r>
        <w:tab/>
        <w:t>Suspension of WA registered provider may be on terms</w:t>
      </w:r>
      <w:bookmarkEnd w:id="71"/>
      <w:bookmarkEnd w:id="72"/>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73" w:name="_Toc394914731"/>
      <w:bookmarkStart w:id="74" w:name="_Toc393111349"/>
      <w:r>
        <w:rPr>
          <w:rStyle w:val="CharSectno"/>
        </w:rPr>
        <w:t>21</w:t>
      </w:r>
      <w:r>
        <w:t>.</w:t>
      </w:r>
      <w:r>
        <w:tab/>
        <w:t>Effect of suspension of WA registered provider</w:t>
      </w:r>
      <w:bookmarkEnd w:id="73"/>
      <w:bookmarkEnd w:id="74"/>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75" w:name="_Toc394914732"/>
      <w:bookmarkStart w:id="76" w:name="_Toc393111350"/>
      <w:r>
        <w:rPr>
          <w:rStyle w:val="CharSectno"/>
        </w:rPr>
        <w:t>22</w:t>
      </w:r>
      <w:r>
        <w:t>.</w:t>
      </w:r>
      <w:r>
        <w:tab/>
        <w:t>Requests for reassessment of decision to suspend WA registered provider</w:t>
      </w:r>
      <w:bookmarkEnd w:id="75"/>
      <w:bookmarkEnd w:id="76"/>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77" w:name="_Toc394914733"/>
      <w:bookmarkStart w:id="78" w:name="_Toc393111351"/>
      <w:r>
        <w:rPr>
          <w:rStyle w:val="CharSectno"/>
        </w:rPr>
        <w:t>23</w:t>
      </w:r>
      <w:r>
        <w:t>.</w:t>
      </w:r>
      <w:r>
        <w:tab/>
        <w:t>Fees</w:t>
      </w:r>
      <w:bookmarkEnd w:id="77"/>
      <w:bookmarkEnd w:id="78"/>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79" w:name="_Toc394914734"/>
      <w:bookmarkStart w:id="80" w:name="_Toc383698243"/>
      <w:bookmarkStart w:id="81" w:name="_Toc393111352"/>
      <w:r>
        <w:rPr>
          <w:rStyle w:val="CharDivNo"/>
        </w:rPr>
        <w:t>Division 3</w:t>
      </w:r>
      <w:r>
        <w:t> — </w:t>
      </w:r>
      <w:r>
        <w:rPr>
          <w:rStyle w:val="CharDivText"/>
        </w:rPr>
        <w:t>Audits of, and investigations into, training providers</w:t>
      </w:r>
      <w:bookmarkEnd w:id="79"/>
      <w:bookmarkEnd w:id="80"/>
      <w:bookmarkEnd w:id="81"/>
    </w:p>
    <w:p>
      <w:pPr>
        <w:pStyle w:val="Footnoteheading"/>
      </w:pPr>
      <w:r>
        <w:tab/>
        <w:t>[Heading amended in Gazette 17 Dec 2013 p. 6224.]</w:t>
      </w:r>
    </w:p>
    <w:p>
      <w:pPr>
        <w:pStyle w:val="Heading5"/>
      </w:pPr>
      <w:bookmarkStart w:id="82" w:name="_Toc394914735"/>
      <w:bookmarkStart w:id="83" w:name="_Toc393111353"/>
      <w:r>
        <w:rPr>
          <w:rStyle w:val="CharSectno"/>
        </w:rPr>
        <w:t>24</w:t>
      </w:r>
      <w:r>
        <w:t>.</w:t>
      </w:r>
      <w:r>
        <w:tab/>
        <w:t>Terms used</w:t>
      </w:r>
      <w:bookmarkEnd w:id="82"/>
      <w:bookmarkEnd w:id="83"/>
    </w:p>
    <w:p>
      <w:pPr>
        <w:pStyle w:val="Subsection"/>
      </w:pPr>
      <w:r>
        <w:tab/>
      </w:r>
      <w:r>
        <w:tab/>
        <w:t>In this Division —</w:t>
      </w:r>
    </w:p>
    <w:p>
      <w:pPr>
        <w:pStyle w:val="Defstart"/>
      </w:pPr>
      <w:r>
        <w:tab/>
      </w:r>
      <w:r>
        <w:rPr>
          <w:rStyle w:val="CharDefText"/>
        </w:rPr>
        <w:t>compliance audit</w:t>
      </w:r>
      <w:r>
        <w:t xml:space="preserve"> means an audit to establish whether a training provider meets the relevant registration requirements or is complying with the Act;</w:t>
      </w:r>
    </w:p>
    <w:p>
      <w:pPr>
        <w:pStyle w:val="Defstart"/>
      </w:pPr>
      <w:r>
        <w:rPr>
          <w:b/>
          <w:i/>
        </w:rPr>
        <w:tab/>
      </w:r>
      <w:r>
        <w:rPr>
          <w:rStyle w:val="CharDefText"/>
        </w:rPr>
        <w:t>compliance monitoring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 compliance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AQTF;</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w:t>
      </w:r>
    </w:p>
    <w:p>
      <w:pPr>
        <w:pStyle w:val="Heading5"/>
      </w:pPr>
      <w:bookmarkStart w:id="84" w:name="_Toc394914736"/>
      <w:bookmarkStart w:id="85" w:name="_Toc393111354"/>
      <w:r>
        <w:rPr>
          <w:rStyle w:val="CharSectno"/>
        </w:rPr>
        <w:t>25</w:t>
      </w:r>
      <w:r>
        <w:t>.</w:t>
      </w:r>
      <w:r>
        <w:tab/>
        <w:t>Compliance audits</w:t>
      </w:r>
      <w:bookmarkEnd w:id="84"/>
      <w:bookmarkEnd w:id="85"/>
    </w:p>
    <w:p>
      <w:pPr>
        <w:pStyle w:val="Subsection"/>
      </w:pPr>
      <w:r>
        <w:tab/>
        <w:t>(1)</w:t>
      </w:r>
      <w:r>
        <w:tab/>
        <w:t>An inquiry conducted under section 58D of the Act may be in the form of a compliance audit.</w:t>
      </w:r>
    </w:p>
    <w:p>
      <w:pPr>
        <w:pStyle w:val="Subsection"/>
      </w:pPr>
      <w:r>
        <w:tab/>
        <w:t>(2A)</w:t>
      </w:r>
      <w:r>
        <w:tab/>
        <w:t>The Council may conduct a compliance audit at any time on a training provider if the Council thinks fit having regard to the Act and the relevant registration requirements.</w:t>
      </w:r>
    </w:p>
    <w:p>
      <w:pPr>
        <w:pStyle w:val="Subsection"/>
      </w:pPr>
      <w:r>
        <w:tab/>
        <w:t>(2)</w:t>
      </w:r>
      <w:r>
        <w:tab/>
        <w:t>A compliance audit must comply with the Standards for VET Regulators.</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Footnotesection"/>
      </w:pPr>
      <w:r>
        <w:tab/>
        <w:t>[Regulation 25 amended in Gazette 17 Dec 2013 p.</w:t>
      </w:r>
      <w:r>
        <w:rPr>
          <w:sz w:val="19"/>
        </w:rPr>
        <w:t> </w:t>
      </w:r>
      <w:r>
        <w:t>6225.]</w:t>
      </w:r>
    </w:p>
    <w:p>
      <w:pPr>
        <w:pStyle w:val="Heading5"/>
      </w:pPr>
      <w:bookmarkStart w:id="86" w:name="_Toc394914737"/>
      <w:bookmarkStart w:id="87" w:name="_Toc393111355"/>
      <w:r>
        <w:rPr>
          <w:rStyle w:val="CharSectno"/>
        </w:rPr>
        <w:t>26A</w:t>
      </w:r>
      <w:r>
        <w:t>.</w:t>
      </w:r>
      <w:r>
        <w:tab/>
        <w:t>Compliance monitoring audits</w:t>
      </w:r>
      <w:bookmarkEnd w:id="86"/>
      <w:bookmarkEnd w:id="87"/>
    </w:p>
    <w:p>
      <w:pPr>
        <w:pStyle w:val="Subsection"/>
      </w:pPr>
      <w:r>
        <w:tab/>
        <w:t>(1)</w:t>
      </w:r>
      <w:r>
        <w:tab/>
        <w:t>An inquiry conducted under section 58D of the Act may be in the form of a compliance monitoring audit on a WA registered provider.</w:t>
      </w:r>
    </w:p>
    <w:p>
      <w:pPr>
        <w:pStyle w:val="Subsection"/>
      </w:pPr>
      <w:r>
        <w:tab/>
        <w:t>(2)</w:t>
      </w:r>
      <w:r>
        <w:tab/>
        <w:t xml:space="preserve">The Council may conduct a compliance monitoring audit on a WA registered provider — </w:t>
      </w:r>
    </w:p>
    <w:p>
      <w:pPr>
        <w:pStyle w:val="Indenta"/>
      </w:pPr>
      <w:r>
        <w:tab/>
        <w:t>(a)</w:t>
      </w:r>
      <w:r>
        <w:tab/>
        <w:t>if the Council thinks fit after assessing the results of a compliance audit; or</w:t>
      </w:r>
    </w:p>
    <w:p>
      <w:pPr>
        <w:pStyle w:val="Indenta"/>
      </w:pPr>
      <w:r>
        <w:tab/>
        <w:t>(b)</w:t>
      </w:r>
      <w:r>
        <w:tab/>
        <w:t>as part of an investigation of a complaint.</w:t>
      </w:r>
    </w:p>
    <w:p>
      <w:pPr>
        <w:pStyle w:val="Subsection"/>
      </w:pPr>
      <w:r>
        <w:tab/>
        <w:t>(3)</w:t>
      </w:r>
      <w:r>
        <w:tab/>
        <w:t xml:space="preserve">If the Council conducts a compliance monitoring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monitoring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w:t>
      </w:r>
    </w:p>
    <w:p>
      <w:pPr>
        <w:pStyle w:val="Heading5"/>
      </w:pPr>
      <w:bookmarkStart w:id="88" w:name="_Toc394914738"/>
      <w:bookmarkStart w:id="89" w:name="_Toc393111356"/>
      <w:r>
        <w:rPr>
          <w:rStyle w:val="CharSectno"/>
        </w:rPr>
        <w:t>26B</w:t>
      </w:r>
      <w:r>
        <w:t>.</w:t>
      </w:r>
      <w:r>
        <w:tab/>
        <w:t>Investigations of complaints</w:t>
      </w:r>
      <w:bookmarkEnd w:id="88"/>
      <w:bookmarkEnd w:id="89"/>
    </w:p>
    <w:p>
      <w:pPr>
        <w:pStyle w:val="Subsection"/>
      </w:pPr>
      <w:r>
        <w:tab/>
        <w:t>(1)</w:t>
      </w:r>
      <w:r>
        <w:tab/>
        <w:t>An inquiry conducted under section 58D of the Act may be in the form of the investigation of a complaint made about compliance with the AQTF by a WA registered provider.</w:t>
      </w:r>
    </w:p>
    <w:p>
      <w:pPr>
        <w:pStyle w:val="Subsection"/>
      </w:pPr>
      <w:r>
        <w:tab/>
        <w:t>(2)</w:t>
      </w:r>
      <w:r>
        <w:tab/>
        <w:t>An investigation of a complaint must comply with the National Guidelines for Responding to Complaints about Vocational Education and Training Quality in the National Guidelines for a Registering Body, part of the AQTF.</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National Guidelines for Responding to Complaints about Vocational Education and Training Quality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monitoring audit is conducted as part of the investigation — the charges prescribed under regulation 26A(3)(a); and</w:t>
      </w:r>
    </w:p>
    <w:p>
      <w:pPr>
        <w:pStyle w:val="Indenta"/>
      </w:pPr>
      <w:r>
        <w:tab/>
        <w:t>(c)</w:t>
      </w:r>
      <w:r>
        <w:tab/>
        <w:t>if any part of the investigation, or compliance monitoring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w:t>
      </w:r>
    </w:p>
    <w:p>
      <w:pPr>
        <w:pStyle w:val="Heading5"/>
      </w:pPr>
      <w:bookmarkStart w:id="90" w:name="_Toc394914739"/>
      <w:bookmarkStart w:id="91" w:name="_Toc393111357"/>
      <w:r>
        <w:rPr>
          <w:rStyle w:val="CharSectno"/>
        </w:rPr>
        <w:t>26C</w:t>
      </w:r>
      <w:r>
        <w:t>.</w:t>
      </w:r>
      <w:r>
        <w:tab/>
        <w:t>Circumstances in which a charge may be waived in whole or in part</w:t>
      </w:r>
      <w:bookmarkEnd w:id="90"/>
      <w:bookmarkEnd w:id="91"/>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monitoring audit or investigation that resulted in the imposition of a charge;</w:t>
      </w:r>
    </w:p>
    <w:p>
      <w:pPr>
        <w:pStyle w:val="Indenta"/>
      </w:pPr>
      <w:r>
        <w:tab/>
        <w:t>(b)</w:t>
      </w:r>
      <w:r>
        <w:tab/>
        <w:t>where the WA registered provider required to pay the charge does not agree with the outcome of the compliance monitoring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w:t>
      </w:r>
    </w:p>
    <w:p>
      <w:pPr>
        <w:pStyle w:val="Heading5"/>
      </w:pPr>
      <w:bookmarkStart w:id="92" w:name="_Toc394914740"/>
      <w:bookmarkStart w:id="93" w:name="_Toc393111358"/>
      <w:r>
        <w:rPr>
          <w:rStyle w:val="CharSectno"/>
        </w:rPr>
        <w:t>26D</w:t>
      </w:r>
      <w:r>
        <w:t>.</w:t>
      </w:r>
      <w:r>
        <w:tab/>
        <w:t>Rounding</w:t>
      </w:r>
      <w:bookmarkEnd w:id="92"/>
      <w:bookmarkEnd w:id="93"/>
    </w:p>
    <w:p>
      <w:pPr>
        <w:pStyle w:val="Subsection"/>
      </w:pPr>
      <w:r>
        <w:tab/>
      </w:r>
      <w:r>
        <w:tab/>
        <w:t xml:space="preserve">When determining under regulations 26A(3)(a)(ii) and 26B(4)(a)(i) the amount of the charge payable for a compliance monitoring audit or investigation where the hourly rate is $250 per hour, the following amounts will apply in the following circumstances — </w:t>
      </w:r>
    </w:p>
    <w:p>
      <w:pPr>
        <w:pStyle w:val="Indenta"/>
      </w:pPr>
      <w:r>
        <w:tab/>
        <w:t>(a)</w:t>
      </w:r>
      <w:r>
        <w:tab/>
        <w:t>if the time taken to complete the compliance monitoring audit or an investigation is less than 30 minutes, the total amount payable will be zero dollars;</w:t>
      </w:r>
    </w:p>
    <w:p>
      <w:pPr>
        <w:pStyle w:val="Indenta"/>
      </w:pPr>
      <w:r>
        <w:tab/>
        <w:t>(b)</w:t>
      </w:r>
      <w:r>
        <w:tab/>
        <w:t>if the time taken to complete the compliance monitoring audit or investigation is less than one hour but equal to or greater than 30 minutes, the total amount payable will be $125.</w:t>
      </w:r>
    </w:p>
    <w:p>
      <w:pPr>
        <w:pStyle w:val="Footnotesection"/>
      </w:pPr>
      <w:r>
        <w:tab/>
        <w:t>[Regulation 26D inserted in Gazette 17 Dec 2013 p.</w:t>
      </w:r>
      <w:r>
        <w:rPr>
          <w:sz w:val="19"/>
        </w:rPr>
        <w:t> </w:t>
      </w:r>
      <w:r>
        <w:t>6227.]</w:t>
      </w:r>
    </w:p>
    <w:p>
      <w:pPr>
        <w:pStyle w:val="Heading3"/>
        <w:pageBreakBefore/>
      </w:pPr>
      <w:bookmarkStart w:id="94" w:name="_Toc394914741"/>
      <w:bookmarkStart w:id="95" w:name="_Toc383698250"/>
      <w:bookmarkStart w:id="96" w:name="_Toc393111359"/>
      <w:r>
        <w:rPr>
          <w:rStyle w:val="CharDivNo"/>
        </w:rPr>
        <w:t>Division 4</w:t>
      </w:r>
      <w:r>
        <w:t> — </w:t>
      </w:r>
      <w:r>
        <w:rPr>
          <w:rStyle w:val="CharDivText"/>
        </w:rPr>
        <w:t>Obligations of registered training providers and of the Council</w:t>
      </w:r>
      <w:bookmarkEnd w:id="94"/>
      <w:bookmarkEnd w:id="95"/>
      <w:bookmarkEnd w:id="96"/>
    </w:p>
    <w:p>
      <w:pPr>
        <w:pStyle w:val="Footnoteheading"/>
      </w:pPr>
      <w:r>
        <w:tab/>
        <w:t>[Heading amended in Gazette 17 Dec 2013 p. 6228.]</w:t>
      </w:r>
    </w:p>
    <w:p>
      <w:pPr>
        <w:pStyle w:val="Heading5"/>
      </w:pPr>
      <w:bookmarkStart w:id="97" w:name="_Toc394914742"/>
      <w:bookmarkStart w:id="98" w:name="_Toc393111360"/>
      <w:r>
        <w:rPr>
          <w:rStyle w:val="CharSectno"/>
        </w:rPr>
        <w:t>26</w:t>
      </w:r>
      <w:r>
        <w:t>.</w:t>
      </w:r>
      <w:r>
        <w:tab/>
        <w:t>Reporting to Council</w:t>
      </w:r>
      <w:bookmarkEnd w:id="97"/>
      <w:bookmarkEnd w:id="98"/>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keepNext/>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99" w:name="_Toc394914743"/>
      <w:bookmarkStart w:id="100" w:name="_Toc393111361"/>
      <w:r>
        <w:rPr>
          <w:rStyle w:val="CharSectno"/>
        </w:rPr>
        <w:t>27</w:t>
      </w:r>
      <w:r>
        <w:t>.</w:t>
      </w:r>
      <w:r>
        <w:tab/>
        <w:t>Giving Council information on ceasing operations</w:t>
      </w:r>
      <w:bookmarkEnd w:id="99"/>
      <w:bookmarkEnd w:id="100"/>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w:t>
      </w:r>
    </w:p>
    <w:p>
      <w:pPr>
        <w:pStyle w:val="Heading5"/>
      </w:pPr>
      <w:bookmarkStart w:id="101" w:name="_Toc394914744"/>
      <w:bookmarkStart w:id="102" w:name="_Toc393111362"/>
      <w:r>
        <w:rPr>
          <w:rStyle w:val="CharSectno"/>
        </w:rPr>
        <w:t>28A</w:t>
      </w:r>
      <w:r>
        <w:t>.</w:t>
      </w:r>
      <w:r>
        <w:tab/>
        <w:t>Person may obtain from Council certified copies of information</w:t>
      </w:r>
      <w:bookmarkEnd w:id="101"/>
      <w:bookmarkEnd w:id="102"/>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103" w:name="_Toc394914745"/>
      <w:bookmarkStart w:id="104" w:name="_Toc383698254"/>
      <w:bookmarkStart w:id="105" w:name="_Toc393111363"/>
      <w:r>
        <w:rPr>
          <w:rStyle w:val="CharDivNo"/>
        </w:rPr>
        <w:t>Division 5</w:t>
      </w:r>
      <w:r>
        <w:t> — </w:t>
      </w:r>
      <w:r>
        <w:rPr>
          <w:rStyle w:val="CharDivText"/>
        </w:rPr>
        <w:t>Accreditation of VET courses</w:t>
      </w:r>
      <w:bookmarkEnd w:id="103"/>
      <w:bookmarkEnd w:id="104"/>
      <w:bookmarkEnd w:id="105"/>
    </w:p>
    <w:p>
      <w:pPr>
        <w:pStyle w:val="Heading5"/>
      </w:pPr>
      <w:bookmarkStart w:id="106" w:name="_Toc394914746"/>
      <w:bookmarkStart w:id="107" w:name="_Toc393111364"/>
      <w:r>
        <w:rPr>
          <w:rStyle w:val="CharSectno"/>
        </w:rPr>
        <w:t>28</w:t>
      </w:r>
      <w:r>
        <w:t>.</w:t>
      </w:r>
      <w:r>
        <w:tab/>
        <w:t>Applying to have VET course accredited</w:t>
      </w:r>
      <w:bookmarkEnd w:id="106"/>
      <w:bookmarkEnd w:id="107"/>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rPr>
          <w:del w:id="108" w:author="Master Repository Process" w:date="2021-09-18T21:04:00Z"/>
        </w:rPr>
      </w:pPr>
      <w:r>
        <w:tab/>
        <w:t>(b)</w:t>
      </w:r>
      <w:r>
        <w:tab/>
        <w:t>the application fee being</w:t>
      </w:r>
      <w:del w:id="109" w:author="Master Repository Process" w:date="2021-09-18T21:04:00Z">
        <w:r>
          <w:delText> —</w:delText>
        </w:r>
      </w:del>
    </w:p>
    <w:p>
      <w:pPr>
        <w:pStyle w:val="Indenta"/>
      </w:pPr>
      <w:del w:id="110" w:author="Master Repository Process" w:date="2021-09-18T21:04:00Z">
        <w:r>
          <w:tab/>
          <w:delText>(i)</w:delText>
        </w:r>
        <w:r>
          <w:tab/>
        </w:r>
      </w:del>
      <w:ins w:id="111" w:author="Master Repository Process" w:date="2021-09-18T21:04:00Z">
        <w:r>
          <w:t xml:space="preserve"> $8 070 </w:t>
        </w:r>
      </w:ins>
      <w:r>
        <w:t xml:space="preserve">for </w:t>
      </w:r>
      <w:del w:id="112" w:author="Master Repository Process" w:date="2021-09-18T21:04:00Z">
        <w:r>
          <w:delText>a VET</w:delText>
        </w:r>
      </w:del>
      <w:ins w:id="113" w:author="Master Repository Process" w:date="2021-09-18T21:04:00Z">
        <w:r>
          <w:t>each</w:t>
        </w:r>
      </w:ins>
      <w:r>
        <w:t xml:space="preserve"> course </w:t>
      </w:r>
      <w:del w:id="114" w:author="Master Repository Process" w:date="2021-09-18T21:04:00Z">
        <w:r>
          <w:delText>for a prescribed VET qualification — $2 700;</w:delText>
        </w:r>
      </w:del>
      <w:ins w:id="115" w:author="Master Repository Process" w:date="2021-09-18T21:04:00Z">
        <w:r>
          <w:t>that the application is made in respect of.</w:t>
        </w:r>
      </w:ins>
    </w:p>
    <w:p>
      <w:pPr>
        <w:pStyle w:val="Indenti"/>
        <w:rPr>
          <w:del w:id="116" w:author="Master Repository Process" w:date="2021-09-18T21:04:00Z"/>
        </w:rPr>
      </w:pPr>
      <w:del w:id="117" w:author="Master Repository Process" w:date="2021-09-18T21:04:00Z">
        <w:r>
          <w:tab/>
          <w:delText>(ii)</w:delText>
        </w:r>
        <w:r>
          <w:tab/>
          <w:delText>for any other VET course — $715.</w:delText>
        </w:r>
      </w:del>
    </w:p>
    <w:p>
      <w:pPr>
        <w:pStyle w:val="Footnotesection"/>
      </w:pPr>
      <w:r>
        <w:tab/>
        <w:t>[Regulation 28 amended in Gazette 25 Oct 2011 p. 4512; 21 Aug 2012 p. 3927; 17 Dec 2013 p. 6228</w:t>
      </w:r>
      <w:ins w:id="118" w:author="Master Repository Process" w:date="2021-09-18T21:04:00Z">
        <w:r>
          <w:t>; 15 Jul 2014 p. 2464</w:t>
        </w:r>
      </w:ins>
      <w:r>
        <w:t>.]</w:t>
      </w:r>
    </w:p>
    <w:p>
      <w:pPr>
        <w:pStyle w:val="Heading5"/>
      </w:pPr>
      <w:bookmarkStart w:id="119" w:name="_Toc394914747"/>
      <w:bookmarkStart w:id="120" w:name="_Toc393111365"/>
      <w:r>
        <w:rPr>
          <w:rStyle w:val="CharSectno"/>
        </w:rPr>
        <w:t>29</w:t>
      </w:r>
      <w:r>
        <w:t>.</w:t>
      </w:r>
      <w:r>
        <w:tab/>
        <w:t>Dealing with applications</w:t>
      </w:r>
      <w:bookmarkEnd w:id="119"/>
      <w:bookmarkEnd w:id="120"/>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21" w:name="_Toc394914748"/>
      <w:bookmarkStart w:id="122" w:name="_Toc393111366"/>
      <w:r>
        <w:rPr>
          <w:rStyle w:val="CharSectno"/>
        </w:rPr>
        <w:t>30</w:t>
      </w:r>
      <w:r>
        <w:t>.</w:t>
      </w:r>
      <w:r>
        <w:tab/>
        <w:t>Accrediting VET courses</w:t>
      </w:r>
      <w:bookmarkEnd w:id="121"/>
      <w:bookmarkEnd w:id="122"/>
    </w:p>
    <w:p>
      <w:pPr>
        <w:pStyle w:val="Subsection"/>
        <w:keepNext/>
      </w:pPr>
      <w:r>
        <w:tab/>
        <w:t>(1)</w:t>
      </w:r>
      <w:r>
        <w:tab/>
        <w:t xml:space="preserve">The Council must not accredit a VET course unless — </w:t>
      </w:r>
    </w:p>
    <w:p>
      <w:pPr>
        <w:pStyle w:val="Indenta"/>
      </w:pPr>
      <w:r>
        <w:tab/>
        <w:t>(a)</w:t>
      </w:r>
      <w:r>
        <w:tab/>
        <w:t>it has assessed the VET course in accordance with the Standards for VET Regulators;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Standards for VET Regulators;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w:t>
      </w:r>
    </w:p>
    <w:p>
      <w:pPr>
        <w:pStyle w:val="Heading5"/>
      </w:pPr>
      <w:bookmarkStart w:id="123" w:name="_Toc394914749"/>
      <w:bookmarkStart w:id="124" w:name="_Toc393111367"/>
      <w:r>
        <w:rPr>
          <w:rStyle w:val="CharSectno"/>
        </w:rPr>
        <w:t>31</w:t>
      </w:r>
      <w:r>
        <w:t>.</w:t>
      </w:r>
      <w:r>
        <w:tab/>
        <w:t>Period of accreditation</w:t>
      </w:r>
      <w:bookmarkEnd w:id="123"/>
      <w:bookmarkEnd w:id="124"/>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25" w:name="_Toc394914750"/>
      <w:bookmarkStart w:id="126" w:name="_Toc393111368"/>
      <w:r>
        <w:rPr>
          <w:rStyle w:val="CharSectno"/>
        </w:rPr>
        <w:t>32</w:t>
      </w:r>
      <w:r>
        <w:t>.</w:t>
      </w:r>
      <w:r>
        <w:tab/>
        <w:t>Renewing accreditation</w:t>
      </w:r>
      <w:bookmarkEnd w:id="125"/>
      <w:bookmarkEnd w:id="126"/>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27" w:name="_Toc394914751"/>
      <w:bookmarkStart w:id="128" w:name="_Toc393111369"/>
      <w:r>
        <w:rPr>
          <w:rStyle w:val="CharSectno"/>
        </w:rPr>
        <w:t>33A</w:t>
      </w:r>
      <w:r>
        <w:t>.</w:t>
      </w:r>
      <w:r>
        <w:tab/>
        <w:t>Varying accreditation</w:t>
      </w:r>
      <w:bookmarkEnd w:id="127"/>
      <w:bookmarkEnd w:id="128"/>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VET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w:t>
      </w:r>
      <w:del w:id="129" w:author="Master Repository Process" w:date="2021-09-18T21:04:00Z">
        <w:r>
          <w:delText>500</w:delText>
        </w:r>
      </w:del>
      <w:ins w:id="130" w:author="Master Repository Process" w:date="2021-09-18T21:04:00Z">
        <w:r>
          <w:t>2 290</w:t>
        </w:r>
      </w:ins>
      <w:r>
        <w:t>.</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VET course, it must give to the owner of the course —</w:t>
      </w:r>
    </w:p>
    <w:p>
      <w:pPr>
        <w:pStyle w:val="Indenta"/>
      </w:pPr>
      <w:r>
        <w:tab/>
        <w:t>(a)</w:t>
      </w:r>
      <w:r>
        <w:tab/>
        <w:t>a course accreditation document in accordance with the Standards for VET Regulators;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w:t>
      </w:r>
      <w:ins w:id="131" w:author="Master Repository Process" w:date="2021-09-18T21:04:00Z">
        <w:r>
          <w:t>; amended in Gazette 15 Jul 2014 p. 2464</w:t>
        </w:r>
      </w:ins>
      <w:r>
        <w:t>.]</w:t>
      </w:r>
    </w:p>
    <w:p>
      <w:pPr>
        <w:pStyle w:val="Heading5"/>
      </w:pPr>
      <w:bookmarkStart w:id="132" w:name="_Toc394914752"/>
      <w:bookmarkStart w:id="133" w:name="_Toc393111370"/>
      <w:r>
        <w:rPr>
          <w:rStyle w:val="CharSectno"/>
        </w:rPr>
        <w:t>33</w:t>
      </w:r>
      <w:r>
        <w:t>.</w:t>
      </w:r>
      <w:r>
        <w:tab/>
        <w:t>Cancelling accreditation</w:t>
      </w:r>
      <w:bookmarkEnd w:id="132"/>
      <w:bookmarkEnd w:id="133"/>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134" w:name="_Toc394914753"/>
      <w:bookmarkStart w:id="135" w:name="_Toc383698262"/>
      <w:bookmarkStart w:id="136" w:name="_Toc393111371"/>
      <w:r>
        <w:rPr>
          <w:rStyle w:val="CharPartNo"/>
        </w:rPr>
        <w:t>Part 4</w:t>
      </w:r>
      <w:r>
        <w:t> — </w:t>
      </w:r>
      <w:r>
        <w:rPr>
          <w:rStyle w:val="CharPartText"/>
        </w:rPr>
        <w:t>Regulations for Part 7 of the Act</w:t>
      </w:r>
      <w:bookmarkEnd w:id="134"/>
      <w:bookmarkEnd w:id="135"/>
      <w:bookmarkEnd w:id="136"/>
    </w:p>
    <w:p>
      <w:pPr>
        <w:pStyle w:val="Heading3"/>
      </w:pPr>
      <w:bookmarkStart w:id="137" w:name="_Toc394914754"/>
      <w:bookmarkStart w:id="138" w:name="_Toc383698263"/>
      <w:bookmarkStart w:id="139" w:name="_Toc393111372"/>
      <w:r>
        <w:rPr>
          <w:rStyle w:val="CharDivNo"/>
        </w:rPr>
        <w:t>Division 1</w:t>
      </w:r>
      <w:r>
        <w:t> — </w:t>
      </w:r>
      <w:r>
        <w:rPr>
          <w:rStyle w:val="CharDivText"/>
        </w:rPr>
        <w:t>General matters</w:t>
      </w:r>
      <w:bookmarkEnd w:id="137"/>
      <w:bookmarkEnd w:id="138"/>
      <w:bookmarkEnd w:id="139"/>
    </w:p>
    <w:p>
      <w:pPr>
        <w:pStyle w:val="Heading5"/>
      </w:pPr>
      <w:bookmarkStart w:id="140" w:name="_Toc394914755"/>
      <w:bookmarkStart w:id="141" w:name="_Toc393111373"/>
      <w:r>
        <w:rPr>
          <w:rStyle w:val="CharSectno"/>
        </w:rPr>
        <w:t>34</w:t>
      </w:r>
      <w:r>
        <w:t>.</w:t>
      </w:r>
      <w:r>
        <w:tab/>
        <w:t>Term used: nominated training provider</w:t>
      </w:r>
      <w:bookmarkEnd w:id="140"/>
      <w:bookmarkEnd w:id="141"/>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42" w:name="_Toc394914756"/>
      <w:bookmarkStart w:id="143" w:name="_Toc393111374"/>
      <w:r>
        <w:rPr>
          <w:rStyle w:val="CharSectno"/>
        </w:rPr>
        <w:t>35</w:t>
      </w:r>
      <w:r>
        <w:t>.</w:t>
      </w:r>
      <w:r>
        <w:tab/>
        <w:t>Chief executive may delegate</w:t>
      </w:r>
      <w:bookmarkEnd w:id="142"/>
      <w:bookmarkEnd w:id="143"/>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44" w:name="_Toc394914757"/>
      <w:bookmarkStart w:id="145" w:name="_Toc383698266"/>
      <w:bookmarkStart w:id="146" w:name="_Toc393111375"/>
      <w:r>
        <w:rPr>
          <w:rStyle w:val="CharDivNo"/>
        </w:rPr>
        <w:t>Division 2</w:t>
      </w:r>
      <w:r>
        <w:t> — </w:t>
      </w:r>
      <w:r>
        <w:rPr>
          <w:rStyle w:val="CharDivText"/>
        </w:rPr>
        <w:t>Classifying prescribed VET qualifications</w:t>
      </w:r>
      <w:bookmarkEnd w:id="144"/>
      <w:bookmarkEnd w:id="145"/>
      <w:bookmarkEnd w:id="146"/>
    </w:p>
    <w:p>
      <w:pPr>
        <w:pStyle w:val="Heading5"/>
      </w:pPr>
      <w:bookmarkStart w:id="147" w:name="_Toc394914758"/>
      <w:bookmarkStart w:id="148" w:name="_Toc393111376"/>
      <w:r>
        <w:rPr>
          <w:rStyle w:val="CharSectno"/>
        </w:rPr>
        <w:t>36</w:t>
      </w:r>
      <w:r>
        <w:t>.</w:t>
      </w:r>
      <w:r>
        <w:tab/>
        <w:t>Who Board must consult (Act s. 60C)</w:t>
      </w:r>
      <w:bookmarkEnd w:id="147"/>
      <w:bookmarkEnd w:id="148"/>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49" w:name="_Toc394914759"/>
      <w:bookmarkStart w:id="150" w:name="_Toc393111377"/>
      <w:r>
        <w:rPr>
          <w:rStyle w:val="CharSectno"/>
        </w:rPr>
        <w:t>37</w:t>
      </w:r>
      <w:r>
        <w:t>.</w:t>
      </w:r>
      <w:r>
        <w:tab/>
        <w:t>Board’s advice and recommendations to Minister (Act s. 60C)</w:t>
      </w:r>
      <w:bookmarkEnd w:id="149"/>
      <w:bookmarkEnd w:id="150"/>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151" w:name="_Toc394914760"/>
      <w:bookmarkStart w:id="152" w:name="_Toc383698269"/>
      <w:bookmarkStart w:id="153" w:name="_Toc393111378"/>
      <w:r>
        <w:rPr>
          <w:rStyle w:val="CharDivNo"/>
        </w:rPr>
        <w:t>Division 3</w:t>
      </w:r>
      <w:r>
        <w:t> — </w:t>
      </w:r>
      <w:r>
        <w:rPr>
          <w:rStyle w:val="CharDivText"/>
        </w:rPr>
        <w:t>Training contracts</w:t>
      </w:r>
      <w:bookmarkEnd w:id="151"/>
      <w:bookmarkEnd w:id="152"/>
      <w:bookmarkEnd w:id="153"/>
    </w:p>
    <w:p>
      <w:pPr>
        <w:pStyle w:val="Heading5"/>
      </w:pPr>
      <w:bookmarkStart w:id="154" w:name="_Toc394914761"/>
      <w:bookmarkStart w:id="155" w:name="_Toc393111379"/>
      <w:r>
        <w:rPr>
          <w:rStyle w:val="CharSectno"/>
        </w:rPr>
        <w:t>38</w:t>
      </w:r>
      <w:r>
        <w:t>.</w:t>
      </w:r>
      <w:r>
        <w:tab/>
        <w:t>Form and content of training contracts</w:t>
      </w:r>
      <w:bookmarkEnd w:id="154"/>
      <w:bookmarkEnd w:id="155"/>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spacing w:before="180"/>
      </w:pPr>
      <w:bookmarkStart w:id="156" w:name="_Toc394914762"/>
      <w:bookmarkStart w:id="157" w:name="_Toc393111380"/>
      <w:r>
        <w:rPr>
          <w:rStyle w:val="CharSectno"/>
        </w:rPr>
        <w:t>39</w:t>
      </w:r>
      <w:r>
        <w:t>.</w:t>
      </w:r>
      <w:r>
        <w:tab/>
        <w:t>Probation periods of training contracts</w:t>
      </w:r>
      <w:bookmarkEnd w:id="156"/>
      <w:bookmarkEnd w:id="157"/>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158" w:name="_Toc394914763"/>
      <w:bookmarkStart w:id="159" w:name="_Toc393111381"/>
      <w:r>
        <w:rPr>
          <w:rStyle w:val="CharSectno"/>
        </w:rPr>
        <w:t>40</w:t>
      </w:r>
      <w:r>
        <w:t>.</w:t>
      </w:r>
      <w:r>
        <w:tab/>
        <w:t>Children’s capacity to enter into training contracts</w:t>
      </w:r>
      <w:bookmarkEnd w:id="158"/>
      <w:bookmarkEnd w:id="159"/>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60" w:name="_Toc394914764"/>
      <w:bookmarkStart w:id="161" w:name="_Toc393111382"/>
      <w:r>
        <w:rPr>
          <w:rStyle w:val="CharSectno"/>
        </w:rPr>
        <w:t>41</w:t>
      </w:r>
      <w:r>
        <w:t>.</w:t>
      </w:r>
      <w:r>
        <w:tab/>
        <w:t>Lodging training contracts for registration (Act s. 60F)</w:t>
      </w:r>
      <w:bookmarkEnd w:id="160"/>
      <w:bookmarkEnd w:id="161"/>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62" w:name="_Toc394914765"/>
      <w:bookmarkStart w:id="163" w:name="_Toc393111383"/>
      <w:r>
        <w:rPr>
          <w:rStyle w:val="CharSectno"/>
        </w:rPr>
        <w:t>42</w:t>
      </w:r>
      <w:r>
        <w:t>.</w:t>
      </w:r>
      <w:r>
        <w:tab/>
        <w:t>Registering training contracts (Act s. 60F)</w:t>
      </w:r>
      <w:bookmarkEnd w:id="162"/>
      <w:bookmarkEnd w:id="163"/>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164" w:name="_Toc394914766"/>
      <w:bookmarkStart w:id="165" w:name="_Toc393111384"/>
      <w:r>
        <w:rPr>
          <w:rStyle w:val="CharSectno"/>
        </w:rPr>
        <w:t>43</w:t>
      </w:r>
      <w:r>
        <w:t>.</w:t>
      </w:r>
      <w:r>
        <w:tab/>
        <w:t>Training plans for training contracts</w:t>
      </w:r>
      <w:bookmarkEnd w:id="164"/>
      <w:bookmarkEnd w:id="165"/>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166" w:name="_Toc394914767"/>
      <w:bookmarkStart w:id="167" w:name="_Toc393111385"/>
      <w:r>
        <w:rPr>
          <w:rStyle w:val="CharSectno"/>
        </w:rPr>
        <w:t>44</w:t>
      </w:r>
      <w:r>
        <w:t>.</w:t>
      </w:r>
      <w:r>
        <w:tab/>
        <w:t>Cancellation of registration by chief executive (Act s. 60F)</w:t>
      </w:r>
      <w:bookmarkEnd w:id="166"/>
      <w:bookmarkEnd w:id="167"/>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168" w:name="_Toc394914768"/>
      <w:bookmarkStart w:id="169" w:name="_Toc393111386"/>
      <w:r>
        <w:rPr>
          <w:rStyle w:val="CharSectno"/>
        </w:rPr>
        <w:t>45</w:t>
      </w:r>
      <w:r>
        <w:t>.</w:t>
      </w:r>
      <w:r>
        <w:tab/>
        <w:t>Chief executive may require persons involved in training contracts to provide information</w:t>
      </w:r>
      <w:bookmarkEnd w:id="168"/>
      <w:bookmarkEnd w:id="169"/>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170" w:name="_Toc394914769"/>
      <w:bookmarkStart w:id="171" w:name="_Toc393111387"/>
      <w:r>
        <w:rPr>
          <w:rStyle w:val="CharSectno"/>
        </w:rPr>
        <w:t>46</w:t>
      </w:r>
      <w:r>
        <w:t>.</w:t>
      </w:r>
      <w:r>
        <w:tab/>
        <w:t>Variation of training contract by parties (Act s. 60E)</w:t>
      </w:r>
      <w:bookmarkEnd w:id="170"/>
      <w:bookmarkEnd w:id="171"/>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72" w:name="_Toc394914770"/>
      <w:bookmarkStart w:id="173" w:name="_Toc393111388"/>
      <w:r>
        <w:rPr>
          <w:rStyle w:val="CharSectno"/>
        </w:rPr>
        <w:t>47</w:t>
      </w:r>
      <w:r>
        <w:t>.</w:t>
      </w:r>
      <w:r>
        <w:tab/>
        <w:t>Assignment of training contract to another employer (Act s. 60E)</w:t>
      </w:r>
      <w:bookmarkEnd w:id="172"/>
      <w:bookmarkEnd w:id="173"/>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174" w:name="_Toc394914771"/>
      <w:bookmarkStart w:id="175" w:name="_Toc393111389"/>
      <w:r>
        <w:rPr>
          <w:rStyle w:val="CharSectno"/>
        </w:rPr>
        <w:t>48</w:t>
      </w:r>
      <w:r>
        <w:t>.</w:t>
      </w:r>
      <w:r>
        <w:tab/>
        <w:t>Suspension of training contract by parties (Act s. 60E)</w:t>
      </w:r>
      <w:bookmarkEnd w:id="174"/>
      <w:bookmarkEnd w:id="175"/>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176" w:name="_Toc394914772"/>
      <w:bookmarkStart w:id="177" w:name="_Toc393111390"/>
      <w:r>
        <w:rPr>
          <w:rStyle w:val="CharSectno"/>
        </w:rPr>
        <w:t>49</w:t>
      </w:r>
      <w:r>
        <w:t>.</w:t>
      </w:r>
      <w:r>
        <w:tab/>
        <w:t>Suspension by employer (Act s. 60E)</w:t>
      </w:r>
      <w:bookmarkEnd w:id="176"/>
      <w:bookmarkEnd w:id="177"/>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178" w:name="_Toc394914773"/>
      <w:bookmarkStart w:id="179" w:name="_Toc393111391"/>
      <w:r>
        <w:rPr>
          <w:rStyle w:val="CharSectno"/>
        </w:rPr>
        <w:t>50</w:t>
      </w:r>
      <w:r>
        <w:t>.</w:t>
      </w:r>
      <w:r>
        <w:tab/>
        <w:t>Termination of training contract by parties (Act s. 60G)</w:t>
      </w:r>
      <w:bookmarkEnd w:id="178"/>
      <w:bookmarkEnd w:id="179"/>
    </w:p>
    <w:p>
      <w:pPr>
        <w:pStyle w:val="Subsection"/>
      </w:pPr>
      <w:r>
        <w:tab/>
      </w:r>
      <w:r>
        <w:tab/>
        <w:t>A party to a training contract may terminate the contract during the contract’s probation period without the approval of the chief executive.</w:t>
      </w:r>
    </w:p>
    <w:p>
      <w:pPr>
        <w:pStyle w:val="Heading5"/>
      </w:pPr>
      <w:bookmarkStart w:id="180" w:name="_Toc394914774"/>
      <w:bookmarkStart w:id="181" w:name="_Toc393111392"/>
      <w:r>
        <w:rPr>
          <w:rStyle w:val="CharSectno"/>
        </w:rPr>
        <w:t>51</w:t>
      </w:r>
      <w:r>
        <w:t>.</w:t>
      </w:r>
      <w:r>
        <w:tab/>
        <w:t>Approval of termination of training contract by chief executive (Act s. 60G)</w:t>
      </w:r>
      <w:bookmarkEnd w:id="180"/>
      <w:bookmarkEnd w:id="181"/>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182" w:name="_Toc394914775"/>
      <w:bookmarkStart w:id="183" w:name="_Toc393111393"/>
      <w:r>
        <w:rPr>
          <w:rStyle w:val="CharSectno"/>
        </w:rPr>
        <w:t>52</w:t>
      </w:r>
      <w:r>
        <w:t>.</w:t>
      </w:r>
      <w:r>
        <w:tab/>
        <w:t>Completion of training contract</w:t>
      </w:r>
      <w:bookmarkEnd w:id="182"/>
      <w:bookmarkEnd w:id="183"/>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184" w:name="_Toc394914776"/>
      <w:bookmarkStart w:id="185" w:name="_Toc383698285"/>
      <w:bookmarkStart w:id="186" w:name="_Toc393111394"/>
      <w:r>
        <w:rPr>
          <w:rStyle w:val="CharDivNo"/>
        </w:rPr>
        <w:t>Division 4</w:t>
      </w:r>
      <w:r>
        <w:t> — </w:t>
      </w:r>
      <w:r>
        <w:rPr>
          <w:rStyle w:val="CharDivText"/>
        </w:rPr>
        <w:t>Procedure and appeals</w:t>
      </w:r>
      <w:bookmarkEnd w:id="184"/>
      <w:bookmarkEnd w:id="185"/>
      <w:bookmarkEnd w:id="186"/>
    </w:p>
    <w:p>
      <w:pPr>
        <w:pStyle w:val="Heading5"/>
      </w:pPr>
      <w:bookmarkStart w:id="187" w:name="_Toc394914777"/>
      <w:bookmarkStart w:id="188" w:name="_Toc393111395"/>
      <w:r>
        <w:rPr>
          <w:rStyle w:val="CharSectno"/>
        </w:rPr>
        <w:t>53</w:t>
      </w:r>
      <w:r>
        <w:t>.</w:t>
      </w:r>
      <w:r>
        <w:tab/>
        <w:t>Procedure on applications</w:t>
      </w:r>
      <w:bookmarkEnd w:id="187"/>
      <w:bookmarkEnd w:id="188"/>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189" w:name="_Toc394914778"/>
      <w:bookmarkStart w:id="190" w:name="_Toc393111396"/>
      <w:r>
        <w:rPr>
          <w:rStyle w:val="CharSectno"/>
        </w:rPr>
        <w:t>54</w:t>
      </w:r>
      <w:r>
        <w:t>.</w:t>
      </w:r>
      <w:r>
        <w:tab/>
        <w:t>Appeals</w:t>
      </w:r>
      <w:bookmarkEnd w:id="189"/>
      <w:bookmarkEnd w:id="190"/>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191" w:name="_Toc394914779"/>
      <w:bookmarkStart w:id="192" w:name="_Toc383698288"/>
      <w:bookmarkStart w:id="193" w:name="_Toc393111397"/>
      <w:r>
        <w:rPr>
          <w:rStyle w:val="CharPartNo"/>
        </w:rPr>
        <w:t>Part 5</w:t>
      </w:r>
      <w:r>
        <w:rPr>
          <w:rStyle w:val="CharDivNo"/>
        </w:rPr>
        <w:t> </w:t>
      </w:r>
      <w:r>
        <w:t>—</w:t>
      </w:r>
      <w:r>
        <w:rPr>
          <w:rStyle w:val="CharDivText"/>
        </w:rPr>
        <w:t> </w:t>
      </w:r>
      <w:r>
        <w:rPr>
          <w:rStyle w:val="CharPartText"/>
        </w:rPr>
        <w:t>Repeals and transitional matters</w:t>
      </w:r>
      <w:bookmarkEnd w:id="191"/>
      <w:bookmarkEnd w:id="192"/>
      <w:bookmarkEnd w:id="193"/>
    </w:p>
    <w:p>
      <w:pPr>
        <w:pStyle w:val="Heading5"/>
      </w:pPr>
      <w:bookmarkStart w:id="194" w:name="_Toc394914780"/>
      <w:bookmarkStart w:id="195" w:name="_Toc393111398"/>
      <w:r>
        <w:rPr>
          <w:rStyle w:val="CharSectno"/>
        </w:rPr>
        <w:t>55</w:t>
      </w:r>
      <w:r>
        <w:t>.</w:t>
      </w:r>
      <w:r>
        <w:tab/>
        <w:t>Term used: commencement</w:t>
      </w:r>
      <w:bookmarkEnd w:id="194"/>
      <w:bookmarkEnd w:id="195"/>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196" w:name="_Toc394914781"/>
      <w:bookmarkStart w:id="197" w:name="_Toc393111399"/>
      <w:r>
        <w:rPr>
          <w:rStyle w:val="CharSectno"/>
        </w:rPr>
        <w:t>57</w:t>
      </w:r>
      <w:r>
        <w:t>.</w:t>
      </w:r>
      <w:r>
        <w:tab/>
        <w:t>Registered training providers</w:t>
      </w:r>
      <w:bookmarkEnd w:id="196"/>
      <w:bookmarkEnd w:id="197"/>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198" w:name="_Toc394914782"/>
      <w:bookmarkStart w:id="199" w:name="_Toc393111400"/>
      <w:r>
        <w:rPr>
          <w:rStyle w:val="CharSectno"/>
        </w:rPr>
        <w:t>58</w:t>
      </w:r>
      <w:r>
        <w:t>.</w:t>
      </w:r>
      <w:r>
        <w:tab/>
        <w:t>Accredited courses</w:t>
      </w:r>
      <w:bookmarkEnd w:id="198"/>
      <w:bookmarkEnd w:id="199"/>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00" w:name="_Toc394914783"/>
      <w:bookmarkStart w:id="201" w:name="_Toc393111401"/>
      <w:r>
        <w:rPr>
          <w:rStyle w:val="CharSectno"/>
        </w:rPr>
        <w:t>59</w:t>
      </w:r>
      <w:r>
        <w:t>.</w:t>
      </w:r>
      <w:r>
        <w:tab/>
        <w:t>Traineeship contracts</w:t>
      </w:r>
      <w:bookmarkEnd w:id="200"/>
      <w:bookmarkEnd w:id="201"/>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02" w:name="_Toc394914784"/>
      <w:bookmarkStart w:id="203" w:name="_Toc393111402"/>
      <w:r>
        <w:rPr>
          <w:rStyle w:val="CharSectno"/>
        </w:rPr>
        <w:t>60</w:t>
      </w:r>
      <w:r>
        <w:t>.</w:t>
      </w:r>
      <w:r>
        <w:tab/>
        <w:t>Apprentices learning trades, transitional provisions for</w:t>
      </w:r>
      <w:bookmarkEnd w:id="202"/>
      <w:bookmarkEnd w:id="203"/>
    </w:p>
    <w:p>
      <w:pPr>
        <w:pStyle w:val="Subsection"/>
      </w:pPr>
      <w:r>
        <w:tab/>
      </w:r>
      <w:r>
        <w:tab/>
        <w:t>Schedule 2 sets out transitional provisions.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4" w:name="_Toc394914785"/>
      <w:bookmarkStart w:id="205" w:name="_Toc383698294"/>
      <w:bookmarkStart w:id="206" w:name="_Toc393111403"/>
      <w:r>
        <w:rPr>
          <w:rStyle w:val="CharSchNo"/>
        </w:rPr>
        <w:t>Schedule 1</w:t>
      </w:r>
      <w:r>
        <w:rPr>
          <w:rStyle w:val="CharSDivNo"/>
        </w:rPr>
        <w:t> </w:t>
      </w:r>
      <w:r>
        <w:t>—</w:t>
      </w:r>
      <w:r>
        <w:rPr>
          <w:rStyle w:val="CharSDivText"/>
        </w:rPr>
        <w:t> </w:t>
      </w:r>
      <w:r>
        <w:rPr>
          <w:rStyle w:val="CharSchText"/>
        </w:rPr>
        <w:t>Training contract</w:t>
      </w:r>
      <w:bookmarkEnd w:id="204"/>
      <w:bookmarkEnd w:id="205"/>
      <w:bookmarkEnd w:id="206"/>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smartTag w:uri="urn:schemas-microsoft-com:office:smarttags" w:element="place">
        <w:smartTag w:uri="urn:schemas-microsoft-com:office:smarttags" w:element="State">
          <w:r>
            <w:rPr>
              <w:rFonts w:ascii="Arial" w:hAnsi="Arial" w:cs="Arial"/>
              <w:b/>
              <w:bCs/>
              <w:sz w:val="18"/>
            </w:rPr>
            <w:t>Western Australia</w:t>
          </w:r>
        </w:smartTag>
      </w:smartTag>
      <w:r>
        <w:rPr>
          <w:rFonts w:ascii="Arial" w:hAnsi="Arial" w:cs="Arial"/>
          <w:b/>
          <w:bCs/>
          <w:sz w:val="18"/>
        </w:rPr>
        <w:t xml:space="preserve"> Government</w:t>
      </w:r>
    </w:p>
    <w:p>
      <w:pPr>
        <w:pStyle w:val="yMiscellaneousBody"/>
        <w:keepNext/>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r>
            <w:smartTag w:uri="urn:schemas-microsoft-com:office:smarttags" w:element="place">
              <w:smartTag w:uri="urn:schemas-microsoft-com:office:smarttags" w:element="City">
                <w:r>
                  <w:rPr>
                    <w:rFonts w:ascii="Arial" w:hAnsi="Arial" w:cs="Arial"/>
                    <w:sz w:val="20"/>
                  </w:rPr>
                  <w:t>Mobile</w:t>
                </w:r>
              </w:smartTag>
            </w:smartTag>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w:t>
            </w:r>
            <w:smartTag w:uri="urn:schemas-microsoft-com:office:smarttags" w:element="country-region">
              <w:r>
                <w:rPr>
                  <w:rFonts w:ascii="Arial" w:hAnsi="Arial" w:cs="Arial"/>
                  <w:sz w:val="20"/>
                </w:rPr>
                <w:t>New Zealand</w:t>
              </w:r>
            </w:smartTag>
            <w:r>
              <w:rPr>
                <w:rFonts w:ascii="Arial" w:hAnsi="Arial" w:cs="Arial"/>
                <w:sz w:val="20"/>
              </w:rPr>
              <w:t xml:space="preserve"> passport holder who has been resident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w:t>
            </w:r>
            <w:smartTag w:uri="urn:schemas-microsoft-com:office:smarttags" w:element="place">
              <w:r>
                <w:rPr>
                  <w:rFonts w:ascii="Arial" w:hAnsi="Arial" w:cs="Arial"/>
                  <w:sz w:val="20"/>
                </w:rPr>
                <w:t>Torres Strait</w:t>
              </w:r>
            </w:smartTag>
            <w:r>
              <w:rPr>
                <w:rFonts w:ascii="Arial" w:hAnsi="Arial" w:cs="Arial"/>
                <w:sz w:val="20"/>
              </w:rPr>
              <w:t xml:space="preserve">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keepNext/>
              <w:keepLines/>
              <w:tabs>
                <w:tab w:val="clear" w:pos="567"/>
              </w:tabs>
              <w:spacing w:before="0"/>
              <w:rPr>
                <w:rFonts w:ascii="Arial" w:hAnsi="Arial" w:cs="Arial"/>
                <w:sz w:val="20"/>
              </w:rPr>
            </w:pPr>
            <w:r>
              <w:rPr>
                <w:rFonts w:ascii="Arial" w:hAnsi="Arial" w:cs="Arial"/>
                <w:sz w:val="20"/>
              </w:rPr>
              <w:t>30</w:t>
            </w:r>
          </w:p>
        </w:tc>
        <w:tc>
          <w:tcPr>
            <w:tcW w:w="6521" w:type="dxa"/>
          </w:tcPr>
          <w:p>
            <w:pPr>
              <w:pStyle w:val="yTableNAm"/>
              <w:keepNext/>
              <w:keepLines/>
              <w:tabs>
                <w:tab w:val="clear" w:pos="567"/>
              </w:tabs>
              <w:spacing w:before="0"/>
              <w:rPr>
                <w:rFonts w:ascii="Arial" w:hAnsi="Arial" w:cs="Arial"/>
                <w:sz w:val="20"/>
              </w:rPr>
            </w:pPr>
            <w:r>
              <w:rPr>
                <w:rFonts w:ascii="Arial" w:hAnsi="Arial" w:cs="Arial"/>
                <w:sz w:val="20"/>
              </w:rPr>
              <w:t>Trading name</w:t>
            </w:r>
          </w:p>
          <w:p>
            <w:pPr>
              <w:pStyle w:val="yTableNAm"/>
              <w:keepNext/>
              <w:keepLines/>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w:t>
            </w:r>
            <w:smartTag w:uri="urn:schemas-microsoft-com:office:smarttags" w:element="place">
              <w:smartTag w:uri="urn:schemas-microsoft-com:office:smarttags" w:element="City">
                <w:r>
                  <w:rPr>
                    <w:rFonts w:ascii="Arial" w:hAnsi="Arial" w:cs="Arial"/>
                    <w:sz w:val="18"/>
                  </w:rPr>
                  <w:t>Enterprise</w:t>
                </w:r>
              </w:smartTag>
            </w:smartTag>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0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0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 xml:space="preserve">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w:t>
      </w:r>
      <w:r>
        <w:rPr>
          <w:rFonts w:ascii="Arial" w:hAnsi="Arial" w:cs="Arial"/>
          <w:sz w:val="18"/>
          <w:szCs w:val="18"/>
        </w:rPr>
        <w:t xml:space="preserve">National Register website (training.gov.au). </w:t>
      </w:r>
      <w:r>
        <w:rPr>
          <w:rFonts w:ascii="Arial" w:hAnsi="Arial" w:cs="Arial"/>
          <w:sz w:val="18"/>
        </w:rPr>
        <w:t xml:space="preserve">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 xml:space="preserve">Question 13 – </w:t>
      </w:r>
      <w:smartTag w:uri="urn:schemas-microsoft-com:office:smarttags" w:element="place">
        <w:smartTag w:uri="urn:schemas-microsoft-com:office:smarttags" w:element="country-region">
          <w:r>
            <w:rPr>
              <w:rFonts w:ascii="Arial" w:hAnsi="Arial" w:cs="Arial"/>
              <w:b/>
              <w:bCs/>
              <w:sz w:val="18"/>
            </w:rPr>
            <w:t>New Zealand</w:t>
          </w:r>
        </w:smartTag>
      </w:smartTag>
      <w:r>
        <w:rPr>
          <w:rFonts w:ascii="Arial" w:hAnsi="Arial" w:cs="Arial"/>
          <w:b/>
          <w:bCs/>
          <w:sz w:val="18"/>
        </w:rPr>
        <w:t xml:space="preserve"> Passport Holders</w:t>
      </w:r>
    </w:p>
    <w:p>
      <w:pPr>
        <w:pStyle w:val="yMiscellaneousBody"/>
        <w:spacing w:before="40"/>
        <w:ind w:left="284"/>
        <w:rPr>
          <w:rFonts w:ascii="Arial" w:hAnsi="Arial" w:cs="Arial"/>
          <w:sz w:val="18"/>
        </w:rPr>
      </w:pPr>
      <w:r>
        <w:rPr>
          <w:rFonts w:ascii="Arial" w:hAnsi="Arial" w:cs="Arial"/>
          <w:sz w:val="18"/>
        </w:rPr>
        <w:t xml:space="preserve">Australian Government incentives are only available to </w:t>
      </w:r>
      <w:smartTag w:uri="urn:schemas-microsoft-com:office:smarttags" w:element="country-region">
        <w:r>
          <w:rPr>
            <w:rFonts w:ascii="Arial" w:hAnsi="Arial" w:cs="Arial"/>
            <w:sz w:val="18"/>
          </w:rPr>
          <w:t>New Zealand</w:t>
        </w:r>
      </w:smartTag>
      <w:r>
        <w:rPr>
          <w:rFonts w:ascii="Arial" w:hAnsi="Arial" w:cs="Arial"/>
          <w:sz w:val="18"/>
        </w:rPr>
        <w:t xml:space="preserve"> passport holders if the applicant has been resident in </w:t>
      </w:r>
      <w:smartTag w:uri="urn:schemas-microsoft-com:office:smarttags" w:element="place">
        <w:smartTag w:uri="urn:schemas-microsoft-com:office:smarttags" w:element="country-region">
          <w:r>
            <w:rPr>
              <w:rFonts w:ascii="Arial" w:hAnsi="Arial" w:cs="Arial"/>
              <w:sz w:val="18"/>
            </w:rPr>
            <w:t>Australia</w:t>
          </w:r>
        </w:smartTag>
      </w:smartTag>
      <w:r>
        <w:rPr>
          <w:rFonts w:ascii="Arial" w:hAnsi="Arial" w:cs="Arial"/>
          <w:sz w:val="18"/>
        </w:rPr>
        <w:t xml:space="preserve"> for 6 months or more. However, a Training Contract with the </w:t>
      </w:r>
      <w:smartTag w:uri="urn:schemas-microsoft-com:office:smarttags" w:element="place">
        <w:smartTag w:uri="urn:schemas-microsoft-com:office:smarttags" w:element="country-region">
          <w:r>
            <w:rPr>
              <w:rFonts w:ascii="Arial" w:hAnsi="Arial" w:cs="Arial"/>
              <w:sz w:val="18"/>
            </w:rPr>
            <w:t>New Zealand</w:t>
          </w:r>
        </w:smartTag>
      </w:smartTag>
      <w:r>
        <w:rPr>
          <w:rFonts w:ascii="Arial" w:hAnsi="Arial" w:cs="Arial"/>
          <w:sz w:val="18"/>
        </w:rPr>
        <w:t xml:space="preserve"> passport holder could still be registered. Contact your Australian Apprenticeships Centre or State/Territory Training Authority for more information.</w:t>
      </w:r>
    </w:p>
    <w:p>
      <w:pPr>
        <w:pStyle w:val="yMiscellaneousBody"/>
        <w:keepNext/>
        <w:keepLines/>
        <w:spacing w:before="40"/>
        <w:rPr>
          <w:rFonts w:ascii="Arial" w:hAnsi="Arial" w:cs="Arial"/>
          <w:sz w:val="18"/>
        </w:rPr>
      </w:pPr>
      <w:r>
        <w:rPr>
          <w:rFonts w:ascii="Arial" w:hAnsi="Arial" w:cs="Arial"/>
          <w:b/>
          <w:bCs/>
          <w:sz w:val="18"/>
        </w:rPr>
        <w:t>Question 19 – Australian School-based Apprenticeship</w:t>
      </w:r>
    </w:p>
    <w:p>
      <w:pPr>
        <w:pStyle w:val="yMiscellaneousBody"/>
        <w:keepNext/>
        <w:keepLines/>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pStyle w:val="yFootnotesection"/>
        <w:rPr>
          <w:rFonts w:ascii="Arial" w:hAnsi="Arial" w:cs="Arial"/>
          <w:sz w:val="18"/>
        </w:rPr>
      </w:pPr>
      <w:r>
        <w:tab/>
        <w:t xml:space="preserve">[Schedule 1 amended in Gazette </w:t>
      </w:r>
      <w:r>
        <w:rPr>
          <w:szCs w:val="22"/>
        </w:rPr>
        <w:t>17 Dec 2013 p</w:t>
      </w:r>
      <w:r>
        <w:t>. 6230.]</w:t>
      </w:r>
    </w:p>
    <w:p>
      <w:pPr>
        <w:pStyle w:val="yMiscellaneousBody"/>
        <w:spacing w:before="40"/>
        <w:ind w:left="284"/>
        <w:rPr>
          <w:rFonts w:ascii="Arial" w:hAnsi="Arial" w:cs="Arial"/>
          <w:sz w:val="18"/>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ScheduleHeading"/>
        <w:pageBreakBefore w:val="0"/>
      </w:pPr>
      <w:bookmarkStart w:id="207" w:name="_Toc394914786"/>
      <w:bookmarkStart w:id="208" w:name="_Toc383698295"/>
      <w:bookmarkStart w:id="209" w:name="_Toc393111404"/>
      <w:r>
        <w:rPr>
          <w:rStyle w:val="CharSchNo"/>
        </w:rPr>
        <w:t>Schedule 2</w:t>
      </w:r>
      <w:r>
        <w:rPr>
          <w:rStyle w:val="CharSDivNo"/>
        </w:rPr>
        <w:t> </w:t>
      </w:r>
      <w:r>
        <w:t>—</w:t>
      </w:r>
      <w:r>
        <w:rPr>
          <w:rStyle w:val="CharSDivText"/>
        </w:rPr>
        <w:t> </w:t>
      </w:r>
      <w:r>
        <w:rPr>
          <w:rStyle w:val="CharSchText"/>
        </w:rPr>
        <w:t>Provisions about old agreements and old training contracts</w:t>
      </w:r>
      <w:bookmarkEnd w:id="207"/>
      <w:bookmarkEnd w:id="208"/>
      <w:bookmarkEnd w:id="209"/>
    </w:p>
    <w:p>
      <w:pPr>
        <w:pStyle w:val="yShoulderClause"/>
      </w:pPr>
      <w:r>
        <w:t>[r. 60]</w:t>
      </w:r>
    </w:p>
    <w:p>
      <w:pPr>
        <w:pStyle w:val="yHeading5"/>
      </w:pPr>
      <w:bookmarkStart w:id="210" w:name="_Toc394914787"/>
      <w:bookmarkStart w:id="211" w:name="_Toc393111405"/>
      <w:r>
        <w:rPr>
          <w:rStyle w:val="CharSClsNo"/>
        </w:rPr>
        <w:t>1</w:t>
      </w:r>
      <w:r>
        <w:t>.</w:t>
      </w:r>
      <w:r>
        <w:tab/>
        <w:t>Terms used</w:t>
      </w:r>
      <w:bookmarkEnd w:id="210"/>
      <w:bookmarkEnd w:id="211"/>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212" w:name="_Toc394914788"/>
      <w:bookmarkStart w:id="213" w:name="_Toc393111406"/>
      <w:r>
        <w:rPr>
          <w:rStyle w:val="CharSClsNo"/>
        </w:rPr>
        <w:t>2</w:t>
      </w:r>
      <w:r>
        <w:t>.</w:t>
      </w:r>
      <w:r>
        <w:tab/>
        <w:t>Old agreements to be read with modifications</w:t>
      </w:r>
      <w:bookmarkEnd w:id="212"/>
      <w:bookmarkEnd w:id="213"/>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214" w:name="_Toc394914789"/>
      <w:bookmarkStart w:id="215" w:name="_Toc393111407"/>
      <w:r>
        <w:rPr>
          <w:rStyle w:val="CharSClsNo"/>
        </w:rPr>
        <w:t>3</w:t>
      </w:r>
      <w:r>
        <w:t>.</w:t>
      </w:r>
      <w:r>
        <w:tab/>
        <w:t>Old agreements and contracts not terminated by sale of business</w:t>
      </w:r>
      <w:bookmarkEnd w:id="214"/>
      <w:bookmarkEnd w:id="215"/>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216" w:name="_Toc394914790"/>
      <w:bookmarkStart w:id="217" w:name="_Toc393111408"/>
      <w:r>
        <w:rPr>
          <w:rStyle w:val="CharSClsNo"/>
        </w:rPr>
        <w:t>4</w:t>
      </w:r>
      <w:r>
        <w:t>.</w:t>
      </w:r>
      <w:r>
        <w:tab/>
        <w:t>Technical instruction requirements for trade apprentices</w:t>
      </w:r>
      <w:bookmarkEnd w:id="216"/>
      <w:bookmarkEnd w:id="217"/>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218" w:name="_Toc394914791"/>
      <w:bookmarkStart w:id="219" w:name="_Toc393111409"/>
      <w:r>
        <w:rPr>
          <w:rStyle w:val="CharSClsNo"/>
        </w:rPr>
        <w:t>5</w:t>
      </w:r>
      <w:r>
        <w:t>.</w:t>
      </w:r>
      <w:r>
        <w:tab/>
        <w:t>Final certificates for trade apprentices</w:t>
      </w:r>
      <w:bookmarkEnd w:id="218"/>
      <w:bookmarkEnd w:id="219"/>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220" w:name="_Toc394914792"/>
      <w:bookmarkStart w:id="221" w:name="_Toc383698301"/>
      <w:bookmarkStart w:id="222" w:name="_Toc393111410"/>
      <w:r>
        <w:t>Notes</w:t>
      </w:r>
      <w:bookmarkEnd w:id="220"/>
      <w:bookmarkEnd w:id="221"/>
      <w:bookmarkEnd w:id="222"/>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w:t>
      </w:r>
      <w:del w:id="223" w:author="Master Repository Process" w:date="2021-09-18T21:04:00Z">
        <w:r>
          <w:rPr>
            <w:snapToGrid w:val="0"/>
            <w:vertAlign w:val="superscript"/>
          </w:rPr>
          <w:delText> 1a</w:delText>
        </w:r>
      </w:del>
      <w:r>
        <w:rPr>
          <w:snapToGrid w:val="0"/>
        </w:rPr>
        <w:t>.  The table also contains information about any reprint.</w:t>
      </w:r>
    </w:p>
    <w:p>
      <w:pPr>
        <w:pStyle w:val="nHeading3"/>
      </w:pPr>
      <w:bookmarkStart w:id="224" w:name="_Toc394914793"/>
      <w:bookmarkStart w:id="225" w:name="_Toc393111411"/>
      <w:r>
        <w:t>Compilation table</w:t>
      </w:r>
      <w:bookmarkEnd w:id="224"/>
      <w:bookmarkEnd w:id="2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Citation</w:t>
            </w:r>
          </w:p>
        </w:tc>
        <w:tc>
          <w:tcPr>
            <w:tcW w:w="1276"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Gazettal</w:t>
            </w:r>
          </w:p>
        </w:tc>
        <w:tc>
          <w:tcPr>
            <w:tcW w:w="2693"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Commencement</w:t>
            </w:r>
          </w:p>
        </w:tc>
      </w:tr>
      <w:tr>
        <w:tc>
          <w:tcPr>
            <w:tcW w:w="3118" w:type="dxa"/>
            <w:tcBorders>
              <w:top w:val="single" w:sz="8" w:space="0" w:color="auto"/>
              <w:bottom w:val="nil"/>
            </w:tcBorders>
          </w:tcPr>
          <w:p>
            <w:pPr>
              <w:pStyle w:val="nTable"/>
              <w:spacing w:after="40"/>
              <w:rPr>
                <w:rFonts w:ascii="Times" w:hAnsi="Times"/>
                <w:iCs/>
                <w:sz w:val="19"/>
              </w:rPr>
            </w:pPr>
            <w:r>
              <w:rPr>
                <w:rFonts w:ascii="Times" w:hAnsi="Times"/>
                <w:i/>
                <w:noProof/>
                <w:snapToGrid w:val="0"/>
                <w:sz w:val="19"/>
              </w:rPr>
              <w:t>Vocational Education and Training (General) Regulations 2009</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22 May 2009 p. 1731</w:t>
            </w:r>
            <w:r>
              <w:rPr>
                <w:rFonts w:ascii="Times" w:hAnsi="Times"/>
                <w:sz w:val="19"/>
              </w:rPr>
              <w:noBreakHyphen/>
              <w:t>97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22 May 2009 (see r. 2(a));</w:t>
            </w:r>
            <w:r>
              <w:rPr>
                <w:rFonts w:ascii="Times" w:hAnsi="Times"/>
                <w:sz w:val="19"/>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4508-11</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(No. 2)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4511-12</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sz w:val="19"/>
                <w:szCs w:val="19"/>
              </w:rPr>
            </w:pPr>
            <w:r>
              <w:rPr>
                <w:rFonts w:ascii="Times" w:hAnsi="Times"/>
                <w:i/>
                <w:sz w:val="19"/>
                <w:szCs w:val="19"/>
              </w:rPr>
              <w:t>Vocational Education and Training (General)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16 Mar 2012 p. 1247</w:t>
            </w:r>
            <w:r>
              <w:rPr>
                <w:rFonts w:ascii="Times" w:hAnsi="Times"/>
                <w:sz w:val="19"/>
              </w:rPr>
              <w:noBreakHyphen/>
              <w:t>8</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16 Mar 2012 (see r. 2(a));</w:t>
            </w:r>
            <w:r>
              <w:rPr>
                <w:rFonts w:ascii="Times" w:hAnsi="Times"/>
                <w:snapToGrid w:val="0"/>
                <w:sz w:val="19"/>
              </w:rPr>
              <w:br/>
              <w:t>Regulations other than r. 1 and 2: 17 Mar 2012 (see r. 2(b))</w:t>
            </w:r>
          </w:p>
        </w:tc>
      </w:tr>
      <w:tr>
        <w:tc>
          <w:tcPr>
            <w:tcW w:w="3118" w:type="dxa"/>
            <w:tcBorders>
              <w:top w:val="nil"/>
              <w:bottom w:val="nil"/>
            </w:tcBorders>
          </w:tcPr>
          <w:p>
            <w:pPr>
              <w:pStyle w:val="nTable"/>
              <w:spacing w:after="40"/>
              <w:rPr>
                <w:rFonts w:ascii="Times" w:hAnsi="Times"/>
                <w:i/>
                <w:sz w:val="19"/>
                <w:szCs w:val="19"/>
              </w:rPr>
            </w:pPr>
            <w:r>
              <w:rPr>
                <w:rFonts w:ascii="Times" w:hAnsi="Times"/>
                <w:i/>
                <w:sz w:val="19"/>
                <w:szCs w:val="19"/>
              </w:rPr>
              <w:t>Vocational Education and Training (General) Amendment Regulations (No. 2) 2012</w:t>
            </w:r>
          </w:p>
        </w:tc>
        <w:tc>
          <w:tcPr>
            <w:tcW w:w="1276" w:type="dxa"/>
            <w:tcBorders>
              <w:top w:val="nil"/>
              <w:bottom w:val="nil"/>
            </w:tcBorders>
          </w:tcPr>
          <w:p>
            <w:pPr>
              <w:pStyle w:val="nTable"/>
              <w:spacing w:after="40"/>
              <w:rPr>
                <w:rFonts w:ascii="Times" w:hAnsi="Times"/>
                <w:sz w:val="19"/>
              </w:rPr>
            </w:pPr>
            <w:r>
              <w:rPr>
                <w:rFonts w:ascii="Times" w:hAnsi="Times"/>
                <w:sz w:val="19"/>
              </w:rPr>
              <w:t>21 Aug 2012 p. 3927</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21 Aug 2012 (see r. 2(a));</w:t>
            </w:r>
            <w:r>
              <w:rPr>
                <w:rFonts w:ascii="Times" w:hAnsi="Times"/>
                <w:snapToGrid w:val="0"/>
                <w:sz w:val="19"/>
              </w:rPr>
              <w:br/>
              <w:t>Regulations other than r. 1 and 2: 1 Sep 2012 (see r. 2(b))</w:t>
            </w:r>
          </w:p>
        </w:tc>
      </w:tr>
      <w:tr>
        <w:tc>
          <w:tcPr>
            <w:tcW w:w="3118" w:type="dxa"/>
            <w:tcBorders>
              <w:top w:val="nil"/>
              <w:bottom w:val="nil"/>
            </w:tcBorders>
          </w:tcPr>
          <w:p>
            <w:pPr>
              <w:pStyle w:val="nTable"/>
              <w:spacing w:after="40"/>
              <w:rPr>
                <w:rFonts w:ascii="Times" w:hAnsi="Times"/>
                <w:i/>
                <w:sz w:val="19"/>
                <w:szCs w:val="19"/>
              </w:rPr>
            </w:pPr>
            <w:r>
              <w:rPr>
                <w:i/>
                <w:sz w:val="19"/>
              </w:rPr>
              <w:t>Vocational Education and Training (General) Amendment Regulations 2013</w:t>
            </w:r>
            <w:r>
              <w:rPr>
                <w:sz w:val="19"/>
              </w:rPr>
              <w:t xml:space="preserve"> </w:t>
            </w:r>
          </w:p>
        </w:tc>
        <w:tc>
          <w:tcPr>
            <w:tcW w:w="1276" w:type="dxa"/>
            <w:tcBorders>
              <w:top w:val="nil"/>
              <w:bottom w:val="nil"/>
            </w:tcBorders>
          </w:tcPr>
          <w:p>
            <w:pPr>
              <w:pStyle w:val="nTable"/>
              <w:spacing w:after="40"/>
              <w:rPr>
                <w:rFonts w:ascii="Times" w:hAnsi="Times"/>
                <w:sz w:val="19"/>
              </w:rPr>
            </w:pPr>
            <w:r>
              <w:rPr>
                <w:rFonts w:ascii="Times" w:hAnsi="Times"/>
                <w:sz w:val="19"/>
              </w:rPr>
              <w:t>17 Dec 2013 p. 6218</w:t>
            </w:r>
            <w:r>
              <w:rPr>
                <w:rFonts w:ascii="Times" w:hAnsi="Times"/>
                <w:sz w:val="19"/>
              </w:rPr>
              <w:noBreakHyphen/>
              <w:t>30</w:t>
            </w:r>
          </w:p>
        </w:tc>
        <w:tc>
          <w:tcPr>
            <w:tcW w:w="2693" w:type="dxa"/>
            <w:tcBorders>
              <w:top w:val="nil"/>
              <w:bottom w:val="nil"/>
            </w:tcBorders>
          </w:tcPr>
          <w:p>
            <w:pPr>
              <w:pStyle w:val="nTable"/>
              <w:spacing w:after="40"/>
              <w:rPr>
                <w:rFonts w:ascii="Times" w:hAnsi="Times"/>
                <w:snapToGrid w:val="0"/>
                <w:sz w:val="19"/>
              </w:rPr>
            </w:pPr>
            <w:r>
              <w:rPr>
                <w:rFonts w:ascii="Times" w:hAnsi="Times"/>
                <w:bCs/>
                <w:snapToGrid w:val="0"/>
                <w:sz w:val="19"/>
                <w:szCs w:val="19"/>
              </w:rPr>
              <w:t>r. 1 and 2: 17 Dec 2013 (see r. 2(a));</w:t>
            </w:r>
            <w:r>
              <w:rPr>
                <w:rFonts w:ascii="Times" w:hAnsi="Times"/>
                <w:bCs/>
                <w:snapToGrid w:val="0"/>
                <w:sz w:val="19"/>
                <w:szCs w:val="19"/>
              </w:rPr>
              <w:br/>
              <w:t xml:space="preserve">Regulations other than r. 1 and 2: </w:t>
            </w:r>
            <w:r>
              <w:rPr>
                <w:rFonts w:ascii="Times" w:hAnsi="Times"/>
                <w:sz w:val="19"/>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sz w:val="19"/>
                <w:szCs w:val="19"/>
              </w:rPr>
            </w:pPr>
            <w:r>
              <w:rPr>
                <w:rFonts w:ascii="Times" w:hAnsi="Times"/>
                <w:b/>
                <w:bCs/>
                <w:snapToGrid w:val="0"/>
                <w:sz w:val="19"/>
                <w:szCs w:val="19"/>
              </w:rPr>
              <w:t xml:space="preserve">Reprint 1:  The </w:t>
            </w:r>
            <w:r>
              <w:rPr>
                <w:rFonts w:ascii="Times" w:hAnsi="Times"/>
                <w:b/>
                <w:i/>
                <w:noProof/>
                <w:snapToGrid w:val="0"/>
                <w:sz w:val="19"/>
              </w:rPr>
              <w:t xml:space="preserve">Vocational Education and Training (General) Regulations 2009 </w:t>
            </w:r>
            <w:r>
              <w:rPr>
                <w:rFonts w:ascii="Times" w:hAnsi="Times"/>
                <w:b/>
                <w:bCs/>
                <w:snapToGrid w:val="0"/>
                <w:sz w:val="19"/>
                <w:szCs w:val="19"/>
              </w:rPr>
              <w:t>as at 7 Mar 2014</w:t>
            </w:r>
            <w:r>
              <w:rPr>
                <w:rFonts w:ascii="Times" w:hAnsi="Times"/>
                <w:bCs/>
                <w:snapToGrid w:val="0"/>
                <w:sz w:val="19"/>
                <w:szCs w:val="19"/>
              </w:rPr>
              <w:t xml:space="preserve"> (includes amendments listed above) </w:t>
            </w:r>
          </w:p>
        </w:tc>
      </w:tr>
    </w:tbl>
    <w:p>
      <w:pPr>
        <w:pStyle w:val="nSubsection"/>
        <w:tabs>
          <w:tab w:val="clear" w:pos="454"/>
          <w:tab w:val="left" w:pos="567"/>
        </w:tabs>
        <w:spacing w:before="120"/>
        <w:ind w:left="567" w:hanging="567"/>
        <w:rPr>
          <w:del w:id="226" w:author="Master Repository Process" w:date="2021-09-18T21:04:00Z"/>
          <w:snapToGrid w:val="0"/>
        </w:rPr>
      </w:pPr>
      <w:bookmarkStart w:id="227" w:name="AutoSch"/>
      <w:bookmarkEnd w:id="227"/>
      <w:del w:id="228" w:author="Master Repository Process" w:date="2021-09-18T21: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9" w:author="Master Repository Process" w:date="2021-09-18T21:04:00Z"/>
        </w:rPr>
      </w:pPr>
      <w:bookmarkStart w:id="230" w:name="_Toc393111412"/>
      <w:del w:id="231" w:author="Master Repository Process" w:date="2021-09-18T21:04:00Z">
        <w:r>
          <w:delText>Provisions that have not come into operation</w:delText>
        </w:r>
        <w:bookmarkEnd w:id="230"/>
      </w:del>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32" w:author="Master Repository Process" w:date="2021-09-18T21:04:00Z"/>
        </w:trPr>
        <w:tc>
          <w:tcPr>
            <w:tcW w:w="3119" w:type="dxa"/>
          </w:tcPr>
          <w:p>
            <w:pPr>
              <w:pStyle w:val="nTable"/>
              <w:spacing w:after="40"/>
              <w:ind w:right="113"/>
              <w:rPr>
                <w:del w:id="233" w:author="Master Repository Process" w:date="2021-09-18T21:04:00Z"/>
                <w:b/>
                <w:sz w:val="19"/>
              </w:rPr>
            </w:pPr>
            <w:del w:id="234" w:author="Master Repository Process" w:date="2021-09-18T21:04:00Z">
              <w:r>
                <w:rPr>
                  <w:b/>
                  <w:sz w:val="19"/>
                </w:rPr>
                <w:delText>Citation</w:delText>
              </w:r>
            </w:del>
          </w:p>
        </w:tc>
        <w:tc>
          <w:tcPr>
            <w:tcW w:w="1276" w:type="dxa"/>
          </w:tcPr>
          <w:p>
            <w:pPr>
              <w:pStyle w:val="nTable"/>
              <w:spacing w:after="40"/>
              <w:rPr>
                <w:del w:id="235" w:author="Master Repository Process" w:date="2021-09-18T21:04:00Z"/>
                <w:b/>
                <w:sz w:val="19"/>
              </w:rPr>
            </w:pPr>
            <w:del w:id="236" w:author="Master Repository Process" w:date="2021-09-18T21:04:00Z">
              <w:r>
                <w:rPr>
                  <w:b/>
                  <w:sz w:val="19"/>
                </w:rPr>
                <w:delText>Gazettal</w:delText>
              </w:r>
            </w:del>
          </w:p>
        </w:tc>
        <w:tc>
          <w:tcPr>
            <w:tcW w:w="2693" w:type="dxa"/>
          </w:tcPr>
          <w:p>
            <w:pPr>
              <w:pStyle w:val="nTable"/>
              <w:spacing w:after="40"/>
              <w:rPr>
                <w:del w:id="237" w:author="Master Repository Process" w:date="2021-09-18T21:04:00Z"/>
                <w:b/>
                <w:sz w:val="19"/>
              </w:rPr>
            </w:pPr>
            <w:del w:id="238" w:author="Master Repository Process" w:date="2021-09-18T21:04:00Z">
              <w:r>
                <w:rPr>
                  <w:b/>
                  <w:sz w:val="19"/>
                </w:rPr>
                <w:delText>Commencement</w:delText>
              </w:r>
            </w:del>
          </w:p>
        </w:tc>
      </w:tr>
      <w:tr>
        <w:tblPrEx>
          <w:tblBorders>
            <w:top w:val="single" w:sz="8" w:space="0" w:color="auto"/>
            <w:insideH w:val="single" w:sz="8" w:space="0" w:color="auto"/>
          </w:tblBorders>
        </w:tblPrEx>
        <w:tc>
          <w:tcPr>
            <w:tcW w:w="3118" w:type="dxa"/>
            <w:tcBorders>
              <w:top w:val="nil"/>
              <w:bottom w:val="single" w:sz="4" w:space="0" w:color="auto"/>
            </w:tcBorders>
          </w:tcPr>
          <w:p>
            <w:pPr>
              <w:pStyle w:val="nTable"/>
              <w:spacing w:after="40"/>
              <w:rPr>
                <w:rFonts w:ascii="Times" w:hAnsi="Times"/>
                <w:i/>
                <w:sz w:val="19"/>
                <w:szCs w:val="19"/>
              </w:rPr>
            </w:pPr>
            <w:r>
              <w:rPr>
                <w:i/>
              </w:rPr>
              <w:t>Vocational Education and Training (General) Amendment Regulations (No. 2) 2014</w:t>
            </w:r>
            <w:del w:id="239" w:author="Master Repository Process" w:date="2021-09-18T21:04:00Z">
              <w:r>
                <w:delText xml:space="preserve"> r. 3-6</w:delText>
              </w:r>
              <w:r>
                <w:rPr>
                  <w:vertAlign w:val="superscript"/>
                </w:rPr>
                <w:delText> 5</w:delText>
              </w:r>
            </w:del>
          </w:p>
        </w:tc>
        <w:tc>
          <w:tcPr>
            <w:tcW w:w="1276" w:type="dxa"/>
            <w:tcBorders>
              <w:top w:val="nil"/>
              <w:bottom w:val="single" w:sz="4" w:space="0" w:color="auto"/>
            </w:tcBorders>
          </w:tcPr>
          <w:p>
            <w:pPr>
              <w:pStyle w:val="nTable"/>
              <w:spacing w:after="40"/>
              <w:rPr>
                <w:rFonts w:ascii="Times" w:hAnsi="Times"/>
                <w:sz w:val="19"/>
              </w:rPr>
            </w:pPr>
            <w:r>
              <w:rPr>
                <w:sz w:val="19"/>
              </w:rPr>
              <w:t>15 Jul 2014 p. 2463</w:t>
            </w:r>
            <w:del w:id="240" w:author="Master Repository Process" w:date="2021-09-18T21:04:00Z">
              <w:r>
                <w:rPr>
                  <w:sz w:val="19"/>
                </w:rPr>
                <w:delText>-</w:delText>
              </w:r>
            </w:del>
            <w:ins w:id="241" w:author="Master Repository Process" w:date="2021-09-18T21:04:00Z">
              <w:r>
                <w:rPr>
                  <w:sz w:val="19"/>
                </w:rPr>
                <w:noBreakHyphen/>
              </w:r>
            </w:ins>
            <w:r>
              <w:rPr>
                <w:sz w:val="19"/>
              </w:rPr>
              <w:t>4</w:t>
            </w:r>
          </w:p>
        </w:tc>
        <w:tc>
          <w:tcPr>
            <w:tcW w:w="2693" w:type="dxa"/>
            <w:tcBorders>
              <w:top w:val="nil"/>
              <w:bottom w:val="single" w:sz="4" w:space="0" w:color="auto"/>
            </w:tcBorders>
          </w:tcPr>
          <w:p>
            <w:pPr>
              <w:pStyle w:val="nTable"/>
              <w:spacing w:after="40"/>
              <w:rPr>
                <w:rFonts w:ascii="Times" w:hAnsi="Times"/>
                <w:snapToGrid w:val="0"/>
                <w:sz w:val="19"/>
              </w:rPr>
            </w:pPr>
            <w:ins w:id="242" w:author="Master Repository Process" w:date="2021-09-18T21:04:00Z">
              <w:r>
                <w:rPr>
                  <w:rFonts w:ascii="Times" w:hAnsi="Times"/>
                  <w:bCs/>
                  <w:snapToGrid w:val="0"/>
                  <w:sz w:val="19"/>
                  <w:szCs w:val="19"/>
                </w:rPr>
                <w:t>r. 1 and 2: 15 Jul 2014 (see r. 2(a));</w:t>
              </w:r>
              <w:r>
                <w:rPr>
                  <w:rFonts w:ascii="Times" w:hAnsi="Times"/>
                  <w:bCs/>
                  <w:snapToGrid w:val="0"/>
                  <w:sz w:val="19"/>
                  <w:szCs w:val="19"/>
                </w:rPr>
                <w:br/>
                <w:t xml:space="preserve">Regulations other than r. 1 and 2: </w:t>
              </w:r>
            </w:ins>
            <w:r>
              <w:rPr>
                <w:rFonts w:ascii="Times" w:hAnsi="Times"/>
                <w:sz w:val="19"/>
              </w:rPr>
              <w:t>1 Aug 2014 (see r.</w:t>
            </w:r>
            <w:del w:id="243" w:author="Master Repository Process" w:date="2021-09-18T21:04:00Z">
              <w:r>
                <w:rPr>
                  <w:sz w:val="19"/>
                </w:rPr>
                <w:delText> </w:delText>
              </w:r>
            </w:del>
            <w:ins w:id="244" w:author="Master Repository Process" w:date="2021-09-18T21:04:00Z">
              <w:r>
                <w:rPr>
                  <w:rFonts w:ascii="Times" w:hAnsi="Times"/>
                  <w:sz w:val="19"/>
                </w:rPr>
                <w:t xml:space="preserve"> </w:t>
              </w:r>
            </w:ins>
            <w:r>
              <w:rPr>
                <w:rFonts w:ascii="Times" w:hAnsi="Times"/>
                <w:sz w:val="19"/>
              </w:rPr>
              <w:t>2(b))</w:t>
            </w:r>
          </w:p>
        </w:tc>
      </w:tr>
    </w:tbl>
    <w:p>
      <w:pPr>
        <w:pStyle w:val="nSubsection"/>
        <w:spacing w:before="160"/>
        <w:rPr>
          <w:color w:val="000000"/>
        </w:rPr>
      </w:pPr>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Pr>
        <w:pStyle w:val="nSubsection"/>
        <w:spacing w:before="200"/>
        <w:rPr>
          <w:del w:id="245" w:author="Master Repository Process" w:date="2021-09-18T21:04:00Z"/>
          <w:snapToGrid w:val="0"/>
        </w:rPr>
      </w:pPr>
      <w:del w:id="246" w:author="Master Repository Process" w:date="2021-09-18T21:04:00Z">
        <w:r>
          <w:rPr>
            <w:snapToGrid w:val="0"/>
            <w:vertAlign w:val="superscript"/>
          </w:rPr>
          <w:delText>5</w:delText>
        </w:r>
        <w:r>
          <w:rPr>
            <w:snapToGrid w:val="0"/>
            <w:vertAlign w:val="superscript"/>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Vocational Education and Training (General) Amendment Regulations (No. 2) 2014 </w:delText>
        </w:r>
        <w:r>
          <w:rPr>
            <w:snapToGrid w:val="0"/>
          </w:rPr>
          <w:delText>r. 3-6 had not come into operation.  They read as follows:</w:delText>
        </w:r>
      </w:del>
    </w:p>
    <w:p>
      <w:pPr>
        <w:pStyle w:val="BlankOpen"/>
        <w:rPr>
          <w:del w:id="247" w:author="Master Repository Process" w:date="2021-09-18T21:04:00Z"/>
          <w:snapToGrid w:val="0"/>
        </w:rPr>
      </w:pPr>
    </w:p>
    <w:p>
      <w:pPr>
        <w:pStyle w:val="nzHeading5"/>
        <w:rPr>
          <w:del w:id="248" w:author="Master Repository Process" w:date="2021-09-18T21:04:00Z"/>
          <w:snapToGrid w:val="0"/>
        </w:rPr>
      </w:pPr>
      <w:del w:id="249" w:author="Master Repository Process" w:date="2021-09-18T21:04:00Z">
        <w:r>
          <w:rPr>
            <w:rStyle w:val="CharSectno"/>
          </w:rPr>
          <w:delText>3</w:delText>
        </w:r>
        <w:r>
          <w:rPr>
            <w:snapToGrid w:val="0"/>
          </w:rPr>
          <w:delText>.</w:delText>
        </w:r>
        <w:r>
          <w:rPr>
            <w:snapToGrid w:val="0"/>
          </w:rPr>
          <w:tab/>
          <w:delText>Regulations amended</w:delText>
        </w:r>
      </w:del>
    </w:p>
    <w:p>
      <w:pPr>
        <w:pStyle w:val="nzSubsection"/>
        <w:rPr>
          <w:del w:id="250" w:author="Master Repository Process" w:date="2021-09-18T21:04:00Z"/>
        </w:rPr>
      </w:pPr>
      <w:del w:id="251" w:author="Master Repository Process" w:date="2021-09-18T21:04:00Z">
        <w:r>
          <w:tab/>
        </w:r>
        <w:r>
          <w:tab/>
        </w:r>
        <w:r>
          <w:rPr>
            <w:spacing w:val="-2"/>
          </w:rPr>
          <w:delText>These</w:delText>
        </w:r>
        <w:r>
          <w:delText xml:space="preserve"> regulations amend the </w:delText>
        </w:r>
        <w:r>
          <w:rPr>
            <w:i/>
          </w:rPr>
          <w:delText>Vocational Education and Training (General) Regulations 2009</w:delText>
        </w:r>
        <w:r>
          <w:delText>.</w:delText>
        </w:r>
      </w:del>
    </w:p>
    <w:p>
      <w:pPr>
        <w:pStyle w:val="nzHeading5"/>
        <w:rPr>
          <w:del w:id="252" w:author="Master Repository Process" w:date="2021-09-18T21:04:00Z"/>
        </w:rPr>
      </w:pPr>
      <w:del w:id="253" w:author="Master Repository Process" w:date="2021-09-18T21:04:00Z">
        <w:r>
          <w:rPr>
            <w:rStyle w:val="CharSectno"/>
          </w:rPr>
          <w:delText>4</w:delText>
        </w:r>
        <w:r>
          <w:delText>.</w:delText>
        </w:r>
        <w:r>
          <w:tab/>
          <w:delText>Regulation 19 amended</w:delText>
        </w:r>
      </w:del>
    </w:p>
    <w:p>
      <w:pPr>
        <w:pStyle w:val="nzSubsection"/>
        <w:rPr>
          <w:del w:id="254" w:author="Master Repository Process" w:date="2021-09-18T21:04:00Z"/>
        </w:rPr>
      </w:pPr>
      <w:del w:id="255" w:author="Master Repository Process" w:date="2021-09-18T21:04:00Z">
        <w:r>
          <w:tab/>
        </w:r>
        <w:r>
          <w:tab/>
          <w:delText>Delete regulation 19(9).</w:delText>
        </w:r>
      </w:del>
    </w:p>
    <w:p>
      <w:pPr>
        <w:pStyle w:val="nzHeading5"/>
        <w:rPr>
          <w:del w:id="256" w:author="Master Repository Process" w:date="2021-09-18T21:04:00Z"/>
        </w:rPr>
      </w:pPr>
      <w:del w:id="257" w:author="Master Repository Process" w:date="2021-09-18T21:04:00Z">
        <w:r>
          <w:rPr>
            <w:rStyle w:val="CharSectno"/>
          </w:rPr>
          <w:delText>5</w:delText>
        </w:r>
        <w:r>
          <w:delText>.</w:delText>
        </w:r>
        <w:r>
          <w:tab/>
          <w:delText>Regulation 28 amended</w:delText>
        </w:r>
      </w:del>
    </w:p>
    <w:p>
      <w:pPr>
        <w:pStyle w:val="nzSubsection"/>
        <w:rPr>
          <w:del w:id="258" w:author="Master Repository Process" w:date="2021-09-18T21:04:00Z"/>
        </w:rPr>
      </w:pPr>
      <w:del w:id="259" w:author="Master Repository Process" w:date="2021-09-18T21:04:00Z">
        <w:r>
          <w:tab/>
        </w:r>
        <w:r>
          <w:tab/>
          <w:delText>Delete regulation 28(2)(b) and insert:</w:delText>
        </w:r>
      </w:del>
    </w:p>
    <w:p>
      <w:pPr>
        <w:pStyle w:val="BlankOpen"/>
        <w:rPr>
          <w:del w:id="260" w:author="Master Repository Process" w:date="2021-09-18T21:04:00Z"/>
        </w:rPr>
      </w:pPr>
    </w:p>
    <w:p>
      <w:pPr>
        <w:pStyle w:val="nzIndenta"/>
        <w:rPr>
          <w:del w:id="261" w:author="Master Repository Process" w:date="2021-09-18T21:04:00Z"/>
        </w:rPr>
      </w:pPr>
      <w:del w:id="262" w:author="Master Repository Process" w:date="2021-09-18T21:04:00Z">
        <w:r>
          <w:tab/>
          <w:delText>(b)</w:delText>
        </w:r>
        <w:r>
          <w:tab/>
          <w:delText>the application fee being $8 070 for each course that the application is made in respect of.</w:delText>
        </w:r>
      </w:del>
    </w:p>
    <w:p>
      <w:pPr>
        <w:pStyle w:val="BlankClose"/>
        <w:rPr>
          <w:del w:id="263" w:author="Master Repository Process" w:date="2021-09-18T21:04:00Z"/>
        </w:rPr>
      </w:pPr>
    </w:p>
    <w:p>
      <w:pPr>
        <w:pStyle w:val="nzHeading5"/>
        <w:rPr>
          <w:del w:id="264" w:author="Master Repository Process" w:date="2021-09-18T21:04:00Z"/>
        </w:rPr>
      </w:pPr>
      <w:del w:id="265" w:author="Master Repository Process" w:date="2021-09-18T21:04:00Z">
        <w:r>
          <w:rPr>
            <w:rStyle w:val="CharSectno"/>
          </w:rPr>
          <w:delText>6</w:delText>
        </w:r>
        <w:r>
          <w:delText>.</w:delText>
        </w:r>
        <w:r>
          <w:tab/>
          <w:delText>Regulation 33A amended</w:delText>
        </w:r>
      </w:del>
    </w:p>
    <w:p>
      <w:pPr>
        <w:pStyle w:val="nzSubsection"/>
        <w:rPr>
          <w:del w:id="266" w:author="Master Repository Process" w:date="2021-09-18T21:04:00Z"/>
        </w:rPr>
      </w:pPr>
      <w:del w:id="267" w:author="Master Repository Process" w:date="2021-09-18T21:04:00Z">
        <w:r>
          <w:tab/>
        </w:r>
        <w:r>
          <w:tab/>
          <w:delText>Delete regulation 33A(3)(b) and insert:</w:delText>
        </w:r>
      </w:del>
    </w:p>
    <w:p>
      <w:pPr>
        <w:pStyle w:val="BlankOpen"/>
        <w:rPr>
          <w:del w:id="268" w:author="Master Repository Process" w:date="2021-09-18T21:04:00Z"/>
        </w:rPr>
      </w:pPr>
    </w:p>
    <w:p>
      <w:pPr>
        <w:pStyle w:val="nzIndenta"/>
        <w:rPr>
          <w:del w:id="269" w:author="Master Repository Process" w:date="2021-09-18T21:04:00Z"/>
        </w:rPr>
      </w:pPr>
      <w:del w:id="270" w:author="Master Repository Process" w:date="2021-09-18T21:04:00Z">
        <w:r>
          <w:tab/>
          <w:delText>(b)</w:delText>
        </w:r>
        <w:r>
          <w:tab/>
          <w:delText>the application fee of $2 290.</w:delText>
        </w:r>
      </w:del>
    </w:p>
    <w:p>
      <w:pPr>
        <w:pStyle w:val="BlankClose"/>
        <w:rPr>
          <w:del w:id="271" w:author="Master Repository Process" w:date="2021-09-18T21:04:00Z"/>
        </w:rPr>
      </w:pPr>
    </w:p>
    <w:p>
      <w:pPr>
        <w:pStyle w:val="BlankClose"/>
        <w:rPr>
          <w:del w:id="272" w:author="Master Repository Process" w:date="2021-09-18T21:04:00Z"/>
        </w:rPr>
      </w:pP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
    <w:p/>
    <w:p/>
    <w:p/>
    <w:p/>
    <w:p/>
    <w:p/>
    <w:p/>
    <w:p/>
    <w:p/>
    <w:p/>
    <w:p/>
    <w:p/>
    <w:p/>
    <w:p/>
    <w:p/>
    <w:p/>
    <w:p/>
    <w:p/>
    <w:p/>
    <w:p/>
    <w:p/>
    <w:p/>
    <w:p/>
    <w:p/>
    <w:p/>
    <w:p/>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804112203"/>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253C691-4820-4286-87C8-F4774282C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16488</Words>
  <Characters>86563</Characters>
  <Application>Microsoft Office Word</Application>
  <DocSecurity>0</DocSecurity>
  <Lines>2404</Lines>
  <Paragraphs>1392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01-b0-00 - 01-c0-00</dc:title>
  <dc:subject/>
  <dc:creator/>
  <cp:keywords/>
  <dc:description/>
  <cp:lastModifiedBy>Master Repository Process</cp:lastModifiedBy>
  <cp:revision>2</cp:revision>
  <cp:lastPrinted>2014-03-13T01:01:00Z</cp:lastPrinted>
  <dcterms:created xsi:type="dcterms:W3CDTF">2021-09-18T13:04:00Z</dcterms:created>
  <dcterms:modified xsi:type="dcterms:W3CDTF">2021-09-18T13:04:00Z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20140801</vt:lpwstr>
  </property>
  <property fmtid="{D5CDD505-2E9C-101B-9397-08002B2CF9AE}" pid="4" name="OwlsUID">
    <vt:i4>41125</vt:i4>
  </property>
  <property fmtid="{D5CDD505-2E9C-101B-9397-08002B2CF9AE}" pid="5" name="ReprintNo">
    <vt:lpwstr>1</vt:lpwstr>
  </property>
  <property fmtid="{D5CDD505-2E9C-101B-9397-08002B2CF9AE}" pid="6" name="ReprintedAsAt">
    <vt:filetime>2014-03-06T16:00:00Z</vt:filetime>
  </property>
  <property fmtid="{D5CDD505-2E9C-101B-9397-08002B2CF9AE}" pid="7" name="DocumentType">
    <vt:lpwstr>Reg</vt:lpwstr>
  </property>
  <property fmtid="{D5CDD505-2E9C-101B-9397-08002B2CF9AE}" pid="8" name="FromSuffix">
    <vt:lpwstr>01-b0-00</vt:lpwstr>
  </property>
  <property fmtid="{D5CDD505-2E9C-101B-9397-08002B2CF9AE}" pid="9" name="FromAsAtDate">
    <vt:lpwstr>15 Jul 2014</vt:lpwstr>
  </property>
  <property fmtid="{D5CDD505-2E9C-101B-9397-08002B2CF9AE}" pid="10" name="ToSuffix">
    <vt:lpwstr>01-c0-00</vt:lpwstr>
  </property>
  <property fmtid="{D5CDD505-2E9C-101B-9397-08002B2CF9AE}" pid="11" name="ToAsAtDate">
    <vt:lpwstr>01 Aug 2014</vt:lpwstr>
  </property>
</Properties>
</file>