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Apr 2014</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06 Aug 2014</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20:03:00Z"/>
        </w:trPr>
        <w:tc>
          <w:tcPr>
            <w:tcW w:w="2434" w:type="dxa"/>
            <w:vMerge w:val="restart"/>
          </w:tcPr>
          <w:p>
            <w:pPr>
              <w:rPr>
                <w:del w:id="2" w:author="Master Repository Process" w:date="2021-07-31T20:03:00Z"/>
              </w:rPr>
            </w:pPr>
          </w:p>
        </w:tc>
        <w:tc>
          <w:tcPr>
            <w:tcW w:w="2434" w:type="dxa"/>
            <w:vMerge w:val="restart"/>
          </w:tcPr>
          <w:p>
            <w:pPr>
              <w:jc w:val="center"/>
              <w:rPr>
                <w:del w:id="3" w:author="Master Repository Process" w:date="2021-07-31T20:03:00Z"/>
              </w:rPr>
            </w:pPr>
            <w:del w:id="4" w:author="Master Repository Process" w:date="2021-07-31T20:03: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20:03:00Z"/>
              </w:rPr>
            </w:pPr>
            <w:del w:id="6" w:author="Master Repository Process" w:date="2021-07-31T20:03: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20:03:00Z"/>
        </w:trPr>
        <w:tc>
          <w:tcPr>
            <w:tcW w:w="2434" w:type="dxa"/>
            <w:vMerge/>
          </w:tcPr>
          <w:p>
            <w:pPr>
              <w:rPr>
                <w:del w:id="8" w:author="Master Repository Process" w:date="2021-07-31T20:03:00Z"/>
              </w:rPr>
            </w:pPr>
          </w:p>
        </w:tc>
        <w:tc>
          <w:tcPr>
            <w:tcW w:w="2434" w:type="dxa"/>
            <w:vMerge/>
          </w:tcPr>
          <w:p>
            <w:pPr>
              <w:jc w:val="center"/>
              <w:rPr>
                <w:del w:id="9" w:author="Master Repository Process" w:date="2021-07-31T20:03:00Z"/>
              </w:rPr>
            </w:pPr>
          </w:p>
        </w:tc>
        <w:tc>
          <w:tcPr>
            <w:tcW w:w="2434" w:type="dxa"/>
          </w:tcPr>
          <w:p>
            <w:pPr>
              <w:keepNext/>
              <w:rPr>
                <w:del w:id="10" w:author="Master Repository Process" w:date="2021-07-31T20:03:00Z"/>
                <w:b/>
                <w:sz w:val="22"/>
              </w:rPr>
            </w:pPr>
            <w:del w:id="11" w:author="Master Repository Process" w:date="2021-07-31T20:03:00Z">
              <w:r>
                <w:rPr>
                  <w:b/>
                  <w:sz w:val="22"/>
                </w:rPr>
                <w:delText>at 11</w:delText>
              </w:r>
              <w:r>
                <w:rPr>
                  <w:b/>
                  <w:snapToGrid w:val="0"/>
                  <w:sz w:val="22"/>
                </w:rPr>
                <w:delText xml:space="preserve"> April 2014</w:delText>
              </w:r>
            </w:del>
          </w:p>
        </w:tc>
      </w:tr>
    </w:tbl>
    <w:p>
      <w:pPr>
        <w:pStyle w:val="WA"/>
        <w:spacing w:before="120"/>
      </w:pPr>
      <w:r>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12" w:name="_Toc394917763"/>
      <w:bookmarkStart w:id="13" w:name="_Toc415493795"/>
      <w:bookmarkStart w:id="14" w:name="_Toc386528581"/>
      <w:r>
        <w:rPr>
          <w:rStyle w:val="CharSectno"/>
        </w:rPr>
        <w:t>1</w:t>
      </w:r>
      <w:bookmarkStart w:id="15" w:name="_GoBack"/>
      <w:bookmarkEnd w:id="15"/>
      <w:r>
        <w:t>.</w:t>
      </w:r>
      <w:r>
        <w:tab/>
        <w:t>Citation</w:t>
      </w:r>
      <w:bookmarkEnd w:id="12"/>
      <w:bookmarkEnd w:id="13"/>
      <w:bookmarkEnd w:id="14"/>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16" w:name="_Toc394917764"/>
      <w:bookmarkStart w:id="17" w:name="_Toc415493796"/>
      <w:bookmarkStart w:id="18" w:name="_Toc386528582"/>
      <w:r>
        <w:rPr>
          <w:rStyle w:val="CharSectno"/>
        </w:rPr>
        <w:t>2</w:t>
      </w:r>
      <w:r>
        <w:rPr>
          <w:spacing w:val="-2"/>
        </w:rPr>
        <w:t>.</w:t>
      </w:r>
      <w:r>
        <w:rPr>
          <w:spacing w:val="-2"/>
        </w:rPr>
        <w:tab/>
        <w:t>Commencement</w:t>
      </w:r>
      <w:bookmarkEnd w:id="16"/>
      <w:bookmarkEnd w:id="17"/>
      <w:bookmarkEnd w:id="18"/>
    </w:p>
    <w:p>
      <w:pPr>
        <w:pStyle w:val="Subsection"/>
      </w:pPr>
      <w:r>
        <w:tab/>
      </w:r>
      <w:r>
        <w:tab/>
        <w:t>These regulations come into operation on 1 February 2005.</w:t>
      </w:r>
    </w:p>
    <w:p>
      <w:pPr>
        <w:pStyle w:val="Heading5"/>
        <w:spacing w:before="240"/>
      </w:pPr>
      <w:bookmarkStart w:id="19" w:name="_Toc394917765"/>
      <w:bookmarkStart w:id="20" w:name="_Toc415493797"/>
      <w:bookmarkStart w:id="21" w:name="_Toc386528583"/>
      <w:r>
        <w:rPr>
          <w:rStyle w:val="CharSectno"/>
        </w:rPr>
        <w:t>3</w:t>
      </w:r>
      <w:r>
        <w:t>.</w:t>
      </w:r>
      <w:r>
        <w:tab/>
        <w:t>Terms used</w:t>
      </w:r>
      <w:bookmarkEnd w:id="19"/>
      <w:bookmarkEnd w:id="20"/>
      <w:bookmarkEnd w:id="21"/>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tab/>
      </w:r>
      <w:r>
        <w:rPr>
          <w:rStyle w:val="CharDefText"/>
        </w:rPr>
        <w:t>Breath Analysis Regulations</w:t>
      </w:r>
      <w:r>
        <w:t xml:space="preserve"> means the </w:t>
      </w:r>
      <w:r>
        <w:rPr>
          <w:i/>
        </w:rPr>
        <w:t>Road Traffic (Breath Analysis) Regulations 1975</w:t>
      </w:r>
      <w:r>
        <w:t>;</w:t>
      </w:r>
    </w:p>
    <w:p>
      <w:pPr>
        <w:pStyle w:val="Defstart"/>
      </w:pPr>
      <w:r>
        <w:lastRenderedPageBreak/>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the Register of Nurses Division 1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self</w:t>
      </w:r>
      <w:r>
        <w:rPr>
          <w:rStyle w:val="CharDefText"/>
        </w:rPr>
        <w:noBreakHyphen/>
        <w:t>testing breath analysing equipment</w:t>
      </w:r>
      <w:r>
        <w:t xml:space="preserve"> means breath testing equipment of a type that is designated as self</w:t>
      </w:r>
      <w:r>
        <w:noBreakHyphen/>
        <w:t xml:space="preserve">testing apparatus under the </w:t>
      </w:r>
      <w:r>
        <w:rPr>
          <w:i/>
        </w:rPr>
        <w:t>Road Traffic Act 1974</w:t>
      </w:r>
      <w:r>
        <w:t xml:space="preserve"> section 72(2a);</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in Gazette 1 Jun 2007 p. 2525</w:t>
      </w:r>
      <w:r>
        <w:noBreakHyphen/>
        <w:t>6; amended in Gazette 8 Nov 2013 p.</w:t>
      </w:r>
      <w:r>
        <w:rPr>
          <w:sz w:val="19"/>
        </w:rPr>
        <w:t> </w:t>
      </w:r>
      <w:r>
        <w:t>4995-7.]</w:t>
      </w:r>
    </w:p>
    <w:p>
      <w:pPr>
        <w:pStyle w:val="Heading5"/>
      </w:pPr>
      <w:bookmarkStart w:id="22" w:name="_Toc394917766"/>
      <w:bookmarkStart w:id="23" w:name="_Toc415493798"/>
      <w:bookmarkStart w:id="24" w:name="_Toc386528584"/>
      <w:r>
        <w:rPr>
          <w:rStyle w:val="CharSectno"/>
        </w:rPr>
        <w:t>4</w:t>
      </w:r>
      <w:r>
        <w:t>.</w:t>
      </w:r>
      <w:r>
        <w:tab/>
        <w:t>Authorised persons (s. 3)</w:t>
      </w:r>
      <w:bookmarkEnd w:id="22"/>
      <w:bookmarkEnd w:id="23"/>
      <w:bookmarkEnd w:id="24"/>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25" w:name="_Toc394917767"/>
      <w:bookmarkStart w:id="26" w:name="_Toc415493799"/>
      <w:bookmarkStart w:id="27" w:name="_Toc386528585"/>
      <w:r>
        <w:rPr>
          <w:rStyle w:val="CharSectno"/>
        </w:rPr>
        <w:t>5</w:t>
      </w:r>
      <w:r>
        <w:t>.</w:t>
      </w:r>
      <w:r>
        <w:tab/>
        <w:t>Corresponding Acts (s. 3)</w:t>
      </w:r>
      <w:bookmarkEnd w:id="25"/>
      <w:bookmarkEnd w:id="26"/>
      <w:bookmarkEnd w:id="27"/>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spacing w:before="60"/>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pPr>
        <w:pStyle w:val="Indenta"/>
        <w:keepNext/>
        <w:spacing w:before="60"/>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pPr>
        <w:pStyle w:val="Indenta"/>
        <w:spacing w:before="60"/>
      </w:pPr>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60"/>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pPr>
        <w:pStyle w:val="Indenta"/>
        <w:spacing w:before="60"/>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pPr>
        <w:pStyle w:val="Footnotesection"/>
      </w:pPr>
      <w:r>
        <w:tab/>
        <w:t>[Regulation 5 amended in Gazette 8 Sep 2006 p. 3641; 22 Jun 2007 p. 2862; 28 Mar 2008 p. 914; 25 Nov 2008 p. 4990; 20 Feb 2009 p. 354.]</w:t>
      </w:r>
    </w:p>
    <w:p>
      <w:pPr>
        <w:pStyle w:val="Heading5"/>
      </w:pPr>
      <w:bookmarkStart w:id="28" w:name="_Toc394917768"/>
      <w:bookmarkStart w:id="29" w:name="_Toc415493800"/>
      <w:bookmarkStart w:id="30" w:name="_Toc386528586"/>
      <w:r>
        <w:rPr>
          <w:rStyle w:val="CharSectno"/>
        </w:rPr>
        <w:t>6</w:t>
      </w:r>
      <w:r>
        <w:t>.</w:t>
      </w:r>
      <w:r>
        <w:tab/>
        <w:t>Corresponding offender reporting orders (s. 3)</w:t>
      </w:r>
      <w:bookmarkEnd w:id="28"/>
      <w:bookmarkEnd w:id="29"/>
      <w:bookmarkEnd w:id="30"/>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pPr>
        <w:pStyle w:val="Indenta"/>
      </w:pPr>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pPr>
        <w:pStyle w:val="Footnotesection"/>
      </w:pPr>
      <w:r>
        <w:tab/>
        <w:t>[Regulation 6 amended in Gazette 8 Sep 2006 p. 3642; 22 Jun 2007 p. 2862; 28 Mar 2008 p. 914.]</w:t>
      </w:r>
    </w:p>
    <w:p>
      <w:pPr>
        <w:pStyle w:val="Heading5"/>
      </w:pPr>
      <w:bookmarkStart w:id="31" w:name="_Toc394917769"/>
      <w:bookmarkStart w:id="32" w:name="_Toc415493801"/>
      <w:bookmarkStart w:id="33" w:name="_Toc386528587"/>
      <w:r>
        <w:rPr>
          <w:rStyle w:val="CharSectno"/>
        </w:rPr>
        <w:t>6A</w:t>
      </w:r>
      <w:r>
        <w:t>.</w:t>
      </w:r>
      <w:r>
        <w:tab/>
        <w:t>Sentences (s. 3)</w:t>
      </w:r>
      <w:bookmarkEnd w:id="31"/>
      <w:bookmarkEnd w:id="32"/>
      <w:bookmarkEnd w:id="33"/>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34" w:name="_Toc394917770"/>
      <w:bookmarkStart w:id="35" w:name="_Toc415493802"/>
      <w:bookmarkStart w:id="36" w:name="_Toc386528588"/>
      <w:r>
        <w:rPr>
          <w:rStyle w:val="CharSectno"/>
        </w:rPr>
        <w:t>7</w:t>
      </w:r>
      <w:r>
        <w:t>.</w:t>
      </w:r>
      <w:r>
        <w:tab/>
        <w:t>Supervising authorities (s. 3)</w:t>
      </w:r>
      <w:bookmarkEnd w:id="34"/>
      <w:bookmarkEnd w:id="35"/>
      <w:bookmarkEnd w:id="36"/>
    </w:p>
    <w:p>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 or</w:t>
      </w:r>
    </w:p>
    <w:p>
      <w:pPr>
        <w:pStyle w:val="Indenta"/>
      </w:pPr>
      <w:r>
        <w:tab/>
        <w:t>(b)</w:t>
      </w:r>
      <w:r>
        <w:tab/>
        <w:t>in government custody; or</w:t>
      </w:r>
    </w:p>
    <w:p>
      <w:pPr>
        <w:pStyle w:val="Indenta"/>
      </w:pPr>
      <w:r>
        <w:tab/>
        <w:t>(c)</w:t>
      </w:r>
      <w:r>
        <w:tab/>
        <w:t>subject to a community order; or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rPr>
          <w:vertAlign w:val="superscript"/>
        </w:rPr>
        <w:t> 2</w:t>
      </w:r>
      <w:r>
        <w:t xml:space="preserve"> Part 4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Footnotesection"/>
      </w:pPr>
      <w:r>
        <w:tab/>
        <w:t>[Regulation 7 amended in Gazette 1 Jun 2007 p. 2528.]</w:t>
      </w:r>
    </w:p>
    <w:p>
      <w:pPr>
        <w:pStyle w:val="Heading5"/>
      </w:pPr>
      <w:bookmarkStart w:id="37" w:name="_Toc394917771"/>
      <w:bookmarkStart w:id="38" w:name="_Toc415493803"/>
      <w:bookmarkStart w:id="39" w:name="_Toc386528589"/>
      <w:r>
        <w:rPr>
          <w:rStyle w:val="CharSectno"/>
        </w:rPr>
        <w:t>8</w:t>
      </w:r>
      <w:r>
        <w:t>.</w:t>
      </w:r>
      <w:r>
        <w:tab/>
        <w:t>Offences — relevance if committed by child (s. 6)</w:t>
      </w:r>
      <w:bookmarkEnd w:id="37"/>
      <w:bookmarkEnd w:id="38"/>
      <w:bookmarkEnd w:id="39"/>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r>
        <w:rPr>
          <w:vertAlign w:val="superscript"/>
        </w:rPr>
        <w:t>3</w:t>
      </w:r>
      <w:r>
        <w:t xml:space="preserve"> section 60 (deleted);</w:t>
      </w:r>
    </w:p>
    <w:p>
      <w:pPr>
        <w:pStyle w:val="Indenta"/>
      </w:pPr>
      <w:r>
        <w:tab/>
        <w:t>(b)</w:t>
      </w:r>
      <w:r>
        <w:tab/>
        <w:t xml:space="preserve">an offence under the </w:t>
      </w:r>
      <w:r>
        <w:rPr>
          <w:i/>
        </w:rPr>
        <w:t>Classification (Publications, Films and Computer Games) Enforcement Act 1996</w:t>
      </w:r>
      <w:r>
        <w:rPr>
          <w:vertAlign w:val="superscript"/>
        </w:rPr>
        <w:t> 3</w:t>
      </w:r>
      <w:r>
        <w:rPr>
          <w:i/>
        </w:rPr>
        <w:t xml:space="preserve"> </w:t>
      </w:r>
      <w:r>
        <w:t>section 101.</w:t>
      </w:r>
    </w:p>
    <w:p>
      <w:pPr>
        <w:pStyle w:val="Footnotesection"/>
      </w:pPr>
      <w:r>
        <w:tab/>
        <w:t>[Regulation 8 amended in Gazette 1 Jul 2011 p. 2746</w:t>
      </w:r>
      <w:r>
        <w:noBreakHyphen/>
        <w:t>7.]</w:t>
      </w:r>
    </w:p>
    <w:p>
      <w:pPr>
        <w:pStyle w:val="Heading5"/>
      </w:pPr>
      <w:bookmarkStart w:id="40" w:name="_Toc394917772"/>
      <w:bookmarkStart w:id="41" w:name="_Toc415493804"/>
      <w:bookmarkStart w:id="42" w:name="_Toc386528590"/>
      <w:r>
        <w:rPr>
          <w:rStyle w:val="CharSectno"/>
        </w:rPr>
        <w:t>9</w:t>
      </w:r>
      <w:r>
        <w:t>.</w:t>
      </w:r>
      <w:r>
        <w:tab/>
        <w:t>Foreign witness protection laws (s. 6 and 75)</w:t>
      </w:r>
      <w:bookmarkEnd w:id="40"/>
      <w:bookmarkEnd w:id="41"/>
      <w:bookmarkEnd w:id="42"/>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43" w:name="_Toc394917773"/>
      <w:bookmarkStart w:id="44" w:name="_Toc415493805"/>
      <w:bookmarkStart w:id="45" w:name="_Toc386528591"/>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43"/>
      <w:bookmarkEnd w:id="44"/>
      <w:bookmarkEnd w:id="45"/>
    </w:p>
    <w:p>
      <w:pPr>
        <w:pStyle w:val="Subsection"/>
      </w:pPr>
      <w:r>
        <w:tab/>
      </w:r>
      <w:r>
        <w:tab/>
        <w:t>For the purposes of section 8 of the Act, 1 February 2005 is specified.</w:t>
      </w:r>
    </w:p>
    <w:p>
      <w:pPr>
        <w:pStyle w:val="Heading5"/>
      </w:pPr>
      <w:bookmarkStart w:id="46" w:name="_Toc394917774"/>
      <w:bookmarkStart w:id="47" w:name="_Toc415493806"/>
      <w:bookmarkStart w:id="48" w:name="_Toc386528592"/>
      <w:r>
        <w:rPr>
          <w:rStyle w:val="CharSectno"/>
        </w:rPr>
        <w:t>11A</w:t>
      </w:r>
      <w:r>
        <w:t>.</w:t>
      </w:r>
      <w:r>
        <w:tab/>
        <w:t>Class 1 offences (s. 10)</w:t>
      </w:r>
      <w:bookmarkEnd w:id="46"/>
      <w:bookmarkEnd w:id="47"/>
      <w:bookmarkEnd w:id="48"/>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272.8</w:t>
            </w:r>
          </w:p>
        </w:tc>
        <w:tc>
          <w:tcPr>
            <w:tcW w:w="1795" w:type="dxa"/>
          </w:tcPr>
          <w:p>
            <w:pPr>
              <w:pStyle w:val="TableNAm"/>
              <w:spacing w:before="100"/>
            </w:pPr>
            <w:r>
              <w:t>s. 272.10</w:t>
            </w:r>
          </w:p>
        </w:tc>
        <w:tc>
          <w:tcPr>
            <w:tcW w:w="1796" w:type="dxa"/>
          </w:tcPr>
          <w:p>
            <w:pPr>
              <w:pStyle w:val="TableNAm"/>
              <w:spacing w:before="100"/>
            </w:pPr>
            <w:r>
              <w:t>s. 272.11</w:t>
            </w:r>
          </w:p>
        </w:tc>
      </w:tr>
      <w:tr>
        <w:tc>
          <w:tcPr>
            <w:tcW w:w="1795" w:type="dxa"/>
          </w:tcPr>
          <w:p>
            <w:pPr>
              <w:pStyle w:val="TableNAm"/>
              <w:spacing w:before="100"/>
            </w:pPr>
            <w:r>
              <w:t>s. 272.12</w:t>
            </w:r>
          </w:p>
        </w:tc>
        <w:tc>
          <w:tcPr>
            <w:tcW w:w="1795" w:type="dxa"/>
          </w:tcPr>
          <w:p>
            <w:pPr>
              <w:pStyle w:val="TableNAm"/>
              <w:spacing w:before="100"/>
            </w:pPr>
            <w:r>
              <w:t>s. 273.7</w:t>
            </w:r>
          </w:p>
        </w:tc>
        <w:tc>
          <w:tcPr>
            <w:tcW w:w="1796" w:type="dxa"/>
          </w:tcPr>
          <w:p>
            <w:pPr>
              <w:pStyle w:val="TableNAm"/>
              <w:spacing w:before="100"/>
            </w:pPr>
            <w:r>
              <w:t>s. 471.22</w:t>
            </w:r>
          </w:p>
        </w:tc>
      </w:tr>
      <w:tr>
        <w:tc>
          <w:tcPr>
            <w:tcW w:w="1795" w:type="dxa"/>
          </w:tcPr>
          <w:p>
            <w:pPr>
              <w:pStyle w:val="TableNAm"/>
              <w:spacing w:before="100"/>
            </w:pPr>
            <w:r>
              <w:t>s. 474.24A</w:t>
            </w:r>
          </w:p>
        </w:tc>
        <w:tc>
          <w:tcPr>
            <w:tcW w:w="1795" w:type="dxa"/>
          </w:tcPr>
          <w:p>
            <w:pPr>
              <w:pStyle w:val="TableNAm"/>
              <w:spacing w:before="100"/>
            </w:pPr>
          </w:p>
        </w:tc>
        <w:tc>
          <w:tcPr>
            <w:tcW w:w="1796" w:type="dxa"/>
          </w:tcPr>
          <w:p>
            <w:pPr>
              <w:pStyle w:val="TableNAm"/>
              <w:spacing w:before="100"/>
            </w:pPr>
          </w:p>
        </w:tc>
      </w:tr>
    </w:tbl>
    <w:p>
      <w:pPr>
        <w:pStyle w:val="Footnotesection"/>
      </w:pPr>
      <w:r>
        <w:tab/>
        <w:t>[Regulation 11A inserted in Gazette 21 Jan 2011 p. 158.]</w:t>
      </w:r>
    </w:p>
    <w:p>
      <w:pPr>
        <w:pStyle w:val="Heading5"/>
      </w:pPr>
      <w:bookmarkStart w:id="49" w:name="_Toc394917775"/>
      <w:bookmarkStart w:id="50" w:name="_Toc415493807"/>
      <w:bookmarkStart w:id="51" w:name="_Toc386528593"/>
      <w:r>
        <w:rPr>
          <w:rStyle w:val="CharSectno"/>
        </w:rPr>
        <w:t>11</w:t>
      </w:r>
      <w:r>
        <w:t>.</w:t>
      </w:r>
      <w:r>
        <w:tab/>
        <w:t>Class 2 offences (s. 11)</w:t>
      </w:r>
      <w:bookmarkEnd w:id="49"/>
      <w:bookmarkEnd w:id="50"/>
      <w:bookmarkEnd w:id="51"/>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271.4</w:t>
            </w:r>
          </w:p>
        </w:tc>
        <w:tc>
          <w:tcPr>
            <w:tcW w:w="1795" w:type="dxa"/>
          </w:tcPr>
          <w:p>
            <w:pPr>
              <w:pStyle w:val="TableNAm"/>
              <w:spacing w:before="100"/>
            </w:pPr>
            <w:r>
              <w:t>s. 271.7</w:t>
            </w:r>
          </w:p>
        </w:tc>
        <w:tc>
          <w:tcPr>
            <w:tcW w:w="1796" w:type="dxa"/>
          </w:tcPr>
          <w:p>
            <w:pPr>
              <w:pStyle w:val="TableNAm"/>
              <w:spacing w:before="100"/>
            </w:pPr>
            <w:r>
              <w:t>s. 272.9</w:t>
            </w:r>
          </w:p>
        </w:tc>
      </w:tr>
      <w:tr>
        <w:tc>
          <w:tcPr>
            <w:tcW w:w="1795" w:type="dxa"/>
          </w:tcPr>
          <w:p>
            <w:pPr>
              <w:pStyle w:val="TableNAm"/>
              <w:spacing w:before="100"/>
            </w:pPr>
            <w:r>
              <w:t>s. 272.13</w:t>
            </w:r>
          </w:p>
        </w:tc>
        <w:tc>
          <w:tcPr>
            <w:tcW w:w="1795" w:type="dxa"/>
          </w:tcPr>
          <w:p>
            <w:pPr>
              <w:pStyle w:val="TableNAm"/>
              <w:spacing w:before="100"/>
            </w:pPr>
            <w:r>
              <w:t>s. 272.14</w:t>
            </w:r>
          </w:p>
        </w:tc>
        <w:tc>
          <w:tcPr>
            <w:tcW w:w="1796" w:type="dxa"/>
          </w:tcPr>
          <w:p>
            <w:pPr>
              <w:pStyle w:val="TableNAm"/>
              <w:spacing w:before="100"/>
            </w:pPr>
            <w:r>
              <w:t>s. 272.15</w:t>
            </w:r>
          </w:p>
        </w:tc>
      </w:tr>
      <w:tr>
        <w:tc>
          <w:tcPr>
            <w:tcW w:w="1795" w:type="dxa"/>
          </w:tcPr>
          <w:p>
            <w:pPr>
              <w:pStyle w:val="TableNAm"/>
              <w:spacing w:before="100"/>
            </w:pPr>
            <w:r>
              <w:t>s. 272.18</w:t>
            </w:r>
          </w:p>
        </w:tc>
        <w:tc>
          <w:tcPr>
            <w:tcW w:w="1795" w:type="dxa"/>
          </w:tcPr>
          <w:p>
            <w:pPr>
              <w:pStyle w:val="TableNAm"/>
              <w:spacing w:before="100"/>
            </w:pPr>
            <w:r>
              <w:t>s. 272.19</w:t>
            </w:r>
          </w:p>
        </w:tc>
        <w:tc>
          <w:tcPr>
            <w:tcW w:w="1796" w:type="dxa"/>
          </w:tcPr>
          <w:p>
            <w:pPr>
              <w:pStyle w:val="TableNAm"/>
              <w:spacing w:before="100"/>
            </w:pPr>
            <w:r>
              <w:t>s. 272.20</w:t>
            </w:r>
          </w:p>
        </w:tc>
      </w:tr>
      <w:tr>
        <w:tc>
          <w:tcPr>
            <w:tcW w:w="1795" w:type="dxa"/>
          </w:tcPr>
          <w:p>
            <w:pPr>
              <w:pStyle w:val="TableNAm"/>
              <w:spacing w:before="100"/>
            </w:pPr>
            <w:r>
              <w:t>s. 273.5</w:t>
            </w:r>
          </w:p>
        </w:tc>
        <w:tc>
          <w:tcPr>
            <w:tcW w:w="1795" w:type="dxa"/>
          </w:tcPr>
          <w:p>
            <w:pPr>
              <w:pStyle w:val="TableNAm"/>
              <w:spacing w:before="100"/>
            </w:pPr>
            <w:r>
              <w:t>s. 273.6</w:t>
            </w:r>
          </w:p>
        </w:tc>
        <w:tc>
          <w:tcPr>
            <w:tcW w:w="1796" w:type="dxa"/>
          </w:tcPr>
          <w:p>
            <w:pPr>
              <w:pStyle w:val="TableNAm"/>
              <w:spacing w:before="100"/>
            </w:pPr>
            <w:r>
              <w:t>s. 471.16</w:t>
            </w:r>
          </w:p>
        </w:tc>
      </w:tr>
      <w:tr>
        <w:tc>
          <w:tcPr>
            <w:tcW w:w="1795" w:type="dxa"/>
          </w:tcPr>
          <w:p>
            <w:pPr>
              <w:pStyle w:val="TableNAm"/>
              <w:spacing w:before="100"/>
            </w:pPr>
            <w:r>
              <w:t>s. 471.17</w:t>
            </w:r>
          </w:p>
        </w:tc>
        <w:tc>
          <w:tcPr>
            <w:tcW w:w="1795" w:type="dxa"/>
          </w:tcPr>
          <w:p>
            <w:pPr>
              <w:pStyle w:val="TableNAm"/>
              <w:spacing w:before="100"/>
            </w:pPr>
            <w:r>
              <w:t>s. 471.19</w:t>
            </w:r>
          </w:p>
        </w:tc>
        <w:tc>
          <w:tcPr>
            <w:tcW w:w="1796" w:type="dxa"/>
          </w:tcPr>
          <w:p>
            <w:pPr>
              <w:pStyle w:val="TableNAm"/>
              <w:spacing w:before="100"/>
            </w:pPr>
            <w:r>
              <w:t>s. 471.20</w:t>
            </w:r>
          </w:p>
        </w:tc>
      </w:tr>
      <w:tr>
        <w:tc>
          <w:tcPr>
            <w:tcW w:w="1795" w:type="dxa"/>
          </w:tcPr>
          <w:p>
            <w:pPr>
              <w:pStyle w:val="TableNAm"/>
              <w:spacing w:before="100"/>
            </w:pPr>
            <w:r>
              <w:t>s. 471.24</w:t>
            </w:r>
          </w:p>
        </w:tc>
        <w:tc>
          <w:tcPr>
            <w:tcW w:w="1795" w:type="dxa"/>
          </w:tcPr>
          <w:p>
            <w:pPr>
              <w:pStyle w:val="TableNAm"/>
              <w:spacing w:before="100"/>
            </w:pPr>
            <w:r>
              <w:t>s. 471.25</w:t>
            </w:r>
          </w:p>
        </w:tc>
        <w:tc>
          <w:tcPr>
            <w:tcW w:w="1796" w:type="dxa"/>
          </w:tcPr>
          <w:p>
            <w:pPr>
              <w:pStyle w:val="TableNAm"/>
              <w:spacing w:before="100"/>
            </w:pPr>
            <w:r>
              <w:t>s. 471.26</w:t>
            </w:r>
          </w:p>
        </w:tc>
      </w:tr>
      <w:tr>
        <w:tc>
          <w:tcPr>
            <w:tcW w:w="1795" w:type="dxa"/>
          </w:tcPr>
          <w:p>
            <w:pPr>
              <w:pStyle w:val="TableNAm"/>
              <w:spacing w:before="100"/>
            </w:pPr>
            <w:r>
              <w:t>s. 474.19</w:t>
            </w:r>
          </w:p>
        </w:tc>
        <w:tc>
          <w:tcPr>
            <w:tcW w:w="1795" w:type="dxa"/>
          </w:tcPr>
          <w:p>
            <w:pPr>
              <w:pStyle w:val="TableNAm"/>
              <w:spacing w:before="100"/>
            </w:pPr>
            <w:r>
              <w:t>s. 474.20</w:t>
            </w:r>
          </w:p>
        </w:tc>
        <w:tc>
          <w:tcPr>
            <w:tcW w:w="1796" w:type="dxa"/>
          </w:tcPr>
          <w:p>
            <w:pPr>
              <w:pStyle w:val="TableNAm"/>
              <w:spacing w:before="100"/>
            </w:pPr>
            <w:r>
              <w:t>s. 474.22</w:t>
            </w:r>
          </w:p>
        </w:tc>
      </w:tr>
      <w:tr>
        <w:tc>
          <w:tcPr>
            <w:tcW w:w="1795" w:type="dxa"/>
          </w:tcPr>
          <w:p>
            <w:pPr>
              <w:pStyle w:val="TableNAm"/>
              <w:spacing w:before="100"/>
            </w:pPr>
            <w:r>
              <w:t>s. 474.23</w:t>
            </w:r>
          </w:p>
        </w:tc>
        <w:tc>
          <w:tcPr>
            <w:tcW w:w="1795" w:type="dxa"/>
          </w:tcPr>
          <w:p>
            <w:pPr>
              <w:pStyle w:val="TableNAm"/>
              <w:spacing w:before="100"/>
            </w:pPr>
            <w:r>
              <w:t>s. 474.25A</w:t>
            </w:r>
          </w:p>
        </w:tc>
        <w:tc>
          <w:tcPr>
            <w:tcW w:w="1796" w:type="dxa"/>
          </w:tcPr>
          <w:p>
            <w:pPr>
              <w:pStyle w:val="TableNAm"/>
              <w:spacing w:before="100"/>
            </w:pPr>
            <w:r>
              <w:t>s. 474.25B</w:t>
            </w:r>
          </w:p>
        </w:tc>
      </w:tr>
      <w:tr>
        <w:tc>
          <w:tcPr>
            <w:tcW w:w="1795" w:type="dxa"/>
          </w:tcPr>
          <w:p>
            <w:pPr>
              <w:pStyle w:val="TableNAm"/>
              <w:spacing w:before="100"/>
            </w:pPr>
            <w:r>
              <w:t>s. 474.26</w:t>
            </w:r>
          </w:p>
        </w:tc>
        <w:tc>
          <w:tcPr>
            <w:tcW w:w="1795" w:type="dxa"/>
          </w:tcPr>
          <w:p>
            <w:pPr>
              <w:pStyle w:val="TableNAm"/>
              <w:spacing w:before="100"/>
            </w:pPr>
            <w:r>
              <w:t>s. 474.27</w:t>
            </w:r>
          </w:p>
        </w:tc>
        <w:tc>
          <w:tcPr>
            <w:tcW w:w="1796" w:type="dxa"/>
          </w:tcPr>
          <w:p>
            <w:pPr>
              <w:pStyle w:val="TableNAm"/>
              <w:spacing w:before="100"/>
            </w:pPr>
            <w:r>
              <w:t>s. 474.27A</w:t>
            </w:r>
          </w:p>
        </w:tc>
      </w:tr>
    </w:tbl>
    <w:p>
      <w:pPr>
        <w:pStyle w:val="Footnotesection"/>
      </w:pPr>
      <w:r>
        <w:tab/>
        <w:t>[Regulation 11 inserted in Gazette 21 Jan 2011 p. 158.]</w:t>
      </w:r>
    </w:p>
    <w:p>
      <w:pPr>
        <w:pStyle w:val="Heading5"/>
      </w:pPr>
      <w:bookmarkStart w:id="52" w:name="_Toc394917776"/>
      <w:bookmarkStart w:id="53" w:name="_Toc415493808"/>
      <w:bookmarkStart w:id="54" w:name="_Toc386528594"/>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52"/>
      <w:bookmarkEnd w:id="53"/>
      <w:bookmarkEnd w:id="54"/>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55" w:name="_Toc394917777"/>
      <w:bookmarkStart w:id="56" w:name="_Toc415493809"/>
      <w:bookmarkStart w:id="57" w:name="_Toc386528595"/>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55"/>
      <w:bookmarkEnd w:id="56"/>
      <w:bookmarkEnd w:id="57"/>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58" w:name="_Toc394917778"/>
      <w:bookmarkStart w:id="59" w:name="_Toc415493810"/>
      <w:bookmarkStart w:id="60" w:name="_Toc386528596"/>
      <w:r>
        <w:rPr>
          <w:rStyle w:val="CharSectno"/>
        </w:rPr>
        <w:t>14</w:t>
      </w:r>
      <w:r>
        <w:t>.</w:t>
      </w:r>
      <w:r>
        <w:tab/>
        <w:t>Directions as to police station or approved place at which reportable offender must report (s. 34)</w:t>
      </w:r>
      <w:bookmarkEnd w:id="58"/>
      <w:bookmarkEnd w:id="59"/>
      <w:bookmarkEnd w:id="60"/>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rPr>
          <w:ins w:id="61" w:author="Master Repository Process" w:date="2021-07-31T20:03:00Z"/>
        </w:rPr>
      </w:pPr>
      <w:bookmarkStart w:id="62" w:name="_Toc394917779"/>
      <w:bookmarkStart w:id="63" w:name="_Toc415493811"/>
      <w:del w:id="64" w:author="Master Repository Process" w:date="2021-07-31T20:03:00Z">
        <w:r>
          <w:delText>[</w:delText>
        </w:r>
      </w:del>
      <w:r>
        <w:rPr>
          <w:rStyle w:val="CharSectno"/>
        </w:rPr>
        <w:t>15</w:t>
      </w:r>
      <w:r>
        <w:t>.</w:t>
      </w:r>
      <w:r>
        <w:tab/>
      </w:r>
      <w:del w:id="65" w:author="Master Repository Process" w:date="2021-07-31T20:03:00Z">
        <w:r>
          <w:delText>Deleted</w:delText>
        </w:r>
      </w:del>
      <w:ins w:id="66" w:author="Master Repository Process" w:date="2021-07-31T20:03:00Z">
        <w:r>
          <w:t>Prescribed form of identification (s. 38(2A)(a)(iv))</w:t>
        </w:r>
        <w:bookmarkEnd w:id="62"/>
        <w:bookmarkEnd w:id="63"/>
      </w:ins>
    </w:p>
    <w:p>
      <w:pPr>
        <w:pStyle w:val="Subsection"/>
        <w:rPr>
          <w:ins w:id="67" w:author="Master Repository Process" w:date="2021-07-31T20:03:00Z"/>
        </w:rPr>
      </w:pPr>
      <w:ins w:id="68" w:author="Master Repository Process" w:date="2021-07-31T20:03:00Z">
        <w:r>
          <w:tab/>
        </w:r>
        <w:r>
          <w:tab/>
          <w:t xml:space="preserve">A current photo card, as defined in the </w:t>
        </w:r>
        <w:r>
          <w:rPr>
            <w:i/>
          </w:rPr>
          <w:t>Western Australian Photo Card Regulations 2014</w:t>
        </w:r>
        <w:r>
          <w:t xml:space="preserve"> regulation 3, is prescribed for the purposes of section 38(2A)(a)(iv) of the Act. </w:t>
        </w:r>
      </w:ins>
    </w:p>
    <w:p>
      <w:pPr>
        <w:pStyle w:val="Footnotesection"/>
      </w:pPr>
      <w:ins w:id="69" w:author="Master Repository Process" w:date="2021-07-31T20:03:00Z">
        <w:r>
          <w:tab/>
          <w:t>[Regulation 15 inserted</w:t>
        </w:r>
      </w:ins>
      <w:r>
        <w:t xml:space="preserve"> in Gazette </w:t>
      </w:r>
      <w:del w:id="70" w:author="Master Repository Process" w:date="2021-07-31T20:03:00Z">
        <w:r>
          <w:delText>8 Nov 2013</w:delText>
        </w:r>
      </w:del>
      <w:ins w:id="71" w:author="Master Repository Process" w:date="2021-07-31T20:03:00Z">
        <w:r>
          <w:t>5 Aug 2014</w:t>
        </w:r>
      </w:ins>
      <w:r>
        <w:t xml:space="preserve"> p. </w:t>
      </w:r>
      <w:del w:id="72" w:author="Master Repository Process" w:date="2021-07-31T20:03:00Z">
        <w:r>
          <w:delText>4997</w:delText>
        </w:r>
      </w:del>
      <w:ins w:id="73" w:author="Master Repository Process" w:date="2021-07-31T20:03:00Z">
        <w:r>
          <w:t>2830</w:t>
        </w:r>
      </w:ins>
      <w:r>
        <w:t>.]</w:t>
      </w:r>
    </w:p>
    <w:p>
      <w:pPr>
        <w:pStyle w:val="Heading5"/>
      </w:pPr>
      <w:bookmarkStart w:id="74" w:name="_Toc394917780"/>
      <w:bookmarkStart w:id="75" w:name="_Toc415493812"/>
      <w:bookmarkStart w:id="76" w:name="_Toc386528597"/>
      <w:r>
        <w:rPr>
          <w:rStyle w:val="CharSectno"/>
        </w:rPr>
        <w:t>16</w:t>
      </w:r>
      <w:r>
        <w:t>.</w:t>
      </w:r>
      <w:r>
        <w:tab/>
        <w:t>Prescribed distance — reporting by remote offenders (s. 43)</w:t>
      </w:r>
      <w:bookmarkEnd w:id="74"/>
      <w:bookmarkEnd w:id="75"/>
      <w:bookmarkEnd w:id="76"/>
    </w:p>
    <w:p>
      <w:pPr>
        <w:pStyle w:val="Subsection"/>
      </w:pPr>
      <w:r>
        <w:tab/>
      </w:r>
      <w:r>
        <w:tab/>
        <w:t>For the purposes of section 43(1) of the Act, the prescribed distance is 100 km.</w:t>
      </w:r>
    </w:p>
    <w:p>
      <w:pPr>
        <w:pStyle w:val="Heading5"/>
      </w:pPr>
      <w:bookmarkStart w:id="77" w:name="_Toc394917781"/>
      <w:bookmarkStart w:id="78" w:name="_Toc415493813"/>
      <w:bookmarkStart w:id="79" w:name="_Toc386528598"/>
      <w:r>
        <w:rPr>
          <w:rStyle w:val="CharSectno"/>
        </w:rPr>
        <w:t>17</w:t>
      </w:r>
      <w:r>
        <w:t>.</w:t>
      </w:r>
      <w:r>
        <w:tab/>
        <w:t>Offences — approval by Commissioner of suspension of reporting obligations (s. 61)</w:t>
      </w:r>
      <w:bookmarkEnd w:id="77"/>
      <w:bookmarkEnd w:id="78"/>
      <w:bookmarkEnd w:id="79"/>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r>
        <w:rPr>
          <w:b/>
          <w:i/>
        </w:rPr>
        <w:t>circumstances of aggravation</w:t>
      </w:r>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r>
        <w:rPr>
          <w:vertAlign w:val="superscript"/>
        </w:rPr>
        <w:t>3</w:t>
      </w:r>
      <w:r>
        <w:rPr>
          <w:i/>
          <w:iCs/>
        </w:rPr>
        <w:t xml:space="preserve"> </w:t>
      </w:r>
      <w:r>
        <w:t>section 60 (deleted);</w:t>
      </w:r>
    </w:p>
    <w:p>
      <w:pPr>
        <w:pStyle w:val="Indenta"/>
      </w:pPr>
      <w:r>
        <w:tab/>
        <w:t>(h)</w:t>
      </w:r>
      <w:r>
        <w:tab/>
        <w:t xml:space="preserve">an offence under the </w:t>
      </w:r>
      <w:r>
        <w:rPr>
          <w:i/>
        </w:rPr>
        <w:t>Classification (Publications, Films and Computer Games) Enforcement Act 1996</w:t>
      </w:r>
      <w:r>
        <w:rPr>
          <w:vertAlign w:val="superscript"/>
        </w:rPr>
        <w:t xml:space="preserve"> 3</w:t>
      </w:r>
      <w:r>
        <w:rPr>
          <w:i/>
          <w:iCs/>
        </w:rPr>
        <w:t xml:space="preserve">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in Gazette 1 Jul 2011 p. 2747; 8 Nov 2013 p.</w:t>
      </w:r>
      <w:r>
        <w:rPr>
          <w:sz w:val="19"/>
        </w:rPr>
        <w:t> </w:t>
      </w:r>
      <w:r>
        <w:t>4997.]</w:t>
      </w:r>
    </w:p>
    <w:p>
      <w:pPr>
        <w:pStyle w:val="Heading5"/>
      </w:pPr>
      <w:bookmarkStart w:id="80" w:name="_Toc394917782"/>
      <w:bookmarkStart w:id="81" w:name="_Toc415493814"/>
      <w:bookmarkStart w:id="82" w:name="_Toc386528599"/>
      <w:r>
        <w:rPr>
          <w:rStyle w:val="CharSectno"/>
        </w:rPr>
        <w:t>18</w:t>
      </w:r>
      <w:r>
        <w:t>.</w:t>
      </w:r>
      <w:r>
        <w:tab/>
        <w:t>Sentences — approval by Commissioner of suspension of reporting obligations (s. 61)</w:t>
      </w:r>
      <w:bookmarkEnd w:id="80"/>
      <w:bookmarkEnd w:id="81"/>
      <w:bookmarkEnd w:id="82"/>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in Gazette 8 Nov 2013 p.</w:t>
      </w:r>
      <w:r>
        <w:rPr>
          <w:sz w:val="19"/>
        </w:rPr>
        <w:t> </w:t>
      </w:r>
      <w:r>
        <w:t>4998.]</w:t>
      </w:r>
    </w:p>
    <w:p>
      <w:pPr>
        <w:pStyle w:val="Heading5"/>
      </w:pPr>
      <w:bookmarkStart w:id="83" w:name="_Toc394917783"/>
      <w:bookmarkStart w:id="84" w:name="_Toc415493815"/>
      <w:bookmarkStart w:id="85" w:name="_Toc386528600"/>
      <w:r>
        <w:rPr>
          <w:rStyle w:val="CharSectno"/>
        </w:rPr>
        <w:t>19</w:t>
      </w:r>
      <w:r>
        <w:t>.</w:t>
      </w:r>
      <w:r>
        <w:tab/>
        <w:t>Persons required to give notice of reporting obligations etc. to reportable offenders (s. 67)</w:t>
      </w:r>
      <w:bookmarkEnd w:id="83"/>
      <w:bookmarkEnd w:id="84"/>
      <w:bookmarkEnd w:id="85"/>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pPr>
        <w:pStyle w:val="Footnotesection"/>
      </w:pPr>
      <w:r>
        <w:tab/>
        <w:t>[Regulation 19 amended in Gazette 1 Jun 2007 p. 2528.]</w:t>
      </w:r>
    </w:p>
    <w:p>
      <w:pPr>
        <w:pStyle w:val="Heading5"/>
      </w:pPr>
      <w:bookmarkStart w:id="86" w:name="_Toc394917784"/>
      <w:bookmarkStart w:id="87" w:name="_Toc415493816"/>
      <w:bookmarkStart w:id="88" w:name="_Toc386528601"/>
      <w:r>
        <w:rPr>
          <w:rStyle w:val="CharSectno"/>
        </w:rPr>
        <w:t>20</w:t>
      </w:r>
      <w:r>
        <w:t>.</w:t>
      </w:r>
      <w:r>
        <w:tab/>
        <w:t>Details to be included in notice given by supervising authority to Commissioner (s. 70)</w:t>
      </w:r>
      <w:bookmarkEnd w:id="86"/>
      <w:bookmarkEnd w:id="87"/>
      <w:bookmarkEnd w:id="88"/>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89" w:name="_Toc394917785"/>
      <w:bookmarkStart w:id="90" w:name="_Toc415493817"/>
      <w:bookmarkStart w:id="91" w:name="_Toc386528602"/>
      <w:r>
        <w:rPr>
          <w:rStyle w:val="CharSectno"/>
        </w:rPr>
        <w:t>21</w:t>
      </w:r>
      <w:r>
        <w:t>.</w:t>
      </w:r>
      <w:r>
        <w:tab/>
        <w:t>Corresponding protection orders (s. 85)</w:t>
      </w:r>
      <w:bookmarkEnd w:id="89"/>
      <w:bookmarkEnd w:id="90"/>
      <w:bookmarkEnd w:id="91"/>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w:t>
      </w:r>
      <w:smartTag w:uri="urn:schemas-microsoft-com:office:smarttags" w:element="place">
        <w:smartTag w:uri="urn:schemas-microsoft-com:office:smarttags" w:element="State">
          <w:r>
            <w:t>Australian Capital Territory</w:t>
          </w:r>
        </w:smartTag>
      </w:smartTag>
      <w:r>
        <w:t>)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pPr>
        <w:pStyle w:val="Footnotesection"/>
      </w:pPr>
      <w:r>
        <w:tab/>
        <w:t>[Regulation 21 amended in Gazette 14 Nov 2008 p. 4878; 25 Nov 2008 p. 4990; 30 Nov 2012 p. 5802; 8 Nov 2013 p.</w:t>
      </w:r>
      <w:r>
        <w:rPr>
          <w:sz w:val="19"/>
        </w:rPr>
        <w:t> </w:t>
      </w:r>
      <w:r>
        <w:t>4998.]</w:t>
      </w:r>
    </w:p>
    <w:p>
      <w:pPr>
        <w:pStyle w:val="Heading5"/>
      </w:pPr>
      <w:bookmarkStart w:id="92" w:name="_Toc394917786"/>
      <w:bookmarkStart w:id="93" w:name="_Toc415493818"/>
      <w:bookmarkStart w:id="94" w:name="_Toc386528603"/>
      <w:r>
        <w:rPr>
          <w:rStyle w:val="CharSectno"/>
        </w:rPr>
        <w:t>22</w:t>
      </w:r>
      <w:r>
        <w:t>.</w:t>
      </w:r>
      <w:r>
        <w:tab/>
        <w:t>Application for recognition of corresponding protection orders (s. 108(2)(a))</w:t>
      </w:r>
      <w:bookmarkEnd w:id="92"/>
      <w:bookmarkEnd w:id="93"/>
      <w:bookmarkEnd w:id="94"/>
    </w:p>
    <w:p>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in Gazette 1 Jun 2007 p. 2526; amended in Gazette 8 Nov 2013 p.</w:t>
      </w:r>
      <w:r>
        <w:rPr>
          <w:sz w:val="19"/>
        </w:rPr>
        <w:t> </w:t>
      </w:r>
      <w:r>
        <w:t>4998.]</w:t>
      </w:r>
    </w:p>
    <w:p>
      <w:pPr>
        <w:pStyle w:val="Heading5"/>
      </w:pPr>
      <w:bookmarkStart w:id="95" w:name="_Toc394917787"/>
      <w:bookmarkStart w:id="96" w:name="_Toc415493819"/>
      <w:bookmarkStart w:id="97" w:name="_Toc386528604"/>
      <w:r>
        <w:rPr>
          <w:rStyle w:val="CharSectno"/>
        </w:rPr>
        <w:t>23</w:t>
      </w:r>
      <w:r>
        <w:t>.</w:t>
      </w:r>
      <w:r>
        <w:tab/>
        <w:t>Recognition of corresponding protection orders (s. 108(2)(b))</w:t>
      </w:r>
      <w:bookmarkEnd w:id="95"/>
      <w:bookmarkEnd w:id="96"/>
      <w:bookmarkEnd w:id="97"/>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 amended in Gazette 8 Nov 2013 p.</w:t>
      </w:r>
      <w:r>
        <w:rPr>
          <w:sz w:val="19"/>
        </w:rPr>
        <w:t> </w:t>
      </w:r>
      <w:r>
        <w:t>4999.]</w:t>
      </w:r>
    </w:p>
    <w:p>
      <w:pPr>
        <w:pStyle w:val="Heading5"/>
      </w:pPr>
      <w:bookmarkStart w:id="98" w:name="_Toc394917788"/>
      <w:bookmarkStart w:id="99" w:name="_Toc415493820"/>
      <w:bookmarkStart w:id="100" w:name="_Toc386528605"/>
      <w:r>
        <w:rPr>
          <w:rStyle w:val="CharSectno"/>
        </w:rPr>
        <w:t>24</w:t>
      </w:r>
      <w:r>
        <w:t>.</w:t>
      </w:r>
      <w:r>
        <w:tab/>
        <w:t>Effect of recognition of corresponding protection orders (s. 108(2)(d))</w:t>
      </w:r>
      <w:bookmarkEnd w:id="98"/>
      <w:bookmarkEnd w:id="99"/>
      <w:bookmarkEnd w:id="100"/>
    </w:p>
    <w:p>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in Gazette 1 Jun 2007 p. 2527; amended in Gazette 8 Nov 2013 p. 4999.]</w:t>
      </w:r>
    </w:p>
    <w:p>
      <w:pPr>
        <w:pStyle w:val="Heading5"/>
      </w:pPr>
      <w:bookmarkStart w:id="101" w:name="_Toc394917789"/>
      <w:bookmarkStart w:id="102" w:name="_Toc415493821"/>
      <w:bookmarkStart w:id="103" w:name="_Toc386528606"/>
      <w:r>
        <w:rPr>
          <w:rStyle w:val="CharSectno"/>
        </w:rPr>
        <w:t>25</w:t>
      </w:r>
      <w:r>
        <w:t>.</w:t>
      </w:r>
      <w:r>
        <w:tab/>
        <w:t>Variation or revocation of recognised order in a foreign jurisdiction</w:t>
      </w:r>
      <w:bookmarkEnd w:id="101"/>
      <w:bookmarkEnd w:id="102"/>
      <w:bookmarkEnd w:id="103"/>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104" w:name="_Toc394917790"/>
      <w:bookmarkStart w:id="105" w:name="_Toc415493822"/>
      <w:bookmarkStart w:id="106" w:name="_Toc386528607"/>
      <w:r>
        <w:rPr>
          <w:rStyle w:val="CharSectno"/>
        </w:rPr>
        <w:t>26A</w:t>
      </w:r>
      <w:r>
        <w:t>.</w:t>
      </w:r>
      <w:r>
        <w:tab/>
        <w:t>Authorisation of absences from assessment or treatment (s. 94A(5)(a))</w:t>
      </w:r>
      <w:bookmarkEnd w:id="104"/>
      <w:bookmarkEnd w:id="105"/>
      <w:bookmarkEnd w:id="106"/>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in Gazette 8 Nov 2013 p.</w:t>
      </w:r>
      <w:r>
        <w:rPr>
          <w:sz w:val="19"/>
        </w:rPr>
        <w:t> </w:t>
      </w:r>
      <w:r>
        <w:t>4999</w:t>
      </w:r>
      <w:r>
        <w:noBreakHyphen/>
        <w:t>5001.]</w:t>
      </w:r>
    </w:p>
    <w:p>
      <w:pPr>
        <w:pStyle w:val="Heading5"/>
      </w:pPr>
      <w:bookmarkStart w:id="107" w:name="_Toc394917791"/>
      <w:bookmarkStart w:id="108" w:name="_Toc415493823"/>
      <w:bookmarkStart w:id="109" w:name="_Toc386528608"/>
      <w:r>
        <w:rPr>
          <w:rStyle w:val="CharSectno"/>
        </w:rPr>
        <w:t>26B</w:t>
      </w:r>
      <w:r>
        <w:t>.</w:t>
      </w:r>
      <w:r>
        <w:tab/>
        <w:t>Reports by persons providing assessment or administering treatment (s. 94A(5)(c))</w:t>
      </w:r>
      <w:bookmarkEnd w:id="107"/>
      <w:bookmarkEnd w:id="108"/>
      <w:bookmarkEnd w:id="109"/>
    </w:p>
    <w:p>
      <w:pPr>
        <w:pStyle w:val="Subsection"/>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pPr>
      <w:r>
        <w:tab/>
        <w:t>(5)</w:t>
      </w:r>
      <w:r>
        <w:tab/>
        <w:t>A report provided under this regulation must be in writing.</w:t>
      </w:r>
    </w:p>
    <w:p>
      <w:pPr>
        <w:pStyle w:val="Footnotesection"/>
      </w:pPr>
      <w:r>
        <w:tab/>
        <w:t>[Regulation 26B inserted in Gazette 8 Nov 2013 p.</w:t>
      </w:r>
      <w:r>
        <w:rPr>
          <w:sz w:val="19"/>
        </w:rPr>
        <w:t> </w:t>
      </w:r>
      <w:r>
        <w:t>5001.]</w:t>
      </w:r>
    </w:p>
    <w:p>
      <w:pPr>
        <w:pStyle w:val="Heading5"/>
      </w:pPr>
      <w:bookmarkStart w:id="110" w:name="_Toc394917792"/>
      <w:bookmarkStart w:id="111" w:name="_Toc415493824"/>
      <w:bookmarkStart w:id="112" w:name="_Toc386528609"/>
      <w:r>
        <w:rPr>
          <w:rStyle w:val="CharSectno"/>
        </w:rPr>
        <w:t>26C</w:t>
      </w:r>
      <w:r>
        <w:t>.</w:t>
      </w:r>
      <w:r>
        <w:tab/>
        <w:t>Manner of making requirement to give a sample (s. 94B(8)(a))</w:t>
      </w:r>
      <w:bookmarkEnd w:id="110"/>
      <w:bookmarkEnd w:id="111"/>
      <w:bookmarkEnd w:id="112"/>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in Gazette 8 Nov 2013 p.</w:t>
      </w:r>
      <w:r>
        <w:rPr>
          <w:sz w:val="19"/>
        </w:rPr>
        <w:t> </w:t>
      </w:r>
      <w:r>
        <w:t>5002.]</w:t>
      </w:r>
    </w:p>
    <w:p>
      <w:pPr>
        <w:pStyle w:val="Heading5"/>
      </w:pPr>
      <w:bookmarkStart w:id="113" w:name="_Toc394917793"/>
      <w:bookmarkStart w:id="114" w:name="_Toc415493825"/>
      <w:bookmarkStart w:id="115" w:name="_Toc386528610"/>
      <w:r>
        <w:rPr>
          <w:rStyle w:val="CharSectno"/>
        </w:rPr>
        <w:t>26D</w:t>
      </w:r>
      <w:r>
        <w:t>.</w:t>
      </w:r>
      <w:r>
        <w:tab/>
        <w:t>Manner of conducting breath test (s. 94B(8)(b))</w:t>
      </w:r>
      <w:bookmarkEnd w:id="113"/>
      <w:bookmarkEnd w:id="114"/>
      <w:bookmarkEnd w:id="115"/>
    </w:p>
    <w:p>
      <w:pPr>
        <w:pStyle w:val="Subsection"/>
        <w:spacing w:before="120"/>
      </w:pPr>
      <w:r>
        <w:tab/>
        <w:t>(1)</w:t>
      </w:r>
      <w:r>
        <w:tab/>
        <w:t xml:space="preserve">In this regulation — </w:t>
      </w:r>
    </w:p>
    <w:p>
      <w:pPr>
        <w:pStyle w:val="Defstart"/>
        <w:spacing w:before="60"/>
      </w:pPr>
      <w:r>
        <w:tab/>
      </w:r>
      <w:r>
        <w:rPr>
          <w:rStyle w:val="CharDefText"/>
        </w:rPr>
        <w:t>authorised breath tester</w:t>
      </w:r>
      <w:r>
        <w:t xml:space="preserve"> means a person certified under a written law by the chief executive officer of the Chemistry Centre (WA) as being competent to operate all types of breath testing equipment.</w:t>
      </w:r>
    </w:p>
    <w:p>
      <w:pPr>
        <w:pStyle w:val="Subsection"/>
        <w:spacing w:before="120"/>
      </w:pPr>
      <w:r>
        <w:tab/>
        <w:t>(2)</w:t>
      </w:r>
      <w:r>
        <w:tab/>
        <w:t>A breath test may be conducted only by an authorised breath tester in the presence of an authorised police officer.</w:t>
      </w:r>
    </w:p>
    <w:p>
      <w:pPr>
        <w:pStyle w:val="Subsection"/>
        <w:spacing w:before="120"/>
      </w:pPr>
      <w:r>
        <w:tab/>
        <w:t>(3)</w:t>
      </w:r>
      <w:r>
        <w:tab/>
        <w:t xml:space="preserve">A sample of a reportable offender’s breath may only be tested for the purposes of a breath test — </w:t>
      </w:r>
    </w:p>
    <w:p>
      <w:pPr>
        <w:pStyle w:val="Indenta"/>
        <w:spacing w:before="60"/>
      </w:pPr>
      <w:r>
        <w:tab/>
        <w:t>(a)</w:t>
      </w:r>
      <w:r>
        <w:tab/>
        <w:t>by breath testing equipment, other than self</w:t>
      </w:r>
      <w:r>
        <w:noBreakHyphen/>
        <w:t>testing breath analysing equipment, that is operated in accordance with the instructions set out in the Breath Analysis Regulations Second Schedule Part 1; or</w:t>
      </w:r>
    </w:p>
    <w:p>
      <w:pPr>
        <w:pStyle w:val="Indenta"/>
        <w:spacing w:before="60"/>
      </w:pPr>
      <w:r>
        <w:tab/>
        <w:t>(b)</w:t>
      </w:r>
      <w:r>
        <w:tab/>
        <w:t>by self</w:t>
      </w:r>
      <w:r>
        <w:noBreakHyphen/>
        <w:t>testing breath analysing equipment that is operated in accordance with the instructions set out in the Breath Analysis Regulations Second Schedule Part 3.</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Subsection"/>
      </w:pPr>
      <w:r>
        <w:tab/>
        <w:t>(6)</w:t>
      </w:r>
      <w:r>
        <w:tab/>
        <w:t>As soon as is practicable after conducting a breath test, an authorised breath tester must give a written certificate of the result of the breath test to the reportable offender to whom the result relates.</w:t>
      </w:r>
    </w:p>
    <w:p>
      <w:pPr>
        <w:pStyle w:val="Subsection"/>
      </w:pPr>
      <w:r>
        <w:tab/>
        <w:t>(7)</w:t>
      </w:r>
      <w:r>
        <w:tab/>
        <w:t>Subregulation (6) does not apply to a breath test conducted by self</w:t>
      </w:r>
      <w:r>
        <w:noBreakHyphen/>
        <w:t>testing breath analysing equipment.</w:t>
      </w:r>
    </w:p>
    <w:p>
      <w:pPr>
        <w:pStyle w:val="Subsection"/>
      </w:pPr>
      <w:r>
        <w:tab/>
        <w:t>(8)</w:t>
      </w:r>
      <w:r>
        <w:tab/>
        <w:t>A certificate given under subregulation (6) must be in the form of Schedule 1 Form 4.</w:t>
      </w:r>
    </w:p>
    <w:p>
      <w:pPr>
        <w:pStyle w:val="Footnotesection"/>
      </w:pPr>
      <w:r>
        <w:tab/>
        <w:t>[Regulation 26D inserted in Gazette 8 Nov 2013 p.</w:t>
      </w:r>
      <w:r>
        <w:rPr>
          <w:sz w:val="19"/>
        </w:rPr>
        <w:t> </w:t>
      </w:r>
      <w:r>
        <w:t>5002</w:t>
      </w:r>
      <w:r>
        <w:noBreakHyphen/>
        <w:t>3.]</w:t>
      </w:r>
    </w:p>
    <w:p>
      <w:pPr>
        <w:pStyle w:val="Heading5"/>
      </w:pPr>
      <w:bookmarkStart w:id="116" w:name="_Toc394917794"/>
      <w:bookmarkStart w:id="117" w:name="_Toc415493826"/>
      <w:bookmarkStart w:id="118" w:name="_Toc386528611"/>
      <w:r>
        <w:rPr>
          <w:rStyle w:val="CharSectno"/>
        </w:rPr>
        <w:t>26E</w:t>
      </w:r>
      <w:r>
        <w:t>.</w:t>
      </w:r>
      <w:r>
        <w:tab/>
        <w:t>Authorised sample collectors to take or collect samples (s. 94B(8)(b))</w:t>
      </w:r>
      <w:bookmarkEnd w:id="116"/>
      <w:bookmarkEnd w:id="117"/>
      <w:bookmarkEnd w:id="118"/>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in Gazette 8 Nov 2013 p.</w:t>
      </w:r>
      <w:r>
        <w:rPr>
          <w:sz w:val="19"/>
        </w:rPr>
        <w:t> </w:t>
      </w:r>
      <w:r>
        <w:t>5003</w:t>
      </w:r>
      <w:r>
        <w:noBreakHyphen/>
        <w:t>4.]</w:t>
      </w:r>
    </w:p>
    <w:p>
      <w:pPr>
        <w:pStyle w:val="Heading5"/>
      </w:pPr>
      <w:bookmarkStart w:id="119" w:name="_Toc394917795"/>
      <w:bookmarkStart w:id="120" w:name="_Toc415493827"/>
      <w:bookmarkStart w:id="121" w:name="_Toc386528612"/>
      <w:r>
        <w:rPr>
          <w:rStyle w:val="CharSectno"/>
        </w:rPr>
        <w:t>26F</w:t>
      </w:r>
      <w:r>
        <w:t>.</w:t>
      </w:r>
      <w:r>
        <w:tab/>
        <w:t>Manner of taking sample of blood or collecting sample of urine (s. 94B(8)(b))</w:t>
      </w:r>
      <w:bookmarkEnd w:id="119"/>
      <w:bookmarkEnd w:id="120"/>
      <w:bookmarkEnd w:id="121"/>
    </w:p>
    <w:p>
      <w:pPr>
        <w:pStyle w:val="Subsection"/>
      </w:pPr>
      <w:r>
        <w:tab/>
        <w:t>(1)</w:t>
      </w:r>
      <w:r>
        <w:tab/>
        <w:t xml:space="preserve">In this regulation — </w:t>
      </w:r>
    </w:p>
    <w:p>
      <w:pPr>
        <w:pStyle w:val="Defstar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in Gazette 8 Nov 2013 p.</w:t>
      </w:r>
      <w:r>
        <w:rPr>
          <w:sz w:val="19"/>
        </w:rPr>
        <w:t> </w:t>
      </w:r>
      <w:r>
        <w:t>5004</w:t>
      </w:r>
      <w:r>
        <w:noBreakHyphen/>
        <w:t>6.]</w:t>
      </w:r>
    </w:p>
    <w:p>
      <w:pPr>
        <w:pStyle w:val="Heading5"/>
      </w:pPr>
      <w:bookmarkStart w:id="122" w:name="_Toc394917796"/>
      <w:bookmarkStart w:id="123" w:name="_Toc415493828"/>
      <w:bookmarkStart w:id="124" w:name="_Toc386528613"/>
      <w:r>
        <w:rPr>
          <w:rStyle w:val="CharSectno"/>
        </w:rPr>
        <w:t>26G</w:t>
      </w:r>
      <w:r>
        <w:t>.</w:t>
      </w:r>
      <w:r>
        <w:tab/>
        <w:t>Collection of samples (s. 94B(8)(e))</w:t>
      </w:r>
      <w:bookmarkEnd w:id="122"/>
      <w:bookmarkEnd w:id="123"/>
      <w:bookmarkEnd w:id="124"/>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in Gazette 8 Nov 2013 p.</w:t>
      </w:r>
      <w:r>
        <w:rPr>
          <w:sz w:val="19"/>
        </w:rPr>
        <w:t> </w:t>
      </w:r>
      <w:r>
        <w:t>5006</w:t>
      </w:r>
      <w:r>
        <w:noBreakHyphen/>
        <w:t>7.]</w:t>
      </w:r>
    </w:p>
    <w:p>
      <w:pPr>
        <w:pStyle w:val="Heading5"/>
      </w:pPr>
      <w:bookmarkStart w:id="125" w:name="_Toc394917797"/>
      <w:bookmarkStart w:id="126" w:name="_Toc415493829"/>
      <w:bookmarkStart w:id="127" w:name="_Toc386528614"/>
      <w:r>
        <w:rPr>
          <w:rStyle w:val="CharSectno"/>
        </w:rPr>
        <w:t>26H</w:t>
      </w:r>
      <w:r>
        <w:t>.</w:t>
      </w:r>
      <w:r>
        <w:tab/>
        <w:t>Authorisation of persons as analysts (s. 94B(8)(c))</w:t>
      </w:r>
      <w:bookmarkEnd w:id="125"/>
      <w:bookmarkEnd w:id="126"/>
      <w:bookmarkEnd w:id="127"/>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in Gazette 8 Nov 2013 p.</w:t>
      </w:r>
      <w:r>
        <w:rPr>
          <w:sz w:val="19"/>
        </w:rPr>
        <w:t> </w:t>
      </w:r>
      <w:r>
        <w:t>5007.]</w:t>
      </w:r>
    </w:p>
    <w:p>
      <w:pPr>
        <w:pStyle w:val="Heading5"/>
      </w:pPr>
      <w:bookmarkStart w:id="128" w:name="_Toc394917798"/>
      <w:bookmarkStart w:id="129" w:name="_Toc415493830"/>
      <w:bookmarkStart w:id="130" w:name="_Toc386528615"/>
      <w:r>
        <w:rPr>
          <w:rStyle w:val="CharSectno"/>
        </w:rPr>
        <w:t>26I</w:t>
      </w:r>
      <w:r>
        <w:t>.</w:t>
      </w:r>
      <w:r>
        <w:tab/>
        <w:t>Reporting results of analysis (s. 94B(8)(d))</w:t>
      </w:r>
      <w:bookmarkEnd w:id="128"/>
      <w:bookmarkEnd w:id="129"/>
      <w:bookmarkEnd w:id="130"/>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in Gazette 8 Nov 2013 p.</w:t>
      </w:r>
      <w:r>
        <w:rPr>
          <w:sz w:val="19"/>
        </w:rPr>
        <w:t> </w:t>
      </w:r>
      <w:r>
        <w:t>5007</w:t>
      </w:r>
      <w:r>
        <w:noBreakHyphen/>
        <w:t>8.]</w:t>
      </w:r>
    </w:p>
    <w:p>
      <w:pPr>
        <w:pStyle w:val="Heading5"/>
      </w:pPr>
      <w:bookmarkStart w:id="131" w:name="_Toc394917799"/>
      <w:bookmarkStart w:id="132" w:name="_Toc415493831"/>
      <w:bookmarkStart w:id="133" w:name="_Toc386528616"/>
      <w:r>
        <w:rPr>
          <w:rStyle w:val="CharSectno"/>
        </w:rPr>
        <w:t>26J</w:t>
      </w:r>
      <w:r>
        <w:t>.</w:t>
      </w:r>
      <w:r>
        <w:tab/>
        <w:t>Testing of equipment used in conducting breath tests (s. 94B(8)(g))</w:t>
      </w:r>
      <w:bookmarkEnd w:id="131"/>
      <w:bookmarkEnd w:id="132"/>
      <w:bookmarkEnd w:id="133"/>
    </w:p>
    <w:p>
      <w:pPr>
        <w:pStyle w:val="Subsection"/>
      </w:pPr>
      <w:r>
        <w:tab/>
      </w:r>
      <w:r>
        <w:tab/>
        <w:t>Breath testing equipment, other than self</w:t>
      </w:r>
      <w:r>
        <w:noBreakHyphen/>
        <w:t>testing breath analysing equipment, is to be taken to be in proper working order if the breath testing equipment is in proper working order in accordance with the Breath Analysis Regulations regulation 6.</w:t>
      </w:r>
    </w:p>
    <w:p>
      <w:pPr>
        <w:pStyle w:val="Footnotesection"/>
      </w:pPr>
      <w:r>
        <w:tab/>
        <w:t>[Regulation 26J inserted in Gazette 8 Nov 2013 p.</w:t>
      </w:r>
      <w:r>
        <w:rPr>
          <w:sz w:val="19"/>
        </w:rPr>
        <w:t> </w:t>
      </w:r>
      <w:r>
        <w:t>5008.]</w:t>
      </w:r>
    </w:p>
    <w:p>
      <w:pPr>
        <w:pStyle w:val="Heading5"/>
      </w:pPr>
      <w:bookmarkStart w:id="134" w:name="_Toc394917800"/>
      <w:bookmarkStart w:id="135" w:name="_Toc415493832"/>
      <w:bookmarkStart w:id="136" w:name="_Toc386528617"/>
      <w:r>
        <w:rPr>
          <w:rStyle w:val="CharSectno"/>
        </w:rPr>
        <w:t>26K</w:t>
      </w:r>
      <w:r>
        <w:t>.</w:t>
      </w:r>
      <w:r>
        <w:tab/>
        <w:t>Certificate evidence (s. 94B(8)(i))</w:t>
      </w:r>
      <w:bookmarkEnd w:id="134"/>
      <w:bookmarkEnd w:id="135"/>
      <w:bookmarkEnd w:id="136"/>
    </w:p>
    <w:p>
      <w:pPr>
        <w:pStyle w:val="Subsection"/>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pPr>
      <w:r>
        <w:tab/>
        <w:t>(e)</w:t>
      </w:r>
      <w:r>
        <w:tab/>
        <w:t xml:space="preserve">a certificate purporting to be signed by an analyst certifying — </w:t>
      </w:r>
    </w:p>
    <w:p>
      <w:pPr>
        <w:pStyle w:val="Indenti"/>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in Gazette 8 Nov 2013 p.</w:t>
      </w:r>
      <w:r>
        <w:rPr>
          <w:sz w:val="19"/>
        </w:rPr>
        <w:t> </w:t>
      </w:r>
      <w:r>
        <w:t>5008</w:t>
      </w:r>
      <w:r>
        <w:noBreakHyphen/>
        <w:t>9.]</w:t>
      </w:r>
    </w:p>
    <w:p>
      <w:pPr>
        <w:pStyle w:val="Heading5"/>
        <w:spacing w:before="800"/>
      </w:pPr>
      <w:bookmarkStart w:id="137" w:name="_Toc394917801"/>
      <w:bookmarkStart w:id="138" w:name="_Toc415493833"/>
      <w:bookmarkStart w:id="139" w:name="_Toc386528618"/>
      <w:r>
        <w:rPr>
          <w:rStyle w:val="CharSectno"/>
        </w:rPr>
        <w:t>26</w:t>
      </w:r>
      <w:r>
        <w:t>.</w:t>
      </w:r>
      <w:r>
        <w:tab/>
        <w:t>Forms</w:t>
      </w:r>
      <w:bookmarkEnd w:id="137"/>
      <w:bookmarkEnd w:id="138"/>
      <w:bookmarkEnd w:id="139"/>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0" w:name="_Toc386528619"/>
      <w:bookmarkStart w:id="141" w:name="_Toc394917747"/>
      <w:bookmarkStart w:id="142" w:name="_Toc394917802"/>
      <w:bookmarkStart w:id="143" w:name="_Toc415493785"/>
      <w:bookmarkStart w:id="144" w:name="_Toc415493834"/>
      <w:r>
        <w:rPr>
          <w:rStyle w:val="CharSchNo"/>
        </w:rPr>
        <w:t>Schedule 1</w:t>
      </w:r>
      <w:r>
        <w:rPr>
          <w:rStyle w:val="CharSDivNo"/>
        </w:rPr>
        <w:t> </w:t>
      </w:r>
      <w:r>
        <w:t>—</w:t>
      </w:r>
      <w:r>
        <w:rPr>
          <w:rStyle w:val="CharSDivText"/>
        </w:rPr>
        <w:t> </w:t>
      </w:r>
      <w:r>
        <w:rPr>
          <w:rStyle w:val="CharSchText"/>
        </w:rPr>
        <w:t>Forms</w:t>
      </w:r>
      <w:bookmarkEnd w:id="140"/>
      <w:bookmarkEnd w:id="141"/>
      <w:bookmarkEnd w:id="142"/>
      <w:bookmarkEnd w:id="143"/>
      <w:bookmarkEnd w:id="144"/>
    </w:p>
    <w:p>
      <w:pPr>
        <w:pStyle w:val="yShoulderClause"/>
      </w:pPr>
      <w:r>
        <w:t>[r. 26]</w:t>
      </w:r>
    </w:p>
    <w:p>
      <w:pPr>
        <w:pStyle w:val="yFootnotesection"/>
      </w:pPr>
      <w:r>
        <w:tab/>
        <w:t>[Heading inserted in Gazette 9 Dec 2005 p. 5888; amended in Gazette 1 Jun 2007 p. 2528.]</w:t>
      </w:r>
    </w:p>
    <w:p>
      <w:pPr>
        <w:pStyle w:val="yHeading5"/>
        <w:spacing w:after="80"/>
      </w:pPr>
      <w:bookmarkStart w:id="145" w:name="_Toc394917803"/>
      <w:bookmarkStart w:id="146" w:name="_Toc415493835"/>
      <w:bookmarkStart w:id="147" w:name="_Toc386528620"/>
      <w:r>
        <w:rPr>
          <w:rStyle w:val="CharSClsNo"/>
        </w:rPr>
        <w:t>1</w:t>
      </w:r>
      <w:r>
        <w:t>.</w:t>
      </w:r>
      <w:r>
        <w:tab/>
        <w:t>Summons: Application for order</w:t>
      </w:r>
      <w:bookmarkEnd w:id="145"/>
      <w:bookmarkEnd w:id="146"/>
      <w:bookmarkEnd w:id="147"/>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 amended in Gazette 8 Nov 2013 p. 5010.]</w:t>
      </w:r>
    </w:p>
    <w:p>
      <w:pPr>
        <w:pStyle w:val="yHeading5"/>
        <w:pageBreakBefore/>
        <w:spacing w:after="80"/>
      </w:pPr>
      <w:bookmarkStart w:id="148" w:name="_Toc394917804"/>
      <w:bookmarkStart w:id="149" w:name="_Toc415493836"/>
      <w:bookmarkStart w:id="150" w:name="_Toc386528621"/>
      <w:r>
        <w:rPr>
          <w:rStyle w:val="CharSClsNo"/>
        </w:rPr>
        <w:t>2</w:t>
      </w:r>
      <w:r>
        <w:t>.</w:t>
      </w:r>
      <w:r>
        <w:tab/>
        <w:t>Summons: Further hearing after interim order</w:t>
      </w:r>
      <w:bookmarkEnd w:id="148"/>
      <w:bookmarkEnd w:id="149"/>
      <w:bookmarkEnd w:id="150"/>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70"/>
                <w:tab w:val="left" w:pos="1295"/>
              </w:tabs>
              <w:spacing w:before="20"/>
              <w:rPr>
                <w:sz w:val="20"/>
              </w:rPr>
            </w:pPr>
            <w:r>
              <w:rPr>
                <w:sz w:val="20"/>
              </w:rPr>
              <w:tab/>
            </w:r>
            <w:r>
              <w:rPr>
                <w:sz w:val="20"/>
              </w:rPr>
              <w:sym w:font="Monotype Sorts" w:char="F06F"/>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 xml:space="preserve">90; amended in Gazette </w:t>
      </w:r>
      <w:r>
        <w:rPr>
          <w:szCs w:val="22"/>
        </w:rPr>
        <w:t>8 Nov 2013 p. </w:t>
      </w:r>
      <w:r>
        <w:t>5010.]</w:t>
      </w:r>
    </w:p>
    <w:p>
      <w:pPr>
        <w:pStyle w:val="yHeading5"/>
        <w:pageBreakBefore/>
        <w:spacing w:after="80"/>
      </w:pPr>
      <w:bookmarkStart w:id="151" w:name="_Toc394917805"/>
      <w:bookmarkStart w:id="152" w:name="_Toc415493837"/>
      <w:bookmarkStart w:id="153" w:name="_Toc386528622"/>
      <w:r>
        <w:rPr>
          <w:rStyle w:val="CharSClsNo"/>
        </w:rPr>
        <w:t>3</w:t>
      </w:r>
      <w:r>
        <w:t>.</w:t>
      </w:r>
      <w:r>
        <w:tab/>
        <w:t>Summons: Application to vary or revoke child protection order</w:t>
      </w:r>
      <w:bookmarkEnd w:id="151"/>
      <w:bookmarkEnd w:id="152"/>
      <w:bookmarkEnd w:id="153"/>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91"/>
                <w:tab w:val="left" w:pos="1314"/>
                <w:tab w:val="left" w:pos="2994"/>
              </w:tabs>
              <w:spacing w:before="0"/>
              <w:rPr>
                <w:sz w:val="20"/>
              </w:rPr>
            </w:pPr>
            <w:r>
              <w:rPr>
                <w:sz w:val="20"/>
              </w:rPr>
              <w:t>Method</w:t>
            </w:r>
            <w:r>
              <w:rPr>
                <w:sz w:val="20"/>
              </w:rPr>
              <w:tab/>
            </w:r>
            <w:r>
              <w:rPr>
                <w:sz w:val="20"/>
              </w:rPr>
              <w:sym w:font="Monotype Sorts" w:char="F06F"/>
            </w:r>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r>
              <w:rPr>
                <w:sz w:val="20"/>
              </w:rPr>
              <w:sym w:font="Monotype Sorts" w:char="F06F"/>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 xml:space="preserve">1; amended in Gazette </w:t>
      </w:r>
      <w:r>
        <w:rPr>
          <w:szCs w:val="22"/>
        </w:rPr>
        <w:t>8 Nov 2013 p</w:t>
      </w:r>
      <w:r>
        <w:rPr>
          <w:sz w:val="24"/>
        </w:rPr>
        <w:t>.</w:t>
      </w:r>
      <w:r>
        <w:rPr>
          <w:sz w:val="19"/>
        </w:rPr>
        <w:t> </w:t>
      </w:r>
      <w:r>
        <w:t>5010.]</w:t>
      </w:r>
    </w:p>
    <w:p>
      <w:pPr>
        <w:pStyle w:val="yHeading5"/>
        <w:pageBreakBefore/>
      </w:pPr>
      <w:bookmarkStart w:id="154" w:name="_Toc394917806"/>
      <w:bookmarkStart w:id="155" w:name="_Toc415493838"/>
      <w:bookmarkStart w:id="156" w:name="_Toc386528623"/>
      <w:r>
        <w:rPr>
          <w:rStyle w:val="CharSClsNo"/>
        </w:rPr>
        <w:t>4</w:t>
      </w:r>
      <w:r>
        <w:t>.</w:t>
      </w:r>
      <w:r>
        <w:tab/>
        <w:t>Certificate of authorised breath tester (r. 26D(8))</w:t>
      </w:r>
      <w:bookmarkEnd w:id="154"/>
      <w:bookmarkEnd w:id="155"/>
      <w:bookmarkEnd w:id="156"/>
    </w:p>
    <w:p>
      <w:pPr>
        <w:pStyle w:val="yMiscellaneousHeading"/>
      </w:pPr>
      <w:r>
        <w:rPr>
          <w:i/>
        </w:rPr>
        <w:t>Community Protection (Offender Reporting) Act 2004</w:t>
      </w:r>
    </w:p>
    <w:p>
      <w:pPr>
        <w:pStyle w:val="yMiscellaneousHeading"/>
        <w:rPr>
          <w:b/>
        </w:rPr>
      </w:pPr>
      <w:r>
        <w:rPr>
          <w:b/>
        </w:rPr>
        <w:t>Certificate of authorised breath tester</w:t>
      </w:r>
    </w:p>
    <w:p>
      <w:pPr>
        <w:pStyle w:val="yMiscellaneousBody"/>
        <w:rPr>
          <w:snapToGrid w:val="0"/>
        </w:rPr>
      </w:pPr>
      <w:r>
        <w:rPr>
          <w:snapToGrid w:val="0"/>
        </w:rPr>
        <w:t xml:space="preserve">I, ....................................................................................................., an authorised breath tester, as defined in the </w:t>
      </w:r>
      <w:r>
        <w:rPr>
          <w:i/>
          <w:snapToGrid w:val="0"/>
        </w:rPr>
        <w:t>Community Protection (Offender Reporting) Regulations 2004</w:t>
      </w:r>
      <w:r>
        <w:rPr>
          <w:snapToGrid w:val="0"/>
        </w:rPr>
        <w:t xml:space="preserve"> regulation 26D(1) certify that — </w:t>
      </w:r>
    </w:p>
    <w:p>
      <w:pPr>
        <w:pStyle w:val="yMiscellaneousBody"/>
        <w:tabs>
          <w:tab w:val="left" w:pos="567"/>
        </w:tabs>
        <w:ind w:left="567" w:hanging="567"/>
        <w:rPr>
          <w:snapToGrid w:val="0"/>
          <w:szCs w:val="22"/>
        </w:rPr>
      </w:pPr>
      <w:r>
        <w:rPr>
          <w:snapToGrid w:val="0"/>
        </w:rPr>
        <w:t>1.</w:t>
      </w:r>
      <w:r>
        <w:rPr>
          <w:snapToGrid w:val="0"/>
        </w:rPr>
        <w:tab/>
        <w:t>................................................................................................... provided a</w:t>
      </w:r>
      <w:r>
        <w:rPr>
          <w:snapToGrid w:val="0"/>
        </w:rPr>
        <w:br/>
      </w:r>
      <w:r>
        <w:rPr>
          <w:snapToGrid w:val="0"/>
          <w:sz w:val="20"/>
        </w:rPr>
        <w:t>[</w:t>
      </w:r>
      <w:r>
        <w:rPr>
          <w:i/>
          <w:snapToGrid w:val="0"/>
          <w:sz w:val="20"/>
        </w:rPr>
        <w:t>Name of person from whom sample was taken</w:t>
      </w:r>
      <w:r>
        <w:rPr>
          <w:snapToGrid w:val="0"/>
          <w:sz w:val="20"/>
        </w:rPr>
        <w:t>]</w:t>
      </w:r>
    </w:p>
    <w:p>
      <w:pPr>
        <w:pStyle w:val="yMiscellaneousBody"/>
        <w:tabs>
          <w:tab w:val="left" w:pos="567"/>
        </w:tabs>
        <w:ind w:left="567" w:hanging="567"/>
        <w:rPr>
          <w:snapToGrid w:val="0"/>
        </w:rPr>
      </w:pPr>
      <w:r>
        <w:rPr>
          <w:snapToGrid w:val="0"/>
        </w:rPr>
        <w:tab/>
        <w:t>sample of breath on ............................................. at ....................................</w:t>
      </w:r>
      <w:r>
        <w:rPr>
          <w:snapToGrid w:val="0"/>
        </w:rPr>
        <w:br/>
      </w:r>
      <w:r>
        <w:rPr>
          <w:snapToGrid w:val="0"/>
          <w:sz w:val="20"/>
        </w:rPr>
        <w:tab/>
      </w:r>
      <w:r>
        <w:rPr>
          <w:snapToGrid w:val="0"/>
          <w:sz w:val="20"/>
        </w:rPr>
        <w:tab/>
      </w:r>
      <w:r>
        <w:rPr>
          <w:snapToGrid w:val="0"/>
          <w:sz w:val="20"/>
        </w:rPr>
        <w:tab/>
        <w:t>[</w:t>
      </w:r>
      <w:r>
        <w:rPr>
          <w:i/>
          <w:snapToGrid w:val="0"/>
          <w:sz w:val="20"/>
        </w:rPr>
        <w:t>date</w:t>
      </w:r>
      <w:r>
        <w:rPr>
          <w:snapToGrid w:val="0"/>
          <w:sz w:val="20"/>
        </w:rPr>
        <w:t>]</w:t>
      </w:r>
      <w:r>
        <w:rPr>
          <w:snapToGrid w:val="0"/>
        </w:rPr>
        <w:tab/>
        <w:t xml:space="preserve">                       </w:t>
      </w:r>
      <w:r>
        <w:rPr>
          <w:snapToGrid w:val="0"/>
          <w:sz w:val="20"/>
        </w:rPr>
        <w:t>[</w:t>
      </w:r>
      <w:r>
        <w:rPr>
          <w:i/>
          <w:snapToGrid w:val="0"/>
          <w:sz w:val="20"/>
        </w:rPr>
        <w:t>time</w:t>
      </w:r>
      <w:r>
        <w:rPr>
          <w:snapToGrid w:val="0"/>
          <w:sz w:val="20"/>
        </w:rPr>
        <w:t>]</w:t>
      </w:r>
    </w:p>
    <w:p>
      <w:pPr>
        <w:pStyle w:val="yMiscellaneousBody"/>
        <w:tabs>
          <w:tab w:val="left" w:pos="567"/>
        </w:tabs>
        <w:ind w:left="567" w:hanging="567"/>
        <w:rPr>
          <w:snapToGrid w:val="0"/>
        </w:rPr>
      </w:pPr>
      <w:r>
        <w:rPr>
          <w:snapToGrid w:val="0"/>
        </w:rPr>
        <w:t>2.</w:t>
      </w:r>
      <w:r>
        <w:rPr>
          <w:snapToGrid w:val="0"/>
        </w:rPr>
        <w:tab/>
        <w:t>I was at the material time an authorised breath tester.</w:t>
      </w:r>
    </w:p>
    <w:p>
      <w:pPr>
        <w:pStyle w:val="yMiscellaneousBody"/>
        <w:tabs>
          <w:tab w:val="left" w:pos="567"/>
        </w:tabs>
        <w:ind w:left="567" w:hanging="567"/>
        <w:rPr>
          <w:snapToGrid w:val="0"/>
        </w:rPr>
      </w:pPr>
      <w:r>
        <w:rPr>
          <w:snapToGrid w:val="0"/>
        </w:rPr>
        <w:t>3.</w:t>
      </w:r>
      <w:r>
        <w:rPr>
          <w:snapToGrid w:val="0"/>
        </w:rPr>
        <w:tab/>
        <w:t xml:space="preserve">The sample of breath given was tested by apparatus that I operated and that apparatus was breath testing equipment as defined in the </w:t>
      </w:r>
      <w:r>
        <w:rPr>
          <w:i/>
          <w:snapToGrid w:val="0"/>
        </w:rPr>
        <w:t>Community Protection (Offender Reporting) Regulations 2004</w:t>
      </w:r>
      <w:r>
        <w:rPr>
          <w:snapToGrid w:val="0"/>
        </w:rPr>
        <w:t xml:space="preserve"> regulation 3.</w:t>
      </w:r>
    </w:p>
    <w:p>
      <w:pPr>
        <w:pStyle w:val="yMiscellaneousBody"/>
        <w:tabs>
          <w:tab w:val="left" w:pos="567"/>
        </w:tabs>
        <w:ind w:left="567" w:hanging="567"/>
        <w:rPr>
          <w:snapToGrid w:val="0"/>
        </w:rPr>
      </w:pPr>
      <w:r>
        <w:rPr>
          <w:snapToGrid w:val="0"/>
        </w:rPr>
        <w:t>4.</w:t>
      </w:r>
      <w:r>
        <w:rPr>
          <w:snapToGrid w:val="0"/>
        </w:rPr>
        <w:tab/>
        <w:t>I operated the breath testing equipment in the manner prescribed in regulation 26D and the regulations relating to the use of breath testing equipment of the relevant type were complied with.</w:t>
      </w:r>
    </w:p>
    <w:p>
      <w:pPr>
        <w:pStyle w:val="yMiscellaneousBody"/>
        <w:tabs>
          <w:tab w:val="left" w:pos="567"/>
        </w:tabs>
        <w:ind w:left="567" w:hanging="567"/>
        <w:rPr>
          <w:snapToGrid w:val="0"/>
        </w:rPr>
      </w:pPr>
      <w:r>
        <w:rPr>
          <w:snapToGrid w:val="0"/>
        </w:rPr>
        <w:t>5.</w:t>
      </w:r>
      <w:r>
        <w:rPr>
          <w:snapToGrid w:val="0"/>
        </w:rPr>
        <w:tab/>
        <w:t>The breath testing equipment indicated a result at the conclusion of the test.</w:t>
      </w:r>
    </w:p>
    <w:p>
      <w:pPr>
        <w:pStyle w:val="yMiscellaneousBody"/>
        <w:tabs>
          <w:tab w:val="left" w:pos="567"/>
        </w:tabs>
        <w:ind w:left="567" w:hanging="567"/>
        <w:rPr>
          <w:snapToGrid w:val="0"/>
        </w:rPr>
      </w:pPr>
      <w:r>
        <w:rPr>
          <w:snapToGrid w:val="0"/>
        </w:rPr>
        <w:t>6.</w:t>
      </w:r>
      <w:r>
        <w:rPr>
          <w:snapToGrid w:val="0"/>
        </w:rPr>
        <w:tab/>
        <w:t>I completed, signed and handed to the person named above a copy of this certificate.</w:t>
      </w:r>
    </w:p>
    <w:p>
      <w:pPr>
        <w:pStyle w:val="yMiscellaneousBody"/>
        <w:tabs>
          <w:tab w:val="left" w:pos="567"/>
        </w:tabs>
        <w:ind w:left="567" w:hanging="567"/>
        <w:rPr>
          <w:snapToGrid w:val="0"/>
        </w:rPr>
      </w:pPr>
      <w:r>
        <w:rPr>
          <w:snapToGrid w:val="0"/>
        </w:rPr>
        <w:t>7.</w:t>
      </w:r>
      <w:r>
        <w:rPr>
          <w:snapToGrid w:val="0"/>
        </w:rPr>
        <w:tab/>
        <w:t>The test result obtained from the test referred to in this certificate was ......................................................................................................................</w:t>
      </w:r>
    </w:p>
    <w:p>
      <w:pPr>
        <w:pStyle w:val="yMiscellaneousBody"/>
        <w:tabs>
          <w:tab w:val="left" w:pos="993"/>
        </w:tabs>
        <w:rPr>
          <w:snapToGrid w:val="0"/>
        </w:rPr>
      </w:pPr>
    </w:p>
    <w:p>
      <w:pPr>
        <w:pStyle w:val="yMiscellaneousBody"/>
        <w:jc w:val="right"/>
        <w:rPr>
          <w:snapToGrid w:val="0"/>
          <w:sz w:val="20"/>
        </w:rPr>
      </w:pPr>
      <w:r>
        <w:rPr>
          <w:snapToGrid w:val="0"/>
        </w:rPr>
        <w:t>..............................................................</w:t>
      </w:r>
      <w:r>
        <w:rPr>
          <w:snapToGrid w:val="0"/>
        </w:rPr>
        <w:br/>
      </w:r>
      <w:r>
        <w:rPr>
          <w:snapToGrid w:val="0"/>
          <w:sz w:val="20"/>
        </w:rPr>
        <w:t>[</w:t>
      </w:r>
      <w:r>
        <w:rPr>
          <w:i/>
          <w:snapToGrid w:val="0"/>
          <w:sz w:val="20"/>
        </w:rPr>
        <w:t>Signature of authorised breath tester</w:t>
      </w:r>
      <w:r>
        <w:rPr>
          <w:snapToGrid w:val="0"/>
          <w:sz w:val="20"/>
        </w:rPr>
        <w:t>]</w:t>
      </w:r>
    </w:p>
    <w:p>
      <w:pPr>
        <w:pStyle w:val="yMiscellaneousBody"/>
        <w:jc w:val="right"/>
        <w:rPr>
          <w:snapToGrid w:val="0"/>
          <w:sz w:val="20"/>
        </w:rPr>
      </w:pPr>
      <w:r>
        <w:rPr>
          <w:snapToGrid w:val="0"/>
        </w:rPr>
        <w:t>..............................................................</w:t>
      </w:r>
      <w:r>
        <w:rPr>
          <w:snapToGrid w:val="0"/>
        </w:rPr>
        <w:br/>
      </w:r>
      <w:r>
        <w:rPr>
          <w:snapToGrid w:val="0"/>
          <w:sz w:val="20"/>
        </w:rPr>
        <w:t>[</w:t>
      </w:r>
      <w:r>
        <w:rPr>
          <w:i/>
          <w:snapToGrid w:val="0"/>
          <w:sz w:val="20"/>
        </w:rPr>
        <w:t>Date</w:t>
      </w:r>
      <w:r>
        <w:rPr>
          <w:snapToGrid w:val="0"/>
          <w:sz w:val="20"/>
        </w:rPr>
        <w:t>]</w:t>
      </w:r>
    </w:p>
    <w:p>
      <w:pPr>
        <w:pStyle w:val="yFootnotesection"/>
      </w:pPr>
      <w:r>
        <w:tab/>
        <w:t xml:space="preserve">[Form 4 inserted in Gazette </w:t>
      </w:r>
      <w:r>
        <w:rPr>
          <w:szCs w:val="22"/>
        </w:rPr>
        <w:t>8 Nov 2013 p</w:t>
      </w:r>
      <w:r>
        <w:t>. 5010</w:t>
      </w:r>
      <w:r>
        <w:noBreakHyphen/>
        <w:t>11.]</w:t>
      </w:r>
    </w:p>
    <w:p>
      <w:pPr>
        <w:pStyle w:val="yHeading5"/>
        <w:spacing w:after="80"/>
      </w:pPr>
      <w:bookmarkStart w:id="157" w:name="_Toc394917807"/>
      <w:bookmarkStart w:id="158" w:name="_Toc415493839"/>
      <w:bookmarkStart w:id="159" w:name="_Toc386528624"/>
      <w:r>
        <w:rPr>
          <w:rStyle w:val="CharSClsNo"/>
        </w:rPr>
        <w:t>5</w:t>
      </w:r>
      <w:r>
        <w:t>.</w:t>
      </w:r>
      <w:r>
        <w:tab/>
        <w:t>Request to take sample of blood or urine (r. 26F(2))</w:t>
      </w:r>
      <w:bookmarkEnd w:id="157"/>
      <w:bookmarkEnd w:id="158"/>
      <w:bookmarkEnd w:id="159"/>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spacing w:before="60"/>
              <w:jc w:val="center"/>
            </w:pPr>
            <w:r>
              <w:rPr>
                <w:i/>
              </w:rPr>
              <w:t>Community Protection (Offender Reporting) Act 2004</w:t>
            </w:r>
          </w:p>
          <w:p>
            <w:pPr>
              <w:pStyle w:val="yTableNAm"/>
              <w:widowControl w:val="0"/>
              <w:jc w:val="center"/>
            </w:pPr>
            <w:r>
              <w:rPr>
                <w:b/>
                <w:bCs/>
                <w:sz w:val="28"/>
              </w:rPr>
              <w:t>Request to take sample of blood or urine</w:t>
            </w:r>
          </w:p>
        </w:tc>
      </w:tr>
      <w:tr>
        <w:trPr>
          <w:trHeight w:val="807"/>
        </w:trPr>
        <w:tc>
          <w:tcPr>
            <w:tcW w:w="1509" w:type="dxa"/>
            <w:shd w:val="clear" w:color="auto" w:fill="E6E6E6"/>
          </w:tcPr>
          <w:p>
            <w:pPr>
              <w:pStyle w:val="yTableNAm"/>
            </w:pPr>
            <w:r>
              <w:rPr>
                <w:b/>
                <w:bCs/>
              </w:rPr>
              <w:t xml:space="preserve">To </w:t>
            </w:r>
          </w:p>
        </w:tc>
        <w:tc>
          <w:tcPr>
            <w:tcW w:w="5579" w:type="dxa"/>
          </w:tcPr>
          <w:p>
            <w:pPr>
              <w:pStyle w:val="yTableNAm"/>
              <w:rPr>
                <w:sz w:val="20"/>
              </w:rPr>
            </w:pPr>
            <w:r>
              <w:br/>
            </w:r>
            <w:r>
              <w:br/>
            </w:r>
            <w:r>
              <w:rPr>
                <w:sz w:val="20"/>
              </w:rPr>
              <w:t>[</w:t>
            </w:r>
            <w:r>
              <w:rPr>
                <w:i/>
                <w:sz w:val="20"/>
              </w:rPr>
              <w:t>Name of medical practitioner, registered nurse or phlebotomist</w:t>
            </w:r>
            <w:r>
              <w:rPr>
                <w:sz w:val="20"/>
              </w:rPr>
              <w:t>]</w:t>
            </w:r>
          </w:p>
        </w:tc>
      </w:tr>
      <w:tr>
        <w:tc>
          <w:tcPr>
            <w:tcW w:w="1509" w:type="dxa"/>
            <w:shd w:val="clear" w:color="auto" w:fill="E6E6E6"/>
          </w:tcPr>
          <w:p>
            <w:pPr>
              <w:pStyle w:val="yTableNAm"/>
            </w:pPr>
            <w:r>
              <w:rPr>
                <w:b/>
                <w:bCs/>
              </w:rPr>
              <w:t>Place where sample is to be taken</w:t>
            </w:r>
          </w:p>
        </w:tc>
        <w:tc>
          <w:tcPr>
            <w:tcW w:w="5579" w:type="dxa"/>
          </w:tcPr>
          <w:p>
            <w:pPr>
              <w:pStyle w:val="yTableNAm"/>
              <w:rPr>
                <w:snapToGrid w:val="0"/>
                <w:sz w:val="20"/>
              </w:rPr>
            </w:pPr>
            <w:r>
              <w:rPr>
                <w:b/>
                <w:bCs/>
              </w:rPr>
              <w:br/>
            </w:r>
            <w:r>
              <w:rPr>
                <w:b/>
                <w:bCs/>
              </w:rPr>
              <w:br/>
            </w:r>
            <w:r>
              <w:rPr>
                <w:b/>
                <w:bCs/>
              </w:rPr>
              <w:br/>
            </w:r>
            <w:r>
              <w:rPr>
                <w:snapToGrid w:val="0"/>
                <w:sz w:val="20"/>
              </w:rPr>
              <w:t>[</w:t>
            </w:r>
            <w:r>
              <w:rPr>
                <w:i/>
                <w:snapToGrid w:val="0"/>
                <w:sz w:val="20"/>
              </w:rPr>
              <w:t>Name of hospital/medical centre/place</w:t>
            </w:r>
            <w:r>
              <w:rPr>
                <w:snapToGrid w:val="0"/>
                <w:sz w:val="20"/>
              </w:rPr>
              <w:t>]</w:t>
            </w:r>
          </w:p>
        </w:tc>
      </w:tr>
      <w:tr>
        <w:tc>
          <w:tcPr>
            <w:tcW w:w="1509" w:type="dxa"/>
            <w:shd w:val="clear" w:color="auto" w:fill="E6E6E6"/>
          </w:tcPr>
          <w:p>
            <w:pPr>
              <w:pStyle w:val="yTableNAm"/>
              <w:rPr>
                <w:b/>
                <w:bCs/>
              </w:rPr>
            </w:pPr>
            <w:r>
              <w:rPr>
                <w:b/>
                <w:bCs/>
              </w:rPr>
              <w:t>Date and time sample is to be taken</w:t>
            </w:r>
          </w:p>
        </w:tc>
        <w:tc>
          <w:tcPr>
            <w:tcW w:w="5579" w:type="dxa"/>
          </w:tcPr>
          <w:p>
            <w:pPr>
              <w:pStyle w:val="yTableNAm"/>
              <w:rPr>
                <w:snapToGrid w:val="0"/>
              </w:rPr>
            </w:pPr>
          </w:p>
        </w:tc>
      </w:tr>
      <w:tr>
        <w:tc>
          <w:tcPr>
            <w:tcW w:w="1509" w:type="dxa"/>
            <w:shd w:val="clear" w:color="auto" w:fill="E6E6E6"/>
          </w:tcPr>
          <w:p>
            <w:pPr>
              <w:pStyle w:val="yTableNAm"/>
              <w:widowControl w:val="0"/>
            </w:pPr>
            <w:r>
              <w:rPr>
                <w:b/>
                <w:bCs/>
              </w:rPr>
              <w:t>Request for sample to be taken</w:t>
            </w:r>
          </w:p>
        </w:tc>
        <w:tc>
          <w:tcPr>
            <w:tcW w:w="5579" w:type="dxa"/>
          </w:tcPr>
          <w:p>
            <w:pPr>
              <w:pStyle w:val="yTableNAm"/>
            </w:pPr>
            <w:r>
              <w:rPr>
                <w:snapToGrid w:val="0"/>
              </w:rPr>
              <w:t xml:space="preserve">Under the </w:t>
            </w:r>
            <w:r>
              <w:rPr>
                <w:i/>
              </w:rPr>
              <w:t>Community Protection (Offender Reporting) Regulations 2004</w:t>
            </w:r>
            <w:r>
              <w:t xml:space="preserve"> regulation 26F(2), I request you, a </w:t>
            </w:r>
          </w:p>
          <w:p>
            <w:pPr>
              <w:pStyle w:val="yTableNAm"/>
              <w:rPr>
                <w:snapToGrid w:val="0"/>
              </w:rPr>
            </w:pPr>
            <w:r>
              <w:rPr>
                <w:snapToGrid w:val="0"/>
              </w:rPr>
              <w:t>...................................................................................................</w:t>
            </w:r>
          </w:p>
          <w:p>
            <w:pPr>
              <w:pStyle w:val="yTableNAm"/>
              <w:spacing w:before="0"/>
              <w:rPr>
                <w:snapToGrid w:val="0"/>
                <w:sz w:val="20"/>
              </w:rPr>
            </w:pPr>
            <w:r>
              <w:rPr>
                <w:snapToGrid w:val="0"/>
                <w:sz w:val="20"/>
              </w:rPr>
              <w:t>[</w:t>
            </w:r>
            <w:r>
              <w:rPr>
                <w:i/>
                <w:snapToGrid w:val="0"/>
                <w:sz w:val="20"/>
              </w:rPr>
              <w:t>Insert description, e.g. medical practitioner, nurse practitioner, phlebotomist</w:t>
            </w:r>
            <w:r>
              <w:rPr>
                <w:snapToGrid w:val="0"/>
                <w:sz w:val="20"/>
              </w:rPr>
              <w:t>]</w:t>
            </w:r>
          </w:p>
          <w:p>
            <w:pPr>
              <w:pStyle w:val="yTableNAm"/>
              <w:rPr>
                <w:snapToGrid w:val="0"/>
              </w:rPr>
            </w:pPr>
            <w:r>
              <w:rPr>
                <w:snapToGrid w:val="0"/>
              </w:rPr>
              <w:t xml:space="preserve">to take — </w:t>
            </w:r>
          </w:p>
          <w:p>
            <w:pPr>
              <w:pStyle w:val="yTableNAm"/>
              <w:rPr>
                <w:snapToGrid w:val="0"/>
              </w:rPr>
            </w:pPr>
            <w:r>
              <w:rPr>
                <w:snapToGrid w:val="0"/>
              </w:rPr>
              <w:t>(a)</w:t>
            </w:r>
            <w:r>
              <w:rPr>
                <w:snapToGrid w:val="0"/>
              </w:rPr>
              <w:tab/>
              <w:t>a blood sample*;</w:t>
            </w:r>
          </w:p>
          <w:p>
            <w:pPr>
              <w:pStyle w:val="yTableNAm"/>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r>
              <w:rPr>
                <w:i/>
                <w:snapToGrid w:val="0"/>
                <w:sz w:val="20"/>
              </w:rPr>
              <w:t>delete inapplicable</w:t>
            </w:r>
            <w:r>
              <w:rPr>
                <w:snapToGrid w:val="0"/>
                <w:sz w:val="20"/>
              </w:rPr>
              <w:t>]</w:t>
            </w:r>
          </w:p>
          <w:p>
            <w:pPr>
              <w:pStyle w:val="yTableNAm"/>
              <w:rPr>
                <w:snapToGrid w:val="0"/>
              </w:rPr>
            </w:pPr>
            <w:r>
              <w:rPr>
                <w:snapToGrid w:val="0"/>
              </w:rPr>
              <w:t xml:space="preserve">from — </w:t>
            </w:r>
          </w:p>
          <w:p>
            <w:pPr>
              <w:pStyle w:val="yTableNAm"/>
              <w:rPr>
                <w:snapToGrid w:val="0"/>
                <w:sz w:val="20"/>
              </w:rPr>
            </w:pPr>
            <w:r>
              <w:rPr>
                <w:snapToGrid w:val="0"/>
              </w:rPr>
              <w:t>...................................................................................................</w:t>
            </w:r>
            <w:r>
              <w:rPr>
                <w:snapToGrid w:val="0"/>
              </w:rPr>
              <w:br/>
            </w:r>
            <w:r>
              <w:rPr>
                <w:snapToGrid w:val="0"/>
                <w:sz w:val="20"/>
              </w:rPr>
              <w:t>[</w:t>
            </w:r>
            <w:r>
              <w:rPr>
                <w:i/>
                <w:snapToGrid w:val="0"/>
                <w:sz w:val="20"/>
              </w:rPr>
              <w:t>Name of person from whom sample is to be taken or collected</w:t>
            </w:r>
            <w:r>
              <w:rPr>
                <w:snapToGrid w:val="0"/>
                <w:sz w:val="20"/>
              </w:rPr>
              <w:t>]</w:t>
            </w:r>
          </w:p>
          <w:p>
            <w:pPr>
              <w:pStyle w:val="yTableNAm"/>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r>
              <w:rPr>
                <w:snapToGrid w:val="0"/>
              </w:rPr>
              <w:b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snapToGrid w:val="0"/>
                <w:sz w:val="20"/>
              </w:rPr>
            </w:pPr>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p>
          <w:p>
            <w:pPr>
              <w:pStyle w:val="yTableNAm"/>
              <w:keepNext/>
              <w:rPr>
                <w:snapToGrid w:val="0"/>
              </w:rPr>
            </w:pPr>
            <w:r>
              <w:rPr>
                <w:snapToGrid w:val="0"/>
              </w:rPr>
              <w:t>Name ........................................................................................</w:t>
            </w:r>
          </w:p>
          <w:p>
            <w:pPr>
              <w:pStyle w:val="yTableNAm"/>
              <w:keepNext/>
              <w:rPr>
                <w:snapToGrid w:val="0"/>
              </w:rPr>
            </w:pPr>
            <w:r>
              <w:rPr>
                <w:snapToGrid w:val="0"/>
              </w:rPr>
              <w:t>Rank and Number ....................................................................</w:t>
            </w:r>
          </w:p>
          <w:p>
            <w:pPr>
              <w:pStyle w:val="yTableNAm"/>
              <w:keepNext/>
              <w:rPr>
                <w:snapToGrid w:val="0"/>
              </w:rPr>
            </w:pPr>
            <w:r>
              <w:rPr>
                <w:snapToGrid w:val="0"/>
              </w:rPr>
              <w:t>Telephone no. ...........................................................................</w:t>
            </w:r>
          </w:p>
          <w:p>
            <w:pPr>
              <w:pStyle w:val="yTableNAm"/>
              <w:keepNext/>
              <w:rPr>
                <w:snapToGrid w:val="0"/>
              </w:rPr>
            </w:pPr>
            <w:r>
              <w:rPr>
                <w:snapToGrid w:val="0"/>
              </w:rPr>
              <w:t>Ref no. ......................................................................................</w:t>
            </w:r>
          </w:p>
        </w:tc>
      </w:tr>
    </w:tbl>
    <w:p>
      <w:pPr>
        <w:pStyle w:val="yFootnotesection"/>
        <w:rPr>
          <w:szCs w:val="22"/>
        </w:rPr>
      </w:pPr>
      <w:r>
        <w:tab/>
        <w:t xml:space="preserve">[Form 5 inserted in Gazette </w:t>
      </w:r>
      <w:r>
        <w:rPr>
          <w:szCs w:val="22"/>
        </w:rPr>
        <w:t>8 Nov 2013 p</w:t>
      </w:r>
      <w:r>
        <w:t>. 5011</w:t>
      </w:r>
      <w:r>
        <w:noBreakHyphen/>
        <w:t>12.]</w:t>
      </w:r>
    </w:p>
    <w:p>
      <w:pPr>
        <w:pStyle w:val="yHeading5"/>
        <w:pageBreakBefore/>
        <w:rPr>
          <w:bCs/>
        </w:rPr>
      </w:pPr>
      <w:bookmarkStart w:id="160" w:name="_Toc394917808"/>
      <w:bookmarkStart w:id="161" w:name="_Toc415493840"/>
      <w:bookmarkStart w:id="162" w:name="_Toc386528625"/>
      <w:r>
        <w:rPr>
          <w:rStyle w:val="CharSClsNo"/>
        </w:rPr>
        <w:t>6</w:t>
      </w:r>
      <w:r>
        <w:t>.</w:t>
      </w:r>
      <w:r>
        <w:tab/>
        <w:t>Certificate of authorised sample collector (r. 26G(5))</w:t>
      </w:r>
      <w:bookmarkEnd w:id="160"/>
      <w:bookmarkEnd w:id="161"/>
      <w:bookmarkEnd w:id="162"/>
    </w:p>
    <w:p>
      <w:pPr>
        <w:pStyle w:val="yMiscellaneousHeading"/>
      </w:pPr>
      <w:r>
        <w:rPr>
          <w:i/>
        </w:rPr>
        <w:t>Community Protection (Offender Reporting) Act 2004</w:t>
      </w:r>
    </w:p>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snapToGrid w:val="0"/>
        </w:rPr>
      </w:pPr>
      <w:r>
        <w:rPr>
          <w:snapToGrid w:val="0"/>
        </w:rPr>
        <w:t>.................................................................................................................................</w:t>
      </w:r>
    </w:p>
    <w:p>
      <w:pPr>
        <w:pStyle w:val="yMiscellaneousBody"/>
        <w:spacing w:before="0"/>
        <w:jc w:val="center"/>
        <w:rPr>
          <w:snapToGrid w:val="0"/>
        </w:rPr>
      </w:pPr>
      <w:r>
        <w:rPr>
          <w:snapToGrid w:val="0"/>
        </w:rPr>
        <w:t>[</w:t>
      </w:r>
      <w:r>
        <w:rPr>
          <w:i/>
          <w:snapToGrid w:val="0"/>
          <w:sz w:val="20"/>
        </w:rPr>
        <w:t>Insert description, e.g. medical practitioner, registered nurse or phlebotomist</w:t>
      </w:r>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r>
        <w:rPr>
          <w:i/>
          <w:snapToGrid w:val="0"/>
          <w:sz w:val="20"/>
        </w:rPr>
        <w:t>delete inapplicable</w:t>
      </w:r>
      <w:r>
        <w:rPr>
          <w:snapToGrid w:val="0"/>
        </w:rPr>
        <w:t>]</w:t>
      </w:r>
    </w:p>
    <w:p>
      <w:pPr>
        <w:pStyle w:val="yMiscellaneousBody"/>
        <w:rPr>
          <w:snapToGrid w:val="0"/>
        </w:rPr>
      </w:pPr>
      <w:r>
        <w:rPr>
          <w:snapToGrid w:val="0"/>
        </w:rPr>
        <w:t>from ........................................................................................................................</w:t>
      </w:r>
    </w:p>
    <w:p>
      <w:pPr>
        <w:pStyle w:val="yMiscellaneousBody"/>
        <w:spacing w:before="0"/>
        <w:jc w:val="center"/>
        <w:rPr>
          <w:snapToGrid w:val="0"/>
        </w:rPr>
      </w:pPr>
      <w:r>
        <w:rPr>
          <w:snapToGrid w:val="0"/>
        </w:rPr>
        <w:t>[</w:t>
      </w:r>
      <w:r>
        <w:rPr>
          <w:i/>
          <w:snapToGrid w:val="0"/>
          <w:sz w:val="20"/>
        </w:rPr>
        <w:t>Name of person from whom sample was taken or collected</w:t>
      </w:r>
      <w:r>
        <w:rPr>
          <w:snapToGrid w:val="0"/>
        </w:rPr>
        <w:t>]</w:t>
      </w:r>
    </w:p>
    <w:p>
      <w:pPr>
        <w:pStyle w:val="yMiscellaneousBody"/>
        <w:ind w:left="426" w:hanging="426"/>
        <w:rPr>
          <w:snapToGrid w:val="0"/>
        </w:rPr>
      </w:pPr>
      <w:r>
        <w:rPr>
          <w:snapToGrid w:val="0"/>
        </w:rPr>
        <w:t>at .............................................................................................................................</w:t>
      </w:r>
    </w:p>
    <w:p>
      <w:pPr>
        <w:pStyle w:val="yMiscellaneousBody"/>
        <w:spacing w:before="0"/>
        <w:ind w:left="426" w:hanging="426"/>
        <w:jc w:val="center"/>
        <w:rPr>
          <w:snapToGrid w:val="0"/>
        </w:rPr>
      </w:pPr>
      <w:r>
        <w:rPr>
          <w:snapToGrid w:val="0"/>
        </w:rPr>
        <w:t>.................................................................................................................................</w:t>
      </w:r>
      <w:r>
        <w:rPr>
          <w:snapToGrid w:val="0"/>
        </w:rPr>
        <w:br/>
        <w:t>[</w:t>
      </w:r>
      <w:r>
        <w:rPr>
          <w:i/>
          <w:snapToGrid w:val="0"/>
          <w:sz w:val="20"/>
        </w:rPr>
        <w:t>Place where sample was taken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The sample was taken or collected at ....................................................................</w:t>
      </w:r>
      <w:r>
        <w:rPr>
          <w:snapToGrid w:val="0"/>
        </w:rPr>
        <w:br/>
      </w:r>
      <w:r>
        <w:rPr>
          <w:snapToGrid w:val="0"/>
        </w:rPr>
        <w:tab/>
        <w:t>[</w:t>
      </w:r>
      <w:r>
        <w:rPr>
          <w:i/>
          <w:snapToGrid w:val="0"/>
          <w:sz w:val="20"/>
        </w:rPr>
        <w:t>Insert time, day, month and year</w:t>
      </w:r>
      <w:r>
        <w:rPr>
          <w:snapToGrid w:val="0"/>
        </w:rPr>
        <w:t>]</w:t>
      </w:r>
    </w:p>
    <w:p>
      <w:pPr>
        <w:pStyle w:val="yMiscellaneousBody"/>
        <w:tabs>
          <w:tab w:val="left" w:pos="3261"/>
        </w:tabs>
        <w:rPr>
          <w:snapToGrid w:val="0"/>
        </w:rPr>
      </w:pPr>
      <w:r>
        <w:rPr>
          <w:snapToGrid w:val="0"/>
        </w:rPr>
        <w:t>The sample, or a portion of that sample, is contained and sealed in the sample container(s) numbered ...........................................................................................</w:t>
      </w:r>
      <w:r>
        <w:rPr>
          <w:snapToGrid w:val="0"/>
        </w:rPr>
        <w:br/>
      </w:r>
      <w:r>
        <w:rPr>
          <w:snapToGrid w:val="0"/>
        </w:rPr>
        <w:tab/>
        <w:t>[</w:t>
      </w:r>
      <w:r>
        <w:rPr>
          <w:i/>
          <w:snapToGrid w:val="0"/>
          <w:sz w:val="20"/>
        </w:rPr>
        <w:t>Number on sample container(s)</w:t>
      </w:r>
      <w:r>
        <w:rPr>
          <w:snapToGrid w:val="0"/>
        </w:rPr>
        <w:t>]</w:t>
      </w:r>
    </w:p>
    <w:p>
      <w:pPr>
        <w:pStyle w:val="yMiscellaneousBody"/>
        <w:rPr>
          <w:snapToGrid w:val="0"/>
        </w:rPr>
      </w:pPr>
      <w:r>
        <w:rPr>
          <w:snapToGrid w:val="0"/>
        </w:rPr>
        <w:t xml:space="preserve">The equipment used for the purpose of taking or collecting the sample of blood*/urine* [* </w:t>
      </w:r>
      <w:r>
        <w:rPr>
          <w:i/>
          <w:snapToGrid w:val="0"/>
          <w:sz w:val="20"/>
        </w:rPr>
        <w:t>delete inapplicable</w:t>
      </w:r>
      <w:r>
        <w:rPr>
          <w:snapToGrid w:val="0"/>
        </w:rPr>
        <w:t>] was contained in an equipment kit serially numbered ..................................... and that equipment kit was sealed and intact ....................... [</w:t>
      </w:r>
      <w:r>
        <w:rPr>
          <w:i/>
          <w:snapToGrid w:val="0"/>
          <w:sz w:val="20"/>
        </w:rPr>
        <w:t>Number on equipment kit</w:t>
      </w:r>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and qualification</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r>
        <w:rPr>
          <w:i/>
          <w:snapToGrid w:val="0"/>
          <w:sz w:val="20"/>
        </w:rPr>
        <w:t>Authorised police officer’s signature</w:t>
      </w:r>
      <w:r>
        <w:rPr>
          <w:snapToGrid w:val="0"/>
        </w:rPr>
        <w:t>]</w:t>
      </w:r>
      <w:r>
        <w:rPr>
          <w:snapToGrid w:val="0"/>
        </w:rPr>
        <w:br/>
        <w:t>[</w:t>
      </w:r>
      <w:r>
        <w:rPr>
          <w:i/>
          <w:snapToGrid w:val="0"/>
          <w:sz w:val="20"/>
        </w:rPr>
        <w:t>Rank and number</w:t>
      </w:r>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in Gazette </w:t>
      </w:r>
      <w:r>
        <w:rPr>
          <w:szCs w:val="22"/>
        </w:rPr>
        <w:t>8 Nov 2013 p</w:t>
      </w:r>
      <w:r>
        <w:t>. 5013</w:t>
      </w:r>
      <w:r>
        <w:noBreakHyphen/>
        <w:t>14.]</w:t>
      </w:r>
    </w:p>
    <w:p>
      <w:pPr>
        <w:pStyle w:val="yHeading5"/>
        <w:pageBreakBefore/>
      </w:pPr>
      <w:bookmarkStart w:id="163" w:name="_Toc394917809"/>
      <w:bookmarkStart w:id="164" w:name="_Toc415493841"/>
      <w:bookmarkStart w:id="165" w:name="_Toc386528626"/>
      <w:r>
        <w:rPr>
          <w:rStyle w:val="CharSClsNo"/>
        </w:rPr>
        <w:t>7</w:t>
      </w:r>
      <w:r>
        <w:t>.</w:t>
      </w:r>
      <w:r>
        <w:tab/>
        <w:t>Certificate of analyst (r. 26I(3))</w:t>
      </w:r>
      <w:bookmarkEnd w:id="163"/>
      <w:bookmarkEnd w:id="164"/>
      <w:bookmarkEnd w:id="165"/>
    </w:p>
    <w:p>
      <w:pPr>
        <w:pStyle w:val="yMiscellaneousHeading"/>
      </w:pPr>
      <w:r>
        <w:rPr>
          <w:i/>
        </w:rPr>
        <w:t>Community Protection (Offender Reporting) Act 2004</w:t>
      </w:r>
    </w:p>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w:t>
      </w:r>
      <w:smartTag w:uri="urn:schemas-microsoft-com:office:smarttags" w:element="place">
        <w:smartTag w:uri="urn:schemas-microsoft-com:office:smarttags" w:element="City">
          <w:r>
            <w:rPr>
              <w:snapToGrid w:val="0"/>
            </w:rPr>
            <w:t>Perth</w:t>
          </w:r>
        </w:smartTag>
      </w:smartTag>
      <w:r>
        <w:rPr>
          <w:snapToGrid w:val="0"/>
        </w:rPr>
        <w:t xml:space="preserve">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r>
        <w:rPr>
          <w:i/>
          <w:snapToGrid w:val="0"/>
          <w:sz w:val="20"/>
        </w:rPr>
        <w:t>delete inapplicable</w:t>
      </w:r>
      <w:r>
        <w:rPr>
          <w:snapToGrid w:val="0"/>
        </w:rPr>
        <w:t>]</w:t>
      </w:r>
    </w:p>
    <w:p>
      <w:pPr>
        <w:pStyle w:val="yMiscellaneousBody"/>
        <w:tabs>
          <w:tab w:val="left" w:pos="709"/>
        </w:tabs>
        <w:rPr>
          <w:snapToGrid w:val="0"/>
        </w:rPr>
      </w:pPr>
      <w:r>
        <w:rPr>
          <w:snapToGrid w:val="0"/>
        </w:rPr>
        <w:tab/>
        <w:t>from*/by* ..................................................................................................</w:t>
      </w:r>
    </w:p>
    <w:p>
      <w:pPr>
        <w:pStyle w:val="yMiscellaneousBody"/>
        <w:tabs>
          <w:tab w:val="left" w:pos="709"/>
        </w:tabs>
        <w:rPr>
          <w:snapToGrid w:val="0"/>
        </w:rPr>
      </w:pPr>
      <w:r>
        <w:rPr>
          <w:snapToGrid w:val="0"/>
        </w:rPr>
        <w:tab/>
        <w:t>on ..............................................................................................................;</w:t>
      </w:r>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r>
        <w:rPr>
          <w:i/>
          <w:snapToGrid w:val="0"/>
          <w:sz w:val="20"/>
        </w:rPr>
        <w:t>insert details of method of analysis</w:t>
      </w:r>
      <w:r>
        <w:rPr>
          <w:snapToGrid w:val="0"/>
        </w:rPr>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709"/>
        </w:tabs>
        <w:rPr>
          <w:snapToGrid w:val="0"/>
        </w:rPr>
      </w:pPr>
      <w:r>
        <w:rPr>
          <w:snapToGrid w:val="0"/>
        </w:rPr>
        <w:tab/>
        <w:t>....................................................................................................................</w:t>
      </w:r>
    </w:p>
    <w:p>
      <w:pPr>
        <w:pStyle w:val="yMiscellaneousBody"/>
        <w:tabs>
          <w:tab w:val="left" w:pos="2552"/>
          <w:tab w:val="left" w:pos="5387"/>
        </w:tabs>
        <w:rPr>
          <w:snapToGrid w:val="0"/>
        </w:rPr>
      </w:pPr>
      <w:r>
        <w:rPr>
          <w:snapToGrid w:val="0"/>
        </w:rPr>
        <w:t>Certified on ......................................................... at ..............................................</w:t>
      </w:r>
      <w:r>
        <w:rPr>
          <w:snapToGrid w:val="0"/>
        </w:rPr>
        <w:br/>
      </w:r>
      <w:r>
        <w:rPr>
          <w:snapToGrid w:val="0"/>
        </w:rPr>
        <w:tab/>
        <w:t>[</w:t>
      </w:r>
      <w:r>
        <w:rPr>
          <w:i/>
          <w:snapToGrid w:val="0"/>
          <w:sz w:val="20"/>
        </w:rPr>
        <w:t>date</w:t>
      </w:r>
      <w:r>
        <w:rPr>
          <w:snapToGrid w:val="0"/>
        </w:rPr>
        <w:t>]</w:t>
      </w:r>
      <w:r>
        <w:rPr>
          <w:snapToGrid w:val="0"/>
        </w:rPr>
        <w:tab/>
        <w:t>[</w:t>
      </w:r>
      <w:r>
        <w:rPr>
          <w:i/>
          <w:snapToGrid w:val="0"/>
          <w:sz w:val="20"/>
        </w:rPr>
        <w:t>time</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in Gazette </w:t>
      </w:r>
      <w:r>
        <w:rPr>
          <w:szCs w:val="22"/>
        </w:rPr>
        <w:t>8 Nov 2013 p</w:t>
      </w:r>
      <w:r>
        <w:t>. 5014</w:t>
      </w:r>
      <w:r>
        <w:noBreakHyphen/>
        <w:t>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19"/>
          <w:tab w:val="left" w:pos="3114"/>
        </w:tabs>
        <w:sectPr>
          <w:headerReference w:type="even" r:id="rId23"/>
          <w:headerReference w:type="default" r:id="rId24"/>
          <w:headerReference w:type="first" r:id="rId25"/>
          <w:endnotePr>
            <w:numFmt w:val="decimal"/>
          </w:endnotePr>
          <w:pgSz w:w="11907" w:h="16840" w:code="9"/>
          <w:pgMar w:top="2376" w:right="2404" w:bottom="3544" w:left="2404" w:header="709" w:footer="3380" w:gutter="0"/>
          <w:cols w:space="720"/>
          <w:noEndnote/>
          <w:docGrid w:linePitch="326"/>
        </w:sectPr>
      </w:pPr>
    </w:p>
    <w:p>
      <w:pPr>
        <w:pStyle w:val="nHeading2"/>
      </w:pPr>
      <w:bookmarkStart w:id="167" w:name="_Toc386528627"/>
      <w:bookmarkStart w:id="168" w:name="_Toc394917755"/>
      <w:bookmarkStart w:id="169" w:name="_Toc394917810"/>
      <w:bookmarkStart w:id="170" w:name="_Toc415493793"/>
      <w:bookmarkStart w:id="171" w:name="_Toc415493842"/>
      <w:r>
        <w:t>Notes</w:t>
      </w:r>
      <w:bookmarkEnd w:id="167"/>
      <w:bookmarkEnd w:id="168"/>
      <w:bookmarkEnd w:id="169"/>
      <w:bookmarkEnd w:id="170"/>
      <w:bookmarkEnd w:id="171"/>
    </w:p>
    <w:p>
      <w:pPr>
        <w:pStyle w:val="nSubsection"/>
        <w:rPr>
          <w:snapToGrid w:val="0"/>
        </w:rPr>
      </w:pPr>
      <w:r>
        <w:rPr>
          <w:snapToGrid w:val="0"/>
          <w:vertAlign w:val="superscript"/>
        </w:rPr>
        <w:t>1</w:t>
      </w:r>
      <w:r>
        <w:rPr>
          <w:snapToGrid w:val="0"/>
        </w:rPr>
        <w:tab/>
        <w:t xml:space="preserve">This </w:t>
      </w:r>
      <w:del w:id="172" w:author="Master Repository Process" w:date="2021-07-31T20:03:00Z">
        <w:r>
          <w:rPr>
            <w:snapToGrid w:val="0"/>
          </w:rPr>
          <w:delText xml:space="preserve">reprint </w:delText>
        </w:r>
      </w:del>
      <w:r>
        <w:rPr>
          <w:snapToGrid w:val="0"/>
        </w:rPr>
        <w:t>is a compilation</w:t>
      </w:r>
      <w:del w:id="173" w:author="Master Repository Process" w:date="2021-07-31T20:03:00Z">
        <w:r>
          <w:rPr>
            <w:snapToGrid w:val="0"/>
          </w:rPr>
          <w:delText xml:space="preserve"> as at 11 April 2014</w:delText>
        </w:r>
      </w:del>
      <w:r>
        <w:rPr>
          <w:snapToGrid w:val="0"/>
        </w:rPr>
        <w:t xml:space="preserve">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74" w:name="_Toc394917811"/>
      <w:bookmarkStart w:id="175" w:name="_Toc415493843"/>
      <w:bookmarkStart w:id="176" w:name="_Toc386528628"/>
      <w:r>
        <w:t>Compilation table</w:t>
      </w:r>
      <w:bookmarkEnd w:id="174"/>
      <w:bookmarkEnd w:id="175"/>
      <w:bookmarkEnd w:id="17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Community Protection (Offender Reporting) Regulations 2004</w:t>
            </w:r>
          </w:p>
        </w:tc>
        <w:tc>
          <w:tcPr>
            <w:tcW w:w="1276" w:type="dxa"/>
            <w:tcBorders>
              <w:top w:val="single" w:sz="8" w:space="0" w:color="auto"/>
            </w:tcBorders>
          </w:tcPr>
          <w:p>
            <w:pPr>
              <w:pStyle w:val="nTable"/>
              <w:spacing w:after="40"/>
            </w:pPr>
            <w:r>
              <w:t>31 Dec 2004 p. 7025</w:t>
            </w:r>
            <w:r>
              <w:noBreakHyphen/>
              <w:t>39</w:t>
            </w:r>
          </w:p>
        </w:tc>
        <w:tc>
          <w:tcPr>
            <w:tcW w:w="2694" w:type="dxa"/>
            <w:tcBorders>
              <w:top w:val="single" w:sz="8" w:space="0" w:color="auto"/>
            </w:tcBorders>
          </w:tcPr>
          <w:p>
            <w:pPr>
              <w:pStyle w:val="nTable"/>
              <w:spacing w:after="40"/>
            </w:pPr>
            <w:r>
              <w:t>1 Feb 2005 (see r. 2)</w:t>
            </w:r>
          </w:p>
        </w:tc>
      </w:tr>
      <w:tr>
        <w:tc>
          <w:tcPr>
            <w:tcW w:w="3118" w:type="dxa"/>
          </w:tcPr>
          <w:p>
            <w:pPr>
              <w:pStyle w:val="nTable"/>
              <w:spacing w:after="40"/>
              <w:rPr>
                <w:i/>
                <w:noProof/>
                <w:snapToGrid w:val="0"/>
              </w:rPr>
            </w:pPr>
            <w:r>
              <w:rPr>
                <w:i/>
                <w:noProof/>
                <w:snapToGrid w:val="0"/>
              </w:rPr>
              <w:t>Community Protection (Offender Reporting) Amendment Regulations 2005</w:t>
            </w:r>
          </w:p>
        </w:tc>
        <w:tc>
          <w:tcPr>
            <w:tcW w:w="1276" w:type="dxa"/>
          </w:tcPr>
          <w:p>
            <w:pPr>
              <w:pStyle w:val="nTable"/>
              <w:spacing w:after="40"/>
            </w:pPr>
            <w:r>
              <w:t>9 Dec 2005 p. 5886</w:t>
            </w:r>
            <w:r>
              <w:noBreakHyphen/>
              <w:t>7</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(No. 2) 2005</w:t>
            </w:r>
          </w:p>
        </w:tc>
        <w:tc>
          <w:tcPr>
            <w:tcW w:w="1276" w:type="dxa"/>
          </w:tcPr>
          <w:p>
            <w:pPr>
              <w:pStyle w:val="nTable"/>
              <w:spacing w:after="40"/>
            </w:pPr>
            <w:r>
              <w:t>9 Dec 2005 p. 5887</w:t>
            </w:r>
            <w:r>
              <w:noBreakHyphen/>
              <w:t>91</w:t>
            </w:r>
          </w:p>
        </w:tc>
        <w:tc>
          <w:tcPr>
            <w:tcW w:w="2694" w:type="dxa"/>
          </w:tcPr>
          <w:p>
            <w:pPr>
              <w:pStyle w:val="nTable"/>
              <w:spacing w:after="40"/>
            </w:pPr>
            <w:r>
              <w:t>9 Dec 2005</w:t>
            </w:r>
          </w:p>
        </w:tc>
      </w:tr>
      <w:tr>
        <w:tc>
          <w:tcPr>
            <w:tcW w:w="3118" w:type="dxa"/>
          </w:tcPr>
          <w:p>
            <w:pPr>
              <w:pStyle w:val="nTable"/>
              <w:spacing w:after="40"/>
              <w:rPr>
                <w:i/>
                <w:noProof/>
                <w:snapToGrid w:val="0"/>
              </w:rPr>
            </w:pPr>
            <w:r>
              <w:rPr>
                <w:i/>
                <w:noProof/>
                <w:snapToGrid w:val="0"/>
              </w:rPr>
              <w:t>Community Protection (Offender Reporting) Amendment Regulations 2006</w:t>
            </w:r>
          </w:p>
        </w:tc>
        <w:tc>
          <w:tcPr>
            <w:tcW w:w="1276" w:type="dxa"/>
          </w:tcPr>
          <w:p>
            <w:pPr>
              <w:pStyle w:val="nTable"/>
              <w:spacing w:after="40"/>
            </w:pPr>
            <w:r>
              <w:t>8 Sep 2006 p. 3641</w:t>
            </w:r>
            <w:r>
              <w:noBreakHyphen/>
              <w:t>2</w:t>
            </w:r>
          </w:p>
        </w:tc>
        <w:tc>
          <w:tcPr>
            <w:tcW w:w="2694" w:type="dxa"/>
          </w:tcPr>
          <w:p>
            <w:pPr>
              <w:pStyle w:val="nTable"/>
              <w:spacing w:after="40"/>
            </w:pPr>
            <w:r>
              <w:t>8 Sep 2006</w:t>
            </w:r>
          </w:p>
        </w:tc>
      </w:tr>
      <w:tr>
        <w:tc>
          <w:tcPr>
            <w:tcW w:w="3118" w:type="dxa"/>
          </w:tcPr>
          <w:p>
            <w:pPr>
              <w:pStyle w:val="nTable"/>
              <w:spacing w:after="40"/>
              <w:rPr>
                <w:i/>
                <w:noProof/>
                <w:snapToGrid w:val="0"/>
              </w:rPr>
            </w:pPr>
            <w:r>
              <w:rPr>
                <w:i/>
                <w:noProof/>
                <w:snapToGrid w:val="0"/>
              </w:rPr>
              <w:t>Community Protection (Offender Reporting) Amendment Regulations 2007</w:t>
            </w:r>
          </w:p>
        </w:tc>
        <w:tc>
          <w:tcPr>
            <w:tcW w:w="1276" w:type="dxa"/>
          </w:tcPr>
          <w:p>
            <w:pPr>
              <w:pStyle w:val="nTable"/>
              <w:spacing w:after="40"/>
            </w:pPr>
            <w:r>
              <w:t>1 Jun 2007 p. 2525</w:t>
            </w:r>
            <w:r>
              <w:noBreakHyphen/>
              <w:t>8</w:t>
            </w:r>
          </w:p>
        </w:tc>
        <w:tc>
          <w:tcPr>
            <w:tcW w:w="2694" w:type="dxa"/>
          </w:tcPr>
          <w:p>
            <w:pPr>
              <w:pStyle w:val="nTable"/>
              <w:spacing w:after="40"/>
            </w:pPr>
            <w:r>
              <w:t>1 Jun 2007</w:t>
            </w:r>
          </w:p>
        </w:tc>
      </w:tr>
      <w:tr>
        <w:tc>
          <w:tcPr>
            <w:tcW w:w="3118" w:type="dxa"/>
          </w:tcPr>
          <w:p>
            <w:pPr>
              <w:pStyle w:val="nTable"/>
              <w:spacing w:after="40"/>
              <w:rPr>
                <w:i/>
                <w:noProof/>
                <w:snapToGrid w:val="0"/>
              </w:rPr>
            </w:pPr>
            <w:r>
              <w:rPr>
                <w:i/>
                <w:noProof/>
                <w:snapToGrid w:val="0"/>
              </w:rPr>
              <w:t>Community Protection (Offender Reporting) Amendment Regulations (No. 2) 2007</w:t>
            </w:r>
          </w:p>
        </w:tc>
        <w:tc>
          <w:tcPr>
            <w:tcW w:w="1276" w:type="dxa"/>
          </w:tcPr>
          <w:p>
            <w:pPr>
              <w:pStyle w:val="nTable"/>
              <w:spacing w:after="40"/>
            </w:pPr>
            <w:r>
              <w:t>22 Jun 2007 p. 2862</w:t>
            </w:r>
          </w:p>
        </w:tc>
        <w:tc>
          <w:tcPr>
            <w:tcW w:w="2694" w:type="dxa"/>
          </w:tcPr>
          <w:p>
            <w:pPr>
              <w:pStyle w:val="nTable"/>
              <w:spacing w:after="40"/>
            </w:pPr>
            <w:r>
              <w:t>22 Jun 2007</w:t>
            </w:r>
          </w:p>
        </w:tc>
      </w:tr>
      <w:tr>
        <w:trPr>
          <w:cantSplit/>
        </w:trPr>
        <w:tc>
          <w:tcPr>
            <w:tcW w:w="7088" w:type="dxa"/>
            <w:gridSpan w:val="3"/>
          </w:tcPr>
          <w:p>
            <w:pPr>
              <w:pStyle w:val="nTable"/>
              <w:spacing w:after="40"/>
            </w:pPr>
            <w:r>
              <w:rPr>
                <w:b/>
                <w:bCs/>
              </w:rPr>
              <w:t xml:space="preserve">Reprint 1:  The </w:t>
            </w:r>
            <w:r>
              <w:rPr>
                <w:b/>
                <w:bCs/>
                <w:i/>
                <w:noProof/>
                <w:snapToGrid w:val="0"/>
              </w:rPr>
              <w:t xml:space="preserve">Community Protection (Offender Reporting) Regulations 2004 </w:t>
            </w:r>
            <w:r>
              <w:rPr>
                <w:b/>
                <w:bCs/>
              </w:rPr>
              <w:t>as at 21 Sep 2007</w:t>
            </w:r>
            <w:r>
              <w:t xml:space="preserve"> (includes amendments listed above)</w:t>
            </w:r>
          </w:p>
        </w:tc>
      </w:tr>
      <w:tr>
        <w:tc>
          <w:tcPr>
            <w:tcW w:w="3118" w:type="dxa"/>
          </w:tcPr>
          <w:p>
            <w:pPr>
              <w:pStyle w:val="nTable"/>
              <w:spacing w:after="40"/>
              <w:rPr>
                <w:i/>
                <w:noProof/>
                <w:snapToGrid w:val="0"/>
              </w:rPr>
            </w:pPr>
            <w:r>
              <w:rPr>
                <w:i/>
                <w:noProof/>
                <w:snapToGrid w:val="0"/>
              </w:rPr>
              <w:t>Community Protection (Offender Reporting) Amendment Regulations 2008</w:t>
            </w:r>
          </w:p>
        </w:tc>
        <w:tc>
          <w:tcPr>
            <w:tcW w:w="1276" w:type="dxa"/>
          </w:tcPr>
          <w:p>
            <w:pPr>
              <w:pStyle w:val="nTable"/>
              <w:spacing w:after="40"/>
            </w:pPr>
            <w:r>
              <w:t>28 Mar 2008 p. 913-14</w:t>
            </w:r>
          </w:p>
        </w:tc>
        <w:tc>
          <w:tcPr>
            <w:tcW w:w="2694" w:type="dxa"/>
          </w:tcPr>
          <w:p>
            <w:pPr>
              <w:pStyle w:val="nTable"/>
              <w:spacing w:after="40"/>
            </w:pPr>
            <w:r>
              <w:t>r. 1 and 2: 28 Mar 2008 (see r. 2(a));</w:t>
            </w:r>
            <w:r>
              <w:br/>
              <w:t>Regulations other than r. 1 and 2: 29 Mar 2008 (see r. 2(b))</w:t>
            </w:r>
          </w:p>
        </w:tc>
      </w:tr>
      <w:tr>
        <w:tc>
          <w:tcPr>
            <w:tcW w:w="3118" w:type="dxa"/>
          </w:tcPr>
          <w:p>
            <w:pPr>
              <w:pStyle w:val="nTable"/>
              <w:spacing w:after="40"/>
              <w:rPr>
                <w:i/>
                <w:noProof/>
                <w:snapToGrid w:val="0"/>
              </w:rPr>
            </w:pPr>
            <w:r>
              <w:rPr>
                <w:i/>
                <w:noProof/>
                <w:snapToGrid w:val="0"/>
              </w:rPr>
              <w:t>Community Protection (Offender Reporting) Amendment Regulations (No. 2) 2008</w:t>
            </w:r>
          </w:p>
        </w:tc>
        <w:tc>
          <w:tcPr>
            <w:tcW w:w="1276" w:type="dxa"/>
          </w:tcPr>
          <w:p>
            <w:pPr>
              <w:pStyle w:val="nTable"/>
              <w:spacing w:after="40"/>
            </w:pPr>
            <w:r>
              <w:t>14 Nov 2008 p. 4878</w:t>
            </w:r>
          </w:p>
        </w:tc>
        <w:tc>
          <w:tcPr>
            <w:tcW w:w="2694" w:type="dxa"/>
          </w:tcPr>
          <w:p>
            <w:pPr>
              <w:pStyle w:val="nTable"/>
              <w:spacing w:after="40"/>
            </w:pPr>
            <w:r>
              <w:t>r. 1 and 2: 14 Nov 2008 (see r. 2(a));</w:t>
            </w:r>
            <w:r>
              <w:br/>
              <w:t>Regulations other than r. 1 and 2: 15 Nov 2008 (see r. 2(b))</w:t>
            </w:r>
          </w:p>
        </w:tc>
      </w:tr>
      <w:tr>
        <w:tc>
          <w:tcPr>
            <w:tcW w:w="3118" w:type="dxa"/>
          </w:tcPr>
          <w:p>
            <w:pPr>
              <w:pStyle w:val="nTable"/>
              <w:spacing w:after="40"/>
              <w:rPr>
                <w:i/>
                <w:noProof/>
                <w:snapToGrid w:val="0"/>
              </w:rPr>
            </w:pPr>
            <w:r>
              <w:rPr>
                <w:i/>
                <w:noProof/>
                <w:snapToGrid w:val="0"/>
              </w:rPr>
              <w:t>Community Protection (Offender Reporting) Amendment Regulations (No. 3) 2008</w:t>
            </w:r>
          </w:p>
        </w:tc>
        <w:tc>
          <w:tcPr>
            <w:tcW w:w="1276" w:type="dxa"/>
          </w:tcPr>
          <w:p>
            <w:pPr>
              <w:pStyle w:val="nTable"/>
              <w:spacing w:after="40"/>
            </w:pPr>
            <w:r>
              <w:t>25 Nov 2008 p. 4989-90</w:t>
            </w:r>
          </w:p>
        </w:tc>
        <w:tc>
          <w:tcPr>
            <w:tcW w:w="2694" w:type="dxa"/>
          </w:tcPr>
          <w:p>
            <w:pPr>
              <w:pStyle w:val="nTable"/>
              <w:spacing w:after="40"/>
            </w:pPr>
            <w:r>
              <w:t>r. 1 and 2: 25 Nov 2008 (see r. 2(a));</w:t>
            </w:r>
            <w:r>
              <w:br/>
              <w:t>Regulations other than r. 1 and 2: 26 Nov 2008 (see r. 2(b))</w:t>
            </w:r>
          </w:p>
        </w:tc>
      </w:tr>
      <w:tr>
        <w:trPr>
          <w:cantSplit/>
        </w:trPr>
        <w:tc>
          <w:tcPr>
            <w:tcW w:w="3118" w:type="dxa"/>
          </w:tcPr>
          <w:p>
            <w:pPr>
              <w:pStyle w:val="nTable"/>
              <w:spacing w:after="40"/>
              <w:rPr>
                <w:i/>
                <w:noProof/>
                <w:snapToGrid w:val="0"/>
              </w:rPr>
            </w:pPr>
            <w:r>
              <w:rPr>
                <w:i/>
                <w:noProof/>
                <w:snapToGrid w:val="0"/>
              </w:rPr>
              <w:t>Community Protection (Offender Reporting) Amendment Regulations 2009</w:t>
            </w:r>
          </w:p>
        </w:tc>
        <w:tc>
          <w:tcPr>
            <w:tcW w:w="1276" w:type="dxa"/>
          </w:tcPr>
          <w:p>
            <w:pPr>
              <w:pStyle w:val="nTable"/>
              <w:spacing w:after="40"/>
            </w:pPr>
            <w:r>
              <w:t>20 Feb 2009 p. 353-4</w:t>
            </w:r>
          </w:p>
        </w:tc>
        <w:tc>
          <w:tcPr>
            <w:tcW w:w="2694" w:type="dxa"/>
          </w:tcPr>
          <w:p>
            <w:pPr>
              <w:pStyle w:val="nTable"/>
              <w:spacing w:after="40"/>
            </w:pPr>
            <w:r>
              <w:t>r. 1 and 2: 20 Feb 2009 (see r. 2(a));</w:t>
            </w:r>
            <w:r>
              <w:br/>
              <w:t>Regulations other than r. 1 and 2: 21 Feb 2009 (see r. 2(b))</w:t>
            </w:r>
          </w:p>
        </w:tc>
      </w:tr>
      <w:tr>
        <w:trPr>
          <w:cantSplit/>
        </w:trPr>
        <w:tc>
          <w:tcPr>
            <w:tcW w:w="7088" w:type="dxa"/>
            <w:gridSpan w:val="3"/>
          </w:tcPr>
          <w:p>
            <w:pPr>
              <w:pStyle w:val="nTable"/>
              <w:spacing w:after="40"/>
            </w:pPr>
            <w:r>
              <w:rPr>
                <w:b/>
                <w:bCs/>
              </w:rPr>
              <w:t xml:space="preserve">Reprint 2:  The </w:t>
            </w:r>
            <w:r>
              <w:rPr>
                <w:b/>
                <w:bCs/>
                <w:i/>
                <w:noProof/>
                <w:snapToGrid w:val="0"/>
              </w:rPr>
              <w:t xml:space="preserve">Community Protection (Offender Reporting) Regulations 2004 </w:t>
            </w:r>
            <w:r>
              <w:rPr>
                <w:b/>
                <w:bCs/>
              </w:rPr>
              <w:t>as at 3 Jul 2009</w:t>
            </w:r>
            <w:r>
              <w:t xml:space="preserve"> (includes amendments listed above)</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Community Protection (Offender Reporting) Amendment Regulations 2010</w:t>
            </w:r>
          </w:p>
        </w:tc>
        <w:tc>
          <w:tcPr>
            <w:tcW w:w="1276" w:type="dxa"/>
          </w:tcPr>
          <w:p>
            <w:pPr>
              <w:pStyle w:val="nTable"/>
              <w:spacing w:after="40"/>
              <w:rPr>
                <w:rFonts w:ascii="Times" w:hAnsi="Times"/>
              </w:rPr>
            </w:pPr>
            <w:r>
              <w:rPr>
                <w:rFonts w:ascii="Times" w:hAnsi="Times"/>
              </w:rPr>
              <w:t>21 Jan 2011 p. 157-8</w:t>
            </w:r>
          </w:p>
        </w:tc>
        <w:tc>
          <w:tcPr>
            <w:tcW w:w="2694" w:type="dxa"/>
          </w:tcPr>
          <w:p>
            <w:pPr>
              <w:pStyle w:val="nTable"/>
              <w:spacing w:after="40"/>
              <w:rPr>
                <w:rFonts w:ascii="Times" w:hAnsi="Times"/>
              </w:rPr>
            </w:pPr>
            <w:r>
              <w:rPr>
                <w:rFonts w:ascii="Times" w:hAnsi="Times"/>
              </w:rPr>
              <w:t>r. 1 and 2: 21 Jan 2011 (see r. 2(a));</w:t>
            </w:r>
            <w:r>
              <w:rPr>
                <w:rFonts w:ascii="Times" w:hAnsi="Times"/>
              </w:rPr>
              <w:br/>
              <w:t>Regulations other than r. 1 and 2: 22 Jan 2011 (see r. 2(b))</w:t>
            </w:r>
          </w:p>
        </w:tc>
      </w:tr>
      <w:tr>
        <w:trPr>
          <w:cantSplit/>
        </w:trPr>
        <w:tc>
          <w:tcPr>
            <w:tcW w:w="3118" w:type="dxa"/>
          </w:tcPr>
          <w:p>
            <w:pPr>
              <w:pStyle w:val="nTable"/>
              <w:spacing w:after="40"/>
              <w:rPr>
                <w:rFonts w:ascii="Times" w:hAnsi="Times"/>
                <w:noProof/>
                <w:snapToGrid w:val="0"/>
              </w:rPr>
            </w:pPr>
            <w:r>
              <w:rPr>
                <w:rFonts w:ascii="Times" w:hAnsi="Times"/>
                <w:i/>
                <w:noProof/>
                <w:snapToGrid w:val="0"/>
              </w:rPr>
              <w:t>Community Protection (Offender Reporting) Amendment Regulations 2011</w:t>
            </w:r>
            <w:r>
              <w:rPr>
                <w:rFonts w:ascii="Times" w:hAnsi="Times"/>
                <w:noProof/>
                <w:snapToGrid w:val="0"/>
              </w:rPr>
              <w:t xml:space="preserve"> </w:t>
            </w:r>
          </w:p>
        </w:tc>
        <w:tc>
          <w:tcPr>
            <w:tcW w:w="1276" w:type="dxa"/>
          </w:tcPr>
          <w:p>
            <w:pPr>
              <w:pStyle w:val="nTable"/>
              <w:spacing w:after="40"/>
              <w:rPr>
                <w:rFonts w:ascii="Times" w:hAnsi="Times"/>
              </w:rPr>
            </w:pPr>
            <w:r>
              <w:rPr>
                <w:rFonts w:ascii="Times" w:hAnsi="Times"/>
              </w:rPr>
              <w:t>1 Jul 2011 p. 2746</w:t>
            </w:r>
            <w:r>
              <w:rPr>
                <w:rFonts w:ascii="Times" w:hAnsi="Times"/>
              </w:rPr>
              <w:noBreakHyphen/>
              <w:t xml:space="preserve">7 </w:t>
            </w:r>
          </w:p>
        </w:tc>
        <w:tc>
          <w:tcPr>
            <w:tcW w:w="2694" w:type="dxa"/>
          </w:tcPr>
          <w:p>
            <w:pPr>
              <w:pStyle w:val="nTable"/>
              <w:spacing w:after="40"/>
              <w:rPr>
                <w:rFonts w:ascii="Times" w:hAnsi="Times"/>
              </w:rPr>
            </w:pPr>
            <w:r>
              <w:rPr>
                <w:rFonts w:ascii="Times" w:hAnsi="Times"/>
                <w:snapToGrid w:val="0"/>
              </w:rPr>
              <w:t>r. 1 and 2: 1 Jul 2011 (see r. 2(a));</w:t>
            </w:r>
            <w:r>
              <w:rPr>
                <w:rFonts w:ascii="Times" w:hAnsi="Times"/>
                <w:snapToGrid w:val="0"/>
              </w:rPr>
              <w:br/>
              <w:t>Regulations other than r. 1 and 2: 2 Jul 2011 (see r. 2(b))</w:t>
            </w:r>
          </w:p>
        </w:tc>
      </w:tr>
      <w:tr>
        <w:trPr>
          <w:cantSplit/>
        </w:trPr>
        <w:tc>
          <w:tcPr>
            <w:tcW w:w="3118" w:type="dxa"/>
          </w:tcPr>
          <w:p>
            <w:pPr>
              <w:pStyle w:val="nTable"/>
              <w:spacing w:after="40"/>
              <w:rPr>
                <w:rFonts w:ascii="Times" w:hAnsi="Times"/>
                <w:i/>
                <w:noProof/>
                <w:snapToGrid w:val="0"/>
              </w:rPr>
            </w:pPr>
            <w:r>
              <w:rPr>
                <w:rFonts w:ascii="Times" w:hAnsi="Times"/>
                <w:i/>
                <w:noProof/>
                <w:snapToGrid w:val="0"/>
              </w:rPr>
              <w:t xml:space="preserve">Community Protection (Offender Reporting) Amendment Regulations 2012 </w:t>
            </w:r>
          </w:p>
        </w:tc>
        <w:tc>
          <w:tcPr>
            <w:tcW w:w="1276" w:type="dxa"/>
          </w:tcPr>
          <w:p>
            <w:pPr>
              <w:pStyle w:val="nTable"/>
              <w:spacing w:after="40"/>
              <w:rPr>
                <w:rFonts w:ascii="Times" w:hAnsi="Times"/>
              </w:rPr>
            </w:pPr>
            <w:r>
              <w:rPr>
                <w:rFonts w:ascii="Times" w:hAnsi="Times"/>
              </w:rPr>
              <w:t>30 Nov 2012 p. 5802</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cantSplit/>
        </w:trPr>
        <w:tc>
          <w:tcPr>
            <w:tcW w:w="3118" w:type="dxa"/>
            <w:shd w:val="clear" w:color="auto" w:fill="auto"/>
          </w:tcPr>
          <w:p>
            <w:pPr>
              <w:pStyle w:val="nTable"/>
              <w:spacing w:after="40"/>
              <w:rPr>
                <w:rFonts w:ascii="Times" w:hAnsi="Times"/>
                <w:i/>
                <w:noProof/>
                <w:snapToGrid w:val="0"/>
              </w:rPr>
            </w:pPr>
            <w:r>
              <w:rPr>
                <w:i/>
              </w:rPr>
              <w:t>Community Protection (Offender Reporting) Amendment Regulations 2013</w:t>
            </w:r>
          </w:p>
        </w:tc>
        <w:tc>
          <w:tcPr>
            <w:tcW w:w="1276" w:type="dxa"/>
            <w:shd w:val="clear" w:color="auto" w:fill="auto"/>
          </w:tcPr>
          <w:p>
            <w:pPr>
              <w:pStyle w:val="nTable"/>
              <w:spacing w:after="40"/>
              <w:rPr>
                <w:rFonts w:ascii="Times" w:hAnsi="Times"/>
              </w:rPr>
            </w:pPr>
            <w:r>
              <w:rPr>
                <w:rFonts w:ascii="Times" w:hAnsi="Times"/>
              </w:rPr>
              <w:t>8 Nov 2013 p. 4995</w:t>
            </w:r>
            <w:r>
              <w:rPr>
                <w:rFonts w:ascii="Times" w:hAnsi="Times"/>
              </w:rPr>
              <w:noBreakHyphen/>
              <w:t>5015</w:t>
            </w:r>
          </w:p>
        </w:tc>
        <w:tc>
          <w:tcPr>
            <w:tcW w:w="2694" w:type="dxa"/>
            <w:shd w:val="clear" w:color="auto" w:fill="auto"/>
          </w:tcPr>
          <w:p>
            <w:pPr>
              <w:pStyle w:val="nTable"/>
              <w:spacing w:after="40"/>
              <w:rPr>
                <w:rFonts w:ascii="Times" w:hAnsi="Times"/>
                <w:snapToGrid w:val="0"/>
              </w:rPr>
            </w:pPr>
            <w:r>
              <w:rPr>
                <w:rFonts w:ascii="Times" w:hAnsi="Times"/>
                <w:snapToGrid w:val="0"/>
              </w:rPr>
              <w:t>r. 1 and 2: 8 Nov 2013 (see r. 2(a));</w:t>
            </w:r>
            <w:r>
              <w:rPr>
                <w:rFonts w:ascii="Times" w:hAnsi="Times"/>
                <w:snapToGrid w:val="0"/>
              </w:rPr>
              <w:br/>
              <w:t xml:space="preserve">Regulations other than r. 1 and 2: 9 Nov 2013 (see r. 2(b) and </w:t>
            </w:r>
            <w:r>
              <w:rPr>
                <w:rFonts w:ascii="Times" w:hAnsi="Times"/>
                <w:i/>
                <w:snapToGrid w:val="0"/>
              </w:rPr>
              <w:t xml:space="preserve">Gazette </w:t>
            </w:r>
            <w:r>
              <w:rPr>
                <w:rFonts w:ascii="Times" w:hAnsi="Times"/>
                <w:snapToGrid w:val="0"/>
              </w:rPr>
              <w:t>8 Nov 2013 p. 4969)</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3:  The </w:t>
            </w:r>
            <w:r>
              <w:rPr>
                <w:b/>
                <w:bCs/>
                <w:i/>
                <w:noProof/>
                <w:snapToGrid w:val="0"/>
              </w:rPr>
              <w:t xml:space="preserve">Community Protection (Offender Reporting) Regulations 2004 </w:t>
            </w:r>
            <w:r>
              <w:rPr>
                <w:b/>
                <w:bCs/>
              </w:rPr>
              <w:t>as at 11 Apr 2014</w:t>
            </w:r>
            <w:r>
              <w:t xml:space="preserve"> (includes amendments listed above)</w:t>
            </w:r>
          </w:p>
        </w:tc>
      </w:tr>
      <w:tr>
        <w:trPr>
          <w:cantSplit/>
          <w:ins w:id="177" w:author="Master Repository Process" w:date="2021-07-31T20:03:00Z"/>
        </w:trPr>
        <w:tc>
          <w:tcPr>
            <w:tcW w:w="3118" w:type="dxa"/>
            <w:tcBorders>
              <w:bottom w:val="single" w:sz="4" w:space="0" w:color="auto"/>
            </w:tcBorders>
            <w:shd w:val="clear" w:color="auto" w:fill="auto"/>
          </w:tcPr>
          <w:p>
            <w:pPr>
              <w:pStyle w:val="nTable"/>
              <w:spacing w:after="40"/>
              <w:rPr>
                <w:ins w:id="178" w:author="Master Repository Process" w:date="2021-07-31T20:03:00Z"/>
                <w:rFonts w:ascii="Times" w:hAnsi="Times"/>
                <w:i/>
                <w:noProof/>
                <w:snapToGrid w:val="0"/>
              </w:rPr>
            </w:pPr>
            <w:ins w:id="179" w:author="Master Repository Process" w:date="2021-07-31T20:03:00Z">
              <w:r>
                <w:rPr>
                  <w:i/>
                </w:rPr>
                <w:t>Community Protection (Offender Reporting) Amendment Regulations 2014</w:t>
              </w:r>
            </w:ins>
          </w:p>
        </w:tc>
        <w:tc>
          <w:tcPr>
            <w:tcW w:w="1276" w:type="dxa"/>
            <w:tcBorders>
              <w:bottom w:val="single" w:sz="4" w:space="0" w:color="auto"/>
            </w:tcBorders>
            <w:shd w:val="clear" w:color="auto" w:fill="auto"/>
          </w:tcPr>
          <w:p>
            <w:pPr>
              <w:pStyle w:val="nTable"/>
              <w:spacing w:after="40"/>
              <w:rPr>
                <w:ins w:id="180" w:author="Master Repository Process" w:date="2021-07-31T20:03:00Z"/>
                <w:rFonts w:ascii="Times" w:hAnsi="Times"/>
              </w:rPr>
            </w:pPr>
            <w:ins w:id="181" w:author="Master Repository Process" w:date="2021-07-31T20:03:00Z">
              <w:r>
                <w:rPr>
                  <w:rFonts w:ascii="Times" w:hAnsi="Times"/>
                </w:rPr>
                <w:t>5 Aug 2014 p. 2830</w:t>
              </w:r>
            </w:ins>
          </w:p>
        </w:tc>
        <w:tc>
          <w:tcPr>
            <w:tcW w:w="2694" w:type="dxa"/>
            <w:tcBorders>
              <w:bottom w:val="single" w:sz="4" w:space="0" w:color="auto"/>
            </w:tcBorders>
            <w:shd w:val="clear" w:color="auto" w:fill="auto"/>
          </w:tcPr>
          <w:p>
            <w:pPr>
              <w:pStyle w:val="nTable"/>
              <w:spacing w:after="40"/>
              <w:rPr>
                <w:ins w:id="182" w:author="Master Repository Process" w:date="2021-07-31T20:03:00Z"/>
                <w:rFonts w:ascii="Times" w:hAnsi="Times"/>
                <w:snapToGrid w:val="0"/>
              </w:rPr>
            </w:pPr>
            <w:ins w:id="183" w:author="Master Repository Process" w:date="2021-07-31T20:03:00Z">
              <w:r>
                <w:rPr>
                  <w:rFonts w:ascii="Times" w:hAnsi="Times"/>
                  <w:snapToGrid w:val="0"/>
                </w:rPr>
                <w:t>r. 1 and 2: 5 Aug 2014 (see r. 2(a));</w:t>
              </w:r>
              <w:r>
                <w:rPr>
                  <w:rFonts w:ascii="Times" w:hAnsi="Times"/>
                  <w:snapToGrid w:val="0"/>
                </w:rPr>
                <w:br/>
                <w:t>Regulations other than r. 1 and 2: 6 Aug 2014 (see r. 2(b))</w:t>
              </w:r>
            </w:ins>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rPr>
        <w:t>Criminal Procedure and Appeals (Consequential and Other Provisions) Act 2004</w:t>
      </w:r>
      <w:r>
        <w:rPr>
          <w:iCs/>
          <w:snapToGrid w:val="0"/>
        </w:rPr>
        <w:t xml:space="preserve"> s. 82. The reference was changed under the </w:t>
      </w:r>
      <w:r>
        <w:rPr>
          <w:i/>
          <w:snapToGrid w:val="0"/>
        </w:rPr>
        <w:t>Reprints Act 1984</w:t>
      </w:r>
      <w:r>
        <w:rPr>
          <w:iCs/>
          <w:snapToGrid w:val="0"/>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6" w:name="Schedule"/>
    <w:bookmarkEnd w:id="1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5" w:name="Coversheet"/>
    <w:bookmarkEnd w:id="1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3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1A44E5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AB5671A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914120551"/>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 w:name="WAFER_20150914120551" w:val="ResetPageSize,UpdateArrangement,UpdateNTable"/>
    <w:docVar w:name="WAFER_20150914120551_GUID" w:val="bf08469b-ee5b-4cf6-bbaa-bcaa96250d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8A9AC332-0AB0-4B68-8AFD-1F44475C9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2AACC8-8AA5-4B82-BC48-1170F297B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7823</Words>
  <Characters>43423</Characters>
  <Application>Microsoft Office Word</Application>
  <DocSecurity>0</DocSecurity>
  <Lines>1356</Lines>
  <Paragraphs>813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03-a0-01 - 03-b0-02</dc:title>
  <dc:subject/>
  <dc:creator/>
  <cp:keywords/>
  <dc:description/>
  <cp:lastModifiedBy>Master Repository Process</cp:lastModifiedBy>
  <cp:revision>2</cp:revision>
  <cp:lastPrinted>2014-04-04T05:23:00Z</cp:lastPrinted>
  <dcterms:created xsi:type="dcterms:W3CDTF">2021-07-31T12:03:00Z</dcterms:created>
  <dcterms:modified xsi:type="dcterms:W3CDTF">2021-07-31T12:03:00Z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20140806</vt:lpwstr>
  </property>
  <property fmtid="{D5CDD505-2E9C-101B-9397-08002B2CF9AE}" pid="4" name="OwlsUID">
    <vt:i4>37311</vt:i4>
  </property>
  <property fmtid="{D5CDD505-2E9C-101B-9397-08002B2CF9AE}" pid="5" name="ReprintNo">
    <vt:lpwstr>3</vt:lpwstr>
  </property>
  <property fmtid="{D5CDD505-2E9C-101B-9397-08002B2CF9AE}" pid="6" name="ReprintedAsAt">
    <vt:filetime>2014-04-10T16:00:00Z</vt:filetime>
  </property>
  <property fmtid="{D5CDD505-2E9C-101B-9397-08002B2CF9AE}" pid="7" name="DocumentType">
    <vt:lpwstr>Reg</vt:lpwstr>
  </property>
  <property fmtid="{D5CDD505-2E9C-101B-9397-08002B2CF9AE}" pid="8" name="FromSuffix">
    <vt:lpwstr>03-a0-01</vt:lpwstr>
  </property>
  <property fmtid="{D5CDD505-2E9C-101B-9397-08002B2CF9AE}" pid="9" name="FromAsAtDate">
    <vt:lpwstr>11 Apr 2014</vt:lpwstr>
  </property>
  <property fmtid="{D5CDD505-2E9C-101B-9397-08002B2CF9AE}" pid="10" name="ToSuffix">
    <vt:lpwstr>03-b0-02</vt:lpwstr>
  </property>
  <property fmtid="{D5CDD505-2E9C-101B-9397-08002B2CF9AE}" pid="11" name="ToAsAtDate">
    <vt:lpwstr>06 Aug 2014</vt:lpwstr>
  </property>
</Properties>
</file>