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2013</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29 Aug 2014</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5:00:00Z"/>
        </w:trPr>
        <w:tc>
          <w:tcPr>
            <w:tcW w:w="2434" w:type="dxa"/>
            <w:vMerge w:val="restart"/>
          </w:tcPr>
          <w:p>
            <w:pPr>
              <w:rPr>
                <w:del w:id="1" w:author="svcMRProcess" w:date="2018-09-09T15:00:00Z"/>
              </w:rPr>
            </w:pPr>
          </w:p>
        </w:tc>
        <w:tc>
          <w:tcPr>
            <w:tcW w:w="2434" w:type="dxa"/>
            <w:vMerge w:val="restart"/>
          </w:tcPr>
          <w:p>
            <w:pPr>
              <w:jc w:val="center"/>
              <w:rPr>
                <w:del w:id="2" w:author="svcMRProcess" w:date="2018-09-09T15:00:00Z"/>
              </w:rPr>
            </w:pPr>
            <w:del w:id="3" w:author="svcMRProcess" w:date="2018-09-09T15:0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15:00:00Z"/>
              </w:rPr>
            </w:pPr>
            <w:del w:id="5" w:author="svcMRProcess" w:date="2018-09-09T15:0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15:00:00Z"/>
        </w:trPr>
        <w:tc>
          <w:tcPr>
            <w:tcW w:w="2434" w:type="dxa"/>
            <w:vMerge/>
          </w:tcPr>
          <w:p>
            <w:pPr>
              <w:rPr>
                <w:del w:id="7" w:author="svcMRProcess" w:date="2018-09-09T15:00:00Z"/>
              </w:rPr>
            </w:pPr>
          </w:p>
        </w:tc>
        <w:tc>
          <w:tcPr>
            <w:tcW w:w="2434" w:type="dxa"/>
            <w:vMerge/>
          </w:tcPr>
          <w:p>
            <w:pPr>
              <w:jc w:val="center"/>
              <w:rPr>
                <w:del w:id="8" w:author="svcMRProcess" w:date="2018-09-09T15:00:00Z"/>
              </w:rPr>
            </w:pPr>
          </w:p>
        </w:tc>
        <w:tc>
          <w:tcPr>
            <w:tcW w:w="2434" w:type="dxa"/>
          </w:tcPr>
          <w:p>
            <w:pPr>
              <w:keepNext/>
              <w:rPr>
                <w:del w:id="9" w:author="svcMRProcess" w:date="2018-09-09T15:00:00Z"/>
                <w:b/>
                <w:sz w:val="22"/>
              </w:rPr>
            </w:pPr>
            <w:del w:id="10" w:author="svcMRProcess" w:date="2018-09-09T15:00:00Z">
              <w:r>
                <w:rPr>
                  <w:b/>
                  <w:sz w:val="22"/>
                </w:rPr>
                <w:delText>at 15</w:delText>
              </w:r>
              <w:r>
                <w:rPr>
                  <w:b/>
                  <w:snapToGrid w:val="0"/>
                  <w:sz w:val="22"/>
                </w:rPr>
                <w:delText xml:space="preserve"> November 2013</w:delText>
              </w:r>
            </w:del>
          </w:p>
        </w:tc>
      </w:tr>
    </w:tbl>
    <w:p>
      <w:pPr>
        <w:pStyle w:val="WA"/>
        <w:spacing w:before="120"/>
      </w:pPr>
      <w:r>
        <w:t>Western Australia</w:t>
      </w:r>
    </w:p>
    <w:p>
      <w:pPr>
        <w:pStyle w:val="NameofActReg"/>
        <w:spacing w:before="1000" w:after="1200"/>
      </w:pPr>
      <w:r>
        <w:t xml:space="preserve">Travel Agents Act 1985 </w:t>
      </w:r>
    </w:p>
    <w:p>
      <w:pPr>
        <w:pStyle w:val="LongTitle"/>
        <w:rPr>
          <w:snapToGrid w:val="0"/>
        </w:rPr>
      </w:pPr>
      <w:r>
        <w:rPr>
          <w:snapToGrid w:val="0"/>
        </w:rPr>
        <w:t>A</w:t>
      </w:r>
      <w:bookmarkStart w:id="11" w:name="_GoBack"/>
      <w:bookmarkEnd w:id="11"/>
      <w:r>
        <w:rPr>
          <w:snapToGrid w:val="0"/>
        </w:rPr>
        <w:t xml:space="preserve">n Act to provide for the licensing of travel agents and generally for the regulation of their operations; and for matters connected therewith or incidental thereto. </w:t>
      </w:r>
    </w:p>
    <w:p>
      <w:pPr>
        <w:pStyle w:val="Heading2"/>
      </w:pPr>
      <w:bookmarkStart w:id="12" w:name="_Toc377568110"/>
      <w:bookmarkStart w:id="13" w:name="_Toc397335034"/>
      <w:bookmarkStart w:id="14" w:name="_Toc397335510"/>
      <w:bookmarkStart w:id="15" w:name="_Toc397335707"/>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r>
        <w:rPr>
          <w:rStyle w:val="CharPartText"/>
        </w:rPr>
        <w:t xml:space="preserve"> </w:t>
      </w:r>
    </w:p>
    <w:p>
      <w:pPr>
        <w:pStyle w:val="Heading5"/>
        <w:rPr>
          <w:snapToGrid w:val="0"/>
        </w:rPr>
      </w:pPr>
      <w:bookmarkStart w:id="16" w:name="_Toc397335708"/>
      <w:bookmarkStart w:id="17" w:name="_Toc377568111"/>
      <w:r>
        <w:rPr>
          <w:rStyle w:val="CharSectno"/>
        </w:rPr>
        <w:t>1</w:t>
      </w:r>
      <w:r>
        <w:rPr>
          <w:snapToGrid w:val="0"/>
        </w:rPr>
        <w:t>.</w:t>
      </w:r>
      <w:r>
        <w:rPr>
          <w:snapToGrid w:val="0"/>
        </w:rPr>
        <w:tab/>
        <w:t>Short title</w:t>
      </w:r>
      <w:bookmarkEnd w:id="16"/>
      <w:bookmarkEnd w:id="1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18" w:name="_Toc397335709"/>
      <w:bookmarkStart w:id="19" w:name="_Toc377568112"/>
      <w:r>
        <w:rPr>
          <w:rStyle w:val="CharSectno"/>
        </w:rPr>
        <w:t>2</w:t>
      </w:r>
      <w:r>
        <w:rPr>
          <w:snapToGrid w:val="0"/>
        </w:rPr>
        <w:t>.</w:t>
      </w:r>
      <w:r>
        <w:rPr>
          <w:snapToGrid w:val="0"/>
        </w:rPr>
        <w:tab/>
        <w:t>Commencement</w:t>
      </w:r>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spacing w:before="180"/>
        <w:rPr>
          <w:snapToGrid w:val="0"/>
        </w:rPr>
      </w:pPr>
      <w:bookmarkStart w:id="20" w:name="_Toc397335710"/>
      <w:bookmarkStart w:id="21" w:name="_Toc377568113"/>
      <w:r>
        <w:rPr>
          <w:rStyle w:val="CharSectno"/>
        </w:rPr>
        <w:t>3</w:t>
      </w:r>
      <w:r>
        <w:rPr>
          <w:snapToGrid w:val="0"/>
        </w:rPr>
        <w:t>.</w:t>
      </w:r>
      <w:r>
        <w:rPr>
          <w:snapToGrid w:val="0"/>
        </w:rPr>
        <w:tab/>
        <w:t>Terms used</w:t>
      </w:r>
      <w:bookmarkEnd w:id="20"/>
      <w:bookmarkEnd w:id="2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Compensation Scheme</w:t>
      </w:r>
      <w:r>
        <w:t xml:space="preserve"> means the scheme prescribed by regulations made under section 59(2)(h);</w:t>
      </w:r>
    </w:p>
    <w:p>
      <w:pPr>
        <w:pStyle w:val="Defstart"/>
        <w:rPr>
          <w:b/>
        </w:rPr>
      </w:pPr>
      <w:r>
        <w:rPr>
          <w:b/>
        </w:rPr>
        <w:tab/>
      </w:r>
      <w:r>
        <w:rPr>
          <w:rStyle w:val="CharDefText"/>
        </w:rPr>
        <w:t>Compensation Trustees</w:t>
      </w:r>
      <w:r>
        <w:t xml:space="preserve"> means the trustees by whom the Compensation Scheme is administered;</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lastRenderedPageBreak/>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Subsection"/>
        <w:keepNext/>
      </w:pPr>
      <w:r>
        <w:rPr>
          <w:b/>
        </w:rPr>
        <w:tab/>
      </w:r>
      <w:r>
        <w:tab/>
        <w:t>(2)</w:t>
      </w:r>
      <w: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keepLines w:val="0"/>
        <w:ind w:left="890" w:hanging="890"/>
      </w:pPr>
      <w:r>
        <w:tab/>
        <w:t>[Section 3 amended by No. 57 of 1997 s. 39(10); No. 26 of 1999 s. 107; No. 10 of 2001 s. 221; No. 55 of 2004 s. 1235; No. 28 of 2006 s. 146.]</w:t>
      </w:r>
    </w:p>
    <w:p>
      <w:pPr>
        <w:pStyle w:val="Heading5"/>
        <w:rPr>
          <w:snapToGrid w:val="0"/>
        </w:rPr>
      </w:pPr>
      <w:bookmarkStart w:id="22" w:name="_Toc397335711"/>
      <w:bookmarkStart w:id="23" w:name="_Toc377568114"/>
      <w:r>
        <w:rPr>
          <w:rStyle w:val="CharSectno"/>
        </w:rPr>
        <w:t>4</w:t>
      </w:r>
      <w:r>
        <w:rPr>
          <w:snapToGrid w:val="0"/>
        </w:rPr>
        <w:t>.</w:t>
      </w:r>
      <w:r>
        <w:rPr>
          <w:snapToGrid w:val="0"/>
        </w:rPr>
        <w:tab/>
        <w:t>Business as travel agent</w:t>
      </w:r>
      <w:bookmarkEnd w:id="22"/>
      <w:bookmarkEnd w:id="23"/>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 or</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 or</w:t>
      </w:r>
    </w:p>
    <w:p>
      <w:pPr>
        <w:pStyle w:val="Indenta"/>
        <w:rPr>
          <w:snapToGrid w:val="0"/>
        </w:rPr>
      </w:pPr>
      <w:r>
        <w:rPr>
          <w:snapToGrid w:val="0"/>
        </w:rPr>
        <w:tab/>
        <w:t>(c)</w:t>
      </w:r>
      <w:r>
        <w:rPr>
          <w:snapToGrid w:val="0"/>
        </w:rPr>
        <w:tab/>
        <w:t>purchasing for resale the rights of passage on conveyances which are not prescribed conveyances; or</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 or</w:t>
      </w:r>
    </w:p>
    <w:p>
      <w:pPr>
        <w:pStyle w:val="Indenta"/>
        <w:keepNext/>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 or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24" w:name="_Toc397335712"/>
      <w:bookmarkStart w:id="25" w:name="_Toc377568115"/>
      <w:r>
        <w:rPr>
          <w:rStyle w:val="CharSectno"/>
        </w:rPr>
        <w:t>5</w:t>
      </w:r>
      <w:r>
        <w:rPr>
          <w:snapToGrid w:val="0"/>
        </w:rPr>
        <w:t>.</w:t>
      </w:r>
      <w:r>
        <w:rPr>
          <w:snapToGrid w:val="0"/>
        </w:rPr>
        <w:tab/>
        <w:t>Application of Act</w:t>
      </w:r>
      <w:bookmarkEnd w:id="24"/>
      <w:bookmarkEnd w:id="25"/>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 or</w:t>
      </w:r>
    </w:p>
    <w:p>
      <w:pPr>
        <w:pStyle w:val="Indenta"/>
        <w:rPr>
          <w:snapToGrid w:val="0"/>
        </w:rPr>
      </w:pPr>
      <w:r>
        <w:rPr>
          <w:snapToGrid w:val="0"/>
        </w:rPr>
        <w:tab/>
        <w:t>(b)</w:t>
      </w:r>
      <w:r>
        <w:rPr>
          <w:snapToGrid w:val="0"/>
        </w:rPr>
        <w:tab/>
        <w:t>any department of the Government; or</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r>
        <w:tab/>
        <w:t>[Section 5 amended by No. 69 of 2006 s. 38.]</w:t>
      </w:r>
    </w:p>
    <w:p>
      <w:pPr>
        <w:pStyle w:val="Heading5"/>
        <w:rPr>
          <w:snapToGrid w:val="0"/>
        </w:rPr>
      </w:pPr>
      <w:bookmarkStart w:id="26" w:name="_Toc397335713"/>
      <w:bookmarkStart w:id="27" w:name="_Toc377568116"/>
      <w:r>
        <w:rPr>
          <w:rStyle w:val="CharSectno"/>
        </w:rPr>
        <w:t>6</w:t>
      </w:r>
      <w:r>
        <w:rPr>
          <w:snapToGrid w:val="0"/>
        </w:rPr>
        <w:t>.</w:t>
      </w:r>
      <w:r>
        <w:rPr>
          <w:snapToGrid w:val="0"/>
        </w:rPr>
        <w:tab/>
        <w:t>Variation of application of Act</w:t>
      </w:r>
      <w:bookmarkEnd w:id="26"/>
      <w:bookmarkEnd w:id="27"/>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to a specified class of transactions or matters; or</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28" w:name="_Toc377568117"/>
      <w:bookmarkStart w:id="29" w:name="_Toc397335041"/>
      <w:bookmarkStart w:id="30" w:name="_Toc397335517"/>
      <w:bookmarkStart w:id="31" w:name="_Toc397335714"/>
      <w:r>
        <w:rPr>
          <w:rStyle w:val="CharPartNo"/>
        </w:rPr>
        <w:t>Part II</w:t>
      </w:r>
      <w:r>
        <w:t> — </w:t>
      </w:r>
      <w:r>
        <w:rPr>
          <w:rStyle w:val="CharPartText"/>
        </w:rPr>
        <w:t>Licences</w:t>
      </w:r>
      <w:bookmarkEnd w:id="28"/>
      <w:bookmarkEnd w:id="29"/>
      <w:bookmarkEnd w:id="30"/>
      <w:bookmarkEnd w:id="31"/>
      <w:r>
        <w:rPr>
          <w:rStyle w:val="CharPartText"/>
        </w:rPr>
        <w:t xml:space="preserve"> </w:t>
      </w:r>
    </w:p>
    <w:p>
      <w:pPr>
        <w:pStyle w:val="Heading3"/>
        <w:rPr>
          <w:snapToGrid w:val="0"/>
        </w:rPr>
      </w:pPr>
      <w:bookmarkStart w:id="32" w:name="_Toc377568118"/>
      <w:bookmarkStart w:id="33" w:name="_Toc397335042"/>
      <w:bookmarkStart w:id="34" w:name="_Toc397335518"/>
      <w:bookmarkStart w:id="35" w:name="_Toc397335715"/>
      <w:r>
        <w:rPr>
          <w:rStyle w:val="CharDivNo"/>
        </w:rPr>
        <w:t>Division 1</w:t>
      </w:r>
      <w:r>
        <w:rPr>
          <w:snapToGrid w:val="0"/>
        </w:rPr>
        <w:t> — </w:t>
      </w:r>
      <w:r>
        <w:rPr>
          <w:rStyle w:val="CharDivText"/>
        </w:rPr>
        <w:t>Requirement to be licensed</w:t>
      </w:r>
      <w:bookmarkEnd w:id="32"/>
      <w:bookmarkEnd w:id="33"/>
      <w:bookmarkEnd w:id="34"/>
      <w:bookmarkEnd w:id="35"/>
      <w:r>
        <w:rPr>
          <w:rStyle w:val="CharDivText"/>
        </w:rPr>
        <w:t xml:space="preserve"> </w:t>
      </w:r>
    </w:p>
    <w:p>
      <w:pPr>
        <w:pStyle w:val="Heading5"/>
        <w:spacing w:before="180"/>
        <w:rPr>
          <w:snapToGrid w:val="0"/>
        </w:rPr>
      </w:pPr>
      <w:bookmarkStart w:id="36" w:name="_Toc397335716"/>
      <w:bookmarkStart w:id="37" w:name="_Toc377568119"/>
      <w:r>
        <w:rPr>
          <w:rStyle w:val="CharSectno"/>
        </w:rPr>
        <w:t>7</w:t>
      </w:r>
      <w:r>
        <w:rPr>
          <w:snapToGrid w:val="0"/>
        </w:rPr>
        <w:t>.</w:t>
      </w:r>
      <w:r>
        <w:rPr>
          <w:snapToGrid w:val="0"/>
        </w:rPr>
        <w:tab/>
        <w:t>Travel agent to be licensed</w:t>
      </w:r>
      <w:bookmarkEnd w:id="36"/>
      <w:bookmarkEnd w:id="37"/>
      <w:r>
        <w:rPr>
          <w:snapToGrid w:val="0"/>
        </w:rPr>
        <w:t xml:space="preserve"> </w:t>
      </w:r>
    </w:p>
    <w:p>
      <w:pPr>
        <w:pStyle w:val="Subsection"/>
        <w:spacing w:before="120"/>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spacing w:before="180"/>
        <w:rPr>
          <w:snapToGrid w:val="0"/>
        </w:rPr>
      </w:pPr>
      <w:bookmarkStart w:id="38" w:name="_Toc397335717"/>
      <w:bookmarkStart w:id="39" w:name="_Toc377568120"/>
      <w:r>
        <w:rPr>
          <w:rStyle w:val="CharSectno"/>
        </w:rPr>
        <w:t>8</w:t>
      </w:r>
      <w:r>
        <w:rPr>
          <w:snapToGrid w:val="0"/>
        </w:rPr>
        <w:t>.</w:t>
      </w:r>
      <w:r>
        <w:rPr>
          <w:snapToGrid w:val="0"/>
        </w:rPr>
        <w:tab/>
        <w:t>Unauthorised use of licence</w:t>
      </w:r>
      <w:bookmarkEnd w:id="38"/>
      <w:bookmarkEnd w:id="39"/>
      <w:r>
        <w:rPr>
          <w:snapToGrid w:val="0"/>
        </w:rPr>
        <w:t xml:space="preserve"> </w:t>
      </w:r>
    </w:p>
    <w:p>
      <w:pPr>
        <w:pStyle w:val="Subsection"/>
        <w:spacing w:before="120"/>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spacing w:before="60"/>
        <w:rPr>
          <w:snapToGrid w:val="0"/>
        </w:rPr>
      </w:pPr>
      <w:r>
        <w:rPr>
          <w:snapToGrid w:val="0"/>
        </w:rPr>
        <w:tab/>
        <w:t>Penalty: $5 000.</w:t>
      </w:r>
    </w:p>
    <w:p>
      <w:pPr>
        <w:pStyle w:val="Heading3"/>
        <w:rPr>
          <w:snapToGrid w:val="0"/>
        </w:rPr>
      </w:pPr>
      <w:bookmarkStart w:id="40" w:name="_Toc377568121"/>
      <w:bookmarkStart w:id="41" w:name="_Toc397335045"/>
      <w:bookmarkStart w:id="42" w:name="_Toc397335521"/>
      <w:bookmarkStart w:id="43" w:name="_Toc397335718"/>
      <w:r>
        <w:rPr>
          <w:rStyle w:val="CharDivNo"/>
        </w:rPr>
        <w:t>Division 2</w:t>
      </w:r>
      <w:r>
        <w:rPr>
          <w:snapToGrid w:val="0"/>
        </w:rPr>
        <w:t> — </w:t>
      </w:r>
      <w:r>
        <w:rPr>
          <w:rStyle w:val="CharDivText"/>
        </w:rPr>
        <w:t>Licensing provisions</w:t>
      </w:r>
      <w:bookmarkEnd w:id="40"/>
      <w:bookmarkEnd w:id="41"/>
      <w:bookmarkEnd w:id="42"/>
      <w:bookmarkEnd w:id="43"/>
      <w:r>
        <w:rPr>
          <w:rStyle w:val="CharDivText"/>
        </w:rPr>
        <w:t xml:space="preserve"> </w:t>
      </w:r>
    </w:p>
    <w:p>
      <w:pPr>
        <w:pStyle w:val="Heading5"/>
        <w:rPr>
          <w:snapToGrid w:val="0"/>
        </w:rPr>
      </w:pPr>
      <w:bookmarkStart w:id="44" w:name="_Toc397335719"/>
      <w:bookmarkStart w:id="45" w:name="_Toc377568122"/>
      <w:r>
        <w:rPr>
          <w:rStyle w:val="CharSectno"/>
        </w:rPr>
        <w:t>9</w:t>
      </w:r>
      <w:r>
        <w:rPr>
          <w:snapToGrid w:val="0"/>
        </w:rPr>
        <w:t>.</w:t>
      </w:r>
      <w:r>
        <w:rPr>
          <w:snapToGrid w:val="0"/>
        </w:rPr>
        <w:tab/>
        <w:t>Application for licence</w:t>
      </w:r>
      <w:bookmarkEnd w:id="44"/>
      <w:bookmarkEnd w:id="45"/>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 and</w:t>
      </w:r>
    </w:p>
    <w:p>
      <w:pPr>
        <w:pStyle w:val="Indenta"/>
        <w:rPr>
          <w:snapToGrid w:val="0"/>
        </w:rPr>
      </w:pPr>
      <w:r>
        <w:rPr>
          <w:snapToGrid w:val="0"/>
        </w:rPr>
        <w:tab/>
        <w:t>(c)</w:t>
      </w:r>
      <w:r>
        <w:rPr>
          <w:snapToGrid w:val="0"/>
        </w:rPr>
        <w:tab/>
        <w:t>whether or not the applicant intends to carry on the business referred to in paragraph (b) in partnership with another person; and</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 and</w:t>
      </w:r>
    </w:p>
    <w:p>
      <w:pPr>
        <w:pStyle w:val="Indenta"/>
        <w:rPr>
          <w:snapToGrid w:val="0"/>
        </w:rPr>
      </w:pPr>
      <w:r>
        <w:rPr>
          <w:snapToGrid w:val="0"/>
        </w:rPr>
        <w:tab/>
        <w:t>(e)</w:t>
      </w:r>
      <w:r>
        <w:rPr>
          <w:snapToGrid w:val="0"/>
        </w:rPr>
        <w:tab/>
        <w:t>that the applicant is, or on being licensed will be, a participant in the Compensation Scheme; and</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46" w:name="_Toc397335720"/>
      <w:bookmarkStart w:id="47" w:name="_Toc377568123"/>
      <w:r>
        <w:rPr>
          <w:rStyle w:val="CharSectno"/>
        </w:rPr>
        <w:t>10</w:t>
      </w:r>
      <w:r>
        <w:rPr>
          <w:snapToGrid w:val="0"/>
        </w:rPr>
        <w:t>.</w:t>
      </w:r>
      <w:r>
        <w:rPr>
          <w:snapToGrid w:val="0"/>
        </w:rPr>
        <w:tab/>
        <w:t>Investigation of application</w:t>
      </w:r>
      <w:bookmarkEnd w:id="46"/>
      <w:bookmarkEnd w:id="47"/>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48" w:name="_Toc397335721"/>
      <w:bookmarkStart w:id="49" w:name="_Toc377568124"/>
      <w:r>
        <w:rPr>
          <w:rStyle w:val="CharSectno"/>
        </w:rPr>
        <w:t>11</w:t>
      </w:r>
      <w:r>
        <w:rPr>
          <w:snapToGrid w:val="0"/>
        </w:rPr>
        <w:t>.</w:t>
      </w:r>
      <w:r>
        <w:rPr>
          <w:snapToGrid w:val="0"/>
        </w:rPr>
        <w:tab/>
        <w:t>Objection to application</w:t>
      </w:r>
      <w:bookmarkEnd w:id="48"/>
      <w:bookmarkEnd w:id="49"/>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 and</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50" w:name="_Toc397335722"/>
      <w:bookmarkStart w:id="51" w:name="_Toc377568125"/>
      <w:r>
        <w:rPr>
          <w:rStyle w:val="CharSectno"/>
        </w:rPr>
        <w:t>12</w:t>
      </w:r>
      <w:r>
        <w:rPr>
          <w:snapToGrid w:val="0"/>
        </w:rPr>
        <w:t>.</w:t>
      </w:r>
      <w:r>
        <w:rPr>
          <w:snapToGrid w:val="0"/>
        </w:rPr>
        <w:tab/>
        <w:t>Grant or refusal of licence</w:t>
      </w:r>
      <w:bookmarkEnd w:id="50"/>
      <w:bookmarkEnd w:id="51"/>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 </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 xml:space="preserve">; </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 xml:space="preserve">the individual is a person whose licence or registration granted under an Act specified in the Schedule has been cancelled or suspended; </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 or</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Commissioner shall not issue the licence granted unless — </w:t>
      </w:r>
    </w:p>
    <w:p>
      <w:pPr>
        <w:pStyle w:val="Indenti"/>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52" w:name="_Toc397335723"/>
      <w:bookmarkStart w:id="53" w:name="_Toc377568126"/>
      <w:r>
        <w:rPr>
          <w:rStyle w:val="CharSectno"/>
        </w:rPr>
        <w:t>13</w:t>
      </w:r>
      <w:r>
        <w:rPr>
          <w:snapToGrid w:val="0"/>
        </w:rPr>
        <w:t>.</w:t>
      </w:r>
      <w:r>
        <w:rPr>
          <w:snapToGrid w:val="0"/>
        </w:rPr>
        <w:tab/>
        <w:t>Conditions of licence</w:t>
      </w:r>
      <w:bookmarkEnd w:id="52"/>
      <w:bookmarkEnd w:id="53"/>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 and</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 and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54" w:name="_Toc397335724"/>
      <w:bookmarkStart w:id="55" w:name="_Toc377568127"/>
      <w:r>
        <w:rPr>
          <w:rStyle w:val="CharSectno"/>
        </w:rPr>
        <w:t>14</w:t>
      </w:r>
      <w:r>
        <w:rPr>
          <w:snapToGrid w:val="0"/>
        </w:rPr>
        <w:t>.</w:t>
      </w:r>
      <w:r>
        <w:rPr>
          <w:snapToGrid w:val="0"/>
        </w:rPr>
        <w:tab/>
        <w:t>Name under which licensee may operate</w:t>
      </w:r>
      <w:bookmarkEnd w:id="54"/>
      <w:bookmarkEnd w:id="55"/>
      <w:r>
        <w:rPr>
          <w:snapToGrid w:val="0"/>
        </w:rPr>
        <w:t xml:space="preserve"> </w:t>
      </w:r>
    </w:p>
    <w:p>
      <w:pPr>
        <w:pStyle w:val="Subsection"/>
        <w:rPr>
          <w:snapToGrid w:val="0"/>
        </w:rPr>
      </w:pPr>
      <w:r>
        <w:rPr>
          <w:snapToGrid w:val="0"/>
        </w:rPr>
        <w:tab/>
        <w:t>(1)</w:t>
      </w:r>
      <w:r>
        <w:rPr>
          <w:snapToGrid w:val="0"/>
        </w:rPr>
        <w:tab/>
        <w:t xml:space="preserve">Subject to the </w:t>
      </w:r>
      <w:r>
        <w:rPr>
          <w:i/>
        </w:rPr>
        <w:t xml:space="preserve">Business Names Registration Act 2011 </w:t>
      </w:r>
      <w:r>
        <w:t xml:space="preserve">(Commonwealth), </w:t>
      </w:r>
      <w:r>
        <w:rPr>
          <w:snapToGrid w:val="0"/>
        </w:rPr>
        <w:t>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or</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Footnotesection"/>
        <w:ind w:left="890" w:hanging="890"/>
      </w:pPr>
      <w:r>
        <w:tab/>
        <w:t>[Section 14 amended by No. 6 of 2012 s. 45.]</w:t>
      </w:r>
    </w:p>
    <w:p>
      <w:pPr>
        <w:pStyle w:val="Heading5"/>
        <w:rPr>
          <w:snapToGrid w:val="0"/>
        </w:rPr>
      </w:pPr>
      <w:bookmarkStart w:id="56" w:name="_Toc397335725"/>
      <w:bookmarkStart w:id="57" w:name="_Toc377568128"/>
      <w:r>
        <w:rPr>
          <w:rStyle w:val="CharSectno"/>
        </w:rPr>
        <w:t>15</w:t>
      </w:r>
      <w:r>
        <w:rPr>
          <w:snapToGrid w:val="0"/>
        </w:rPr>
        <w:t>.</w:t>
      </w:r>
      <w:r>
        <w:rPr>
          <w:snapToGrid w:val="0"/>
        </w:rPr>
        <w:tab/>
        <w:t>Form of licence and replacement of licence</w:t>
      </w:r>
      <w:bookmarkEnd w:id="56"/>
      <w:bookmarkEnd w:id="57"/>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58" w:name="_Toc397335726"/>
      <w:bookmarkStart w:id="59" w:name="_Toc377568129"/>
      <w:r>
        <w:rPr>
          <w:rStyle w:val="CharSectno"/>
        </w:rPr>
        <w:t>16</w:t>
      </w:r>
      <w:r>
        <w:rPr>
          <w:snapToGrid w:val="0"/>
        </w:rPr>
        <w:t>.</w:t>
      </w:r>
      <w:r>
        <w:rPr>
          <w:snapToGrid w:val="0"/>
        </w:rPr>
        <w:tab/>
        <w:t>Change of address of licensee</w:t>
      </w:r>
      <w:bookmarkEnd w:id="58"/>
      <w:bookmarkEnd w:id="59"/>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60" w:name="_Toc397335727"/>
      <w:bookmarkStart w:id="61" w:name="_Toc377568130"/>
      <w:r>
        <w:rPr>
          <w:rStyle w:val="CharSectno"/>
        </w:rPr>
        <w:t>17</w:t>
      </w:r>
      <w:r>
        <w:rPr>
          <w:snapToGrid w:val="0"/>
        </w:rPr>
        <w:t>.</w:t>
      </w:r>
      <w:r>
        <w:rPr>
          <w:snapToGrid w:val="0"/>
        </w:rPr>
        <w:tab/>
        <w:t>Register of licensees</w:t>
      </w:r>
      <w:bookmarkEnd w:id="60"/>
      <w:bookmarkEnd w:id="61"/>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62" w:name="_Toc397335728"/>
      <w:bookmarkStart w:id="63" w:name="_Toc377568131"/>
      <w:r>
        <w:rPr>
          <w:rStyle w:val="CharSectno"/>
        </w:rPr>
        <w:t>18</w:t>
      </w:r>
      <w:r>
        <w:rPr>
          <w:snapToGrid w:val="0"/>
        </w:rPr>
        <w:t>.</w:t>
      </w:r>
      <w:r>
        <w:rPr>
          <w:snapToGrid w:val="0"/>
        </w:rPr>
        <w:tab/>
        <w:t>Term of, and authority conferred by, licence</w:t>
      </w:r>
      <w:bookmarkEnd w:id="62"/>
      <w:bookmarkEnd w:id="63"/>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64" w:name="_Toc397335729"/>
      <w:bookmarkStart w:id="65" w:name="_Toc377568132"/>
      <w:r>
        <w:rPr>
          <w:rStyle w:val="CharSectno"/>
        </w:rPr>
        <w:t>19</w:t>
      </w:r>
      <w:r>
        <w:rPr>
          <w:snapToGrid w:val="0"/>
        </w:rPr>
        <w:t>.</w:t>
      </w:r>
      <w:r>
        <w:rPr>
          <w:snapToGrid w:val="0"/>
        </w:rPr>
        <w:tab/>
        <w:t>Annual fee and annual statement</w:t>
      </w:r>
      <w:bookmarkEnd w:id="64"/>
      <w:bookmarkEnd w:id="65"/>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66" w:name="_Toc397335730"/>
      <w:bookmarkStart w:id="67" w:name="_Toc377568133"/>
      <w:r>
        <w:rPr>
          <w:rStyle w:val="CharSectno"/>
        </w:rPr>
        <w:t>20</w:t>
      </w:r>
      <w:r>
        <w:rPr>
          <w:snapToGrid w:val="0"/>
        </w:rPr>
        <w:t>.</w:t>
      </w:r>
      <w:r>
        <w:rPr>
          <w:snapToGrid w:val="0"/>
        </w:rPr>
        <w:tab/>
        <w:t>Surrender of licence</w:t>
      </w:r>
      <w:bookmarkEnd w:id="66"/>
      <w:bookmarkEnd w:id="67"/>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68" w:name="_Toc377568134"/>
      <w:bookmarkStart w:id="69" w:name="_Toc397335058"/>
      <w:bookmarkStart w:id="70" w:name="_Toc397335534"/>
      <w:bookmarkStart w:id="71" w:name="_Toc397335731"/>
      <w:r>
        <w:rPr>
          <w:rStyle w:val="CharDivNo"/>
        </w:rPr>
        <w:t>Division 3</w:t>
      </w:r>
      <w:r>
        <w:rPr>
          <w:snapToGrid w:val="0"/>
        </w:rPr>
        <w:t> — </w:t>
      </w:r>
      <w:r>
        <w:rPr>
          <w:rStyle w:val="CharDivText"/>
        </w:rPr>
        <w:t>Disciplinary action</w:t>
      </w:r>
      <w:bookmarkEnd w:id="68"/>
      <w:bookmarkEnd w:id="69"/>
      <w:bookmarkEnd w:id="70"/>
      <w:bookmarkEnd w:id="71"/>
      <w:r>
        <w:rPr>
          <w:rStyle w:val="CharDivText"/>
        </w:rPr>
        <w:t xml:space="preserve"> </w:t>
      </w:r>
    </w:p>
    <w:p>
      <w:pPr>
        <w:pStyle w:val="Heading5"/>
        <w:rPr>
          <w:snapToGrid w:val="0"/>
        </w:rPr>
      </w:pPr>
      <w:bookmarkStart w:id="72" w:name="_Toc397335732"/>
      <w:bookmarkStart w:id="73" w:name="_Toc377568135"/>
      <w:r>
        <w:rPr>
          <w:rStyle w:val="CharSectno"/>
        </w:rPr>
        <w:t>21</w:t>
      </w:r>
      <w:r>
        <w:rPr>
          <w:snapToGrid w:val="0"/>
        </w:rPr>
        <w:t>.</w:t>
      </w:r>
      <w:r>
        <w:rPr>
          <w:snapToGrid w:val="0"/>
        </w:rPr>
        <w:tab/>
        <w:t>Objection to holding of licence, and inquiry</w:t>
      </w:r>
      <w:bookmarkEnd w:id="72"/>
      <w:bookmarkEnd w:id="73"/>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 or</w:t>
      </w:r>
    </w:p>
    <w:p>
      <w:pPr>
        <w:pStyle w:val="Indenti"/>
        <w:rPr>
          <w:snapToGrid w:val="0"/>
        </w:rPr>
      </w:pPr>
      <w:r>
        <w:rPr>
          <w:snapToGrid w:val="0"/>
        </w:rPr>
        <w:tab/>
        <w:t>(ii)</w:t>
      </w:r>
      <w:r>
        <w:rPr>
          <w:snapToGrid w:val="0"/>
        </w:rPr>
        <w:tab/>
        <w:t>is under official management; or</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spacing w:after="120"/>
        <w:ind w:left="890" w:hanging="890"/>
      </w:pPr>
      <w:r>
        <w:tab/>
        <w:t>[Section 21 amended by No. 4 of 2004 s. 6(4) and (5); No. 55 of 2004 s. 1243 and 1259(1).]</w:t>
      </w:r>
    </w:p>
    <w:p>
      <w:pPr>
        <w:pStyle w:val="Heading5"/>
        <w:rPr>
          <w:snapToGrid w:val="0"/>
        </w:rPr>
      </w:pPr>
      <w:bookmarkStart w:id="74" w:name="_Toc397335733"/>
      <w:bookmarkStart w:id="75" w:name="_Toc377568136"/>
      <w:r>
        <w:rPr>
          <w:rStyle w:val="CharSectno"/>
        </w:rPr>
        <w:t>22</w:t>
      </w:r>
      <w:r>
        <w:rPr>
          <w:snapToGrid w:val="0"/>
        </w:rPr>
        <w:t>.</w:t>
      </w:r>
      <w:r>
        <w:rPr>
          <w:snapToGrid w:val="0"/>
        </w:rPr>
        <w:tab/>
        <w:t>Disciplinary action following inquiry</w:t>
      </w:r>
      <w:bookmarkEnd w:id="74"/>
      <w:bookmarkEnd w:id="75"/>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 or</w:t>
      </w:r>
    </w:p>
    <w:p>
      <w:pPr>
        <w:pStyle w:val="Indenta"/>
        <w:rPr>
          <w:snapToGrid w:val="0"/>
        </w:rPr>
      </w:pPr>
      <w:r>
        <w:rPr>
          <w:snapToGrid w:val="0"/>
        </w:rPr>
        <w:tab/>
        <w:t>(b)</w:t>
      </w:r>
      <w:r>
        <w:rPr>
          <w:snapToGrid w:val="0"/>
        </w:rPr>
        <w:tab/>
        <w:t>impose on the licensee a fine not exceeding $1 000 payable within a specified time; or</w:t>
      </w:r>
    </w:p>
    <w:p>
      <w:pPr>
        <w:pStyle w:val="Indenta"/>
        <w:rPr>
          <w:snapToGrid w:val="0"/>
        </w:rPr>
      </w:pPr>
      <w:r>
        <w:rPr>
          <w:snapToGrid w:val="0"/>
        </w:rPr>
        <w:tab/>
        <w:t>(c)</w:t>
      </w:r>
      <w:r>
        <w:rPr>
          <w:snapToGrid w:val="0"/>
        </w:rPr>
        <w:tab/>
        <w:t>require the licensee to comply within a specified time with a requirement specified by the Tribunal; or</w:t>
      </w:r>
    </w:p>
    <w:p>
      <w:pPr>
        <w:pStyle w:val="Indenta"/>
        <w:rPr>
          <w:snapToGrid w:val="0"/>
        </w:rPr>
      </w:pPr>
      <w:r>
        <w:rPr>
          <w:snapToGrid w:val="0"/>
        </w:rPr>
        <w:tab/>
        <w:t>(d)</w:t>
      </w:r>
      <w:r>
        <w:rPr>
          <w:snapToGrid w:val="0"/>
        </w:rPr>
        <w:tab/>
        <w:t>suspend the licence for a period not exceeding 12 months; or</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 or</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 or</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keepLines/>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 and</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spacing w:before="120"/>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 or</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76" w:name="_Toc377568137"/>
      <w:bookmarkStart w:id="77" w:name="_Toc397335061"/>
      <w:bookmarkStart w:id="78" w:name="_Toc397335537"/>
      <w:bookmarkStart w:id="79" w:name="_Toc397335734"/>
      <w:r>
        <w:rPr>
          <w:rStyle w:val="CharDivNo"/>
        </w:rPr>
        <w:t>Division 4</w:t>
      </w:r>
      <w:r>
        <w:rPr>
          <w:snapToGrid w:val="0"/>
        </w:rPr>
        <w:t> — </w:t>
      </w:r>
      <w:r>
        <w:rPr>
          <w:rStyle w:val="CharDivText"/>
        </w:rPr>
        <w:t>Review</w:t>
      </w:r>
      <w:bookmarkEnd w:id="76"/>
      <w:bookmarkEnd w:id="77"/>
      <w:bookmarkEnd w:id="78"/>
      <w:bookmarkEnd w:id="79"/>
      <w:r>
        <w:rPr>
          <w:rStyle w:val="CharDivText"/>
        </w:rPr>
        <w:t xml:space="preserve"> </w:t>
      </w:r>
    </w:p>
    <w:p>
      <w:pPr>
        <w:pStyle w:val="Footnoteheading"/>
        <w:tabs>
          <w:tab w:val="left" w:pos="851"/>
        </w:tabs>
      </w:pPr>
      <w:r>
        <w:tab/>
        <w:t>[Heading amended by No. 55 of 2004 s. 1245.]</w:t>
      </w:r>
    </w:p>
    <w:p>
      <w:pPr>
        <w:pStyle w:val="Heading5"/>
      </w:pPr>
      <w:bookmarkStart w:id="80" w:name="_Toc397335735"/>
      <w:bookmarkStart w:id="81" w:name="_Toc377568138"/>
      <w:r>
        <w:rPr>
          <w:rStyle w:val="CharSectno"/>
        </w:rPr>
        <w:t>23</w:t>
      </w:r>
      <w:r>
        <w:t>.</w:t>
      </w:r>
      <w:r>
        <w:tab/>
        <w:t>Application for review</w:t>
      </w:r>
      <w:bookmarkEnd w:id="80"/>
      <w:bookmarkEnd w:id="81"/>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 or</w:t>
      </w:r>
    </w:p>
    <w:p>
      <w:pPr>
        <w:pStyle w:val="Defpara"/>
      </w:pPr>
      <w:r>
        <w:tab/>
        <w:t>(c)</w:t>
      </w:r>
      <w:r>
        <w:tab/>
        <w:t xml:space="preserve">a person referred to in paragraph (d) of the definition of </w:t>
      </w:r>
      <w:r>
        <w:rPr>
          <w:b/>
          <w:i/>
        </w:rPr>
        <w:t>reviewable decision</w:t>
      </w:r>
      <w:r>
        <w:t>;</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 or</w:t>
      </w:r>
    </w:p>
    <w:p>
      <w:pPr>
        <w:pStyle w:val="Defpara"/>
        <w:keepNext/>
      </w:pPr>
      <w:r>
        <w:tab/>
        <w:t>(b)</w:t>
      </w:r>
      <w:r>
        <w:tab/>
        <w:t>a decision under section 13 to impose or vary a condition; or</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spacing w:before="240"/>
      </w:pPr>
      <w:bookmarkStart w:id="82" w:name="_Toc397335736"/>
      <w:bookmarkStart w:id="83" w:name="_Toc377568139"/>
      <w:r>
        <w:rPr>
          <w:rStyle w:val="CharSectno"/>
        </w:rPr>
        <w:t>24</w:t>
      </w:r>
      <w:r>
        <w:t>.</w:t>
      </w:r>
      <w:r>
        <w:tab/>
        <w:t>Decisions about participation in the Compensation Scheme</w:t>
      </w:r>
      <w:bookmarkEnd w:id="82"/>
      <w:bookmarkEnd w:id="83"/>
    </w:p>
    <w:p>
      <w:pPr>
        <w:pStyle w:val="Subsection"/>
        <w:spacing w:before="180"/>
      </w:pPr>
      <w:r>
        <w:rPr>
          <w:snapToGrid w:val="0"/>
        </w:rPr>
        <w:tab/>
        <w:t>(1)</w:t>
      </w:r>
      <w:r>
        <w:rPr>
          <w:snapToGrid w:val="0"/>
        </w:rPr>
        <w:tab/>
        <w:t>When the State Administrative Tribunal deals with an application for a review of a decision described in paragraph (d) of the definition of</w:t>
      </w:r>
      <w:r>
        <w:t xml:space="preserve"> </w:t>
      </w:r>
      <w:r>
        <w:rPr>
          <w:b/>
          <w:i/>
        </w:rPr>
        <w:t>reviewable decision</w:t>
      </w:r>
      <w:r>
        <w:t xml:space="preserve">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spacing w:before="180"/>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ind w:left="890" w:hanging="890"/>
      </w:pPr>
      <w:r>
        <w:tab/>
        <w:t>[Section 24 inserted by No. 55 of 2004 s. 1247; No. 8 of 2009 s. 125.]</w:t>
      </w:r>
    </w:p>
    <w:p>
      <w:pPr>
        <w:pStyle w:val="Ednotesection"/>
        <w:spacing w:after="360"/>
        <w:ind w:left="890" w:hanging="890"/>
      </w:pPr>
      <w:r>
        <w:t>[</w:t>
      </w:r>
      <w:r>
        <w:rPr>
          <w:b/>
        </w:rPr>
        <w:t>25.</w:t>
      </w:r>
      <w:r>
        <w:tab/>
        <w:t>Deleted by No. 55 of 2004 s. 1248.]</w:t>
      </w:r>
    </w:p>
    <w:p>
      <w:pPr>
        <w:pStyle w:val="Heading3"/>
        <w:rPr>
          <w:snapToGrid w:val="0"/>
        </w:rPr>
      </w:pPr>
      <w:bookmarkStart w:id="84" w:name="_Toc377568140"/>
      <w:bookmarkStart w:id="85" w:name="_Toc397335064"/>
      <w:bookmarkStart w:id="86" w:name="_Toc397335540"/>
      <w:bookmarkStart w:id="87" w:name="_Toc397335737"/>
      <w:r>
        <w:rPr>
          <w:rStyle w:val="CharDivNo"/>
        </w:rPr>
        <w:t>Division 5</w:t>
      </w:r>
      <w:r>
        <w:rPr>
          <w:snapToGrid w:val="0"/>
        </w:rPr>
        <w:t> — </w:t>
      </w:r>
      <w:r>
        <w:rPr>
          <w:rStyle w:val="CharDivText"/>
        </w:rPr>
        <w:t>Conduct of business</w:t>
      </w:r>
      <w:bookmarkEnd w:id="84"/>
      <w:bookmarkEnd w:id="85"/>
      <w:bookmarkEnd w:id="86"/>
      <w:bookmarkEnd w:id="87"/>
      <w:r>
        <w:rPr>
          <w:rStyle w:val="CharDivText"/>
        </w:rPr>
        <w:t xml:space="preserve"> </w:t>
      </w:r>
    </w:p>
    <w:p>
      <w:pPr>
        <w:pStyle w:val="Heading5"/>
        <w:rPr>
          <w:snapToGrid w:val="0"/>
        </w:rPr>
      </w:pPr>
      <w:bookmarkStart w:id="88" w:name="_Toc397335738"/>
      <w:bookmarkStart w:id="89" w:name="_Toc377568141"/>
      <w:r>
        <w:rPr>
          <w:rStyle w:val="CharSectno"/>
        </w:rPr>
        <w:t>26</w:t>
      </w:r>
      <w:r>
        <w:rPr>
          <w:snapToGrid w:val="0"/>
        </w:rPr>
        <w:t>.</w:t>
      </w:r>
      <w:r>
        <w:rPr>
          <w:snapToGrid w:val="0"/>
        </w:rPr>
        <w:tab/>
        <w:t>Certain particulars to be displayed</w:t>
      </w:r>
      <w:bookmarkEnd w:id="88"/>
      <w:bookmarkEnd w:id="89"/>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90" w:name="_Toc397335739"/>
      <w:bookmarkStart w:id="91" w:name="_Toc377568142"/>
      <w:r>
        <w:rPr>
          <w:rStyle w:val="CharSectno"/>
        </w:rPr>
        <w:t>27</w:t>
      </w:r>
      <w:r>
        <w:rPr>
          <w:snapToGrid w:val="0"/>
        </w:rPr>
        <w:t>.</w:t>
      </w:r>
      <w:r>
        <w:rPr>
          <w:snapToGrid w:val="0"/>
        </w:rPr>
        <w:tab/>
        <w:t>Advertisements</w:t>
      </w:r>
      <w:bookmarkEnd w:id="90"/>
      <w:bookmarkEnd w:id="91"/>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92" w:name="_Toc397335740"/>
      <w:bookmarkStart w:id="93" w:name="_Toc377568143"/>
      <w:r>
        <w:rPr>
          <w:rStyle w:val="CharSectno"/>
        </w:rPr>
        <w:t>28</w:t>
      </w:r>
      <w:r>
        <w:rPr>
          <w:snapToGrid w:val="0"/>
        </w:rPr>
        <w:t>.</w:t>
      </w:r>
      <w:r>
        <w:rPr>
          <w:snapToGrid w:val="0"/>
        </w:rPr>
        <w:tab/>
        <w:t>Name to appear on documents</w:t>
      </w:r>
      <w:bookmarkEnd w:id="92"/>
      <w:bookmarkEnd w:id="93"/>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94" w:name="_Toc397335741"/>
      <w:bookmarkStart w:id="95" w:name="_Toc377568144"/>
      <w:r>
        <w:rPr>
          <w:rStyle w:val="CharSectno"/>
        </w:rPr>
        <w:t>29</w:t>
      </w:r>
      <w:r>
        <w:rPr>
          <w:snapToGrid w:val="0"/>
        </w:rPr>
        <w:t>.</w:t>
      </w:r>
      <w:r>
        <w:rPr>
          <w:snapToGrid w:val="0"/>
        </w:rPr>
        <w:tab/>
        <w:t>Supervision of conduct of business</w:t>
      </w:r>
      <w:bookmarkEnd w:id="94"/>
      <w:bookmarkEnd w:id="95"/>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96" w:name="_Toc397335742"/>
      <w:bookmarkStart w:id="97" w:name="_Toc377568145"/>
      <w:r>
        <w:rPr>
          <w:rStyle w:val="CharSectno"/>
        </w:rPr>
        <w:t>30</w:t>
      </w:r>
      <w:r>
        <w:rPr>
          <w:snapToGrid w:val="0"/>
        </w:rPr>
        <w:t>.</w:t>
      </w:r>
      <w:r>
        <w:rPr>
          <w:snapToGrid w:val="0"/>
        </w:rPr>
        <w:tab/>
        <w:t>Employment of disqualified person</w:t>
      </w:r>
      <w:bookmarkEnd w:id="96"/>
      <w:bookmarkEnd w:id="97"/>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is a person whose adverse qualities were responsible for an individual being refused a licence on the ground referred to in section 12(2)(h) or for a body corporate being refused a licence on a ground referred to in section 12(4)(f), (g) or (h);</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98" w:name="_Toc397335743"/>
      <w:bookmarkStart w:id="99" w:name="_Toc377568146"/>
      <w:r>
        <w:rPr>
          <w:rStyle w:val="CharSectno"/>
        </w:rPr>
        <w:t>31</w:t>
      </w:r>
      <w:r>
        <w:rPr>
          <w:snapToGrid w:val="0"/>
        </w:rPr>
        <w:t>.</w:t>
      </w:r>
      <w:r>
        <w:rPr>
          <w:snapToGrid w:val="0"/>
        </w:rPr>
        <w:tab/>
        <w:t>Certain fees etc. not recoverable</w:t>
      </w:r>
      <w:bookmarkEnd w:id="98"/>
      <w:bookmarkEnd w:id="99"/>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100" w:name="_Toc397335744"/>
      <w:bookmarkStart w:id="101" w:name="_Toc377568147"/>
      <w:r>
        <w:rPr>
          <w:rStyle w:val="CharSectno"/>
        </w:rPr>
        <w:t>32</w:t>
      </w:r>
      <w:r>
        <w:rPr>
          <w:snapToGrid w:val="0"/>
        </w:rPr>
        <w:t>.</w:t>
      </w:r>
      <w:r>
        <w:rPr>
          <w:snapToGrid w:val="0"/>
        </w:rPr>
        <w:tab/>
        <w:t>Forfeiture of illegal profits</w:t>
      </w:r>
      <w:bookmarkEnd w:id="100"/>
      <w:bookmarkEnd w:id="101"/>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 or</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102" w:name="_Toc377568148"/>
      <w:bookmarkStart w:id="103" w:name="_Toc397335072"/>
      <w:bookmarkStart w:id="104" w:name="_Toc397335548"/>
      <w:bookmarkStart w:id="105" w:name="_Toc397335745"/>
      <w:r>
        <w:rPr>
          <w:rStyle w:val="CharDivNo"/>
        </w:rPr>
        <w:t>Division 6</w:t>
      </w:r>
      <w:r>
        <w:rPr>
          <w:snapToGrid w:val="0"/>
        </w:rPr>
        <w:t> — </w:t>
      </w:r>
      <w:r>
        <w:rPr>
          <w:rStyle w:val="CharDivText"/>
        </w:rPr>
        <w:t>Licences generally</w:t>
      </w:r>
      <w:bookmarkEnd w:id="102"/>
      <w:bookmarkEnd w:id="103"/>
      <w:bookmarkEnd w:id="104"/>
      <w:bookmarkEnd w:id="105"/>
      <w:r>
        <w:rPr>
          <w:rStyle w:val="CharDivText"/>
        </w:rPr>
        <w:t xml:space="preserve"> </w:t>
      </w:r>
    </w:p>
    <w:p>
      <w:pPr>
        <w:pStyle w:val="Heading5"/>
        <w:rPr>
          <w:snapToGrid w:val="0"/>
        </w:rPr>
      </w:pPr>
      <w:bookmarkStart w:id="106" w:name="_Toc397335746"/>
      <w:bookmarkStart w:id="107" w:name="_Toc377568149"/>
      <w:r>
        <w:rPr>
          <w:rStyle w:val="CharSectno"/>
        </w:rPr>
        <w:t>33</w:t>
      </w:r>
      <w:r>
        <w:rPr>
          <w:snapToGrid w:val="0"/>
        </w:rPr>
        <w:t>.</w:t>
      </w:r>
      <w:r>
        <w:rPr>
          <w:snapToGrid w:val="0"/>
        </w:rPr>
        <w:tab/>
        <w:t>Death of licensee</w:t>
      </w:r>
      <w:bookmarkEnd w:id="106"/>
      <w:bookmarkEnd w:id="107"/>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The Commissioner shall grant or refuse the application and, on granting the application, may impose 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108" w:name="_Toc397335747"/>
      <w:bookmarkStart w:id="109" w:name="_Toc377568150"/>
      <w:r>
        <w:rPr>
          <w:rStyle w:val="CharSectno"/>
        </w:rPr>
        <w:t>34</w:t>
      </w:r>
      <w:r>
        <w:rPr>
          <w:snapToGrid w:val="0"/>
        </w:rPr>
        <w:t>.</w:t>
      </w:r>
      <w:r>
        <w:rPr>
          <w:snapToGrid w:val="0"/>
        </w:rPr>
        <w:tab/>
        <w:t>Certain legal representatives temporarily exempted from licensing</w:t>
      </w:r>
      <w:bookmarkEnd w:id="108"/>
      <w:bookmarkEnd w:id="109"/>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110" w:name="_Toc397335748"/>
      <w:bookmarkStart w:id="111" w:name="_Toc377568151"/>
      <w:r>
        <w:rPr>
          <w:rStyle w:val="CharSectno"/>
        </w:rPr>
        <w:t>35</w:t>
      </w:r>
      <w:r>
        <w:rPr>
          <w:snapToGrid w:val="0"/>
        </w:rPr>
        <w:t>.</w:t>
      </w:r>
      <w:r>
        <w:rPr>
          <w:snapToGrid w:val="0"/>
        </w:rPr>
        <w:tab/>
        <w:t>Endorsement of conditions etc. of licence</w:t>
      </w:r>
      <w:bookmarkEnd w:id="110"/>
      <w:bookmarkEnd w:id="111"/>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112" w:name="_Toc377568152"/>
      <w:bookmarkStart w:id="113" w:name="_Toc397335076"/>
      <w:bookmarkStart w:id="114" w:name="_Toc397335552"/>
      <w:bookmarkStart w:id="115" w:name="_Toc397335749"/>
      <w:r>
        <w:rPr>
          <w:rStyle w:val="CharPartNo"/>
        </w:rPr>
        <w:t>Part III</w:t>
      </w:r>
      <w:r>
        <w:rPr>
          <w:rStyle w:val="CharDivNo"/>
        </w:rPr>
        <w:t> </w:t>
      </w:r>
      <w:r>
        <w:t>—</w:t>
      </w:r>
      <w:r>
        <w:rPr>
          <w:rStyle w:val="CharDivText"/>
        </w:rPr>
        <w:t> </w:t>
      </w:r>
      <w:r>
        <w:rPr>
          <w:rStyle w:val="CharPartText"/>
        </w:rPr>
        <w:t>Unjust conduct by travel agents</w:t>
      </w:r>
      <w:bookmarkEnd w:id="112"/>
      <w:bookmarkEnd w:id="113"/>
      <w:bookmarkEnd w:id="114"/>
      <w:bookmarkEnd w:id="115"/>
      <w:r>
        <w:rPr>
          <w:rStyle w:val="CharPartText"/>
        </w:rPr>
        <w:t xml:space="preserve"> </w:t>
      </w:r>
    </w:p>
    <w:p>
      <w:pPr>
        <w:pStyle w:val="Heading5"/>
        <w:rPr>
          <w:snapToGrid w:val="0"/>
        </w:rPr>
      </w:pPr>
      <w:bookmarkStart w:id="116" w:name="_Toc397335750"/>
      <w:bookmarkStart w:id="117" w:name="_Toc377568153"/>
      <w:r>
        <w:rPr>
          <w:rStyle w:val="CharSectno"/>
        </w:rPr>
        <w:t>36</w:t>
      </w:r>
      <w:r>
        <w:rPr>
          <w:snapToGrid w:val="0"/>
        </w:rPr>
        <w:t>.</w:t>
      </w:r>
      <w:r>
        <w:rPr>
          <w:snapToGrid w:val="0"/>
        </w:rPr>
        <w:tab/>
        <w:t>Interpretation</w:t>
      </w:r>
      <w:bookmarkEnd w:id="116"/>
      <w:bookmarkEnd w:id="117"/>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 or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r>
        <w:tab/>
        <w:t>[Section 36 amended by No. 55 of 2004 s. 1259(2).]</w:t>
      </w:r>
    </w:p>
    <w:p>
      <w:pPr>
        <w:pStyle w:val="Heading5"/>
        <w:rPr>
          <w:snapToGrid w:val="0"/>
        </w:rPr>
      </w:pPr>
      <w:bookmarkStart w:id="118" w:name="_Toc397335751"/>
      <w:bookmarkStart w:id="119" w:name="_Toc377568154"/>
      <w:r>
        <w:rPr>
          <w:rStyle w:val="CharSectno"/>
        </w:rPr>
        <w:t>37</w:t>
      </w:r>
      <w:r>
        <w:rPr>
          <w:snapToGrid w:val="0"/>
        </w:rPr>
        <w:t>.</w:t>
      </w:r>
      <w:r>
        <w:rPr>
          <w:snapToGrid w:val="0"/>
        </w:rPr>
        <w:tab/>
        <w:t>Undertakings by travel agent</w:t>
      </w:r>
      <w:bookmarkEnd w:id="118"/>
      <w:bookmarkEnd w:id="119"/>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 and</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120" w:name="_Toc397335752"/>
      <w:bookmarkStart w:id="121" w:name="_Toc377568155"/>
      <w:r>
        <w:rPr>
          <w:rStyle w:val="CharSectno"/>
        </w:rPr>
        <w:t>38</w:t>
      </w:r>
      <w:r>
        <w:rPr>
          <w:snapToGrid w:val="0"/>
        </w:rPr>
        <w:t>.</w:t>
      </w:r>
      <w:r>
        <w:rPr>
          <w:snapToGrid w:val="0"/>
        </w:rPr>
        <w:tab/>
        <w:t>Register of Undertakings</w:t>
      </w:r>
      <w:bookmarkEnd w:id="120"/>
      <w:bookmarkEnd w:id="121"/>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r>
        <w:tab/>
        <w:t>[Section 38 amended by No. 55 of 2004 s. 1252 and 1259(2).]</w:t>
      </w:r>
    </w:p>
    <w:p>
      <w:pPr>
        <w:pStyle w:val="Heading5"/>
        <w:rPr>
          <w:snapToGrid w:val="0"/>
        </w:rPr>
      </w:pPr>
      <w:bookmarkStart w:id="122" w:name="_Toc397335753"/>
      <w:bookmarkStart w:id="123" w:name="_Toc377568156"/>
      <w:r>
        <w:rPr>
          <w:rStyle w:val="CharSectno"/>
        </w:rPr>
        <w:t>39</w:t>
      </w:r>
      <w:r>
        <w:rPr>
          <w:snapToGrid w:val="0"/>
        </w:rPr>
        <w:t>.</w:t>
      </w:r>
      <w:r>
        <w:rPr>
          <w:snapToGrid w:val="0"/>
        </w:rPr>
        <w:tab/>
        <w:t>Restraint of unjust conduct</w:t>
      </w:r>
      <w:bookmarkEnd w:id="122"/>
      <w:bookmarkEnd w:id="123"/>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w:t>
      </w:r>
      <w:r>
        <w:t xml:space="preserve"> the</w:t>
      </w:r>
      <w:r>
        <w:rPr>
          <w:rStyle w:val="CharDefText"/>
        </w:rPr>
        <w:t xml:space="preserv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r>
        <w:tab/>
        <w:t>[Section 39 amended by No. 55 of 2004 s. 1253 and 1259(2).]</w:t>
      </w:r>
    </w:p>
    <w:p>
      <w:pPr>
        <w:pStyle w:val="Heading5"/>
        <w:rPr>
          <w:snapToGrid w:val="0"/>
        </w:rPr>
      </w:pPr>
      <w:bookmarkStart w:id="124" w:name="_Toc397335754"/>
      <w:bookmarkStart w:id="125" w:name="_Toc377568157"/>
      <w:r>
        <w:rPr>
          <w:rStyle w:val="CharSectno"/>
        </w:rPr>
        <w:t>40</w:t>
      </w:r>
      <w:r>
        <w:rPr>
          <w:snapToGrid w:val="0"/>
        </w:rPr>
        <w:t>.</w:t>
      </w:r>
      <w:r>
        <w:rPr>
          <w:snapToGrid w:val="0"/>
        </w:rPr>
        <w:tab/>
        <w:t>Variation or discharge of restraining order</w:t>
      </w:r>
      <w:bookmarkEnd w:id="124"/>
      <w:bookmarkEnd w:id="125"/>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r>
        <w:tab/>
        <w:t>[Section 40 amended by No. 55 of 2004 s. 1259(2).]</w:t>
      </w:r>
    </w:p>
    <w:p>
      <w:pPr>
        <w:pStyle w:val="Heading2"/>
      </w:pPr>
      <w:bookmarkStart w:id="126" w:name="_Toc377568158"/>
      <w:bookmarkStart w:id="127" w:name="_Toc397335082"/>
      <w:bookmarkStart w:id="128" w:name="_Toc397335558"/>
      <w:bookmarkStart w:id="129" w:name="_Toc397335755"/>
      <w:r>
        <w:rPr>
          <w:rStyle w:val="CharPartNo"/>
        </w:rPr>
        <w:t>Part IV</w:t>
      </w:r>
      <w:r>
        <w:rPr>
          <w:rStyle w:val="CharDivNo"/>
        </w:rPr>
        <w:t> </w:t>
      </w:r>
      <w:r>
        <w:t>—</w:t>
      </w:r>
      <w:r>
        <w:rPr>
          <w:rStyle w:val="CharDivText"/>
        </w:rPr>
        <w:t> </w:t>
      </w:r>
      <w:r>
        <w:rPr>
          <w:rStyle w:val="CharPartText"/>
        </w:rPr>
        <w:t>General</w:t>
      </w:r>
      <w:bookmarkEnd w:id="126"/>
      <w:bookmarkEnd w:id="127"/>
      <w:bookmarkEnd w:id="128"/>
      <w:bookmarkEnd w:id="129"/>
      <w:r>
        <w:rPr>
          <w:rStyle w:val="CharPartText"/>
        </w:rPr>
        <w:t xml:space="preserve"> </w:t>
      </w:r>
    </w:p>
    <w:p>
      <w:pPr>
        <w:pStyle w:val="Heading5"/>
        <w:rPr>
          <w:snapToGrid w:val="0"/>
        </w:rPr>
      </w:pPr>
      <w:bookmarkStart w:id="130" w:name="_Toc397335756"/>
      <w:bookmarkStart w:id="131" w:name="_Toc377568159"/>
      <w:r>
        <w:rPr>
          <w:rStyle w:val="CharSectno"/>
        </w:rPr>
        <w:t>41</w:t>
      </w:r>
      <w:r>
        <w:rPr>
          <w:snapToGrid w:val="0"/>
        </w:rPr>
        <w:t>.</w:t>
      </w:r>
      <w:r>
        <w:rPr>
          <w:snapToGrid w:val="0"/>
        </w:rPr>
        <w:tab/>
        <w:t>Accounts and records to be kept by travel agent</w:t>
      </w:r>
      <w:bookmarkEnd w:id="130"/>
      <w:bookmarkEnd w:id="131"/>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 and</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 and</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 and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r>
        <w:t>[</w:t>
      </w:r>
      <w:r>
        <w:rPr>
          <w:b/>
        </w:rPr>
        <w:t>42</w:t>
      </w:r>
      <w:r>
        <w:rPr>
          <w:b/>
        </w:rPr>
        <w:noBreakHyphen/>
        <w:t>47.</w:t>
      </w:r>
      <w:r>
        <w:tab/>
        <w:t>Deleted by No. 55 of 2004 s. 1254.]</w:t>
      </w:r>
    </w:p>
    <w:p>
      <w:pPr>
        <w:pStyle w:val="Heading5"/>
        <w:rPr>
          <w:snapToGrid w:val="0"/>
        </w:rPr>
      </w:pPr>
      <w:bookmarkStart w:id="132" w:name="_Toc397335757"/>
      <w:bookmarkStart w:id="133" w:name="_Toc377568160"/>
      <w:r>
        <w:rPr>
          <w:rStyle w:val="CharSectno"/>
        </w:rPr>
        <w:t>48</w:t>
      </w:r>
      <w:r>
        <w:rPr>
          <w:snapToGrid w:val="0"/>
        </w:rPr>
        <w:t>.</w:t>
      </w:r>
      <w:r>
        <w:rPr>
          <w:snapToGrid w:val="0"/>
        </w:rPr>
        <w:tab/>
        <w:t>Other rights and remedies not affected by this Act</w:t>
      </w:r>
      <w:bookmarkEnd w:id="132"/>
      <w:bookmarkEnd w:id="133"/>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134" w:name="_Toc397335758"/>
      <w:bookmarkStart w:id="135" w:name="_Toc377568161"/>
      <w:r>
        <w:rPr>
          <w:rStyle w:val="CharSectno"/>
        </w:rPr>
        <w:t>49</w:t>
      </w:r>
      <w:r>
        <w:rPr>
          <w:snapToGrid w:val="0"/>
        </w:rPr>
        <w:t>.</w:t>
      </w:r>
      <w:r>
        <w:rPr>
          <w:snapToGrid w:val="0"/>
        </w:rPr>
        <w:tab/>
        <w:t>Compensation Trustees to have certain rights by subrogation and otherwise</w:t>
      </w:r>
      <w:bookmarkEnd w:id="134"/>
      <w:bookmarkEnd w:id="135"/>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w:t>
      </w:r>
      <w:r>
        <w:t>called the</w:t>
      </w:r>
      <w:r>
        <w:rPr>
          <w:rStyle w:val="CharDefText"/>
        </w:rPr>
        <w:t xml:space="preserv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136" w:name="_Toc397335759"/>
      <w:bookmarkStart w:id="137" w:name="_Toc377568162"/>
      <w:r>
        <w:rPr>
          <w:rStyle w:val="CharSectno"/>
        </w:rPr>
        <w:t>49A</w:t>
      </w:r>
      <w:r>
        <w:t>.</w:t>
      </w:r>
      <w:r>
        <w:tab/>
        <w:t>Commissioner</w:t>
      </w:r>
      <w:bookmarkEnd w:id="136"/>
      <w:bookmarkEnd w:id="13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138" w:name="_Toc397335760"/>
      <w:bookmarkStart w:id="139" w:name="_Toc377568163"/>
      <w:r>
        <w:rPr>
          <w:rStyle w:val="CharSectno"/>
        </w:rPr>
        <w:t>50</w:t>
      </w:r>
      <w:r>
        <w:rPr>
          <w:snapToGrid w:val="0"/>
        </w:rPr>
        <w:t>.</w:t>
      </w:r>
      <w:r>
        <w:rPr>
          <w:snapToGrid w:val="0"/>
        </w:rPr>
        <w:tab/>
        <w:t>Delegation</w:t>
      </w:r>
      <w:bookmarkEnd w:id="138"/>
      <w:bookmarkEnd w:id="139"/>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140" w:name="_Toc397335761"/>
      <w:bookmarkStart w:id="141" w:name="_Toc377568164"/>
      <w:r>
        <w:rPr>
          <w:rStyle w:val="CharSectno"/>
        </w:rPr>
        <w:t>50A</w:t>
      </w:r>
      <w:r>
        <w:t>.</w:t>
      </w:r>
      <w:r>
        <w:tab/>
        <w:t>Protection from liability for wrongdoing</w:t>
      </w:r>
      <w:bookmarkEnd w:id="140"/>
      <w:bookmarkEnd w:id="141"/>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142" w:name="_Toc397335762"/>
      <w:bookmarkStart w:id="143" w:name="_Toc377568165"/>
      <w:r>
        <w:rPr>
          <w:rStyle w:val="CharSectno"/>
        </w:rPr>
        <w:t>51</w:t>
      </w:r>
      <w:r>
        <w:rPr>
          <w:snapToGrid w:val="0"/>
        </w:rPr>
        <w:t>.</w:t>
      </w:r>
      <w:r>
        <w:rPr>
          <w:snapToGrid w:val="0"/>
        </w:rPr>
        <w:tab/>
        <w:t>Legal action by Compensation Trustees</w:t>
      </w:r>
      <w:bookmarkEnd w:id="142"/>
      <w:bookmarkEnd w:id="143"/>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144" w:name="_Toc397335763"/>
      <w:bookmarkStart w:id="145" w:name="_Toc377568166"/>
      <w:r>
        <w:rPr>
          <w:rStyle w:val="CharSectno"/>
        </w:rPr>
        <w:t>52</w:t>
      </w:r>
      <w:r>
        <w:rPr>
          <w:snapToGrid w:val="0"/>
        </w:rPr>
        <w:t>.</w:t>
      </w:r>
      <w:r>
        <w:rPr>
          <w:snapToGrid w:val="0"/>
        </w:rPr>
        <w:tab/>
        <w:t>Secrecy</w:t>
      </w:r>
      <w:bookmarkEnd w:id="144"/>
      <w:bookmarkEnd w:id="145"/>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 or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 or</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 or</w:t>
      </w:r>
    </w:p>
    <w:p>
      <w:pPr>
        <w:pStyle w:val="Indenta"/>
      </w:pPr>
      <w:r>
        <w:tab/>
        <w:t>(b)</w:t>
      </w:r>
      <w:r>
        <w:tab/>
        <w:t>under this Act; or</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pPr>
      <w:r>
        <w:tab/>
        <w:t>(d)</w:t>
      </w:r>
      <w:r>
        <w:tab/>
        <w:t>for the purposes of the investigation of any suspected offence or the conduct of proceedings against any person for an offence; or</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146" w:name="_Toc397335764"/>
      <w:bookmarkStart w:id="147" w:name="_Toc377568167"/>
      <w:r>
        <w:rPr>
          <w:rStyle w:val="CharSectno"/>
        </w:rPr>
        <w:t>53</w:t>
      </w:r>
      <w:r>
        <w:rPr>
          <w:snapToGrid w:val="0"/>
        </w:rPr>
        <w:t>.</w:t>
      </w:r>
      <w:r>
        <w:rPr>
          <w:snapToGrid w:val="0"/>
        </w:rPr>
        <w:tab/>
        <w:t>Injunctions</w:t>
      </w:r>
      <w:bookmarkEnd w:id="146"/>
      <w:bookmarkEnd w:id="147"/>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w:t>
      </w:r>
      <w:r>
        <w:t>called the</w:t>
      </w:r>
      <w:r>
        <w:rPr>
          <w:rStyle w:val="CharDefText"/>
        </w:rPr>
        <w:t xml:space="preserv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 or</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 or</w:t>
      </w:r>
    </w:p>
    <w:p>
      <w:pPr>
        <w:pStyle w:val="Indenti"/>
        <w:rPr>
          <w:snapToGrid w:val="0"/>
        </w:rPr>
      </w:pPr>
      <w:r>
        <w:rPr>
          <w:snapToGrid w:val="0"/>
        </w:rPr>
        <w:tab/>
        <w:t>(ii)</w:t>
      </w:r>
      <w:r>
        <w:rPr>
          <w:snapToGrid w:val="0"/>
        </w:rPr>
        <w:tab/>
        <w:t>aiding, abetting, counselling or procuring a person to contravene that provision; or</w:t>
      </w:r>
    </w:p>
    <w:p>
      <w:pPr>
        <w:pStyle w:val="Indenti"/>
        <w:rPr>
          <w:snapToGrid w:val="0"/>
        </w:rPr>
      </w:pPr>
      <w:r>
        <w:rPr>
          <w:snapToGrid w:val="0"/>
        </w:rPr>
        <w:tab/>
        <w:t>(iii)</w:t>
      </w:r>
      <w:r>
        <w:rPr>
          <w:snapToGrid w:val="0"/>
        </w:rPr>
        <w:tab/>
        <w:t>inducing, or attempting to induce, a person, whether by threats or promises or otherwise, to contravene that provision; or</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r>
        <w:t>[</w:t>
      </w:r>
      <w:r>
        <w:rPr>
          <w:b/>
        </w:rPr>
        <w:t>54.</w:t>
      </w:r>
      <w:r>
        <w:tab/>
        <w:t>Deleted by No. 55 of 2004 s. 1256.]</w:t>
      </w:r>
    </w:p>
    <w:p>
      <w:pPr>
        <w:pStyle w:val="Heading5"/>
        <w:rPr>
          <w:snapToGrid w:val="0"/>
        </w:rPr>
      </w:pPr>
      <w:bookmarkStart w:id="148" w:name="_Toc397335765"/>
      <w:bookmarkStart w:id="149" w:name="_Toc377568168"/>
      <w:r>
        <w:rPr>
          <w:rStyle w:val="CharSectno"/>
        </w:rPr>
        <w:t>55</w:t>
      </w:r>
      <w:r>
        <w:rPr>
          <w:snapToGrid w:val="0"/>
        </w:rPr>
        <w:t>.</w:t>
      </w:r>
      <w:r>
        <w:rPr>
          <w:snapToGrid w:val="0"/>
        </w:rPr>
        <w:tab/>
        <w:t>Limitation period for prosecutions</w:t>
      </w:r>
      <w:bookmarkEnd w:id="148"/>
      <w:bookmarkEnd w:id="149"/>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150" w:name="_Toc397335766"/>
      <w:bookmarkStart w:id="151" w:name="_Toc377568169"/>
      <w:r>
        <w:rPr>
          <w:rStyle w:val="CharSectno"/>
        </w:rPr>
        <w:t>56</w:t>
      </w:r>
      <w:r>
        <w:rPr>
          <w:snapToGrid w:val="0"/>
        </w:rPr>
        <w:t>.</w:t>
      </w:r>
      <w:r>
        <w:rPr>
          <w:snapToGrid w:val="0"/>
        </w:rPr>
        <w:tab/>
        <w:t>General penalty</w:t>
      </w:r>
      <w:bookmarkEnd w:id="150"/>
      <w:bookmarkEnd w:id="151"/>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152" w:name="_Toc397335767"/>
      <w:bookmarkStart w:id="153" w:name="_Toc377568170"/>
      <w:r>
        <w:rPr>
          <w:rStyle w:val="CharSectno"/>
        </w:rPr>
        <w:t>57</w:t>
      </w:r>
      <w:r>
        <w:rPr>
          <w:snapToGrid w:val="0"/>
        </w:rPr>
        <w:t>.</w:t>
      </w:r>
      <w:r>
        <w:rPr>
          <w:snapToGrid w:val="0"/>
        </w:rPr>
        <w:tab/>
        <w:t>Liability of directors and others when offence committed by body corporate</w:t>
      </w:r>
      <w:bookmarkEnd w:id="152"/>
      <w:bookmarkEnd w:id="153"/>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154" w:name="_Toc397335768"/>
      <w:bookmarkStart w:id="155" w:name="_Toc377568171"/>
      <w:r>
        <w:rPr>
          <w:rStyle w:val="CharSectno"/>
        </w:rPr>
        <w:t>58</w:t>
      </w:r>
      <w:r>
        <w:rPr>
          <w:snapToGrid w:val="0"/>
        </w:rPr>
        <w:t>.</w:t>
      </w:r>
      <w:r>
        <w:rPr>
          <w:snapToGrid w:val="0"/>
        </w:rPr>
        <w:tab/>
        <w:t>Annual report</w:t>
      </w:r>
      <w:bookmarkEnd w:id="154"/>
      <w:bookmarkEnd w:id="155"/>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r>
        <w:tab/>
        <w:t>[Section 58 amended by No. 55 of 2004 s. 1257.]</w:t>
      </w:r>
    </w:p>
    <w:p>
      <w:pPr>
        <w:pStyle w:val="Heading5"/>
        <w:rPr>
          <w:snapToGrid w:val="0"/>
        </w:rPr>
      </w:pPr>
      <w:bookmarkStart w:id="156" w:name="_Toc397335769"/>
      <w:bookmarkStart w:id="157" w:name="_Toc377568172"/>
      <w:r>
        <w:rPr>
          <w:rStyle w:val="CharSectno"/>
        </w:rPr>
        <w:t>59</w:t>
      </w:r>
      <w:r>
        <w:rPr>
          <w:snapToGrid w:val="0"/>
        </w:rPr>
        <w:t>.</w:t>
      </w:r>
      <w:r>
        <w:rPr>
          <w:snapToGrid w:val="0"/>
        </w:rPr>
        <w:tab/>
        <w:t>Regulations</w:t>
      </w:r>
      <w:bookmarkEnd w:id="156"/>
      <w:bookmarkEnd w:id="15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 and</w:t>
      </w:r>
    </w:p>
    <w:p>
      <w:pPr>
        <w:pStyle w:val="Indenta"/>
        <w:rPr>
          <w:snapToGrid w:val="0"/>
        </w:rPr>
      </w:pPr>
      <w:r>
        <w:rPr>
          <w:snapToGrid w:val="0"/>
        </w:rPr>
        <w:tab/>
        <w:t>(b)</w:t>
      </w:r>
      <w:r>
        <w:rPr>
          <w:snapToGrid w:val="0"/>
        </w:rPr>
        <w:tab/>
        <w:t>prescribe the procedure to be followed on applications and other proceedings under this Act; and</w:t>
      </w:r>
    </w:p>
    <w:p>
      <w:pPr>
        <w:pStyle w:val="Indenta"/>
        <w:rPr>
          <w:snapToGrid w:val="0"/>
        </w:rPr>
      </w:pPr>
      <w:r>
        <w:rPr>
          <w:snapToGrid w:val="0"/>
        </w:rPr>
        <w:tab/>
        <w:t>(c)</w:t>
      </w:r>
      <w:r>
        <w:rPr>
          <w:snapToGrid w:val="0"/>
        </w:rPr>
        <w:tab/>
        <w:t>prescribe the functions of the Commissioner in relation to this Act; and</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 and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 and</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158" w:name="_Toc397335770"/>
      <w:bookmarkStart w:id="159" w:name="_Toc377568173"/>
      <w:r>
        <w:rPr>
          <w:rStyle w:val="CharSectno"/>
        </w:rPr>
        <w:t>60</w:t>
      </w:r>
      <w:r>
        <w:rPr>
          <w:snapToGrid w:val="0"/>
        </w:rPr>
        <w:t>.</w:t>
      </w:r>
      <w:r>
        <w:rPr>
          <w:snapToGrid w:val="0"/>
        </w:rPr>
        <w:tab/>
        <w:t>Amendment of Schedule</w:t>
      </w:r>
      <w:bookmarkEnd w:id="158"/>
      <w:bookmarkEnd w:id="159"/>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 or</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160" w:name="_Toc377568174"/>
      <w:bookmarkStart w:id="161" w:name="_Toc397335098"/>
      <w:bookmarkStart w:id="162" w:name="_Toc397335574"/>
      <w:bookmarkStart w:id="163" w:name="_Toc397335771"/>
      <w:r>
        <w:rPr>
          <w:rStyle w:val="CharSchNo"/>
        </w:rPr>
        <w:t>Schedule</w:t>
      </w:r>
      <w:r>
        <w:t> — </w:t>
      </w:r>
      <w:r>
        <w:rPr>
          <w:rStyle w:val="CharSchText"/>
        </w:rPr>
        <w:t>Specified Licensing or Registration Acts</w:t>
      </w:r>
      <w:bookmarkEnd w:id="160"/>
      <w:bookmarkEnd w:id="161"/>
      <w:bookmarkEnd w:id="162"/>
      <w:bookmarkEnd w:id="163"/>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r>
              <w:rPr>
                <w:snapToGrid w:val="0"/>
              </w:rPr>
              <w:t>.</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rPr>
          <w:ins w:id="164" w:author="svcMRProcess" w:date="2018-09-09T15:00:00Z"/>
        </w:rPr>
      </w:pPr>
      <w:bookmarkStart w:id="165" w:name="_Toc377568175"/>
      <w:bookmarkStart w:id="166" w:name="_Toc397335099"/>
      <w:bookmarkStart w:id="167" w:name="_Toc397335575"/>
      <w:bookmarkStart w:id="168" w:name="_Toc397335772"/>
      <w:ins w:id="169" w:author="svcMRProcess" w:date="2018-09-09T15:00:00Z">
        <w:r>
          <w:t>Notes</w:t>
        </w:r>
        <w:bookmarkEnd w:id="165"/>
        <w:bookmarkEnd w:id="166"/>
        <w:bookmarkEnd w:id="167"/>
        <w:bookmarkEnd w:id="168"/>
      </w:ins>
    </w:p>
    <w:p>
      <w:pPr>
        <w:pStyle w:val="nSubsection"/>
        <w:rPr>
          <w:ins w:id="170" w:author="svcMRProcess" w:date="2018-09-09T15:00:00Z"/>
          <w:snapToGrid w:val="0"/>
        </w:rPr>
      </w:pPr>
      <w:ins w:id="171" w:author="svcMRProcess" w:date="2018-09-09T15:00:00Z">
        <w:r>
          <w:rPr>
            <w:snapToGrid w:val="0"/>
            <w:vertAlign w:val="superscript"/>
          </w:rPr>
          <w:t>1</w:t>
        </w:r>
        <w:r>
          <w:rPr>
            <w:snapToGrid w:val="0"/>
          </w:rPr>
          <w:tab/>
          <w:t>This is a compilation of the</w:t>
        </w:r>
        <w:r>
          <w:rPr>
            <w:i/>
          </w:rPr>
          <w:t xml:space="preserve"> Travel Agents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ins>
    </w:p>
    <w:p>
      <w:pPr>
        <w:pStyle w:val="nHeading3"/>
        <w:rPr>
          <w:ins w:id="172" w:author="svcMRProcess" w:date="2018-09-09T15:00:00Z"/>
          <w:snapToGrid w:val="0"/>
        </w:rPr>
      </w:pPr>
      <w:bookmarkStart w:id="173" w:name="_Toc397335773"/>
      <w:ins w:id="174" w:author="svcMRProcess" w:date="2018-09-09T15:00:00Z">
        <w:r>
          <w:rPr>
            <w:snapToGrid w:val="0"/>
          </w:rPr>
          <w:t>Compilation table</w:t>
        </w:r>
        <w:bookmarkEnd w:id="173"/>
      </w:ins>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9"/>
        <w:gridCol w:w="25"/>
        <w:gridCol w:w="2526"/>
        <w:gridCol w:w="27"/>
      </w:tblGrid>
      <w:tr>
        <w:trPr>
          <w:gridBefore w:val="1"/>
          <w:wBefore w:w="26" w:type="dxa"/>
          <w:tblHeader/>
          <w:ins w:id="175" w:author="svcMRProcess" w:date="2018-09-09T15:00:00Z"/>
        </w:trPr>
        <w:tc>
          <w:tcPr>
            <w:tcW w:w="2268" w:type="dxa"/>
            <w:gridSpan w:val="2"/>
            <w:tcBorders>
              <w:top w:val="single" w:sz="8" w:space="0" w:color="auto"/>
              <w:bottom w:val="single" w:sz="8" w:space="0" w:color="auto"/>
            </w:tcBorders>
            <w:shd w:val="clear" w:color="auto" w:fill="auto"/>
          </w:tcPr>
          <w:p>
            <w:pPr>
              <w:pStyle w:val="nTable"/>
              <w:spacing w:after="40"/>
              <w:rPr>
                <w:ins w:id="176" w:author="svcMRProcess" w:date="2018-09-09T15:00:00Z"/>
                <w:b/>
                <w:sz w:val="19"/>
              </w:rPr>
            </w:pPr>
            <w:ins w:id="177" w:author="svcMRProcess" w:date="2018-09-09T15:00:00Z">
              <w:r>
                <w:rPr>
                  <w:b/>
                  <w:sz w:val="19"/>
                </w:rPr>
                <w:t>Short title</w:t>
              </w:r>
            </w:ins>
          </w:p>
        </w:tc>
        <w:tc>
          <w:tcPr>
            <w:tcW w:w="1134" w:type="dxa"/>
            <w:gridSpan w:val="2"/>
            <w:tcBorders>
              <w:top w:val="single" w:sz="8" w:space="0" w:color="auto"/>
              <w:bottom w:val="single" w:sz="8" w:space="0" w:color="auto"/>
            </w:tcBorders>
            <w:shd w:val="clear" w:color="auto" w:fill="auto"/>
          </w:tcPr>
          <w:p>
            <w:pPr>
              <w:pStyle w:val="nTable"/>
              <w:spacing w:after="40"/>
              <w:rPr>
                <w:ins w:id="178" w:author="svcMRProcess" w:date="2018-09-09T15:00:00Z"/>
                <w:b/>
                <w:sz w:val="19"/>
              </w:rPr>
            </w:pPr>
            <w:ins w:id="179" w:author="svcMRProcess" w:date="2018-09-09T15:00:00Z">
              <w:r>
                <w:rPr>
                  <w:b/>
                  <w:sz w:val="19"/>
                </w:rPr>
                <w:t>Number and year</w:t>
              </w:r>
            </w:ins>
          </w:p>
        </w:tc>
        <w:tc>
          <w:tcPr>
            <w:tcW w:w="1134" w:type="dxa"/>
            <w:gridSpan w:val="2"/>
            <w:tcBorders>
              <w:top w:val="single" w:sz="8" w:space="0" w:color="auto"/>
              <w:bottom w:val="single" w:sz="8" w:space="0" w:color="auto"/>
            </w:tcBorders>
            <w:shd w:val="clear" w:color="auto" w:fill="auto"/>
          </w:tcPr>
          <w:p>
            <w:pPr>
              <w:pStyle w:val="nTable"/>
              <w:spacing w:after="40"/>
              <w:rPr>
                <w:ins w:id="180" w:author="svcMRProcess" w:date="2018-09-09T15:00:00Z"/>
                <w:b/>
                <w:sz w:val="19"/>
              </w:rPr>
            </w:pPr>
            <w:ins w:id="181" w:author="svcMRProcess" w:date="2018-09-09T15:00:00Z">
              <w:r>
                <w:rPr>
                  <w:b/>
                  <w:sz w:val="19"/>
                </w:rPr>
                <w:t>Assent</w:t>
              </w:r>
            </w:ins>
          </w:p>
        </w:tc>
        <w:tc>
          <w:tcPr>
            <w:tcW w:w="2553" w:type="dxa"/>
            <w:gridSpan w:val="2"/>
            <w:tcBorders>
              <w:top w:val="single" w:sz="8" w:space="0" w:color="auto"/>
              <w:bottom w:val="single" w:sz="8" w:space="0" w:color="auto"/>
            </w:tcBorders>
            <w:shd w:val="clear" w:color="auto" w:fill="auto"/>
          </w:tcPr>
          <w:p>
            <w:pPr>
              <w:pStyle w:val="nTable"/>
              <w:spacing w:after="40"/>
              <w:rPr>
                <w:ins w:id="182" w:author="svcMRProcess" w:date="2018-09-09T15:00:00Z"/>
                <w:b/>
                <w:sz w:val="19"/>
              </w:rPr>
            </w:pPr>
            <w:ins w:id="183" w:author="svcMRProcess" w:date="2018-09-09T15:00:00Z">
              <w:r>
                <w:rPr>
                  <w:b/>
                  <w:sz w:val="19"/>
                </w:rPr>
                <w:t>Commencement</w:t>
              </w:r>
            </w:ins>
          </w:p>
        </w:tc>
      </w:tr>
      <w:tr>
        <w:trPr>
          <w:gridBefore w:val="1"/>
          <w:wBefore w:w="26" w:type="dxa"/>
          <w:ins w:id="184" w:author="svcMRProcess" w:date="2018-09-09T15:00:00Z"/>
        </w:trPr>
        <w:tc>
          <w:tcPr>
            <w:tcW w:w="2268" w:type="dxa"/>
            <w:gridSpan w:val="2"/>
          </w:tcPr>
          <w:p>
            <w:pPr>
              <w:pStyle w:val="nTable"/>
              <w:spacing w:after="40"/>
              <w:rPr>
                <w:ins w:id="185" w:author="svcMRProcess" w:date="2018-09-09T15:00:00Z"/>
                <w:sz w:val="19"/>
              </w:rPr>
            </w:pPr>
            <w:ins w:id="186" w:author="svcMRProcess" w:date="2018-09-09T15:00:00Z">
              <w:r>
                <w:rPr>
                  <w:i/>
                  <w:sz w:val="19"/>
                </w:rPr>
                <w:t>Travel Agents Act 1985</w:t>
              </w:r>
            </w:ins>
          </w:p>
        </w:tc>
        <w:tc>
          <w:tcPr>
            <w:tcW w:w="1134" w:type="dxa"/>
            <w:gridSpan w:val="2"/>
          </w:tcPr>
          <w:p>
            <w:pPr>
              <w:pStyle w:val="nTable"/>
              <w:spacing w:after="40"/>
              <w:rPr>
                <w:ins w:id="187" w:author="svcMRProcess" w:date="2018-09-09T15:00:00Z"/>
                <w:sz w:val="19"/>
              </w:rPr>
            </w:pPr>
            <w:ins w:id="188" w:author="svcMRProcess" w:date="2018-09-09T15:00:00Z">
              <w:r>
                <w:rPr>
                  <w:sz w:val="19"/>
                </w:rPr>
                <w:t>120 of 1985</w:t>
              </w:r>
            </w:ins>
          </w:p>
        </w:tc>
        <w:tc>
          <w:tcPr>
            <w:tcW w:w="1134" w:type="dxa"/>
            <w:gridSpan w:val="2"/>
          </w:tcPr>
          <w:p>
            <w:pPr>
              <w:pStyle w:val="nTable"/>
              <w:spacing w:after="40"/>
              <w:rPr>
                <w:ins w:id="189" w:author="svcMRProcess" w:date="2018-09-09T15:00:00Z"/>
                <w:sz w:val="19"/>
              </w:rPr>
            </w:pPr>
            <w:ins w:id="190" w:author="svcMRProcess" w:date="2018-09-09T15:00:00Z">
              <w:r>
                <w:rPr>
                  <w:sz w:val="19"/>
                </w:rPr>
                <w:t>30 Dec 1985</w:t>
              </w:r>
            </w:ins>
          </w:p>
        </w:tc>
        <w:tc>
          <w:tcPr>
            <w:tcW w:w="2553" w:type="dxa"/>
            <w:gridSpan w:val="2"/>
          </w:tcPr>
          <w:p>
            <w:pPr>
              <w:pStyle w:val="nTable"/>
              <w:spacing w:after="40"/>
              <w:rPr>
                <w:ins w:id="191" w:author="svcMRProcess" w:date="2018-09-09T15:00:00Z"/>
                <w:sz w:val="19"/>
              </w:rPr>
            </w:pPr>
            <w:ins w:id="192" w:author="svcMRProcess" w:date="2018-09-09T15:00:00Z">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ins>
          </w:p>
        </w:tc>
      </w:tr>
      <w:tr>
        <w:trPr>
          <w:gridBefore w:val="1"/>
          <w:wBefore w:w="26" w:type="dxa"/>
          <w:ins w:id="193" w:author="svcMRProcess" w:date="2018-09-09T15:00:00Z"/>
        </w:trPr>
        <w:tc>
          <w:tcPr>
            <w:tcW w:w="2268" w:type="dxa"/>
            <w:gridSpan w:val="2"/>
          </w:tcPr>
          <w:p>
            <w:pPr>
              <w:pStyle w:val="nTable"/>
              <w:spacing w:after="40"/>
              <w:rPr>
                <w:ins w:id="194" w:author="svcMRProcess" w:date="2018-09-09T15:00:00Z"/>
                <w:sz w:val="19"/>
              </w:rPr>
            </w:pPr>
            <w:ins w:id="195" w:author="svcMRProcess" w:date="2018-09-09T15:00:00Z">
              <w:r>
                <w:rPr>
                  <w:i/>
                  <w:sz w:val="19"/>
                </w:rPr>
                <w:t>Travel Agents Amendment Act 1989</w:t>
              </w:r>
            </w:ins>
          </w:p>
        </w:tc>
        <w:tc>
          <w:tcPr>
            <w:tcW w:w="1134" w:type="dxa"/>
            <w:gridSpan w:val="2"/>
          </w:tcPr>
          <w:p>
            <w:pPr>
              <w:pStyle w:val="nTable"/>
              <w:spacing w:after="40"/>
              <w:rPr>
                <w:ins w:id="196" w:author="svcMRProcess" w:date="2018-09-09T15:00:00Z"/>
                <w:sz w:val="19"/>
              </w:rPr>
            </w:pPr>
            <w:ins w:id="197" w:author="svcMRProcess" w:date="2018-09-09T15:00:00Z">
              <w:r>
                <w:rPr>
                  <w:sz w:val="19"/>
                </w:rPr>
                <w:t>27 of 1989</w:t>
              </w:r>
            </w:ins>
          </w:p>
        </w:tc>
        <w:tc>
          <w:tcPr>
            <w:tcW w:w="1134" w:type="dxa"/>
            <w:gridSpan w:val="2"/>
          </w:tcPr>
          <w:p>
            <w:pPr>
              <w:pStyle w:val="nTable"/>
              <w:spacing w:after="40"/>
              <w:rPr>
                <w:ins w:id="198" w:author="svcMRProcess" w:date="2018-09-09T15:00:00Z"/>
                <w:sz w:val="19"/>
              </w:rPr>
            </w:pPr>
            <w:ins w:id="199" w:author="svcMRProcess" w:date="2018-09-09T15:00:00Z">
              <w:r>
                <w:rPr>
                  <w:sz w:val="19"/>
                </w:rPr>
                <w:t>12 Dec 1989</w:t>
              </w:r>
            </w:ins>
          </w:p>
        </w:tc>
        <w:tc>
          <w:tcPr>
            <w:tcW w:w="2553" w:type="dxa"/>
            <w:gridSpan w:val="2"/>
          </w:tcPr>
          <w:p>
            <w:pPr>
              <w:pStyle w:val="nTable"/>
              <w:spacing w:after="40"/>
              <w:rPr>
                <w:ins w:id="200" w:author="svcMRProcess" w:date="2018-09-09T15:00:00Z"/>
                <w:sz w:val="19"/>
              </w:rPr>
            </w:pPr>
            <w:ins w:id="201" w:author="svcMRProcess" w:date="2018-09-09T15:00:00Z">
              <w:r>
                <w:rPr>
                  <w:sz w:val="19"/>
                </w:rPr>
                <w:t>9 Jan 1990</w:t>
              </w:r>
            </w:ins>
          </w:p>
        </w:tc>
      </w:tr>
      <w:tr>
        <w:trPr>
          <w:gridBefore w:val="1"/>
          <w:wBefore w:w="26" w:type="dxa"/>
          <w:ins w:id="202" w:author="svcMRProcess" w:date="2018-09-09T15:00:00Z"/>
        </w:trPr>
        <w:tc>
          <w:tcPr>
            <w:tcW w:w="2268" w:type="dxa"/>
            <w:gridSpan w:val="2"/>
          </w:tcPr>
          <w:p>
            <w:pPr>
              <w:pStyle w:val="nTable"/>
              <w:spacing w:after="40"/>
              <w:rPr>
                <w:ins w:id="203" w:author="svcMRProcess" w:date="2018-09-09T15:00:00Z"/>
                <w:sz w:val="19"/>
              </w:rPr>
            </w:pPr>
            <w:ins w:id="204" w:author="svcMRProcess" w:date="2018-09-09T15:00:00Z">
              <w:r>
                <w:rPr>
                  <w:i/>
                  <w:sz w:val="19"/>
                </w:rPr>
                <w:t>Financial Administration Legislation Amendment Act 1993</w:t>
              </w:r>
              <w:r>
                <w:rPr>
                  <w:sz w:val="19"/>
                </w:rPr>
                <w:t xml:space="preserve"> s. 11</w:t>
              </w:r>
            </w:ins>
          </w:p>
        </w:tc>
        <w:tc>
          <w:tcPr>
            <w:tcW w:w="1134" w:type="dxa"/>
            <w:gridSpan w:val="2"/>
          </w:tcPr>
          <w:p>
            <w:pPr>
              <w:pStyle w:val="nTable"/>
              <w:spacing w:after="40"/>
              <w:rPr>
                <w:ins w:id="205" w:author="svcMRProcess" w:date="2018-09-09T15:00:00Z"/>
                <w:sz w:val="19"/>
              </w:rPr>
            </w:pPr>
            <w:ins w:id="206" w:author="svcMRProcess" w:date="2018-09-09T15:00:00Z">
              <w:r>
                <w:rPr>
                  <w:sz w:val="19"/>
                </w:rPr>
                <w:t>6 of 1993</w:t>
              </w:r>
            </w:ins>
          </w:p>
        </w:tc>
        <w:tc>
          <w:tcPr>
            <w:tcW w:w="1134" w:type="dxa"/>
            <w:gridSpan w:val="2"/>
          </w:tcPr>
          <w:p>
            <w:pPr>
              <w:pStyle w:val="nTable"/>
              <w:spacing w:after="40"/>
              <w:rPr>
                <w:ins w:id="207" w:author="svcMRProcess" w:date="2018-09-09T15:00:00Z"/>
                <w:sz w:val="19"/>
              </w:rPr>
            </w:pPr>
            <w:ins w:id="208" w:author="svcMRProcess" w:date="2018-09-09T15:00:00Z">
              <w:r>
                <w:rPr>
                  <w:sz w:val="19"/>
                </w:rPr>
                <w:t>27 Aug 1993</w:t>
              </w:r>
            </w:ins>
          </w:p>
        </w:tc>
        <w:tc>
          <w:tcPr>
            <w:tcW w:w="2553" w:type="dxa"/>
            <w:gridSpan w:val="2"/>
          </w:tcPr>
          <w:p>
            <w:pPr>
              <w:pStyle w:val="nTable"/>
              <w:spacing w:after="40"/>
              <w:rPr>
                <w:ins w:id="209" w:author="svcMRProcess" w:date="2018-09-09T15:00:00Z"/>
                <w:sz w:val="19"/>
              </w:rPr>
            </w:pPr>
            <w:ins w:id="210" w:author="svcMRProcess" w:date="2018-09-09T15:00:00Z">
              <w:r>
                <w:rPr>
                  <w:sz w:val="19"/>
                </w:rPr>
                <w:t>1 Jul 1993 (see s. 2(1))</w:t>
              </w:r>
            </w:ins>
          </w:p>
        </w:tc>
      </w:tr>
      <w:tr>
        <w:trPr>
          <w:gridBefore w:val="1"/>
          <w:wBefore w:w="26" w:type="dxa"/>
          <w:ins w:id="211" w:author="svcMRProcess" w:date="2018-09-09T15:00:00Z"/>
        </w:trPr>
        <w:tc>
          <w:tcPr>
            <w:tcW w:w="2268" w:type="dxa"/>
            <w:gridSpan w:val="2"/>
          </w:tcPr>
          <w:p>
            <w:pPr>
              <w:pStyle w:val="nTable"/>
              <w:spacing w:after="40"/>
              <w:rPr>
                <w:ins w:id="212" w:author="svcMRProcess" w:date="2018-09-09T15:00:00Z"/>
                <w:sz w:val="19"/>
              </w:rPr>
            </w:pPr>
            <w:ins w:id="213" w:author="svcMRProcess" w:date="2018-09-09T15:00:00Z">
              <w:r>
                <w:rPr>
                  <w:i/>
                  <w:sz w:val="19"/>
                </w:rPr>
                <w:t>Pawnbrokers and Second</w:t>
              </w:r>
              <w:r>
                <w:rPr>
                  <w:i/>
                  <w:sz w:val="19"/>
                </w:rPr>
                <w:noBreakHyphen/>
                <w:t>hand Dealers Act 1994</w:t>
              </w:r>
              <w:r>
                <w:rPr>
                  <w:sz w:val="19"/>
                </w:rPr>
                <w:t xml:space="preserve"> s. 100</w:t>
              </w:r>
            </w:ins>
          </w:p>
        </w:tc>
        <w:tc>
          <w:tcPr>
            <w:tcW w:w="1134" w:type="dxa"/>
            <w:gridSpan w:val="2"/>
          </w:tcPr>
          <w:p>
            <w:pPr>
              <w:pStyle w:val="nTable"/>
              <w:spacing w:after="40"/>
              <w:rPr>
                <w:ins w:id="214" w:author="svcMRProcess" w:date="2018-09-09T15:00:00Z"/>
                <w:sz w:val="19"/>
              </w:rPr>
            </w:pPr>
            <w:ins w:id="215" w:author="svcMRProcess" w:date="2018-09-09T15:00:00Z">
              <w:r>
                <w:rPr>
                  <w:sz w:val="19"/>
                </w:rPr>
                <w:t>88 of 1994</w:t>
              </w:r>
            </w:ins>
          </w:p>
        </w:tc>
        <w:tc>
          <w:tcPr>
            <w:tcW w:w="1134" w:type="dxa"/>
            <w:gridSpan w:val="2"/>
          </w:tcPr>
          <w:p>
            <w:pPr>
              <w:pStyle w:val="nTable"/>
              <w:spacing w:after="40"/>
              <w:rPr>
                <w:ins w:id="216" w:author="svcMRProcess" w:date="2018-09-09T15:00:00Z"/>
                <w:sz w:val="19"/>
              </w:rPr>
            </w:pPr>
            <w:ins w:id="217" w:author="svcMRProcess" w:date="2018-09-09T15:00:00Z">
              <w:r>
                <w:rPr>
                  <w:sz w:val="19"/>
                </w:rPr>
                <w:t>5 Jan 1995</w:t>
              </w:r>
            </w:ins>
          </w:p>
        </w:tc>
        <w:tc>
          <w:tcPr>
            <w:tcW w:w="2553" w:type="dxa"/>
            <w:gridSpan w:val="2"/>
          </w:tcPr>
          <w:p>
            <w:pPr>
              <w:pStyle w:val="nTable"/>
              <w:spacing w:after="40"/>
              <w:rPr>
                <w:ins w:id="218" w:author="svcMRProcess" w:date="2018-09-09T15:00:00Z"/>
                <w:sz w:val="19"/>
              </w:rPr>
            </w:pPr>
            <w:ins w:id="219" w:author="svcMRProcess" w:date="2018-09-09T15:00:00Z">
              <w:r>
                <w:rPr>
                  <w:sz w:val="19"/>
                </w:rPr>
                <w:t xml:space="preserve">1 Apr 1996 (see s. 2 and </w:t>
              </w:r>
              <w:r>
                <w:rPr>
                  <w:i/>
                  <w:sz w:val="19"/>
                </w:rPr>
                <w:t>Gazette</w:t>
              </w:r>
              <w:r>
                <w:rPr>
                  <w:sz w:val="19"/>
                </w:rPr>
                <w:t xml:space="preserve"> 29 Mar 1996 p. 1495)</w:t>
              </w:r>
            </w:ins>
          </w:p>
        </w:tc>
      </w:tr>
      <w:tr>
        <w:trPr>
          <w:gridBefore w:val="1"/>
          <w:wBefore w:w="26" w:type="dxa"/>
          <w:ins w:id="220" w:author="svcMRProcess" w:date="2018-09-09T15:00:00Z"/>
        </w:trPr>
        <w:tc>
          <w:tcPr>
            <w:tcW w:w="2268" w:type="dxa"/>
            <w:gridSpan w:val="2"/>
          </w:tcPr>
          <w:p>
            <w:pPr>
              <w:pStyle w:val="nTable"/>
              <w:spacing w:after="40"/>
              <w:rPr>
                <w:ins w:id="221" w:author="svcMRProcess" w:date="2018-09-09T15:00:00Z"/>
                <w:sz w:val="19"/>
              </w:rPr>
            </w:pPr>
            <w:ins w:id="222" w:author="svcMRProcess" w:date="2018-09-09T15:00:00Z">
              <w:r>
                <w:rPr>
                  <w:i/>
                  <w:sz w:val="19"/>
                </w:rPr>
                <w:t>Business Licensing Amendment Act 1995</w:t>
              </w:r>
              <w:r>
                <w:rPr>
                  <w:sz w:val="19"/>
                </w:rPr>
                <w:t xml:space="preserve"> Pt. 10</w:t>
              </w:r>
            </w:ins>
          </w:p>
        </w:tc>
        <w:tc>
          <w:tcPr>
            <w:tcW w:w="1134" w:type="dxa"/>
            <w:gridSpan w:val="2"/>
          </w:tcPr>
          <w:p>
            <w:pPr>
              <w:pStyle w:val="nTable"/>
              <w:spacing w:after="40"/>
              <w:rPr>
                <w:ins w:id="223" w:author="svcMRProcess" w:date="2018-09-09T15:00:00Z"/>
                <w:sz w:val="19"/>
              </w:rPr>
            </w:pPr>
            <w:ins w:id="224" w:author="svcMRProcess" w:date="2018-09-09T15:00:00Z">
              <w:r>
                <w:rPr>
                  <w:sz w:val="19"/>
                </w:rPr>
                <w:t>56 of 1995</w:t>
              </w:r>
            </w:ins>
          </w:p>
        </w:tc>
        <w:tc>
          <w:tcPr>
            <w:tcW w:w="1134" w:type="dxa"/>
            <w:gridSpan w:val="2"/>
          </w:tcPr>
          <w:p>
            <w:pPr>
              <w:pStyle w:val="nTable"/>
              <w:spacing w:after="40"/>
              <w:rPr>
                <w:ins w:id="225" w:author="svcMRProcess" w:date="2018-09-09T15:00:00Z"/>
                <w:sz w:val="19"/>
              </w:rPr>
            </w:pPr>
            <w:ins w:id="226" w:author="svcMRProcess" w:date="2018-09-09T15:00:00Z">
              <w:r>
                <w:rPr>
                  <w:sz w:val="19"/>
                </w:rPr>
                <w:t>20 Dec 1995</w:t>
              </w:r>
            </w:ins>
          </w:p>
        </w:tc>
        <w:tc>
          <w:tcPr>
            <w:tcW w:w="2553" w:type="dxa"/>
            <w:gridSpan w:val="2"/>
          </w:tcPr>
          <w:p>
            <w:pPr>
              <w:pStyle w:val="nTable"/>
              <w:spacing w:after="40"/>
              <w:rPr>
                <w:ins w:id="227" w:author="svcMRProcess" w:date="2018-09-09T15:00:00Z"/>
                <w:sz w:val="19"/>
              </w:rPr>
            </w:pPr>
            <w:ins w:id="228" w:author="svcMRProcess" w:date="2018-09-09T15:00:00Z">
              <w:r>
                <w:rPr>
                  <w:sz w:val="19"/>
                </w:rPr>
                <w:t>1 Jan 1996 (see s. 2(3))</w:t>
              </w:r>
            </w:ins>
          </w:p>
        </w:tc>
      </w:tr>
      <w:tr>
        <w:trPr>
          <w:gridBefore w:val="1"/>
          <w:wBefore w:w="26" w:type="dxa"/>
          <w:ins w:id="229" w:author="svcMRProcess" w:date="2018-09-09T15:00:00Z"/>
        </w:trPr>
        <w:tc>
          <w:tcPr>
            <w:tcW w:w="2268" w:type="dxa"/>
            <w:gridSpan w:val="2"/>
          </w:tcPr>
          <w:p>
            <w:pPr>
              <w:pStyle w:val="nTable"/>
              <w:spacing w:after="40"/>
              <w:rPr>
                <w:ins w:id="230" w:author="svcMRProcess" w:date="2018-09-09T15:00:00Z"/>
                <w:sz w:val="19"/>
              </w:rPr>
            </w:pPr>
            <w:ins w:id="231" w:author="svcMRProcess" w:date="2018-09-09T15:00:00Z">
              <w:r>
                <w:rPr>
                  <w:i/>
                  <w:sz w:val="19"/>
                </w:rPr>
                <w:t>Security and Related Activities (Control) Act 1996</w:t>
              </w:r>
              <w:r>
                <w:rPr>
                  <w:sz w:val="19"/>
                </w:rPr>
                <w:t xml:space="preserve"> s. 96</w:t>
              </w:r>
            </w:ins>
          </w:p>
        </w:tc>
        <w:tc>
          <w:tcPr>
            <w:tcW w:w="1134" w:type="dxa"/>
            <w:gridSpan w:val="2"/>
          </w:tcPr>
          <w:p>
            <w:pPr>
              <w:pStyle w:val="nTable"/>
              <w:spacing w:after="40"/>
              <w:rPr>
                <w:ins w:id="232" w:author="svcMRProcess" w:date="2018-09-09T15:00:00Z"/>
                <w:sz w:val="19"/>
              </w:rPr>
            </w:pPr>
            <w:ins w:id="233" w:author="svcMRProcess" w:date="2018-09-09T15:00:00Z">
              <w:r>
                <w:rPr>
                  <w:sz w:val="19"/>
                </w:rPr>
                <w:t>27 of 1996</w:t>
              </w:r>
            </w:ins>
          </w:p>
        </w:tc>
        <w:tc>
          <w:tcPr>
            <w:tcW w:w="1134" w:type="dxa"/>
            <w:gridSpan w:val="2"/>
          </w:tcPr>
          <w:p>
            <w:pPr>
              <w:pStyle w:val="nTable"/>
              <w:spacing w:after="40"/>
              <w:rPr>
                <w:ins w:id="234" w:author="svcMRProcess" w:date="2018-09-09T15:00:00Z"/>
                <w:sz w:val="19"/>
              </w:rPr>
            </w:pPr>
            <w:ins w:id="235" w:author="svcMRProcess" w:date="2018-09-09T15:00:00Z">
              <w:r>
                <w:rPr>
                  <w:sz w:val="19"/>
                </w:rPr>
                <w:t>22 Jul 1996</w:t>
              </w:r>
            </w:ins>
          </w:p>
        </w:tc>
        <w:tc>
          <w:tcPr>
            <w:tcW w:w="2553" w:type="dxa"/>
            <w:gridSpan w:val="2"/>
          </w:tcPr>
          <w:p>
            <w:pPr>
              <w:pStyle w:val="nTable"/>
              <w:spacing w:after="40"/>
              <w:rPr>
                <w:ins w:id="236" w:author="svcMRProcess" w:date="2018-09-09T15:00:00Z"/>
                <w:sz w:val="19"/>
              </w:rPr>
            </w:pPr>
            <w:ins w:id="237" w:author="svcMRProcess" w:date="2018-09-09T15:00:00Z">
              <w:r>
                <w:rPr>
                  <w:sz w:val="19"/>
                </w:rPr>
                <w:t xml:space="preserve">1 Apr 1997 (see s. 2 and </w:t>
              </w:r>
              <w:r>
                <w:rPr>
                  <w:i/>
                  <w:sz w:val="19"/>
                </w:rPr>
                <w:t>Gazette</w:t>
              </w:r>
              <w:r>
                <w:rPr>
                  <w:sz w:val="19"/>
                </w:rPr>
                <w:t xml:space="preserve"> 27 Mar 1997 p. 1693)</w:t>
              </w:r>
            </w:ins>
          </w:p>
        </w:tc>
      </w:tr>
      <w:tr>
        <w:trPr>
          <w:gridBefore w:val="1"/>
          <w:wBefore w:w="26" w:type="dxa"/>
          <w:ins w:id="238" w:author="svcMRProcess" w:date="2018-09-09T15:00:00Z"/>
        </w:trPr>
        <w:tc>
          <w:tcPr>
            <w:tcW w:w="2268" w:type="dxa"/>
            <w:gridSpan w:val="2"/>
          </w:tcPr>
          <w:p>
            <w:pPr>
              <w:pStyle w:val="nTable"/>
              <w:spacing w:after="40"/>
              <w:rPr>
                <w:ins w:id="239" w:author="svcMRProcess" w:date="2018-09-09T15:00:00Z"/>
                <w:sz w:val="19"/>
              </w:rPr>
            </w:pPr>
            <w:ins w:id="240" w:author="svcMRProcess" w:date="2018-09-09T15:00:00Z">
              <w:r>
                <w:rPr>
                  <w:i/>
                  <w:sz w:val="19"/>
                </w:rPr>
                <w:t>Financial Legislation Amendment Act 1996</w:t>
              </w:r>
              <w:r>
                <w:rPr>
                  <w:sz w:val="19"/>
                </w:rPr>
                <w:t xml:space="preserve"> s. 64</w:t>
              </w:r>
            </w:ins>
          </w:p>
        </w:tc>
        <w:tc>
          <w:tcPr>
            <w:tcW w:w="1134" w:type="dxa"/>
            <w:gridSpan w:val="2"/>
          </w:tcPr>
          <w:p>
            <w:pPr>
              <w:pStyle w:val="nTable"/>
              <w:spacing w:after="40"/>
              <w:rPr>
                <w:ins w:id="241" w:author="svcMRProcess" w:date="2018-09-09T15:00:00Z"/>
                <w:sz w:val="19"/>
              </w:rPr>
            </w:pPr>
            <w:ins w:id="242" w:author="svcMRProcess" w:date="2018-09-09T15:00:00Z">
              <w:r>
                <w:rPr>
                  <w:sz w:val="19"/>
                </w:rPr>
                <w:t>49 of 1996</w:t>
              </w:r>
            </w:ins>
          </w:p>
        </w:tc>
        <w:tc>
          <w:tcPr>
            <w:tcW w:w="1134" w:type="dxa"/>
            <w:gridSpan w:val="2"/>
          </w:tcPr>
          <w:p>
            <w:pPr>
              <w:pStyle w:val="nTable"/>
              <w:spacing w:after="40"/>
              <w:rPr>
                <w:ins w:id="243" w:author="svcMRProcess" w:date="2018-09-09T15:00:00Z"/>
                <w:sz w:val="19"/>
              </w:rPr>
            </w:pPr>
            <w:ins w:id="244" w:author="svcMRProcess" w:date="2018-09-09T15:00:00Z">
              <w:r>
                <w:rPr>
                  <w:sz w:val="19"/>
                </w:rPr>
                <w:t>25 Oct 1996</w:t>
              </w:r>
            </w:ins>
          </w:p>
        </w:tc>
        <w:tc>
          <w:tcPr>
            <w:tcW w:w="2553" w:type="dxa"/>
            <w:gridSpan w:val="2"/>
          </w:tcPr>
          <w:p>
            <w:pPr>
              <w:pStyle w:val="nTable"/>
              <w:spacing w:after="40"/>
              <w:rPr>
                <w:ins w:id="245" w:author="svcMRProcess" w:date="2018-09-09T15:00:00Z"/>
                <w:sz w:val="19"/>
              </w:rPr>
            </w:pPr>
            <w:ins w:id="246" w:author="svcMRProcess" w:date="2018-09-09T15:00:00Z">
              <w:r>
                <w:rPr>
                  <w:sz w:val="19"/>
                </w:rPr>
                <w:t>25 Oct 1996 (see s. 2(1))</w:t>
              </w:r>
            </w:ins>
          </w:p>
        </w:tc>
      </w:tr>
      <w:tr>
        <w:trPr>
          <w:gridBefore w:val="1"/>
          <w:wBefore w:w="26" w:type="dxa"/>
          <w:cantSplit/>
          <w:ins w:id="247" w:author="svcMRProcess" w:date="2018-09-09T15:00:00Z"/>
        </w:trPr>
        <w:tc>
          <w:tcPr>
            <w:tcW w:w="7089" w:type="dxa"/>
            <w:gridSpan w:val="8"/>
          </w:tcPr>
          <w:p>
            <w:pPr>
              <w:pStyle w:val="nTable"/>
              <w:spacing w:after="40"/>
              <w:rPr>
                <w:ins w:id="248" w:author="svcMRProcess" w:date="2018-09-09T15:00:00Z"/>
                <w:spacing w:val="-4"/>
                <w:sz w:val="19"/>
              </w:rPr>
            </w:pPr>
            <w:ins w:id="249" w:author="svcMRProcess" w:date="2018-09-09T15:00:00Z">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ins>
          </w:p>
        </w:tc>
      </w:tr>
      <w:tr>
        <w:trPr>
          <w:gridBefore w:val="1"/>
          <w:wBefore w:w="26" w:type="dxa"/>
          <w:ins w:id="250" w:author="svcMRProcess" w:date="2018-09-09T15:00:00Z"/>
        </w:trPr>
        <w:tc>
          <w:tcPr>
            <w:tcW w:w="2268" w:type="dxa"/>
            <w:gridSpan w:val="2"/>
          </w:tcPr>
          <w:p>
            <w:pPr>
              <w:pStyle w:val="nTable"/>
              <w:spacing w:after="40"/>
              <w:rPr>
                <w:ins w:id="251" w:author="svcMRProcess" w:date="2018-09-09T15:00:00Z"/>
                <w:sz w:val="19"/>
              </w:rPr>
            </w:pPr>
            <w:ins w:id="252" w:author="svcMRProcess" w:date="2018-09-09T15:00:00Z">
              <w:r>
                <w:rPr>
                  <w:i/>
                  <w:sz w:val="19"/>
                </w:rPr>
                <w:t>Statutes (Repeals and Minor Amendments) Act 1997</w:t>
              </w:r>
              <w:r>
                <w:rPr>
                  <w:sz w:val="19"/>
                </w:rPr>
                <w:t xml:space="preserve"> s. 39(10) and 123</w:t>
              </w:r>
            </w:ins>
          </w:p>
        </w:tc>
        <w:tc>
          <w:tcPr>
            <w:tcW w:w="1134" w:type="dxa"/>
            <w:gridSpan w:val="2"/>
          </w:tcPr>
          <w:p>
            <w:pPr>
              <w:pStyle w:val="nTable"/>
              <w:spacing w:after="40"/>
              <w:rPr>
                <w:ins w:id="253" w:author="svcMRProcess" w:date="2018-09-09T15:00:00Z"/>
                <w:sz w:val="19"/>
              </w:rPr>
            </w:pPr>
            <w:ins w:id="254" w:author="svcMRProcess" w:date="2018-09-09T15:00:00Z">
              <w:r>
                <w:rPr>
                  <w:sz w:val="19"/>
                </w:rPr>
                <w:t>57 of 1997</w:t>
              </w:r>
            </w:ins>
          </w:p>
        </w:tc>
        <w:tc>
          <w:tcPr>
            <w:tcW w:w="1134" w:type="dxa"/>
            <w:gridSpan w:val="2"/>
          </w:tcPr>
          <w:p>
            <w:pPr>
              <w:pStyle w:val="nTable"/>
              <w:spacing w:after="40"/>
              <w:rPr>
                <w:ins w:id="255" w:author="svcMRProcess" w:date="2018-09-09T15:00:00Z"/>
                <w:sz w:val="19"/>
              </w:rPr>
            </w:pPr>
            <w:ins w:id="256" w:author="svcMRProcess" w:date="2018-09-09T15:00:00Z">
              <w:r>
                <w:rPr>
                  <w:sz w:val="19"/>
                </w:rPr>
                <w:t>15 Dec 1997</w:t>
              </w:r>
            </w:ins>
          </w:p>
        </w:tc>
        <w:tc>
          <w:tcPr>
            <w:tcW w:w="2553" w:type="dxa"/>
            <w:gridSpan w:val="2"/>
          </w:tcPr>
          <w:p>
            <w:pPr>
              <w:pStyle w:val="nTable"/>
              <w:spacing w:after="40"/>
              <w:rPr>
                <w:ins w:id="257" w:author="svcMRProcess" w:date="2018-09-09T15:00:00Z"/>
                <w:sz w:val="19"/>
              </w:rPr>
            </w:pPr>
            <w:ins w:id="258" w:author="svcMRProcess" w:date="2018-09-09T15:00:00Z">
              <w:r>
                <w:rPr>
                  <w:sz w:val="19"/>
                </w:rPr>
                <w:t>15 Dec 1997 (see s. 2(1))</w:t>
              </w:r>
            </w:ins>
          </w:p>
        </w:tc>
      </w:tr>
      <w:tr>
        <w:trPr>
          <w:gridBefore w:val="1"/>
          <w:wBefore w:w="26" w:type="dxa"/>
          <w:ins w:id="259" w:author="svcMRProcess" w:date="2018-09-09T15:00:00Z"/>
        </w:trPr>
        <w:tc>
          <w:tcPr>
            <w:tcW w:w="2268" w:type="dxa"/>
            <w:gridSpan w:val="2"/>
          </w:tcPr>
          <w:p>
            <w:pPr>
              <w:pStyle w:val="nTable"/>
              <w:spacing w:after="40"/>
              <w:rPr>
                <w:ins w:id="260" w:author="svcMRProcess" w:date="2018-09-09T15:00:00Z"/>
                <w:sz w:val="19"/>
              </w:rPr>
            </w:pPr>
            <w:ins w:id="261" w:author="svcMRProcess" w:date="2018-09-09T15:00:00Z">
              <w:r>
                <w:rPr>
                  <w:i/>
                  <w:sz w:val="19"/>
                </w:rPr>
                <w:t>Acts Amendment and Repeal (Financial Sector Reform) Act 1999</w:t>
              </w:r>
              <w:r>
                <w:rPr>
                  <w:sz w:val="19"/>
                </w:rPr>
                <w:t xml:space="preserve"> s. 107</w:t>
              </w:r>
            </w:ins>
          </w:p>
        </w:tc>
        <w:tc>
          <w:tcPr>
            <w:tcW w:w="1134" w:type="dxa"/>
            <w:gridSpan w:val="2"/>
          </w:tcPr>
          <w:p>
            <w:pPr>
              <w:pStyle w:val="nTable"/>
              <w:keepLines/>
              <w:spacing w:after="40"/>
              <w:rPr>
                <w:ins w:id="262" w:author="svcMRProcess" w:date="2018-09-09T15:00:00Z"/>
                <w:sz w:val="19"/>
              </w:rPr>
            </w:pPr>
            <w:ins w:id="263" w:author="svcMRProcess" w:date="2018-09-09T15:00:00Z">
              <w:r>
                <w:rPr>
                  <w:sz w:val="19"/>
                </w:rPr>
                <w:t>26 of 1999</w:t>
              </w:r>
            </w:ins>
          </w:p>
        </w:tc>
        <w:tc>
          <w:tcPr>
            <w:tcW w:w="1134" w:type="dxa"/>
            <w:gridSpan w:val="2"/>
          </w:tcPr>
          <w:p>
            <w:pPr>
              <w:pStyle w:val="nTable"/>
              <w:keepLines/>
              <w:spacing w:after="40"/>
              <w:rPr>
                <w:ins w:id="264" w:author="svcMRProcess" w:date="2018-09-09T15:00:00Z"/>
                <w:sz w:val="19"/>
              </w:rPr>
            </w:pPr>
            <w:ins w:id="265" w:author="svcMRProcess" w:date="2018-09-09T15:00:00Z">
              <w:r>
                <w:rPr>
                  <w:sz w:val="19"/>
                </w:rPr>
                <w:t>29 Jun 1999</w:t>
              </w:r>
            </w:ins>
          </w:p>
        </w:tc>
        <w:tc>
          <w:tcPr>
            <w:tcW w:w="2553" w:type="dxa"/>
            <w:gridSpan w:val="2"/>
          </w:tcPr>
          <w:p>
            <w:pPr>
              <w:pStyle w:val="nTable"/>
              <w:keepLines/>
              <w:spacing w:after="40"/>
              <w:rPr>
                <w:ins w:id="266" w:author="svcMRProcess" w:date="2018-09-09T15:00:00Z"/>
                <w:sz w:val="19"/>
              </w:rPr>
            </w:pPr>
            <w:ins w:id="267" w:author="svcMRProcess" w:date="2018-09-09T15:00:00Z">
              <w:r>
                <w:rPr>
                  <w:sz w:val="19"/>
                </w:rPr>
                <w:t xml:space="preserve">1 Jul 1999 (see s. 2(1) and </w:t>
              </w:r>
              <w:r>
                <w:rPr>
                  <w:i/>
                  <w:sz w:val="19"/>
                </w:rPr>
                <w:t>Gazette</w:t>
              </w:r>
              <w:r>
                <w:rPr>
                  <w:sz w:val="19"/>
                </w:rPr>
                <w:t xml:space="preserve"> 30 Jun 1999 p. 2905)</w:t>
              </w:r>
            </w:ins>
          </w:p>
        </w:tc>
      </w:tr>
      <w:tr>
        <w:trPr>
          <w:gridBefore w:val="1"/>
          <w:wBefore w:w="26" w:type="dxa"/>
          <w:ins w:id="268" w:author="svcMRProcess" w:date="2018-09-09T15:00:00Z"/>
        </w:trPr>
        <w:tc>
          <w:tcPr>
            <w:tcW w:w="2268" w:type="dxa"/>
            <w:gridSpan w:val="2"/>
          </w:tcPr>
          <w:p>
            <w:pPr>
              <w:pStyle w:val="nTable"/>
              <w:spacing w:after="40"/>
              <w:rPr>
                <w:ins w:id="269" w:author="svcMRProcess" w:date="2018-09-09T15:00:00Z"/>
                <w:i/>
                <w:sz w:val="19"/>
              </w:rPr>
            </w:pPr>
            <w:ins w:id="270" w:author="svcMRProcess" w:date="2018-09-09T15:00:00Z">
              <w:r>
                <w:rPr>
                  <w:i/>
                  <w:sz w:val="19"/>
                </w:rPr>
                <w:t>Corporations (Consequential Amendments) Act 2001</w:t>
              </w:r>
              <w:r>
                <w:rPr>
                  <w:sz w:val="19"/>
                </w:rPr>
                <w:t xml:space="preserve"> s. 221</w:t>
              </w:r>
            </w:ins>
          </w:p>
        </w:tc>
        <w:tc>
          <w:tcPr>
            <w:tcW w:w="1134" w:type="dxa"/>
            <w:gridSpan w:val="2"/>
          </w:tcPr>
          <w:p>
            <w:pPr>
              <w:pStyle w:val="nTable"/>
              <w:keepLines/>
              <w:spacing w:after="40"/>
              <w:rPr>
                <w:ins w:id="271" w:author="svcMRProcess" w:date="2018-09-09T15:00:00Z"/>
                <w:sz w:val="19"/>
              </w:rPr>
            </w:pPr>
            <w:ins w:id="272" w:author="svcMRProcess" w:date="2018-09-09T15:00:00Z">
              <w:r>
                <w:rPr>
                  <w:sz w:val="19"/>
                </w:rPr>
                <w:t>10 of 2001</w:t>
              </w:r>
            </w:ins>
          </w:p>
        </w:tc>
        <w:tc>
          <w:tcPr>
            <w:tcW w:w="1134" w:type="dxa"/>
            <w:gridSpan w:val="2"/>
          </w:tcPr>
          <w:p>
            <w:pPr>
              <w:pStyle w:val="nTable"/>
              <w:keepLines/>
              <w:spacing w:after="40"/>
              <w:rPr>
                <w:ins w:id="273" w:author="svcMRProcess" w:date="2018-09-09T15:00:00Z"/>
                <w:sz w:val="19"/>
              </w:rPr>
            </w:pPr>
            <w:ins w:id="274" w:author="svcMRProcess" w:date="2018-09-09T15:00:00Z">
              <w:r>
                <w:rPr>
                  <w:sz w:val="19"/>
                </w:rPr>
                <w:t>28 Jun 2001</w:t>
              </w:r>
            </w:ins>
          </w:p>
        </w:tc>
        <w:tc>
          <w:tcPr>
            <w:tcW w:w="2553" w:type="dxa"/>
            <w:gridSpan w:val="2"/>
          </w:tcPr>
          <w:p>
            <w:pPr>
              <w:pStyle w:val="nTable"/>
              <w:keepLines/>
              <w:spacing w:after="40"/>
              <w:rPr>
                <w:ins w:id="275" w:author="svcMRProcess" w:date="2018-09-09T15:00:00Z"/>
                <w:sz w:val="19"/>
              </w:rPr>
            </w:pPr>
            <w:ins w:id="276" w:author="svcMRProcess" w:date="2018-09-09T15:00:00Z">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ins>
          </w:p>
        </w:tc>
      </w:tr>
      <w:tr>
        <w:trPr>
          <w:gridBefore w:val="1"/>
          <w:wBefore w:w="26" w:type="dxa"/>
          <w:cantSplit/>
          <w:ins w:id="277" w:author="svcMRProcess" w:date="2018-09-09T15:00:00Z"/>
        </w:trPr>
        <w:tc>
          <w:tcPr>
            <w:tcW w:w="7089" w:type="dxa"/>
            <w:gridSpan w:val="8"/>
          </w:tcPr>
          <w:p>
            <w:pPr>
              <w:pStyle w:val="nTable"/>
              <w:spacing w:after="40"/>
              <w:rPr>
                <w:ins w:id="278" w:author="svcMRProcess" w:date="2018-09-09T15:00:00Z"/>
                <w:spacing w:val="-4"/>
                <w:sz w:val="19"/>
              </w:rPr>
            </w:pPr>
            <w:ins w:id="279" w:author="svcMRProcess" w:date="2018-09-09T15:00:00Z">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ins>
          </w:p>
        </w:tc>
      </w:tr>
      <w:tr>
        <w:trPr>
          <w:gridBefore w:val="1"/>
          <w:wBefore w:w="26" w:type="dxa"/>
          <w:cantSplit/>
          <w:ins w:id="280" w:author="svcMRProcess" w:date="2018-09-09T15:00:00Z"/>
        </w:trPr>
        <w:tc>
          <w:tcPr>
            <w:tcW w:w="2268" w:type="dxa"/>
            <w:gridSpan w:val="2"/>
          </w:tcPr>
          <w:p>
            <w:pPr>
              <w:pStyle w:val="nTable"/>
              <w:spacing w:after="40"/>
              <w:rPr>
                <w:ins w:id="281" w:author="svcMRProcess" w:date="2018-09-09T15:00:00Z"/>
                <w:i/>
                <w:sz w:val="19"/>
              </w:rPr>
            </w:pPr>
            <w:ins w:id="282" w:author="svcMRProcess" w:date="2018-09-09T15:00:00Z">
              <w:r>
                <w:rPr>
                  <w:i/>
                  <w:sz w:val="19"/>
                </w:rPr>
                <w:t xml:space="preserve">Sentencing Legislation Amendment and Repeal Act 2003 </w:t>
              </w:r>
              <w:r>
                <w:rPr>
                  <w:sz w:val="19"/>
                </w:rPr>
                <w:t>s. 100</w:t>
              </w:r>
            </w:ins>
          </w:p>
        </w:tc>
        <w:tc>
          <w:tcPr>
            <w:tcW w:w="1134" w:type="dxa"/>
            <w:gridSpan w:val="2"/>
          </w:tcPr>
          <w:p>
            <w:pPr>
              <w:pStyle w:val="nTable"/>
              <w:keepLines/>
              <w:spacing w:after="40"/>
              <w:rPr>
                <w:ins w:id="283" w:author="svcMRProcess" w:date="2018-09-09T15:00:00Z"/>
                <w:sz w:val="19"/>
              </w:rPr>
            </w:pPr>
            <w:ins w:id="284" w:author="svcMRProcess" w:date="2018-09-09T15:00:00Z">
              <w:r>
                <w:rPr>
                  <w:sz w:val="19"/>
                </w:rPr>
                <w:t>50 of 2003</w:t>
              </w:r>
            </w:ins>
          </w:p>
        </w:tc>
        <w:tc>
          <w:tcPr>
            <w:tcW w:w="1134" w:type="dxa"/>
            <w:gridSpan w:val="2"/>
          </w:tcPr>
          <w:p>
            <w:pPr>
              <w:pStyle w:val="nTable"/>
              <w:keepLines/>
              <w:spacing w:after="40"/>
              <w:rPr>
                <w:ins w:id="285" w:author="svcMRProcess" w:date="2018-09-09T15:00:00Z"/>
                <w:sz w:val="19"/>
              </w:rPr>
            </w:pPr>
            <w:ins w:id="286" w:author="svcMRProcess" w:date="2018-09-09T15:00:00Z">
              <w:r>
                <w:rPr>
                  <w:sz w:val="19"/>
                </w:rPr>
                <w:t>9 Jul 2003</w:t>
              </w:r>
            </w:ins>
          </w:p>
        </w:tc>
        <w:tc>
          <w:tcPr>
            <w:tcW w:w="2553" w:type="dxa"/>
            <w:gridSpan w:val="2"/>
          </w:tcPr>
          <w:p>
            <w:pPr>
              <w:pStyle w:val="nTable"/>
              <w:keepLines/>
              <w:spacing w:after="40"/>
              <w:rPr>
                <w:ins w:id="287" w:author="svcMRProcess" w:date="2018-09-09T15:00:00Z"/>
                <w:sz w:val="19"/>
              </w:rPr>
            </w:pPr>
            <w:ins w:id="288" w:author="svcMRProcess" w:date="2018-09-09T15:00:00Z">
              <w:r>
                <w:rPr>
                  <w:sz w:val="19"/>
                </w:rPr>
                <w:t>15 May 2004 (see s. 2 and</w:t>
              </w:r>
              <w:r>
                <w:rPr>
                  <w:i/>
                  <w:sz w:val="19"/>
                </w:rPr>
                <w:t xml:space="preserve"> Gazette </w:t>
              </w:r>
              <w:r>
                <w:rPr>
                  <w:sz w:val="19"/>
                </w:rPr>
                <w:t>14 May 2004 p. 1445)</w:t>
              </w:r>
            </w:ins>
          </w:p>
        </w:tc>
      </w:tr>
      <w:tr>
        <w:trPr>
          <w:gridBefore w:val="1"/>
          <w:wBefore w:w="26" w:type="dxa"/>
          <w:ins w:id="289" w:author="svcMRProcess" w:date="2018-09-09T15:00:00Z"/>
        </w:trPr>
        <w:tc>
          <w:tcPr>
            <w:tcW w:w="2268" w:type="dxa"/>
            <w:gridSpan w:val="2"/>
          </w:tcPr>
          <w:p>
            <w:pPr>
              <w:pStyle w:val="nTable"/>
              <w:spacing w:after="40"/>
              <w:rPr>
                <w:ins w:id="290" w:author="svcMRProcess" w:date="2018-09-09T15:00:00Z"/>
                <w:i/>
                <w:sz w:val="19"/>
              </w:rPr>
            </w:pPr>
            <w:ins w:id="291" w:author="svcMRProcess" w:date="2018-09-09T15:00:00Z">
              <w:r>
                <w:rPr>
                  <w:i/>
                  <w:sz w:val="19"/>
                </w:rPr>
                <w:t>Motor Vehicle Repairers Act 2003</w:t>
              </w:r>
              <w:r>
                <w:rPr>
                  <w:sz w:val="19"/>
                </w:rPr>
                <w:t xml:space="preserve"> Pt. 11</w:t>
              </w:r>
            </w:ins>
          </w:p>
        </w:tc>
        <w:tc>
          <w:tcPr>
            <w:tcW w:w="1134" w:type="dxa"/>
            <w:gridSpan w:val="2"/>
          </w:tcPr>
          <w:p>
            <w:pPr>
              <w:pStyle w:val="nTable"/>
              <w:keepLines/>
              <w:spacing w:after="40"/>
              <w:rPr>
                <w:ins w:id="292" w:author="svcMRProcess" w:date="2018-09-09T15:00:00Z"/>
                <w:sz w:val="19"/>
              </w:rPr>
            </w:pPr>
            <w:ins w:id="293" w:author="svcMRProcess" w:date="2018-09-09T15:00:00Z">
              <w:r>
                <w:rPr>
                  <w:sz w:val="19"/>
                </w:rPr>
                <w:t>68 of 2003</w:t>
              </w:r>
            </w:ins>
          </w:p>
        </w:tc>
        <w:tc>
          <w:tcPr>
            <w:tcW w:w="1134" w:type="dxa"/>
            <w:gridSpan w:val="2"/>
          </w:tcPr>
          <w:p>
            <w:pPr>
              <w:pStyle w:val="nTable"/>
              <w:keepLines/>
              <w:spacing w:after="40"/>
              <w:rPr>
                <w:ins w:id="294" w:author="svcMRProcess" w:date="2018-09-09T15:00:00Z"/>
                <w:sz w:val="19"/>
              </w:rPr>
            </w:pPr>
            <w:ins w:id="295" w:author="svcMRProcess" w:date="2018-09-09T15:00:00Z">
              <w:r>
                <w:rPr>
                  <w:sz w:val="19"/>
                </w:rPr>
                <w:t>9 Dec 2003</w:t>
              </w:r>
            </w:ins>
          </w:p>
        </w:tc>
        <w:tc>
          <w:tcPr>
            <w:tcW w:w="2553" w:type="dxa"/>
            <w:gridSpan w:val="2"/>
          </w:tcPr>
          <w:p>
            <w:pPr>
              <w:pStyle w:val="nTable"/>
              <w:keepLines/>
              <w:spacing w:after="40"/>
              <w:rPr>
                <w:ins w:id="296" w:author="svcMRProcess" w:date="2018-09-09T15:00:00Z"/>
                <w:sz w:val="19"/>
              </w:rPr>
            </w:pPr>
            <w:ins w:id="297" w:author="svcMRProcess" w:date="2018-09-09T15:00:00Z">
              <w:r>
                <w:rPr>
                  <w:sz w:val="19"/>
                </w:rPr>
                <w:t xml:space="preserve">19 Mar 2007 (see s. 2 and </w:t>
              </w:r>
              <w:r>
                <w:rPr>
                  <w:i/>
                  <w:iCs/>
                  <w:sz w:val="19"/>
                </w:rPr>
                <w:t>Gazette</w:t>
              </w:r>
              <w:r>
                <w:rPr>
                  <w:sz w:val="19"/>
                </w:rPr>
                <w:t xml:space="preserve"> 9 Feb 2007 p. 451)</w:t>
              </w:r>
            </w:ins>
          </w:p>
        </w:tc>
      </w:tr>
      <w:tr>
        <w:trPr>
          <w:gridBefore w:val="1"/>
          <w:wBefore w:w="26" w:type="dxa"/>
          <w:ins w:id="298" w:author="svcMRProcess" w:date="2018-09-09T15:00:00Z"/>
        </w:trPr>
        <w:tc>
          <w:tcPr>
            <w:tcW w:w="2268" w:type="dxa"/>
            <w:gridSpan w:val="2"/>
          </w:tcPr>
          <w:p>
            <w:pPr>
              <w:pStyle w:val="nTable"/>
              <w:spacing w:after="40"/>
              <w:rPr>
                <w:ins w:id="299" w:author="svcMRProcess" w:date="2018-09-09T15:00:00Z"/>
                <w:i/>
                <w:sz w:val="19"/>
                <w:vertAlign w:val="superscript"/>
              </w:rPr>
            </w:pPr>
            <w:ins w:id="300" w:author="svcMRProcess" w:date="2018-09-09T15:00:00Z">
              <w:r>
                <w:rPr>
                  <w:i/>
                  <w:sz w:val="19"/>
                </w:rPr>
                <w:t xml:space="preserve">Criminal Code Amendment Act 2004 </w:t>
              </w:r>
              <w:r>
                <w:rPr>
                  <w:sz w:val="19"/>
                </w:rPr>
                <w:t>s. 6</w:t>
              </w:r>
            </w:ins>
          </w:p>
        </w:tc>
        <w:tc>
          <w:tcPr>
            <w:tcW w:w="1134" w:type="dxa"/>
            <w:gridSpan w:val="2"/>
          </w:tcPr>
          <w:p>
            <w:pPr>
              <w:pStyle w:val="nTable"/>
              <w:keepLines/>
              <w:spacing w:after="40"/>
              <w:rPr>
                <w:ins w:id="301" w:author="svcMRProcess" w:date="2018-09-09T15:00:00Z"/>
                <w:sz w:val="19"/>
              </w:rPr>
            </w:pPr>
            <w:ins w:id="302" w:author="svcMRProcess" w:date="2018-09-09T15:00:00Z">
              <w:r>
                <w:rPr>
                  <w:sz w:val="19"/>
                </w:rPr>
                <w:t>4 of 2004</w:t>
              </w:r>
            </w:ins>
          </w:p>
        </w:tc>
        <w:tc>
          <w:tcPr>
            <w:tcW w:w="1134" w:type="dxa"/>
            <w:gridSpan w:val="2"/>
          </w:tcPr>
          <w:p>
            <w:pPr>
              <w:pStyle w:val="nTable"/>
              <w:keepLines/>
              <w:spacing w:after="40"/>
              <w:rPr>
                <w:ins w:id="303" w:author="svcMRProcess" w:date="2018-09-09T15:00:00Z"/>
                <w:sz w:val="19"/>
              </w:rPr>
            </w:pPr>
            <w:ins w:id="304" w:author="svcMRProcess" w:date="2018-09-09T15:00:00Z">
              <w:r>
                <w:rPr>
                  <w:sz w:val="19"/>
                </w:rPr>
                <w:t>23 Apr 2004</w:t>
              </w:r>
            </w:ins>
          </w:p>
        </w:tc>
        <w:tc>
          <w:tcPr>
            <w:tcW w:w="2553" w:type="dxa"/>
            <w:gridSpan w:val="2"/>
          </w:tcPr>
          <w:p>
            <w:pPr>
              <w:pStyle w:val="nTable"/>
              <w:keepLines/>
              <w:spacing w:after="40"/>
              <w:rPr>
                <w:ins w:id="305" w:author="svcMRProcess" w:date="2018-09-09T15:00:00Z"/>
                <w:sz w:val="19"/>
              </w:rPr>
            </w:pPr>
            <w:ins w:id="306" w:author="svcMRProcess" w:date="2018-09-09T15:00:00Z">
              <w:r>
                <w:rPr>
                  <w:sz w:val="19"/>
                </w:rPr>
                <w:t>21 May 2004 (see s. 2)</w:t>
              </w:r>
            </w:ins>
          </w:p>
        </w:tc>
      </w:tr>
      <w:tr>
        <w:trPr>
          <w:gridBefore w:val="1"/>
          <w:wBefore w:w="26" w:type="dxa"/>
          <w:ins w:id="307" w:author="svcMRProcess" w:date="2018-09-09T15:00:00Z"/>
        </w:trPr>
        <w:tc>
          <w:tcPr>
            <w:tcW w:w="2268" w:type="dxa"/>
            <w:gridSpan w:val="2"/>
          </w:tcPr>
          <w:p>
            <w:pPr>
              <w:pStyle w:val="nTable"/>
              <w:spacing w:after="40"/>
              <w:rPr>
                <w:ins w:id="308" w:author="svcMRProcess" w:date="2018-09-09T15:00:00Z"/>
                <w:i/>
                <w:sz w:val="19"/>
              </w:rPr>
            </w:pPr>
            <w:ins w:id="309" w:author="svcMRProcess" w:date="2018-09-09T15:00:00Z">
              <w:r>
                <w:rPr>
                  <w:i/>
                  <w:sz w:val="19"/>
                </w:rPr>
                <w:t>Courts Legislation Amendment and Repeal Act 2004</w:t>
              </w:r>
              <w:r>
                <w:rPr>
                  <w:iCs/>
                  <w:sz w:val="19"/>
                </w:rPr>
                <w:t xml:space="preserve"> s. 141</w:t>
              </w:r>
            </w:ins>
          </w:p>
        </w:tc>
        <w:tc>
          <w:tcPr>
            <w:tcW w:w="1134" w:type="dxa"/>
            <w:gridSpan w:val="2"/>
          </w:tcPr>
          <w:p>
            <w:pPr>
              <w:pStyle w:val="nTable"/>
              <w:keepLines/>
              <w:spacing w:after="40"/>
              <w:rPr>
                <w:ins w:id="310" w:author="svcMRProcess" w:date="2018-09-09T15:00:00Z"/>
                <w:sz w:val="19"/>
              </w:rPr>
            </w:pPr>
            <w:ins w:id="311" w:author="svcMRProcess" w:date="2018-09-09T15:00:00Z">
              <w:r>
                <w:rPr>
                  <w:sz w:val="19"/>
                </w:rPr>
                <w:t>59 of 2004</w:t>
              </w:r>
            </w:ins>
          </w:p>
        </w:tc>
        <w:tc>
          <w:tcPr>
            <w:tcW w:w="1134" w:type="dxa"/>
            <w:gridSpan w:val="2"/>
          </w:tcPr>
          <w:p>
            <w:pPr>
              <w:pStyle w:val="nTable"/>
              <w:keepLines/>
              <w:spacing w:after="40"/>
              <w:rPr>
                <w:ins w:id="312" w:author="svcMRProcess" w:date="2018-09-09T15:00:00Z"/>
                <w:sz w:val="19"/>
              </w:rPr>
            </w:pPr>
            <w:ins w:id="313" w:author="svcMRProcess" w:date="2018-09-09T15:00:00Z">
              <w:r>
                <w:rPr>
                  <w:sz w:val="19"/>
                </w:rPr>
                <w:t>23 Nov 2004</w:t>
              </w:r>
            </w:ins>
          </w:p>
        </w:tc>
        <w:tc>
          <w:tcPr>
            <w:tcW w:w="2553" w:type="dxa"/>
            <w:gridSpan w:val="2"/>
          </w:tcPr>
          <w:p>
            <w:pPr>
              <w:pStyle w:val="nTable"/>
              <w:keepLines/>
              <w:spacing w:after="40"/>
              <w:rPr>
                <w:ins w:id="314" w:author="svcMRProcess" w:date="2018-09-09T15:00:00Z"/>
                <w:sz w:val="19"/>
              </w:rPr>
            </w:pPr>
            <w:ins w:id="315" w:author="svcMRProcess" w:date="2018-09-09T15:00:00Z">
              <w:r>
                <w:rPr>
                  <w:sz w:val="19"/>
                </w:rPr>
                <w:t xml:space="preserve">1 May 2005 (see s. 2 and </w:t>
              </w:r>
              <w:r>
                <w:rPr>
                  <w:i/>
                  <w:iCs/>
                  <w:sz w:val="19"/>
                </w:rPr>
                <w:t>Gazette</w:t>
              </w:r>
              <w:r>
                <w:rPr>
                  <w:sz w:val="19"/>
                </w:rPr>
                <w:t xml:space="preserve"> 31 Dec 2004 p. 7128)</w:t>
              </w:r>
            </w:ins>
          </w:p>
        </w:tc>
      </w:tr>
      <w:tr>
        <w:trPr>
          <w:gridBefore w:val="1"/>
          <w:wBefore w:w="26" w:type="dxa"/>
          <w:ins w:id="316" w:author="svcMRProcess" w:date="2018-09-09T15:00:00Z"/>
        </w:trPr>
        <w:tc>
          <w:tcPr>
            <w:tcW w:w="2268" w:type="dxa"/>
            <w:gridSpan w:val="2"/>
          </w:tcPr>
          <w:p>
            <w:pPr>
              <w:pStyle w:val="nTable"/>
              <w:spacing w:after="40"/>
              <w:rPr>
                <w:ins w:id="317" w:author="svcMRProcess" w:date="2018-09-09T15:00:00Z"/>
                <w:sz w:val="19"/>
                <w:vertAlign w:val="superscript"/>
              </w:rPr>
            </w:pPr>
            <w:ins w:id="318" w:author="svcMRProcess" w:date="2018-09-09T15:00:00Z">
              <w:r>
                <w:rPr>
                  <w:i/>
                  <w:sz w:val="19"/>
                </w:rPr>
                <w:t>State Administrative Tribunal (Conferral of Jurisdiction) Amendment and Repeal Act 2004</w:t>
              </w:r>
              <w:r>
                <w:rPr>
                  <w:sz w:val="19"/>
                </w:rPr>
                <w:t xml:space="preserve"> Pt. 2 Div. 128</w:t>
              </w:r>
              <w:r>
                <w:rPr>
                  <w:sz w:val="19"/>
                  <w:vertAlign w:val="superscript"/>
                </w:rPr>
                <w:t> 3, 4</w:t>
              </w:r>
            </w:ins>
          </w:p>
        </w:tc>
        <w:tc>
          <w:tcPr>
            <w:tcW w:w="1134" w:type="dxa"/>
            <w:gridSpan w:val="2"/>
          </w:tcPr>
          <w:p>
            <w:pPr>
              <w:pStyle w:val="nTable"/>
              <w:keepLines/>
              <w:spacing w:after="40"/>
              <w:rPr>
                <w:ins w:id="319" w:author="svcMRProcess" w:date="2018-09-09T15:00:00Z"/>
                <w:sz w:val="19"/>
              </w:rPr>
            </w:pPr>
            <w:ins w:id="320" w:author="svcMRProcess" w:date="2018-09-09T15:00:00Z">
              <w:r>
                <w:rPr>
                  <w:sz w:val="19"/>
                </w:rPr>
                <w:t>55 of 2004</w:t>
              </w:r>
            </w:ins>
          </w:p>
        </w:tc>
        <w:tc>
          <w:tcPr>
            <w:tcW w:w="1134" w:type="dxa"/>
            <w:gridSpan w:val="2"/>
          </w:tcPr>
          <w:p>
            <w:pPr>
              <w:pStyle w:val="nTable"/>
              <w:keepLines/>
              <w:spacing w:after="40"/>
              <w:rPr>
                <w:ins w:id="321" w:author="svcMRProcess" w:date="2018-09-09T15:00:00Z"/>
                <w:sz w:val="19"/>
              </w:rPr>
            </w:pPr>
            <w:ins w:id="322" w:author="svcMRProcess" w:date="2018-09-09T15:00:00Z">
              <w:r>
                <w:rPr>
                  <w:sz w:val="19"/>
                </w:rPr>
                <w:t>24 Nov 2004</w:t>
              </w:r>
            </w:ins>
          </w:p>
        </w:tc>
        <w:tc>
          <w:tcPr>
            <w:tcW w:w="2553" w:type="dxa"/>
            <w:gridSpan w:val="2"/>
          </w:tcPr>
          <w:p>
            <w:pPr>
              <w:pStyle w:val="nTable"/>
              <w:keepLines/>
              <w:spacing w:after="40"/>
              <w:rPr>
                <w:ins w:id="323" w:author="svcMRProcess" w:date="2018-09-09T15:00:00Z"/>
                <w:sz w:val="19"/>
              </w:rPr>
            </w:pPr>
            <w:ins w:id="324" w:author="svcMRProcess" w:date="2018-09-09T15:00:00Z">
              <w:r>
                <w:rPr>
                  <w:sz w:val="19"/>
                </w:rPr>
                <w:t xml:space="preserve">1 Jan 2005 (see s. 2 and </w:t>
              </w:r>
              <w:r>
                <w:rPr>
                  <w:i/>
                  <w:sz w:val="19"/>
                </w:rPr>
                <w:t>Gazette</w:t>
              </w:r>
              <w:r>
                <w:rPr>
                  <w:sz w:val="19"/>
                </w:rPr>
                <w:t xml:space="preserve"> 31 Dec 2004 p. 7130)</w:t>
              </w:r>
            </w:ins>
          </w:p>
        </w:tc>
      </w:tr>
      <w:tr>
        <w:trPr>
          <w:gridBefore w:val="1"/>
          <w:wBefore w:w="26" w:type="dxa"/>
          <w:ins w:id="325" w:author="svcMRProcess" w:date="2018-09-09T15:00:00Z"/>
        </w:trPr>
        <w:tc>
          <w:tcPr>
            <w:tcW w:w="2268" w:type="dxa"/>
            <w:gridSpan w:val="2"/>
          </w:tcPr>
          <w:p>
            <w:pPr>
              <w:pStyle w:val="nTable"/>
              <w:spacing w:after="40"/>
              <w:rPr>
                <w:ins w:id="326" w:author="svcMRProcess" w:date="2018-09-09T15:00:00Z"/>
                <w:i/>
                <w:sz w:val="19"/>
              </w:rPr>
            </w:pPr>
            <w:ins w:id="327" w:author="svcMRProcess" w:date="2018-09-09T15:00:00Z">
              <w:r>
                <w:rPr>
                  <w:i/>
                  <w:snapToGrid w:val="0"/>
                  <w:sz w:val="19"/>
                </w:rPr>
                <w:t>Criminal Procedure and Appeals (Consequential and Other Provisions) Act 2004</w:t>
              </w:r>
              <w:r>
                <w:rPr>
                  <w:snapToGrid w:val="0"/>
                  <w:sz w:val="19"/>
                </w:rPr>
                <w:t xml:space="preserve"> s. 80 and 82 </w:t>
              </w:r>
              <w:r>
                <w:rPr>
                  <w:snapToGrid w:val="0"/>
                  <w:sz w:val="19"/>
                  <w:vertAlign w:val="superscript"/>
                </w:rPr>
                <w:t>5</w:t>
              </w:r>
            </w:ins>
          </w:p>
        </w:tc>
        <w:tc>
          <w:tcPr>
            <w:tcW w:w="1134" w:type="dxa"/>
            <w:gridSpan w:val="2"/>
          </w:tcPr>
          <w:p>
            <w:pPr>
              <w:pStyle w:val="nTable"/>
              <w:keepLines/>
              <w:spacing w:after="40"/>
              <w:rPr>
                <w:ins w:id="328" w:author="svcMRProcess" w:date="2018-09-09T15:00:00Z"/>
                <w:sz w:val="19"/>
              </w:rPr>
            </w:pPr>
            <w:ins w:id="329" w:author="svcMRProcess" w:date="2018-09-09T15:00:00Z">
              <w:r>
                <w:rPr>
                  <w:snapToGrid w:val="0"/>
                  <w:sz w:val="19"/>
                </w:rPr>
                <w:t>84 of 2004 (as amended by No. 2 of 2008 s. 78(2)(e))</w:t>
              </w:r>
            </w:ins>
          </w:p>
        </w:tc>
        <w:tc>
          <w:tcPr>
            <w:tcW w:w="1134" w:type="dxa"/>
            <w:gridSpan w:val="2"/>
          </w:tcPr>
          <w:p>
            <w:pPr>
              <w:pStyle w:val="nTable"/>
              <w:keepLines/>
              <w:spacing w:after="40"/>
              <w:rPr>
                <w:ins w:id="330" w:author="svcMRProcess" w:date="2018-09-09T15:00:00Z"/>
                <w:sz w:val="19"/>
              </w:rPr>
            </w:pPr>
            <w:ins w:id="331" w:author="svcMRProcess" w:date="2018-09-09T15:00:00Z">
              <w:r>
                <w:rPr>
                  <w:sz w:val="19"/>
                </w:rPr>
                <w:t>16 Dec 2004</w:t>
              </w:r>
            </w:ins>
          </w:p>
        </w:tc>
        <w:tc>
          <w:tcPr>
            <w:tcW w:w="2553" w:type="dxa"/>
            <w:gridSpan w:val="2"/>
          </w:tcPr>
          <w:p>
            <w:pPr>
              <w:pStyle w:val="nTable"/>
              <w:spacing w:after="40"/>
              <w:rPr>
                <w:ins w:id="332" w:author="svcMRProcess" w:date="2018-09-09T15:00:00Z"/>
                <w:sz w:val="19"/>
              </w:rPr>
            </w:pPr>
            <w:ins w:id="333" w:author="svcMRProcess" w:date="2018-09-09T15:00:00Z">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ins>
          </w:p>
        </w:tc>
      </w:tr>
      <w:tr>
        <w:trPr>
          <w:gridBefore w:val="1"/>
          <w:wBefore w:w="26" w:type="dxa"/>
          <w:cantSplit/>
          <w:ins w:id="334" w:author="svcMRProcess" w:date="2018-09-09T15:00:00Z"/>
        </w:trPr>
        <w:tc>
          <w:tcPr>
            <w:tcW w:w="7089" w:type="dxa"/>
            <w:gridSpan w:val="8"/>
          </w:tcPr>
          <w:p>
            <w:pPr>
              <w:pStyle w:val="nTable"/>
              <w:spacing w:after="40"/>
              <w:rPr>
                <w:ins w:id="335" w:author="svcMRProcess" w:date="2018-09-09T15:00:00Z"/>
                <w:sz w:val="19"/>
              </w:rPr>
            </w:pPr>
            <w:ins w:id="336" w:author="svcMRProcess" w:date="2018-09-09T15:00:00Z">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ins>
          </w:p>
        </w:tc>
      </w:tr>
      <w:tr>
        <w:trPr>
          <w:gridBefore w:val="1"/>
          <w:wBefore w:w="26" w:type="dxa"/>
          <w:ins w:id="337" w:author="svcMRProcess" w:date="2018-09-09T15:00:00Z"/>
        </w:trPr>
        <w:tc>
          <w:tcPr>
            <w:tcW w:w="2268" w:type="dxa"/>
            <w:gridSpan w:val="2"/>
          </w:tcPr>
          <w:p>
            <w:pPr>
              <w:pStyle w:val="nTable"/>
              <w:spacing w:after="40"/>
              <w:rPr>
                <w:ins w:id="338" w:author="svcMRProcess" w:date="2018-09-09T15:00:00Z"/>
                <w:i/>
                <w:sz w:val="19"/>
              </w:rPr>
            </w:pPr>
            <w:ins w:id="339" w:author="svcMRProcess" w:date="2018-09-09T15:00:00Z">
              <w:r>
                <w:rPr>
                  <w:i/>
                  <w:sz w:val="19"/>
                </w:rPr>
                <w:t>Machinery of Government (Miscellaneous Amendments) Act 2006</w:t>
              </w:r>
              <w:r>
                <w:rPr>
                  <w:i/>
                  <w:iCs/>
                  <w:sz w:val="19"/>
                </w:rPr>
                <w:t xml:space="preserve"> </w:t>
              </w:r>
              <w:r>
                <w:rPr>
                  <w:sz w:val="19"/>
                </w:rPr>
                <w:t xml:space="preserve">Pt. 4 Div. 22 </w:t>
              </w:r>
              <w:r>
                <w:rPr>
                  <w:sz w:val="19"/>
                  <w:vertAlign w:val="superscript"/>
                </w:rPr>
                <w:t>6</w:t>
              </w:r>
            </w:ins>
          </w:p>
        </w:tc>
        <w:tc>
          <w:tcPr>
            <w:tcW w:w="1134" w:type="dxa"/>
            <w:gridSpan w:val="2"/>
          </w:tcPr>
          <w:p>
            <w:pPr>
              <w:pStyle w:val="nTable"/>
              <w:keepLines/>
              <w:spacing w:after="40"/>
              <w:rPr>
                <w:ins w:id="340" w:author="svcMRProcess" w:date="2018-09-09T15:00:00Z"/>
                <w:sz w:val="19"/>
              </w:rPr>
            </w:pPr>
            <w:ins w:id="341" w:author="svcMRProcess" w:date="2018-09-09T15:00:00Z">
              <w:r>
                <w:rPr>
                  <w:sz w:val="19"/>
                </w:rPr>
                <w:t>28 of 2006</w:t>
              </w:r>
            </w:ins>
          </w:p>
        </w:tc>
        <w:tc>
          <w:tcPr>
            <w:tcW w:w="1134" w:type="dxa"/>
            <w:gridSpan w:val="2"/>
          </w:tcPr>
          <w:p>
            <w:pPr>
              <w:pStyle w:val="nTable"/>
              <w:keepLines/>
              <w:spacing w:after="40"/>
              <w:rPr>
                <w:ins w:id="342" w:author="svcMRProcess" w:date="2018-09-09T15:00:00Z"/>
                <w:sz w:val="19"/>
              </w:rPr>
            </w:pPr>
            <w:ins w:id="343" w:author="svcMRProcess" w:date="2018-09-09T15:00:00Z">
              <w:r>
                <w:rPr>
                  <w:sz w:val="19"/>
                </w:rPr>
                <w:t>26 Jun 2006</w:t>
              </w:r>
            </w:ins>
          </w:p>
        </w:tc>
        <w:tc>
          <w:tcPr>
            <w:tcW w:w="2553" w:type="dxa"/>
            <w:gridSpan w:val="2"/>
          </w:tcPr>
          <w:p>
            <w:pPr>
              <w:pStyle w:val="nTable"/>
              <w:keepLines/>
              <w:spacing w:after="40"/>
              <w:rPr>
                <w:ins w:id="344" w:author="svcMRProcess" w:date="2018-09-09T15:00:00Z"/>
                <w:sz w:val="19"/>
              </w:rPr>
            </w:pPr>
            <w:ins w:id="345" w:author="svcMRProcess" w:date="2018-09-09T15:00:00Z">
              <w:r>
                <w:rPr>
                  <w:sz w:val="19"/>
                </w:rPr>
                <w:t xml:space="preserve">1 Jul 2006 (see s. 2 and </w:t>
              </w:r>
              <w:r>
                <w:rPr>
                  <w:i/>
                  <w:iCs/>
                  <w:sz w:val="19"/>
                </w:rPr>
                <w:t>Gazette</w:t>
              </w:r>
              <w:r>
                <w:rPr>
                  <w:sz w:val="19"/>
                </w:rPr>
                <w:t xml:space="preserve"> 27 Jun 2006 p. 2347)</w:t>
              </w:r>
            </w:ins>
          </w:p>
        </w:tc>
      </w:tr>
      <w:tr>
        <w:trPr>
          <w:gridBefore w:val="1"/>
          <w:wBefore w:w="26" w:type="dxa"/>
          <w:ins w:id="346" w:author="svcMRProcess" w:date="2018-09-09T15:00:00Z"/>
        </w:trPr>
        <w:tc>
          <w:tcPr>
            <w:tcW w:w="2268" w:type="dxa"/>
            <w:gridSpan w:val="2"/>
          </w:tcPr>
          <w:p>
            <w:pPr>
              <w:pStyle w:val="nTable"/>
              <w:spacing w:after="40"/>
              <w:rPr>
                <w:ins w:id="347" w:author="svcMRProcess" w:date="2018-09-09T15:00:00Z"/>
                <w:sz w:val="19"/>
              </w:rPr>
            </w:pPr>
            <w:ins w:id="348" w:author="svcMRProcess" w:date="2018-09-09T15:00:00Z">
              <w:r>
                <w:rPr>
                  <w:i/>
                  <w:snapToGrid w:val="0"/>
                  <w:sz w:val="19"/>
                </w:rPr>
                <w:t>Consumer Protection Legislation Amendment and Repeal Act 2006</w:t>
              </w:r>
              <w:r>
                <w:rPr>
                  <w:sz w:val="19"/>
                </w:rPr>
                <w:t xml:space="preserve"> Pt. 13</w:t>
              </w:r>
            </w:ins>
          </w:p>
        </w:tc>
        <w:tc>
          <w:tcPr>
            <w:tcW w:w="1134" w:type="dxa"/>
            <w:gridSpan w:val="2"/>
          </w:tcPr>
          <w:p>
            <w:pPr>
              <w:pStyle w:val="nTable"/>
              <w:keepLines/>
              <w:spacing w:after="40"/>
              <w:rPr>
                <w:ins w:id="349" w:author="svcMRProcess" w:date="2018-09-09T15:00:00Z"/>
                <w:sz w:val="19"/>
              </w:rPr>
            </w:pPr>
            <w:ins w:id="350" w:author="svcMRProcess" w:date="2018-09-09T15:00:00Z">
              <w:r>
                <w:rPr>
                  <w:sz w:val="19"/>
                </w:rPr>
                <w:t>69 of 2006</w:t>
              </w:r>
            </w:ins>
          </w:p>
        </w:tc>
        <w:tc>
          <w:tcPr>
            <w:tcW w:w="1134" w:type="dxa"/>
            <w:gridSpan w:val="2"/>
          </w:tcPr>
          <w:p>
            <w:pPr>
              <w:pStyle w:val="nTable"/>
              <w:keepLines/>
              <w:spacing w:after="40"/>
              <w:rPr>
                <w:ins w:id="351" w:author="svcMRProcess" w:date="2018-09-09T15:00:00Z"/>
                <w:sz w:val="19"/>
              </w:rPr>
            </w:pPr>
            <w:ins w:id="352" w:author="svcMRProcess" w:date="2018-09-09T15:00:00Z">
              <w:r>
                <w:rPr>
                  <w:sz w:val="19"/>
                </w:rPr>
                <w:t>13 Dec 2006</w:t>
              </w:r>
            </w:ins>
          </w:p>
        </w:tc>
        <w:tc>
          <w:tcPr>
            <w:tcW w:w="2553" w:type="dxa"/>
            <w:gridSpan w:val="2"/>
          </w:tcPr>
          <w:p>
            <w:pPr>
              <w:pStyle w:val="nTable"/>
              <w:keepLines/>
              <w:spacing w:after="40"/>
              <w:rPr>
                <w:ins w:id="353" w:author="svcMRProcess" w:date="2018-09-09T15:00:00Z"/>
                <w:sz w:val="19"/>
              </w:rPr>
            </w:pPr>
            <w:ins w:id="354" w:author="svcMRProcess" w:date="2018-09-09T15:00:00Z">
              <w:r>
                <w:rPr>
                  <w:sz w:val="19"/>
                </w:rPr>
                <w:t xml:space="preserve">14 Jul 2007 (see s. 2 and </w:t>
              </w:r>
              <w:r>
                <w:rPr>
                  <w:i/>
                  <w:iCs/>
                  <w:sz w:val="19"/>
                </w:rPr>
                <w:t>Gazette</w:t>
              </w:r>
              <w:r>
                <w:rPr>
                  <w:sz w:val="19"/>
                </w:rPr>
                <w:t xml:space="preserve"> 13 Jul 2007 p. 3453)</w:t>
              </w:r>
            </w:ins>
          </w:p>
        </w:tc>
      </w:tr>
      <w:tr>
        <w:trPr>
          <w:gridBefore w:val="1"/>
          <w:wBefore w:w="26" w:type="dxa"/>
          <w:ins w:id="355" w:author="svcMRProcess" w:date="2018-09-09T15:00:00Z"/>
        </w:trPr>
        <w:tc>
          <w:tcPr>
            <w:tcW w:w="2268" w:type="dxa"/>
            <w:gridSpan w:val="2"/>
          </w:tcPr>
          <w:p>
            <w:pPr>
              <w:pStyle w:val="nTable"/>
              <w:spacing w:after="40"/>
              <w:rPr>
                <w:ins w:id="356" w:author="svcMRProcess" w:date="2018-09-09T15:00:00Z"/>
                <w:i/>
                <w:sz w:val="19"/>
              </w:rPr>
            </w:pPr>
            <w:ins w:id="357" w:author="svcMRProcess" w:date="2018-09-09T15:00:00Z">
              <w:r>
                <w:rPr>
                  <w:i/>
                  <w:sz w:val="19"/>
                </w:rPr>
                <w:t>Financial Legislation Amendment and Repeal Act 2006</w:t>
              </w:r>
              <w:r>
                <w:rPr>
                  <w:sz w:val="19"/>
                </w:rPr>
                <w:t xml:space="preserve"> s. 4</w:t>
              </w:r>
            </w:ins>
          </w:p>
        </w:tc>
        <w:tc>
          <w:tcPr>
            <w:tcW w:w="1134" w:type="dxa"/>
            <w:gridSpan w:val="2"/>
          </w:tcPr>
          <w:p>
            <w:pPr>
              <w:pStyle w:val="nTable"/>
              <w:keepLines/>
              <w:spacing w:after="40"/>
              <w:rPr>
                <w:ins w:id="358" w:author="svcMRProcess" w:date="2018-09-09T15:00:00Z"/>
                <w:sz w:val="19"/>
              </w:rPr>
            </w:pPr>
            <w:ins w:id="359" w:author="svcMRProcess" w:date="2018-09-09T15:00:00Z">
              <w:r>
                <w:rPr>
                  <w:sz w:val="19"/>
                </w:rPr>
                <w:t>77 of 2006</w:t>
              </w:r>
            </w:ins>
          </w:p>
        </w:tc>
        <w:tc>
          <w:tcPr>
            <w:tcW w:w="1134" w:type="dxa"/>
            <w:gridSpan w:val="2"/>
          </w:tcPr>
          <w:p>
            <w:pPr>
              <w:pStyle w:val="nTable"/>
              <w:keepLines/>
              <w:spacing w:after="40"/>
              <w:rPr>
                <w:ins w:id="360" w:author="svcMRProcess" w:date="2018-09-09T15:00:00Z"/>
                <w:sz w:val="19"/>
              </w:rPr>
            </w:pPr>
            <w:ins w:id="361" w:author="svcMRProcess" w:date="2018-09-09T15:00:00Z">
              <w:r>
                <w:rPr>
                  <w:sz w:val="19"/>
                </w:rPr>
                <w:t>21 Dec 2006</w:t>
              </w:r>
            </w:ins>
          </w:p>
        </w:tc>
        <w:tc>
          <w:tcPr>
            <w:tcW w:w="2553" w:type="dxa"/>
            <w:gridSpan w:val="2"/>
          </w:tcPr>
          <w:p>
            <w:pPr>
              <w:pStyle w:val="nTable"/>
              <w:keepLines/>
              <w:spacing w:after="40"/>
              <w:rPr>
                <w:ins w:id="362" w:author="svcMRProcess" w:date="2018-09-09T15:00:00Z"/>
                <w:sz w:val="19"/>
              </w:rPr>
            </w:pPr>
            <w:ins w:id="363" w:author="svcMRProcess" w:date="2018-09-09T15:00:00Z">
              <w:r>
                <w:rPr>
                  <w:sz w:val="19"/>
                </w:rPr>
                <w:t xml:space="preserve">1 Feb 2007 (see s. 2(1) and </w:t>
              </w:r>
              <w:r>
                <w:rPr>
                  <w:i/>
                  <w:iCs/>
                  <w:sz w:val="19"/>
                </w:rPr>
                <w:t>Gazette</w:t>
              </w:r>
              <w:r>
                <w:rPr>
                  <w:sz w:val="19"/>
                </w:rPr>
                <w:t xml:space="preserve"> 19 Jan 2007 p. 137)</w:t>
              </w:r>
            </w:ins>
          </w:p>
        </w:tc>
      </w:tr>
      <w:tr>
        <w:trPr>
          <w:gridBefore w:val="1"/>
          <w:wBefore w:w="26" w:type="dxa"/>
          <w:cantSplit/>
          <w:ins w:id="364" w:author="svcMRProcess" w:date="2018-09-09T15:00:00Z"/>
        </w:trPr>
        <w:tc>
          <w:tcPr>
            <w:tcW w:w="7089" w:type="dxa"/>
            <w:gridSpan w:val="8"/>
          </w:tcPr>
          <w:p>
            <w:pPr>
              <w:pStyle w:val="nTable"/>
              <w:spacing w:after="40"/>
              <w:rPr>
                <w:ins w:id="365" w:author="svcMRProcess" w:date="2018-09-09T15:00:00Z"/>
                <w:sz w:val="19"/>
              </w:rPr>
            </w:pPr>
            <w:ins w:id="366" w:author="svcMRProcess" w:date="2018-09-09T15:00:00Z">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ins>
          </w:p>
        </w:tc>
      </w:tr>
      <w:tr>
        <w:trPr>
          <w:gridAfter w:val="1"/>
          <w:wAfter w:w="27" w:type="dxa"/>
          <w:cantSplit/>
          <w:ins w:id="367" w:author="svcMRProcess" w:date="2018-09-09T15:00:00Z"/>
        </w:trPr>
        <w:tc>
          <w:tcPr>
            <w:tcW w:w="2268" w:type="dxa"/>
            <w:gridSpan w:val="2"/>
          </w:tcPr>
          <w:p>
            <w:pPr>
              <w:pStyle w:val="nTable"/>
              <w:spacing w:after="40"/>
              <w:ind w:right="113"/>
              <w:rPr>
                <w:ins w:id="368" w:author="svcMRProcess" w:date="2018-09-09T15:00:00Z"/>
                <w:iCs/>
                <w:sz w:val="19"/>
              </w:rPr>
            </w:pPr>
            <w:ins w:id="369" w:author="svcMRProcess" w:date="2018-09-09T15:00:00Z">
              <w:r>
                <w:rPr>
                  <w:i/>
                  <w:sz w:val="19"/>
                </w:rPr>
                <w:t>Statutes (Repeals and Miscellaneous Amendments) Act 2009</w:t>
              </w:r>
              <w:r>
                <w:rPr>
                  <w:iCs/>
                  <w:sz w:val="19"/>
                </w:rPr>
                <w:t xml:space="preserve"> s. 125</w:t>
              </w:r>
            </w:ins>
          </w:p>
        </w:tc>
        <w:tc>
          <w:tcPr>
            <w:tcW w:w="1134" w:type="dxa"/>
            <w:gridSpan w:val="2"/>
          </w:tcPr>
          <w:p>
            <w:pPr>
              <w:pStyle w:val="nTable"/>
              <w:spacing w:after="40"/>
              <w:rPr>
                <w:ins w:id="370" w:author="svcMRProcess" w:date="2018-09-09T15:00:00Z"/>
                <w:sz w:val="19"/>
              </w:rPr>
            </w:pPr>
            <w:ins w:id="371" w:author="svcMRProcess" w:date="2018-09-09T15:00:00Z">
              <w:r>
                <w:rPr>
                  <w:sz w:val="19"/>
                </w:rPr>
                <w:t xml:space="preserve">8 of 2009 </w:t>
              </w:r>
            </w:ins>
          </w:p>
        </w:tc>
        <w:tc>
          <w:tcPr>
            <w:tcW w:w="1135" w:type="dxa"/>
            <w:gridSpan w:val="2"/>
          </w:tcPr>
          <w:p>
            <w:pPr>
              <w:pStyle w:val="nTable"/>
              <w:spacing w:after="40"/>
              <w:rPr>
                <w:ins w:id="372" w:author="svcMRProcess" w:date="2018-09-09T15:00:00Z"/>
                <w:sz w:val="19"/>
              </w:rPr>
            </w:pPr>
            <w:ins w:id="373" w:author="svcMRProcess" w:date="2018-09-09T15:00:00Z">
              <w:r>
                <w:rPr>
                  <w:sz w:val="19"/>
                </w:rPr>
                <w:t>21 May 2009</w:t>
              </w:r>
            </w:ins>
          </w:p>
        </w:tc>
        <w:tc>
          <w:tcPr>
            <w:tcW w:w="2551" w:type="dxa"/>
            <w:gridSpan w:val="2"/>
          </w:tcPr>
          <w:p>
            <w:pPr>
              <w:pStyle w:val="nTable"/>
              <w:spacing w:after="40"/>
              <w:rPr>
                <w:ins w:id="374" w:author="svcMRProcess" w:date="2018-09-09T15:00:00Z"/>
                <w:sz w:val="19"/>
              </w:rPr>
            </w:pPr>
            <w:ins w:id="375" w:author="svcMRProcess" w:date="2018-09-09T15:00:00Z">
              <w:r>
                <w:rPr>
                  <w:sz w:val="19"/>
                </w:rPr>
                <w:t>22 May 2009 (see s. 2(b))</w:t>
              </w:r>
            </w:ins>
          </w:p>
        </w:tc>
      </w:tr>
      <w:tr>
        <w:trPr>
          <w:gridAfter w:val="1"/>
          <w:wAfter w:w="27" w:type="dxa"/>
          <w:cantSplit/>
          <w:ins w:id="376" w:author="svcMRProcess" w:date="2018-09-09T15:00:00Z"/>
        </w:trPr>
        <w:tc>
          <w:tcPr>
            <w:tcW w:w="2268" w:type="dxa"/>
            <w:gridSpan w:val="2"/>
          </w:tcPr>
          <w:p>
            <w:pPr>
              <w:pStyle w:val="nTable"/>
              <w:spacing w:after="40"/>
              <w:ind w:right="113"/>
              <w:rPr>
                <w:ins w:id="377" w:author="svcMRProcess" w:date="2018-09-09T15:00:00Z"/>
                <w:iCs/>
                <w:snapToGrid w:val="0"/>
                <w:sz w:val="19"/>
              </w:rPr>
            </w:pPr>
            <w:ins w:id="378" w:author="svcMRProcess" w:date="2018-09-09T15:00:00Z">
              <w:r>
                <w:rPr>
                  <w:i/>
                  <w:snapToGrid w:val="0"/>
                  <w:sz w:val="19"/>
                </w:rPr>
                <w:t>Standardisation of Formatting Act 2010</w:t>
              </w:r>
              <w:r>
                <w:rPr>
                  <w:iCs/>
                  <w:snapToGrid w:val="0"/>
                  <w:sz w:val="19"/>
                </w:rPr>
                <w:t xml:space="preserve"> s. 4</w:t>
              </w:r>
            </w:ins>
          </w:p>
        </w:tc>
        <w:tc>
          <w:tcPr>
            <w:tcW w:w="1134" w:type="dxa"/>
            <w:gridSpan w:val="2"/>
          </w:tcPr>
          <w:p>
            <w:pPr>
              <w:pStyle w:val="nTable"/>
              <w:spacing w:after="40"/>
              <w:rPr>
                <w:ins w:id="379" w:author="svcMRProcess" w:date="2018-09-09T15:00:00Z"/>
                <w:snapToGrid w:val="0"/>
                <w:sz w:val="19"/>
              </w:rPr>
            </w:pPr>
            <w:ins w:id="380" w:author="svcMRProcess" w:date="2018-09-09T15:00:00Z">
              <w:r>
                <w:rPr>
                  <w:snapToGrid w:val="0"/>
                  <w:sz w:val="19"/>
                </w:rPr>
                <w:t>19 of 2010</w:t>
              </w:r>
            </w:ins>
          </w:p>
        </w:tc>
        <w:tc>
          <w:tcPr>
            <w:tcW w:w="1135" w:type="dxa"/>
            <w:gridSpan w:val="2"/>
          </w:tcPr>
          <w:p>
            <w:pPr>
              <w:pStyle w:val="nTable"/>
              <w:spacing w:after="40"/>
              <w:rPr>
                <w:ins w:id="381" w:author="svcMRProcess" w:date="2018-09-09T15:00:00Z"/>
                <w:snapToGrid w:val="0"/>
                <w:sz w:val="19"/>
              </w:rPr>
            </w:pPr>
            <w:ins w:id="382" w:author="svcMRProcess" w:date="2018-09-09T15:00:00Z">
              <w:r>
                <w:rPr>
                  <w:snapToGrid w:val="0"/>
                  <w:sz w:val="19"/>
                </w:rPr>
                <w:t>28 Jun 2010</w:t>
              </w:r>
            </w:ins>
          </w:p>
        </w:tc>
        <w:tc>
          <w:tcPr>
            <w:tcW w:w="2551" w:type="dxa"/>
            <w:gridSpan w:val="2"/>
          </w:tcPr>
          <w:p>
            <w:pPr>
              <w:pStyle w:val="nTable"/>
              <w:spacing w:after="40"/>
              <w:rPr>
                <w:ins w:id="383" w:author="svcMRProcess" w:date="2018-09-09T15:00:00Z"/>
                <w:snapToGrid w:val="0"/>
                <w:sz w:val="19"/>
              </w:rPr>
            </w:pPr>
            <w:ins w:id="384" w:author="svcMRProcess" w:date="2018-09-09T15:00:00Z">
              <w:r>
                <w:rPr>
                  <w:snapToGrid w:val="0"/>
                  <w:sz w:val="19"/>
                </w:rPr>
                <w:t xml:space="preserve">11 Sep 2010 (see s. 2(b) and </w:t>
              </w:r>
              <w:r>
                <w:rPr>
                  <w:i/>
                  <w:iCs/>
                  <w:snapToGrid w:val="0"/>
                  <w:sz w:val="19"/>
                </w:rPr>
                <w:t>Gazette</w:t>
              </w:r>
              <w:r>
                <w:rPr>
                  <w:snapToGrid w:val="0"/>
                  <w:sz w:val="19"/>
                </w:rPr>
                <w:t xml:space="preserve"> 10 Sep 2010 p. 4341)</w:t>
              </w:r>
            </w:ins>
          </w:p>
        </w:tc>
      </w:tr>
      <w:tr>
        <w:trPr>
          <w:gridAfter w:val="1"/>
          <w:wAfter w:w="27" w:type="dxa"/>
          <w:cantSplit/>
          <w:ins w:id="385" w:author="svcMRProcess" w:date="2018-09-09T15:00:00Z"/>
        </w:trPr>
        <w:tc>
          <w:tcPr>
            <w:tcW w:w="2268" w:type="dxa"/>
            <w:gridSpan w:val="2"/>
          </w:tcPr>
          <w:p>
            <w:pPr>
              <w:pStyle w:val="nTable"/>
              <w:spacing w:after="40"/>
              <w:ind w:right="113"/>
              <w:rPr>
                <w:ins w:id="386" w:author="svcMRProcess" w:date="2018-09-09T15:00:00Z"/>
                <w:i/>
                <w:snapToGrid w:val="0"/>
                <w:sz w:val="19"/>
              </w:rPr>
            </w:pPr>
            <w:ins w:id="387" w:author="svcMRProcess" w:date="2018-09-09T15:00:00Z">
              <w:r>
                <w:rPr>
                  <w:i/>
                  <w:snapToGrid w:val="0"/>
                  <w:sz w:val="19"/>
                </w:rPr>
                <w:t xml:space="preserve">Building Services (Registration) Act 2011 </w:t>
              </w:r>
              <w:r>
                <w:rPr>
                  <w:snapToGrid w:val="0"/>
                  <w:sz w:val="19"/>
                </w:rPr>
                <w:t>s. 159</w:t>
              </w:r>
            </w:ins>
          </w:p>
        </w:tc>
        <w:tc>
          <w:tcPr>
            <w:tcW w:w="1134" w:type="dxa"/>
            <w:gridSpan w:val="2"/>
          </w:tcPr>
          <w:p>
            <w:pPr>
              <w:pStyle w:val="nTable"/>
              <w:spacing w:after="40"/>
              <w:rPr>
                <w:ins w:id="388" w:author="svcMRProcess" w:date="2018-09-09T15:00:00Z"/>
                <w:snapToGrid w:val="0"/>
                <w:sz w:val="19"/>
              </w:rPr>
            </w:pPr>
            <w:ins w:id="389" w:author="svcMRProcess" w:date="2018-09-09T15:00:00Z">
              <w:r>
                <w:rPr>
                  <w:snapToGrid w:val="0"/>
                  <w:sz w:val="19"/>
                </w:rPr>
                <w:t>19 of 2011</w:t>
              </w:r>
            </w:ins>
          </w:p>
        </w:tc>
        <w:tc>
          <w:tcPr>
            <w:tcW w:w="1135" w:type="dxa"/>
            <w:gridSpan w:val="2"/>
          </w:tcPr>
          <w:p>
            <w:pPr>
              <w:pStyle w:val="nTable"/>
              <w:spacing w:after="40"/>
              <w:rPr>
                <w:ins w:id="390" w:author="svcMRProcess" w:date="2018-09-09T15:00:00Z"/>
                <w:snapToGrid w:val="0"/>
                <w:sz w:val="19"/>
              </w:rPr>
            </w:pPr>
            <w:ins w:id="391" w:author="svcMRProcess" w:date="2018-09-09T15:00:00Z">
              <w:r>
                <w:rPr>
                  <w:snapToGrid w:val="0"/>
                  <w:sz w:val="19"/>
                </w:rPr>
                <w:t>22 Jun 2011</w:t>
              </w:r>
            </w:ins>
          </w:p>
        </w:tc>
        <w:tc>
          <w:tcPr>
            <w:tcW w:w="2551" w:type="dxa"/>
            <w:gridSpan w:val="2"/>
          </w:tcPr>
          <w:p>
            <w:pPr>
              <w:pStyle w:val="nTable"/>
              <w:spacing w:after="40"/>
              <w:rPr>
                <w:ins w:id="392" w:author="svcMRProcess" w:date="2018-09-09T15:00:00Z"/>
                <w:snapToGrid w:val="0"/>
                <w:sz w:val="19"/>
              </w:rPr>
            </w:pPr>
            <w:ins w:id="393" w:author="svcMRProcess" w:date="2018-09-09T15:00:00Z">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ins>
          </w:p>
        </w:tc>
      </w:tr>
      <w:tr>
        <w:trPr>
          <w:gridAfter w:val="1"/>
          <w:wAfter w:w="27" w:type="dxa"/>
          <w:cantSplit/>
          <w:ins w:id="394" w:author="svcMRProcess" w:date="2018-09-09T15:00:00Z"/>
        </w:trPr>
        <w:tc>
          <w:tcPr>
            <w:tcW w:w="2268" w:type="dxa"/>
            <w:gridSpan w:val="2"/>
            <w:shd w:val="clear" w:color="auto" w:fill="auto"/>
          </w:tcPr>
          <w:p>
            <w:pPr>
              <w:pStyle w:val="nTable"/>
              <w:spacing w:after="40"/>
              <w:ind w:right="113"/>
              <w:rPr>
                <w:ins w:id="395" w:author="svcMRProcess" w:date="2018-09-09T15:00:00Z"/>
                <w:i/>
                <w:snapToGrid w:val="0"/>
                <w:sz w:val="19"/>
              </w:rPr>
            </w:pPr>
            <w:ins w:id="396" w:author="svcMRProcess" w:date="2018-09-09T15:00:00Z">
              <w:r>
                <w:rPr>
                  <w:i/>
                  <w:noProof/>
                  <w:snapToGrid w:val="0"/>
                  <w:sz w:val="19"/>
                  <w:szCs w:val="19"/>
                </w:rPr>
                <w:t xml:space="preserve">Business Names (Commonwealth Powers) Act 2012 </w:t>
              </w:r>
              <w:r>
                <w:rPr>
                  <w:snapToGrid w:val="0"/>
                  <w:sz w:val="19"/>
                  <w:szCs w:val="19"/>
                </w:rPr>
                <w:t>Pt. 4 Div. 5</w:t>
              </w:r>
            </w:ins>
          </w:p>
        </w:tc>
        <w:tc>
          <w:tcPr>
            <w:tcW w:w="1134" w:type="dxa"/>
            <w:gridSpan w:val="2"/>
            <w:shd w:val="clear" w:color="auto" w:fill="auto"/>
          </w:tcPr>
          <w:p>
            <w:pPr>
              <w:pStyle w:val="nTable"/>
              <w:spacing w:after="40"/>
              <w:rPr>
                <w:ins w:id="397" w:author="svcMRProcess" w:date="2018-09-09T15:00:00Z"/>
                <w:snapToGrid w:val="0"/>
                <w:sz w:val="19"/>
              </w:rPr>
            </w:pPr>
            <w:ins w:id="398" w:author="svcMRProcess" w:date="2018-09-09T15:00:00Z">
              <w:r>
                <w:rPr>
                  <w:snapToGrid w:val="0"/>
                  <w:sz w:val="19"/>
                </w:rPr>
                <w:t>6 of 2012</w:t>
              </w:r>
            </w:ins>
          </w:p>
        </w:tc>
        <w:tc>
          <w:tcPr>
            <w:tcW w:w="1135" w:type="dxa"/>
            <w:gridSpan w:val="2"/>
            <w:shd w:val="clear" w:color="auto" w:fill="auto"/>
          </w:tcPr>
          <w:p>
            <w:pPr>
              <w:pStyle w:val="nTable"/>
              <w:spacing w:after="40"/>
              <w:rPr>
                <w:ins w:id="399" w:author="svcMRProcess" w:date="2018-09-09T15:00:00Z"/>
                <w:snapToGrid w:val="0"/>
                <w:sz w:val="19"/>
              </w:rPr>
            </w:pPr>
            <w:ins w:id="400" w:author="svcMRProcess" w:date="2018-09-09T15:00:00Z">
              <w:r>
                <w:rPr>
                  <w:snapToGrid w:val="0"/>
                  <w:sz w:val="19"/>
                </w:rPr>
                <w:t>10 Apr 2012</w:t>
              </w:r>
            </w:ins>
          </w:p>
        </w:tc>
        <w:tc>
          <w:tcPr>
            <w:tcW w:w="2551" w:type="dxa"/>
            <w:gridSpan w:val="2"/>
            <w:shd w:val="clear" w:color="auto" w:fill="auto"/>
          </w:tcPr>
          <w:p>
            <w:pPr>
              <w:pStyle w:val="nTable"/>
              <w:spacing w:after="40"/>
              <w:rPr>
                <w:ins w:id="401" w:author="svcMRProcess" w:date="2018-09-09T15:00:00Z"/>
                <w:snapToGrid w:val="0"/>
                <w:sz w:val="19"/>
              </w:rPr>
            </w:pPr>
            <w:ins w:id="402" w:author="svcMRProcess" w:date="2018-09-09T15:00:00Z">
              <w:r>
                <w:rPr>
                  <w:snapToGrid w:val="0"/>
                  <w:sz w:val="19"/>
                </w:rPr>
                <w:t xml:space="preserve">28 May 2012 (see s. 2(c) and Cwlth </w:t>
              </w:r>
              <w:r>
                <w:rPr>
                  <w:i/>
                  <w:snapToGrid w:val="0"/>
                  <w:sz w:val="19"/>
                </w:rPr>
                <w:t>Gazette</w:t>
              </w:r>
              <w:r>
                <w:rPr>
                  <w:snapToGrid w:val="0"/>
                  <w:sz w:val="19"/>
                </w:rPr>
                <w:t xml:space="preserve"> 19 Apr 2012 ref. F2012L00891)</w:t>
              </w:r>
            </w:ins>
          </w:p>
        </w:tc>
      </w:tr>
      <w:tr>
        <w:trPr>
          <w:gridAfter w:val="1"/>
          <w:wAfter w:w="27" w:type="dxa"/>
          <w:cantSplit/>
          <w:ins w:id="403" w:author="svcMRProcess" w:date="2018-09-09T15:00:00Z"/>
        </w:trPr>
        <w:tc>
          <w:tcPr>
            <w:tcW w:w="7088" w:type="dxa"/>
            <w:gridSpan w:val="8"/>
            <w:tcBorders>
              <w:bottom w:val="single" w:sz="8" w:space="0" w:color="auto"/>
            </w:tcBorders>
            <w:shd w:val="clear" w:color="auto" w:fill="auto"/>
          </w:tcPr>
          <w:p>
            <w:pPr>
              <w:pStyle w:val="nTable"/>
              <w:spacing w:after="40"/>
              <w:rPr>
                <w:ins w:id="404" w:author="svcMRProcess" w:date="2018-09-09T15:00:00Z"/>
                <w:snapToGrid w:val="0"/>
                <w:sz w:val="19"/>
              </w:rPr>
            </w:pPr>
            <w:ins w:id="405" w:author="svcMRProcess" w:date="2018-09-09T15:00:00Z">
              <w:r>
                <w:rPr>
                  <w:b/>
                  <w:spacing w:val="-4"/>
                  <w:sz w:val="19"/>
                </w:rPr>
                <w:t xml:space="preserve">Reprint 5: The </w:t>
              </w:r>
              <w:r>
                <w:rPr>
                  <w:b/>
                  <w:i/>
                  <w:spacing w:val="-4"/>
                  <w:sz w:val="19"/>
                </w:rPr>
                <w:t>Travel Agents Act 1985</w:t>
              </w:r>
              <w:r>
                <w:rPr>
                  <w:b/>
                  <w:spacing w:val="-4"/>
                  <w:sz w:val="19"/>
                </w:rPr>
                <w:t xml:space="preserve"> as at 15 Nov 2013 </w:t>
              </w:r>
              <w:r>
                <w:rPr>
                  <w:spacing w:val="-4"/>
                  <w:sz w:val="19"/>
                </w:rPr>
                <w:t>(includes amendments listed above)</w:t>
              </w:r>
            </w:ins>
          </w:p>
        </w:tc>
      </w:tr>
    </w:tbl>
    <w:p>
      <w:pPr>
        <w:pStyle w:val="nSubsection"/>
        <w:spacing w:before="360"/>
        <w:ind w:left="482" w:hanging="482"/>
        <w:rPr>
          <w:ins w:id="406" w:author="svcMRProcess" w:date="2018-09-09T15:00:00Z"/>
        </w:rPr>
      </w:pPr>
      <w:ins w:id="407" w:author="svcMRProcess" w:date="2018-09-09T15:00: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408" w:author="svcMRProcess" w:date="2018-09-09T15:00:00Z"/>
        </w:rPr>
      </w:pPr>
      <w:bookmarkStart w:id="409" w:name="_Toc392165118"/>
      <w:bookmarkStart w:id="410" w:name="_Toc397335774"/>
      <w:ins w:id="411" w:author="svcMRProcess" w:date="2018-09-09T15:00:00Z">
        <w:r>
          <w:t>Provisions that have not come into operation</w:t>
        </w:r>
        <w:bookmarkEnd w:id="409"/>
        <w:bookmarkEnd w:id="410"/>
      </w:ins>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0"/>
      </w:tblGrid>
      <w:tr>
        <w:trPr>
          <w:ins w:id="412" w:author="svcMRProcess" w:date="2018-09-09T15:00:00Z"/>
        </w:trPr>
        <w:tc>
          <w:tcPr>
            <w:tcW w:w="2267" w:type="dxa"/>
            <w:tcBorders>
              <w:top w:val="single" w:sz="8" w:space="0" w:color="auto"/>
              <w:bottom w:val="single" w:sz="8" w:space="0" w:color="auto"/>
            </w:tcBorders>
          </w:tcPr>
          <w:p>
            <w:pPr>
              <w:pStyle w:val="nTable"/>
              <w:spacing w:after="40"/>
              <w:rPr>
                <w:ins w:id="413" w:author="svcMRProcess" w:date="2018-09-09T15:00:00Z"/>
                <w:b/>
                <w:snapToGrid w:val="0"/>
                <w:sz w:val="19"/>
              </w:rPr>
            </w:pPr>
            <w:ins w:id="414" w:author="svcMRProcess" w:date="2018-09-09T15:00:00Z">
              <w:r>
                <w:rPr>
                  <w:b/>
                  <w:snapToGrid w:val="0"/>
                  <w:sz w:val="19"/>
                </w:rPr>
                <w:t>Short title</w:t>
              </w:r>
            </w:ins>
          </w:p>
        </w:tc>
        <w:tc>
          <w:tcPr>
            <w:tcW w:w="1133" w:type="dxa"/>
            <w:tcBorders>
              <w:top w:val="single" w:sz="8" w:space="0" w:color="auto"/>
              <w:bottom w:val="single" w:sz="8" w:space="0" w:color="auto"/>
            </w:tcBorders>
          </w:tcPr>
          <w:p>
            <w:pPr>
              <w:pStyle w:val="nTable"/>
              <w:spacing w:after="40"/>
              <w:rPr>
                <w:ins w:id="415" w:author="svcMRProcess" w:date="2018-09-09T15:00:00Z"/>
                <w:b/>
                <w:snapToGrid w:val="0"/>
                <w:sz w:val="19"/>
              </w:rPr>
            </w:pPr>
            <w:ins w:id="416" w:author="svcMRProcess" w:date="2018-09-09T15:00:00Z">
              <w:r>
                <w:rPr>
                  <w:b/>
                  <w:snapToGrid w:val="0"/>
                  <w:sz w:val="19"/>
                </w:rPr>
                <w:t>Number and year</w:t>
              </w:r>
            </w:ins>
          </w:p>
        </w:tc>
        <w:tc>
          <w:tcPr>
            <w:tcW w:w="1136" w:type="dxa"/>
            <w:tcBorders>
              <w:top w:val="single" w:sz="8" w:space="0" w:color="auto"/>
              <w:bottom w:val="single" w:sz="8" w:space="0" w:color="auto"/>
            </w:tcBorders>
          </w:tcPr>
          <w:p>
            <w:pPr>
              <w:pStyle w:val="nTable"/>
              <w:spacing w:after="40"/>
              <w:rPr>
                <w:ins w:id="417" w:author="svcMRProcess" w:date="2018-09-09T15:00:00Z"/>
                <w:b/>
                <w:snapToGrid w:val="0"/>
                <w:sz w:val="19"/>
              </w:rPr>
            </w:pPr>
            <w:ins w:id="418" w:author="svcMRProcess" w:date="2018-09-09T15:00:00Z">
              <w:r>
                <w:rPr>
                  <w:b/>
                  <w:snapToGrid w:val="0"/>
                  <w:sz w:val="19"/>
                </w:rPr>
                <w:t>Assent</w:t>
              </w:r>
            </w:ins>
          </w:p>
        </w:tc>
        <w:tc>
          <w:tcPr>
            <w:tcW w:w="2550" w:type="dxa"/>
            <w:tcBorders>
              <w:top w:val="single" w:sz="8" w:space="0" w:color="auto"/>
              <w:bottom w:val="single" w:sz="8" w:space="0" w:color="auto"/>
            </w:tcBorders>
          </w:tcPr>
          <w:p>
            <w:pPr>
              <w:pStyle w:val="nTable"/>
              <w:spacing w:after="40"/>
              <w:rPr>
                <w:ins w:id="419" w:author="svcMRProcess" w:date="2018-09-09T15:00:00Z"/>
                <w:b/>
                <w:snapToGrid w:val="0"/>
                <w:sz w:val="19"/>
              </w:rPr>
            </w:pPr>
            <w:ins w:id="420" w:author="svcMRProcess" w:date="2018-09-09T15:00:00Z">
              <w:r>
                <w:rPr>
                  <w:b/>
                  <w:snapToGrid w:val="0"/>
                  <w:sz w:val="19"/>
                </w:rPr>
                <w:t>Commencement</w:t>
              </w:r>
            </w:ins>
          </w:p>
        </w:tc>
      </w:tr>
      <w:tr>
        <w:trPr>
          <w:ins w:id="421" w:author="svcMRProcess" w:date="2018-09-09T15:00:00Z"/>
        </w:trPr>
        <w:tc>
          <w:tcPr>
            <w:tcW w:w="2267" w:type="dxa"/>
            <w:tcBorders>
              <w:top w:val="single" w:sz="8" w:space="0" w:color="auto"/>
              <w:bottom w:val="single" w:sz="4" w:space="0" w:color="auto"/>
            </w:tcBorders>
          </w:tcPr>
          <w:p>
            <w:pPr>
              <w:pStyle w:val="nTable"/>
              <w:spacing w:after="40"/>
              <w:rPr>
                <w:ins w:id="422" w:author="svcMRProcess" w:date="2018-09-09T15:00:00Z"/>
                <w:noProof/>
                <w:snapToGrid w:val="0"/>
                <w:sz w:val="19"/>
              </w:rPr>
            </w:pPr>
            <w:ins w:id="423" w:author="svcMRProcess" w:date="2018-09-09T15:00:00Z">
              <w:r>
                <w:rPr>
                  <w:i/>
                  <w:noProof/>
                  <w:snapToGrid w:val="0"/>
                  <w:sz w:val="19"/>
                </w:rPr>
                <w:t>Travel Agents Amendment and Expiry Act 2014</w:t>
              </w:r>
              <w:r>
                <w:rPr>
                  <w:noProof/>
                  <w:snapToGrid w:val="0"/>
                  <w:sz w:val="19"/>
                </w:rPr>
                <w:t xml:space="preserve"> Pt. 2</w:t>
              </w:r>
              <w:r>
                <w:rPr>
                  <w:noProof/>
                  <w:snapToGrid w:val="0"/>
                  <w:sz w:val="19"/>
                  <w:vertAlign w:val="superscript"/>
                </w:rPr>
                <w:t> 7</w:t>
              </w:r>
            </w:ins>
          </w:p>
        </w:tc>
        <w:tc>
          <w:tcPr>
            <w:tcW w:w="1133" w:type="dxa"/>
            <w:tcBorders>
              <w:top w:val="single" w:sz="8" w:space="0" w:color="auto"/>
              <w:bottom w:val="single" w:sz="4" w:space="0" w:color="auto"/>
            </w:tcBorders>
          </w:tcPr>
          <w:p>
            <w:pPr>
              <w:pStyle w:val="nTable"/>
              <w:spacing w:after="40"/>
              <w:rPr>
                <w:ins w:id="424" w:author="svcMRProcess" w:date="2018-09-09T15:00:00Z"/>
                <w:sz w:val="19"/>
              </w:rPr>
            </w:pPr>
            <w:ins w:id="425" w:author="svcMRProcess" w:date="2018-09-09T15:00:00Z">
              <w:r>
                <w:rPr>
                  <w:sz w:val="19"/>
                </w:rPr>
                <w:t>21 of 2014</w:t>
              </w:r>
            </w:ins>
          </w:p>
        </w:tc>
        <w:tc>
          <w:tcPr>
            <w:tcW w:w="1136" w:type="dxa"/>
            <w:tcBorders>
              <w:top w:val="single" w:sz="8" w:space="0" w:color="auto"/>
              <w:bottom w:val="single" w:sz="4" w:space="0" w:color="auto"/>
            </w:tcBorders>
          </w:tcPr>
          <w:p>
            <w:pPr>
              <w:pStyle w:val="nTable"/>
              <w:spacing w:after="40"/>
              <w:rPr>
                <w:ins w:id="426" w:author="svcMRProcess" w:date="2018-09-09T15:00:00Z"/>
                <w:sz w:val="19"/>
              </w:rPr>
            </w:pPr>
            <w:ins w:id="427" w:author="svcMRProcess" w:date="2018-09-09T15:00:00Z">
              <w:r>
                <w:rPr>
                  <w:sz w:val="19"/>
                </w:rPr>
                <w:t>29 Aug 2014</w:t>
              </w:r>
            </w:ins>
          </w:p>
        </w:tc>
        <w:tc>
          <w:tcPr>
            <w:tcW w:w="2550" w:type="dxa"/>
            <w:tcBorders>
              <w:top w:val="single" w:sz="8" w:space="0" w:color="auto"/>
              <w:bottom w:val="single" w:sz="4" w:space="0" w:color="auto"/>
            </w:tcBorders>
          </w:tcPr>
          <w:p>
            <w:pPr>
              <w:pStyle w:val="nTable"/>
              <w:spacing w:after="40"/>
              <w:rPr>
                <w:ins w:id="428" w:author="svcMRProcess" w:date="2018-09-09T15:00:00Z"/>
                <w:sz w:val="19"/>
              </w:rPr>
            </w:pPr>
            <w:ins w:id="429" w:author="svcMRProcess" w:date="2018-09-09T15:00:00Z">
              <w:r>
                <w:rPr>
                  <w:sz w:val="19"/>
                </w:rPr>
                <w:t>To be proclaimed (see s. 2(b))</w:t>
              </w:r>
            </w:ins>
          </w:p>
        </w:tc>
      </w:tr>
    </w:tbl>
    <w:p>
      <w:pPr>
        <w:pStyle w:val="nSubsection"/>
        <w:keepNext/>
        <w:spacing w:before="240"/>
        <w:rPr>
          <w:ins w:id="430" w:author="svcMRProcess" w:date="2018-09-09T15:00:00Z"/>
          <w:snapToGrid w:val="0"/>
        </w:rPr>
      </w:pPr>
      <w:ins w:id="431" w:author="svcMRProcess" w:date="2018-09-09T15:00:00Z">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ins>
    </w:p>
    <w:p>
      <w:pPr>
        <w:pStyle w:val="nSubsection"/>
        <w:rPr>
          <w:ins w:id="432" w:author="svcMRProcess" w:date="2018-09-09T15:00:00Z"/>
        </w:rPr>
      </w:pPr>
      <w:ins w:id="433" w:author="svcMRProcess" w:date="2018-09-09T15:00:00Z">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ins>
    </w:p>
    <w:p>
      <w:pPr>
        <w:pStyle w:val="nSubsection"/>
        <w:keepNext/>
        <w:rPr>
          <w:ins w:id="434" w:author="svcMRProcess" w:date="2018-09-09T15:00:00Z"/>
        </w:rPr>
      </w:pPr>
      <w:ins w:id="435" w:author="svcMRProcess" w:date="2018-09-09T15:00:00Z">
        <w:r>
          <w:rPr>
            <w:vertAlign w:val="superscript"/>
          </w:rPr>
          <w:t>4</w:t>
        </w:r>
        <w:r>
          <w:tab/>
          <w:t xml:space="preserve">The </w:t>
        </w:r>
        <w:r>
          <w:rPr>
            <w:i/>
          </w:rPr>
          <w:t>State Administrative Tribunal Regulations 2004</w:t>
        </w:r>
        <w:r>
          <w:t xml:space="preserve"> r. 41 and 64 read as follows:</w:t>
        </w:r>
      </w:ins>
    </w:p>
    <w:p>
      <w:pPr>
        <w:pStyle w:val="BlankOpen"/>
        <w:rPr>
          <w:ins w:id="436" w:author="svcMRProcess" w:date="2018-09-09T15:00:00Z"/>
        </w:rPr>
      </w:pPr>
    </w:p>
    <w:p>
      <w:pPr>
        <w:pStyle w:val="nzHeading5"/>
        <w:spacing w:before="0"/>
        <w:rPr>
          <w:ins w:id="437" w:author="svcMRProcess" w:date="2018-09-09T15:00:00Z"/>
        </w:rPr>
      </w:pPr>
      <w:ins w:id="438" w:author="svcMRProcess" w:date="2018-09-09T15:00:00Z">
        <w:r>
          <w:rPr>
            <w:rStyle w:val="CharSectno"/>
          </w:rPr>
          <w:t>41</w:t>
        </w:r>
        <w:r>
          <w:t>.</w:t>
        </w:r>
        <w:r>
          <w:tab/>
        </w:r>
        <w:r>
          <w:rPr>
            <w:i/>
          </w:rPr>
          <w:t>Travel Agents Act 1985</w:t>
        </w:r>
      </w:ins>
    </w:p>
    <w:p>
      <w:pPr>
        <w:pStyle w:val="nzSubsection"/>
        <w:rPr>
          <w:ins w:id="439" w:author="svcMRProcess" w:date="2018-09-09T15:00:00Z"/>
        </w:rPr>
      </w:pPr>
      <w:ins w:id="440" w:author="svcMRProcess" w:date="2018-09-09T15:00:00Z">
        <w:r>
          <w:tab/>
          <w:t>(1)</w:t>
        </w:r>
        <w:r>
          <w:tab/>
          <w:t xml:space="preserve">In this regulation — </w:t>
        </w:r>
      </w:ins>
    </w:p>
    <w:p>
      <w:pPr>
        <w:pStyle w:val="nzDefstart"/>
        <w:rPr>
          <w:ins w:id="441" w:author="svcMRProcess" w:date="2018-09-09T15:00:00Z"/>
        </w:rPr>
      </w:pPr>
      <w:ins w:id="442" w:author="svcMRProcess" w:date="2018-09-09T15:00:00Z">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ins>
    </w:p>
    <w:p>
      <w:pPr>
        <w:pStyle w:val="nzSubsection"/>
        <w:rPr>
          <w:ins w:id="443" w:author="svcMRProcess" w:date="2018-09-09T15:00:00Z"/>
        </w:rPr>
      </w:pPr>
      <w:ins w:id="444" w:author="svcMRProcess" w:date="2018-09-09T15:00:00Z">
        <w:r>
          <w:tab/>
          <w:t>(2)</w:t>
        </w:r>
        <w:r>
          <w:tab/>
          <w:t xml:space="preserve">If — </w:t>
        </w:r>
      </w:ins>
    </w:p>
    <w:p>
      <w:pPr>
        <w:pStyle w:val="nzIndenta"/>
        <w:rPr>
          <w:ins w:id="445" w:author="svcMRProcess" w:date="2018-09-09T15:00:00Z"/>
        </w:rPr>
      </w:pPr>
      <w:ins w:id="446" w:author="svcMRProcess" w:date="2018-09-09T15:00:00Z">
        <w:r>
          <w:tab/>
          <w:t>(a)</w:t>
        </w:r>
        <w:r>
          <w:tab/>
          <w:t xml:space="preserve">before the commencement day a matter was being dealt with by the Commercial Tribunal of Western Australia under the </w:t>
        </w:r>
        <w:r>
          <w:rPr>
            <w:i/>
          </w:rPr>
          <w:t>Travel Agents Act 1985</w:t>
        </w:r>
        <w:r>
          <w:t xml:space="preserve"> Part II Division 3; and</w:t>
        </w:r>
      </w:ins>
    </w:p>
    <w:p>
      <w:pPr>
        <w:pStyle w:val="nzIndenta"/>
        <w:rPr>
          <w:ins w:id="447" w:author="svcMRProcess" w:date="2018-09-09T15:00:00Z"/>
        </w:rPr>
      </w:pPr>
      <w:ins w:id="448" w:author="svcMRProcess" w:date="2018-09-09T15:00:00Z">
        <w:r>
          <w:tab/>
          <w:t>(b)</w:t>
        </w:r>
        <w:r>
          <w:tab/>
          <w:t>that matter is transferred to the Tribunal under the Act section 167(4)(b),</w:t>
        </w:r>
      </w:ins>
    </w:p>
    <w:p>
      <w:pPr>
        <w:pStyle w:val="nzSubsection"/>
        <w:rPr>
          <w:ins w:id="449" w:author="svcMRProcess" w:date="2018-09-09T15:00:00Z"/>
        </w:rPr>
      </w:pPr>
      <w:ins w:id="450" w:author="svcMRProcess" w:date="2018-09-09T15:00:00Z">
        <w:r>
          <w:tab/>
        </w:r>
        <w:r>
          <w:tab/>
          <w:t xml:space="preserve">despite the Act section 32(2) and (3), the </w:t>
        </w:r>
        <w:r>
          <w:rPr>
            <w:i/>
          </w:rPr>
          <w:t>Evidence Act 1906</w:t>
        </w:r>
        <w:r>
          <w:t xml:space="preserve"> and the rules of evidence continue to apply to the matter when it is being dealt with by the Tribunal.</w:t>
        </w:r>
      </w:ins>
    </w:p>
    <w:p>
      <w:pPr>
        <w:pStyle w:val="nzHeading5"/>
        <w:rPr>
          <w:ins w:id="451" w:author="svcMRProcess" w:date="2018-09-09T15:00:00Z"/>
        </w:rPr>
      </w:pPr>
      <w:ins w:id="452" w:author="svcMRProcess" w:date="2018-09-09T15:00:00Z">
        <w:r>
          <w:rPr>
            <w:rStyle w:val="CharSectno"/>
          </w:rPr>
          <w:t>64</w:t>
        </w:r>
        <w:r>
          <w:t>.</w:t>
        </w:r>
        <w:r>
          <w:tab/>
        </w:r>
        <w:r>
          <w:rPr>
            <w:i/>
          </w:rPr>
          <w:t>Travel Agents Act 1985</w:t>
        </w:r>
      </w:ins>
    </w:p>
    <w:p>
      <w:pPr>
        <w:pStyle w:val="nzSubsection"/>
        <w:rPr>
          <w:ins w:id="453" w:author="svcMRProcess" w:date="2018-09-09T15:00:00Z"/>
        </w:rPr>
      </w:pPr>
      <w:ins w:id="454" w:author="svcMRProcess" w:date="2018-09-09T15:00:00Z">
        <w:r>
          <w:tab/>
          <w:t>(1)</w:t>
        </w:r>
        <w:r>
          <w:tab/>
          <w:t xml:space="preserve">In this regulation — </w:t>
        </w:r>
      </w:ins>
    </w:p>
    <w:p>
      <w:pPr>
        <w:pStyle w:val="nzDefstart"/>
        <w:rPr>
          <w:ins w:id="455" w:author="svcMRProcess" w:date="2018-09-09T15:00:00Z"/>
        </w:rPr>
      </w:pPr>
      <w:ins w:id="456" w:author="svcMRProcess" w:date="2018-09-09T15:00:00Z">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ins>
    </w:p>
    <w:p>
      <w:pPr>
        <w:pStyle w:val="nzDefstart"/>
        <w:rPr>
          <w:ins w:id="457" w:author="svcMRProcess" w:date="2018-09-09T15:00:00Z"/>
        </w:rPr>
      </w:pPr>
      <w:ins w:id="458" w:author="svcMRProcess" w:date="2018-09-09T15:00:00Z">
        <w:r>
          <w:rPr>
            <w:b/>
          </w:rPr>
          <w:tab/>
        </w:r>
        <w:r>
          <w:rPr>
            <w:rStyle w:val="CharDefText"/>
          </w:rPr>
          <w:t>the TA Act</w:t>
        </w:r>
        <w:r>
          <w:t xml:space="preserve"> means the </w:t>
        </w:r>
        <w:r>
          <w:rPr>
            <w:i/>
          </w:rPr>
          <w:t>Travel Agents Act 1985</w:t>
        </w:r>
        <w:r>
          <w:t>.</w:t>
        </w:r>
      </w:ins>
    </w:p>
    <w:p>
      <w:pPr>
        <w:pStyle w:val="nzSubsection"/>
        <w:keepNext/>
        <w:rPr>
          <w:ins w:id="459" w:author="svcMRProcess" w:date="2018-09-09T15:00:00Z"/>
        </w:rPr>
      </w:pPr>
      <w:ins w:id="460" w:author="svcMRProcess" w:date="2018-09-09T15:00:00Z">
        <w:r>
          <w:tab/>
          <w:t>(2)</w:t>
        </w:r>
        <w:r>
          <w:tab/>
          <w:t xml:space="preserve">If before the commencement day — </w:t>
        </w:r>
      </w:ins>
    </w:p>
    <w:p>
      <w:pPr>
        <w:pStyle w:val="nzIndenta"/>
        <w:rPr>
          <w:ins w:id="461" w:author="svcMRProcess" w:date="2018-09-09T15:00:00Z"/>
        </w:rPr>
      </w:pPr>
      <w:ins w:id="462" w:author="svcMRProcess" w:date="2018-09-09T15:00:00Z">
        <w:r>
          <w:tab/>
          <w:t>(a)</w:t>
        </w:r>
        <w:r>
          <w:tab/>
          <w:t>an objection has been lodged with the Commercial Tribunal of Western Australia under the TA Act section 21(1); and</w:t>
        </w:r>
      </w:ins>
    </w:p>
    <w:p>
      <w:pPr>
        <w:pStyle w:val="nzIndenta"/>
        <w:rPr>
          <w:ins w:id="463" w:author="svcMRProcess" w:date="2018-09-09T15:00:00Z"/>
        </w:rPr>
      </w:pPr>
      <w:ins w:id="464" w:author="svcMRProcess" w:date="2018-09-09T15:00:00Z">
        <w:r>
          <w:tab/>
          <w:t>(b)</w:t>
        </w:r>
        <w:r>
          <w:tab/>
          <w:t>the objection has not been dealt with under the TA Act section 21(3) or (4),</w:t>
        </w:r>
      </w:ins>
    </w:p>
    <w:p>
      <w:pPr>
        <w:pStyle w:val="nzSubsection"/>
        <w:rPr>
          <w:ins w:id="465" w:author="svcMRProcess" w:date="2018-09-09T15:00:00Z"/>
        </w:rPr>
      </w:pPr>
      <w:ins w:id="466" w:author="svcMRProcess" w:date="2018-09-09T15:00:00Z">
        <w:r>
          <w:tab/>
        </w:r>
        <w:r>
          <w:tab/>
          <w:t>the Commissioner for Fair Trading may have regard to the objection in deciding under the TA Act section 21(5) whether or not it is appropriate to make an allegation to the State Administrative Tribunal.</w:t>
        </w:r>
      </w:ins>
    </w:p>
    <w:p>
      <w:pPr>
        <w:pStyle w:val="nzSubsection"/>
        <w:rPr>
          <w:ins w:id="467" w:author="svcMRProcess" w:date="2018-09-09T15:00:00Z"/>
        </w:rPr>
      </w:pPr>
      <w:ins w:id="468" w:author="svcMRProcess" w:date="2018-09-09T15:00:00Z">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ins>
    </w:p>
    <w:p>
      <w:pPr>
        <w:pStyle w:val="nzSubsection"/>
        <w:rPr>
          <w:ins w:id="469" w:author="svcMRProcess" w:date="2018-09-09T15:00:00Z"/>
        </w:rPr>
      </w:pPr>
      <w:ins w:id="470" w:author="svcMRProcess" w:date="2018-09-09T15:00:00Z">
        <w:r>
          <w:tab/>
          <w:t>(4)</w:t>
        </w:r>
        <w:r>
          <w:tab/>
          <w:t xml:space="preserve">If before the commencement day — </w:t>
        </w:r>
      </w:ins>
    </w:p>
    <w:p>
      <w:pPr>
        <w:pStyle w:val="nzIndenta"/>
        <w:rPr>
          <w:ins w:id="471" w:author="svcMRProcess" w:date="2018-09-09T15:00:00Z"/>
        </w:rPr>
      </w:pPr>
      <w:ins w:id="472" w:author="svcMRProcess" w:date="2018-09-09T15:00:00Z">
        <w:r>
          <w:tab/>
          <w:t>(a)</w:t>
        </w:r>
        <w:r>
          <w:tab/>
          <w:t>an application has been made under the TA Act section 33(1); and</w:t>
        </w:r>
      </w:ins>
    </w:p>
    <w:p>
      <w:pPr>
        <w:pStyle w:val="nzIndenta"/>
        <w:rPr>
          <w:ins w:id="473" w:author="svcMRProcess" w:date="2018-09-09T15:00:00Z"/>
        </w:rPr>
      </w:pPr>
      <w:ins w:id="474" w:author="svcMRProcess" w:date="2018-09-09T15:00:00Z">
        <w:r>
          <w:tab/>
          <w:t>(b)</w:t>
        </w:r>
        <w:r>
          <w:tab/>
          <w:t>the application has been referred to the Commercial Tribunal of Western Australia under the TA Act section 33(2)(b)(i) but that Tribunal has not dealt with the application,</w:t>
        </w:r>
      </w:ins>
    </w:p>
    <w:p>
      <w:pPr>
        <w:pStyle w:val="nzSubsection"/>
        <w:rPr>
          <w:ins w:id="475" w:author="svcMRProcess" w:date="2018-09-09T15:00:00Z"/>
        </w:rPr>
      </w:pPr>
      <w:ins w:id="476" w:author="svcMRProcess" w:date="2018-09-09T15:00:00Z">
        <w:r>
          <w:tab/>
        </w:r>
        <w:r>
          <w:tab/>
          <w:t>on or after the commencement day the application is to be dealt with by the Commissioner for Fair Trading under the TA Act section 33 as if the application had been made to the Commissioner.</w:t>
        </w:r>
      </w:ins>
    </w:p>
    <w:p>
      <w:pPr>
        <w:pStyle w:val="BlankClose"/>
        <w:rPr>
          <w:ins w:id="477" w:author="svcMRProcess" w:date="2018-09-09T15:00:00Z"/>
        </w:rPr>
      </w:pPr>
    </w:p>
    <w:p>
      <w:pPr>
        <w:pStyle w:val="nSubsection"/>
        <w:rPr>
          <w:ins w:id="478" w:author="svcMRProcess" w:date="2018-09-09T15:00:00Z"/>
          <w:snapToGrid w:val="0"/>
        </w:rPr>
      </w:pPr>
      <w:ins w:id="479" w:author="svcMRProcess" w:date="2018-09-09T15:00:00Z">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 78(2)(e).</w:t>
        </w:r>
      </w:ins>
    </w:p>
    <w:p>
      <w:pPr>
        <w:pStyle w:val="nSubsection"/>
        <w:rPr>
          <w:ins w:id="480" w:author="svcMRProcess" w:date="2018-09-09T15:00:00Z"/>
        </w:rPr>
      </w:pPr>
      <w:ins w:id="481" w:author="svcMRProcess" w:date="2018-09-09T15:00:00Z">
        <w:r>
          <w:rPr>
            <w:vertAlign w:val="superscript"/>
          </w:rPr>
          <w:t>6</w:t>
        </w:r>
        <w:r>
          <w:tab/>
          <w:t xml:space="preserve">The </w:t>
        </w:r>
        <w:r>
          <w:rPr>
            <w:i/>
            <w:iCs/>
          </w:rPr>
          <w:t>Machinery of Government (Miscellaneous Amendments) Act 2006</w:t>
        </w:r>
        <w:r>
          <w:t xml:space="preserve"> Pt. 4 Div. 23 reads as follows:</w:t>
        </w:r>
      </w:ins>
    </w:p>
    <w:p>
      <w:pPr>
        <w:pStyle w:val="BlankOpen"/>
        <w:rPr>
          <w:ins w:id="482" w:author="svcMRProcess" w:date="2018-09-09T15:00:00Z"/>
          <w:sz w:val="16"/>
          <w:szCs w:val="16"/>
        </w:rPr>
      </w:pPr>
    </w:p>
    <w:p>
      <w:pPr>
        <w:pStyle w:val="nzHeading3"/>
        <w:rPr>
          <w:ins w:id="483" w:author="svcMRProcess" w:date="2018-09-09T15:00:00Z"/>
        </w:rPr>
      </w:pPr>
      <w:ins w:id="484" w:author="svcMRProcess" w:date="2018-09-09T15:00:00Z">
        <w:r>
          <w:rPr>
            <w:rStyle w:val="CharDivNo"/>
          </w:rPr>
          <w:t>Division 23</w:t>
        </w:r>
        <w:r>
          <w:t> — </w:t>
        </w:r>
        <w:r>
          <w:rPr>
            <w:rStyle w:val="CharDivText"/>
          </w:rPr>
          <w:t>Transitional provisions</w:t>
        </w:r>
      </w:ins>
    </w:p>
    <w:p>
      <w:pPr>
        <w:pStyle w:val="nzHeading5"/>
        <w:rPr>
          <w:ins w:id="485" w:author="svcMRProcess" w:date="2018-09-09T15:00:00Z"/>
        </w:rPr>
      </w:pPr>
      <w:ins w:id="486" w:author="svcMRProcess" w:date="2018-09-09T15:00:00Z">
        <w:r>
          <w:rPr>
            <w:rStyle w:val="CharSectno"/>
          </w:rPr>
          <w:t>151</w:t>
        </w:r>
        <w:r>
          <w:t>.</w:t>
        </w:r>
        <w:r>
          <w:tab/>
          <w:t>Commissioner for Fair Trading</w:t>
        </w:r>
      </w:ins>
    </w:p>
    <w:p>
      <w:pPr>
        <w:pStyle w:val="nzSubsection"/>
        <w:rPr>
          <w:ins w:id="487" w:author="svcMRProcess" w:date="2018-09-09T15:00:00Z"/>
        </w:rPr>
      </w:pPr>
      <w:ins w:id="488" w:author="svcMRProcess" w:date="2018-09-09T15:00:00Z">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489" w:author="svcMRProcess" w:date="2018-09-09T15:00:00Z"/>
        </w:rPr>
      </w:pPr>
      <w:ins w:id="490" w:author="svcMRProcess" w:date="2018-09-09T15:00:00Z">
        <w:r>
          <w:tab/>
          <w:t>(a)</w:t>
        </w:r>
        <w:r>
          <w:tab/>
          <w:t xml:space="preserve">the </w:t>
        </w:r>
        <w:r>
          <w:rPr>
            <w:i/>
            <w:iCs/>
          </w:rPr>
          <w:t>Associations Incorporation Act 1987</w:t>
        </w:r>
        <w:r>
          <w:t>;</w:t>
        </w:r>
      </w:ins>
    </w:p>
    <w:p>
      <w:pPr>
        <w:pStyle w:val="nzIndenta"/>
        <w:rPr>
          <w:ins w:id="491" w:author="svcMRProcess" w:date="2018-09-09T15:00:00Z"/>
        </w:rPr>
      </w:pPr>
      <w:ins w:id="492" w:author="svcMRProcess" w:date="2018-09-09T15:00:00Z">
        <w:r>
          <w:tab/>
          <w:t>(b)</w:t>
        </w:r>
        <w:r>
          <w:tab/>
          <w:t xml:space="preserve">the </w:t>
        </w:r>
        <w:r>
          <w:rPr>
            <w:i/>
          </w:rPr>
          <w:t>Business Names Act 1962</w:t>
        </w:r>
        <w:r>
          <w:t>;</w:t>
        </w:r>
      </w:ins>
    </w:p>
    <w:p>
      <w:pPr>
        <w:pStyle w:val="nzIndenta"/>
        <w:rPr>
          <w:ins w:id="493" w:author="svcMRProcess" w:date="2018-09-09T15:00:00Z"/>
        </w:rPr>
      </w:pPr>
      <w:ins w:id="494" w:author="svcMRProcess" w:date="2018-09-09T15:00:00Z">
        <w:r>
          <w:tab/>
          <w:t>(c)</w:t>
        </w:r>
        <w:r>
          <w:tab/>
          <w:t xml:space="preserve">the </w:t>
        </w:r>
        <w:r>
          <w:rPr>
            <w:i/>
          </w:rPr>
          <w:t>Chattel Securities Act 1987</w:t>
        </w:r>
        <w:r>
          <w:t>;</w:t>
        </w:r>
      </w:ins>
    </w:p>
    <w:p>
      <w:pPr>
        <w:pStyle w:val="nzIndenta"/>
        <w:rPr>
          <w:ins w:id="495" w:author="svcMRProcess" w:date="2018-09-09T15:00:00Z"/>
        </w:rPr>
      </w:pPr>
      <w:ins w:id="496" w:author="svcMRProcess" w:date="2018-09-09T15:00:00Z">
        <w:r>
          <w:tab/>
          <w:t>(d)</w:t>
        </w:r>
        <w:r>
          <w:tab/>
          <w:t xml:space="preserve">the </w:t>
        </w:r>
        <w:r>
          <w:rPr>
            <w:i/>
          </w:rPr>
          <w:t>Companies (Co</w:t>
        </w:r>
        <w:r>
          <w:rPr>
            <w:i/>
          </w:rPr>
          <w:noBreakHyphen/>
          <w:t>operative) Act 1943</w:t>
        </w:r>
        <w:r>
          <w:t>;</w:t>
        </w:r>
      </w:ins>
    </w:p>
    <w:p>
      <w:pPr>
        <w:pStyle w:val="nzIndenta"/>
        <w:rPr>
          <w:ins w:id="497" w:author="svcMRProcess" w:date="2018-09-09T15:00:00Z"/>
        </w:rPr>
      </w:pPr>
      <w:ins w:id="498" w:author="svcMRProcess" w:date="2018-09-09T15:00:00Z">
        <w:r>
          <w:tab/>
          <w:t>(e)</w:t>
        </w:r>
        <w:r>
          <w:tab/>
          <w:t xml:space="preserve">Part 8 of the </w:t>
        </w:r>
        <w:r>
          <w:rPr>
            <w:i/>
          </w:rPr>
          <w:t>Competition Policy Reform (Western Australia) Act 1996</w:t>
        </w:r>
        <w:r>
          <w:t>;</w:t>
        </w:r>
      </w:ins>
    </w:p>
    <w:p>
      <w:pPr>
        <w:pStyle w:val="nzIndenta"/>
        <w:rPr>
          <w:ins w:id="499" w:author="svcMRProcess" w:date="2018-09-09T15:00:00Z"/>
        </w:rPr>
      </w:pPr>
      <w:ins w:id="500" w:author="svcMRProcess" w:date="2018-09-09T15:00:00Z">
        <w:r>
          <w:tab/>
          <w:t>(f)</w:t>
        </w:r>
        <w:r>
          <w:tab/>
          <w:t xml:space="preserve">the </w:t>
        </w:r>
        <w:r>
          <w:rPr>
            <w:i/>
          </w:rPr>
          <w:t>Consumer Affairs Act 1971</w:t>
        </w:r>
        <w:r>
          <w:t>;</w:t>
        </w:r>
      </w:ins>
    </w:p>
    <w:p>
      <w:pPr>
        <w:pStyle w:val="nzIndenta"/>
        <w:rPr>
          <w:ins w:id="501" w:author="svcMRProcess" w:date="2018-09-09T15:00:00Z"/>
        </w:rPr>
      </w:pPr>
      <w:ins w:id="502" w:author="svcMRProcess" w:date="2018-09-09T15:00:00Z">
        <w:r>
          <w:tab/>
          <w:t>(g)</w:t>
        </w:r>
        <w:r>
          <w:tab/>
          <w:t xml:space="preserve">the </w:t>
        </w:r>
        <w:r>
          <w:rPr>
            <w:i/>
          </w:rPr>
          <w:t>Co</w:t>
        </w:r>
        <w:r>
          <w:rPr>
            <w:i/>
          </w:rPr>
          <w:noBreakHyphen/>
          <w:t>operative and Provident Societies Act 1903</w:t>
        </w:r>
        <w:r>
          <w:t>;</w:t>
        </w:r>
      </w:ins>
    </w:p>
    <w:p>
      <w:pPr>
        <w:pStyle w:val="nzIndenta"/>
        <w:rPr>
          <w:ins w:id="503" w:author="svcMRProcess" w:date="2018-09-09T15:00:00Z"/>
        </w:rPr>
      </w:pPr>
      <w:ins w:id="504" w:author="svcMRProcess" w:date="2018-09-09T15:00:00Z">
        <w:r>
          <w:tab/>
          <w:t>(h)</w:t>
        </w:r>
        <w:r>
          <w:tab/>
          <w:t xml:space="preserve">the </w:t>
        </w:r>
        <w:r>
          <w:rPr>
            <w:i/>
          </w:rPr>
          <w:t>Credit Act 1984</w:t>
        </w:r>
        <w:r>
          <w:t>;</w:t>
        </w:r>
      </w:ins>
    </w:p>
    <w:p>
      <w:pPr>
        <w:pStyle w:val="nzIndenta"/>
        <w:rPr>
          <w:ins w:id="505" w:author="svcMRProcess" w:date="2018-09-09T15:00:00Z"/>
        </w:rPr>
      </w:pPr>
      <w:ins w:id="506" w:author="svcMRProcess" w:date="2018-09-09T15:00:00Z">
        <w:r>
          <w:tab/>
          <w:t>(i)</w:t>
        </w:r>
        <w:r>
          <w:tab/>
          <w:t xml:space="preserve">the </w:t>
        </w:r>
        <w:r>
          <w:rPr>
            <w:i/>
          </w:rPr>
          <w:t>Credit (Administration) Act 1984</w:t>
        </w:r>
        <w:r>
          <w:t>;</w:t>
        </w:r>
      </w:ins>
    </w:p>
    <w:p>
      <w:pPr>
        <w:pStyle w:val="nzIndenta"/>
        <w:rPr>
          <w:ins w:id="507" w:author="svcMRProcess" w:date="2018-09-09T15:00:00Z"/>
        </w:rPr>
      </w:pPr>
      <w:ins w:id="508" w:author="svcMRProcess" w:date="2018-09-09T15:00:00Z">
        <w:r>
          <w:tab/>
          <w:t>(j)</w:t>
        </w:r>
        <w:r>
          <w:tab/>
          <w:t xml:space="preserve">the </w:t>
        </w:r>
        <w:r>
          <w:rPr>
            <w:i/>
          </w:rPr>
          <w:t>Employment Agents Act 1976</w:t>
        </w:r>
        <w:r>
          <w:t>;</w:t>
        </w:r>
      </w:ins>
    </w:p>
    <w:p>
      <w:pPr>
        <w:pStyle w:val="nzIndenta"/>
        <w:rPr>
          <w:ins w:id="509" w:author="svcMRProcess" w:date="2018-09-09T15:00:00Z"/>
        </w:rPr>
      </w:pPr>
      <w:ins w:id="510" w:author="svcMRProcess" w:date="2018-09-09T15:00:00Z">
        <w:r>
          <w:tab/>
          <w:t>(k)</w:t>
        </w:r>
        <w:r>
          <w:tab/>
          <w:t xml:space="preserve">the </w:t>
        </w:r>
        <w:r>
          <w:rPr>
            <w:i/>
          </w:rPr>
          <w:t>Hire</w:t>
        </w:r>
        <w:r>
          <w:rPr>
            <w:i/>
          </w:rPr>
          <w:noBreakHyphen/>
          <w:t>Purchase Act 1959</w:t>
        </w:r>
        <w:r>
          <w:t>;</w:t>
        </w:r>
      </w:ins>
    </w:p>
    <w:p>
      <w:pPr>
        <w:pStyle w:val="nzIndenta"/>
        <w:rPr>
          <w:ins w:id="511" w:author="svcMRProcess" w:date="2018-09-09T15:00:00Z"/>
        </w:rPr>
      </w:pPr>
      <w:ins w:id="512" w:author="svcMRProcess" w:date="2018-09-09T15:00:00Z">
        <w:r>
          <w:tab/>
          <w:t>(l)</w:t>
        </w:r>
        <w:r>
          <w:tab/>
          <w:t xml:space="preserve">the </w:t>
        </w:r>
        <w:r>
          <w:rPr>
            <w:i/>
          </w:rPr>
          <w:t>Limited Partnerships Act 1909</w:t>
        </w:r>
        <w:r>
          <w:t>;</w:t>
        </w:r>
      </w:ins>
    </w:p>
    <w:p>
      <w:pPr>
        <w:pStyle w:val="nzIndenta"/>
        <w:rPr>
          <w:ins w:id="513" w:author="svcMRProcess" w:date="2018-09-09T15:00:00Z"/>
        </w:rPr>
      </w:pPr>
      <w:ins w:id="514" w:author="svcMRProcess" w:date="2018-09-09T15:00:00Z">
        <w:r>
          <w:tab/>
          <w:t>(m)</w:t>
        </w:r>
        <w:r>
          <w:tab/>
          <w:t xml:space="preserve">the </w:t>
        </w:r>
        <w:r>
          <w:rPr>
            <w:i/>
          </w:rPr>
          <w:t>Motor Vehicle Dealers Act 1973</w:t>
        </w:r>
        <w:r>
          <w:t>;</w:t>
        </w:r>
      </w:ins>
    </w:p>
    <w:p>
      <w:pPr>
        <w:pStyle w:val="nzIndenta"/>
        <w:rPr>
          <w:ins w:id="515" w:author="svcMRProcess" w:date="2018-09-09T15:00:00Z"/>
        </w:rPr>
      </w:pPr>
      <w:ins w:id="516" w:author="svcMRProcess" w:date="2018-09-09T15:00:00Z">
        <w:r>
          <w:tab/>
          <w:t>(n)</w:t>
        </w:r>
        <w:r>
          <w:tab/>
          <w:t xml:space="preserve">the </w:t>
        </w:r>
        <w:r>
          <w:rPr>
            <w:i/>
          </w:rPr>
          <w:t>Petroleum Products Pricing Act 1983</w:t>
        </w:r>
        <w:r>
          <w:t>;</w:t>
        </w:r>
      </w:ins>
    </w:p>
    <w:p>
      <w:pPr>
        <w:pStyle w:val="nzIndenta"/>
        <w:rPr>
          <w:ins w:id="517" w:author="svcMRProcess" w:date="2018-09-09T15:00:00Z"/>
        </w:rPr>
      </w:pPr>
      <w:ins w:id="518" w:author="svcMRProcess" w:date="2018-09-09T15:00:00Z">
        <w:r>
          <w:tab/>
          <w:t>(o)</w:t>
        </w:r>
        <w:r>
          <w:tab/>
          <w:t xml:space="preserve">the </w:t>
        </w:r>
        <w:r>
          <w:rPr>
            <w:i/>
          </w:rPr>
          <w:t>Petroleum Retailers Rights and Liabilities Act 1982</w:t>
        </w:r>
        <w:r>
          <w:t>;</w:t>
        </w:r>
      </w:ins>
    </w:p>
    <w:p>
      <w:pPr>
        <w:pStyle w:val="nzIndenta"/>
        <w:rPr>
          <w:ins w:id="519" w:author="svcMRProcess" w:date="2018-09-09T15:00:00Z"/>
        </w:rPr>
      </w:pPr>
      <w:ins w:id="520" w:author="svcMRProcess" w:date="2018-09-09T15:00:00Z">
        <w:r>
          <w:tab/>
          <w:t>(p)</w:t>
        </w:r>
        <w:r>
          <w:tab/>
          <w:t xml:space="preserve">the </w:t>
        </w:r>
        <w:r>
          <w:rPr>
            <w:i/>
          </w:rPr>
          <w:t>Residential Tenancies Act 1987</w:t>
        </w:r>
        <w:r>
          <w:t>;</w:t>
        </w:r>
      </w:ins>
    </w:p>
    <w:p>
      <w:pPr>
        <w:pStyle w:val="nzIndenta"/>
        <w:rPr>
          <w:ins w:id="521" w:author="svcMRProcess" w:date="2018-09-09T15:00:00Z"/>
        </w:rPr>
      </w:pPr>
      <w:ins w:id="522" w:author="svcMRProcess" w:date="2018-09-09T15:00:00Z">
        <w:r>
          <w:tab/>
          <w:t>(q)</w:t>
        </w:r>
        <w:r>
          <w:tab/>
          <w:t xml:space="preserve">the </w:t>
        </w:r>
        <w:r>
          <w:rPr>
            <w:i/>
          </w:rPr>
          <w:t>Retirement Villages Act 1992</w:t>
        </w:r>
        <w:r>
          <w:t>;</w:t>
        </w:r>
      </w:ins>
    </w:p>
    <w:p>
      <w:pPr>
        <w:pStyle w:val="nzIndenta"/>
        <w:rPr>
          <w:ins w:id="523" w:author="svcMRProcess" w:date="2018-09-09T15:00:00Z"/>
        </w:rPr>
      </w:pPr>
      <w:ins w:id="524" w:author="svcMRProcess" w:date="2018-09-09T15:00:00Z">
        <w:r>
          <w:tab/>
          <w:t>(r)</w:t>
        </w:r>
        <w:r>
          <w:tab/>
          <w:t xml:space="preserve">the </w:t>
        </w:r>
        <w:r>
          <w:rPr>
            <w:i/>
          </w:rPr>
          <w:t>Travel Agents Act 1985</w:t>
        </w:r>
        <w:r>
          <w:t>.</w:t>
        </w:r>
      </w:ins>
    </w:p>
    <w:p>
      <w:pPr>
        <w:pStyle w:val="nzSubsection"/>
        <w:rPr>
          <w:ins w:id="525" w:author="svcMRProcess" w:date="2018-09-09T15:00:00Z"/>
        </w:rPr>
      </w:pPr>
      <w:ins w:id="526" w:author="svcMRProcess" w:date="2018-09-09T15:00: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527" w:author="svcMRProcess" w:date="2018-09-09T15:00:00Z"/>
        </w:rPr>
      </w:pPr>
      <w:ins w:id="528" w:author="svcMRProcess" w:date="2018-09-09T15:00:00Z">
        <w:r>
          <w:tab/>
          <w:t>(a)</w:t>
        </w:r>
        <w:r>
          <w:tab/>
          <w:t>by, to or in relation to, the Commissioner or Registrar (as the case requires) as defined in that other enactment as in force after commencement; and</w:t>
        </w:r>
      </w:ins>
    </w:p>
    <w:p>
      <w:pPr>
        <w:pStyle w:val="nzIndenta"/>
        <w:rPr>
          <w:ins w:id="529" w:author="svcMRProcess" w:date="2018-09-09T15:00:00Z"/>
        </w:rPr>
      </w:pPr>
      <w:ins w:id="530" w:author="svcMRProcess" w:date="2018-09-09T15:00:00Z">
        <w:r>
          <w:tab/>
          <w:t>(b)</w:t>
        </w:r>
        <w:r>
          <w:tab/>
          <w:t>where relevant, under the corresponding provision of that other enactment as in force after commencement.</w:t>
        </w:r>
      </w:ins>
    </w:p>
    <w:p>
      <w:pPr>
        <w:pStyle w:val="nzSubsection"/>
        <w:rPr>
          <w:ins w:id="531" w:author="svcMRProcess" w:date="2018-09-09T15:00:00Z"/>
        </w:rPr>
      </w:pPr>
      <w:ins w:id="532" w:author="svcMRProcess" w:date="2018-09-09T15:00: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533" w:author="svcMRProcess" w:date="2018-09-09T15:00:00Z"/>
        </w:rPr>
      </w:pPr>
      <w:ins w:id="534" w:author="svcMRProcess" w:date="2018-09-09T15:00: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535" w:author="svcMRProcess" w:date="2018-09-09T15:00:00Z"/>
        </w:rPr>
      </w:pPr>
      <w:ins w:id="536" w:author="svcMRProcess" w:date="2018-09-09T15:00:00Z">
        <w:r>
          <w:tab/>
          <w:t>(5)</w:t>
        </w:r>
        <w:r>
          <w:tab/>
          <w:t xml:space="preserve">A reference in an enactment to the Commissioner for Fair Trading is to have effect after commencement as if it had been amended to be a reference to — </w:t>
        </w:r>
      </w:ins>
    </w:p>
    <w:p>
      <w:pPr>
        <w:pStyle w:val="nzIndenta"/>
        <w:rPr>
          <w:ins w:id="537" w:author="svcMRProcess" w:date="2018-09-09T15:00:00Z"/>
        </w:rPr>
      </w:pPr>
      <w:ins w:id="538" w:author="svcMRProcess" w:date="2018-09-09T15:00: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539" w:author="svcMRProcess" w:date="2018-09-09T15:00:00Z"/>
        </w:rPr>
      </w:pPr>
      <w:ins w:id="540" w:author="svcMRProcess" w:date="2018-09-09T15:00:00Z">
        <w:r>
          <w:tab/>
          <w:t>(b)</w:t>
        </w:r>
        <w:r>
          <w:tab/>
          <w:t xml:space="preserve">in the case of any other enactment or subsidiary legislation — the Commissioner as defined in the </w:t>
        </w:r>
        <w:r>
          <w:rPr>
            <w:i/>
          </w:rPr>
          <w:t>Consumer Affairs Act 1971</w:t>
        </w:r>
        <w:r>
          <w:t xml:space="preserve"> as in force after commencement.</w:t>
        </w:r>
      </w:ins>
    </w:p>
    <w:p>
      <w:pPr>
        <w:pStyle w:val="nzHeading5"/>
        <w:rPr>
          <w:ins w:id="541" w:author="svcMRProcess" w:date="2018-09-09T15:00:00Z"/>
        </w:rPr>
      </w:pPr>
      <w:ins w:id="542" w:author="svcMRProcess" w:date="2018-09-09T15:00:00Z">
        <w:r>
          <w:rPr>
            <w:rStyle w:val="CharSectno"/>
          </w:rPr>
          <w:t>152</w:t>
        </w:r>
        <w:r>
          <w:t>.</w:t>
        </w:r>
        <w:r>
          <w:tab/>
          <w:t>Commissioner for Corporate Affairs and Registrar of Co</w:t>
        </w:r>
        <w:r>
          <w:noBreakHyphen/>
          <w:t>operative and Financial Institutions</w:t>
        </w:r>
      </w:ins>
    </w:p>
    <w:p>
      <w:pPr>
        <w:pStyle w:val="nzSubsection"/>
        <w:rPr>
          <w:ins w:id="543" w:author="svcMRProcess" w:date="2018-09-09T15:00:00Z"/>
        </w:rPr>
      </w:pPr>
      <w:ins w:id="544" w:author="svcMRProcess" w:date="2018-09-09T15:00: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545" w:author="svcMRProcess" w:date="2018-09-09T15:00:00Z"/>
        </w:rPr>
      </w:pPr>
      <w:ins w:id="546" w:author="svcMRProcess" w:date="2018-09-09T15:00: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547" w:author="svcMRProcess" w:date="2018-09-09T15:00:00Z"/>
        </w:rPr>
      </w:pPr>
      <w:ins w:id="548" w:author="svcMRProcess" w:date="2018-09-09T15:00:00Z">
        <w:r>
          <w:rPr>
            <w:rStyle w:val="CharSectno"/>
          </w:rPr>
          <w:t>153</w:t>
        </w:r>
        <w:r>
          <w:t>.</w:t>
        </w:r>
        <w:r>
          <w:tab/>
        </w:r>
        <w:r>
          <w:rPr>
            <w:i/>
          </w:rPr>
          <w:t>Consumer Affairs Act 1971</w:t>
        </w:r>
      </w:ins>
    </w:p>
    <w:p>
      <w:pPr>
        <w:pStyle w:val="nzSubsection"/>
        <w:rPr>
          <w:ins w:id="549" w:author="svcMRProcess" w:date="2018-09-09T15:00:00Z"/>
        </w:rPr>
      </w:pPr>
      <w:ins w:id="550" w:author="svcMRProcess" w:date="2018-09-09T15:00: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551" w:author="svcMRProcess" w:date="2018-09-09T15:00:00Z"/>
          <w:i/>
        </w:rPr>
      </w:pPr>
      <w:ins w:id="552" w:author="svcMRProcess" w:date="2018-09-09T15:00:00Z">
        <w:r>
          <w:rPr>
            <w:rStyle w:val="CharSectno"/>
          </w:rPr>
          <w:t>154</w:t>
        </w:r>
        <w:r>
          <w:t>.</w:t>
        </w:r>
        <w:r>
          <w:tab/>
        </w:r>
        <w:r>
          <w:rPr>
            <w:i/>
          </w:rPr>
          <w:t>Petroleum Products Pricing Act 1983</w:t>
        </w:r>
      </w:ins>
    </w:p>
    <w:p>
      <w:pPr>
        <w:pStyle w:val="nzSubsection"/>
        <w:rPr>
          <w:ins w:id="553" w:author="svcMRProcess" w:date="2018-09-09T15:00:00Z"/>
        </w:rPr>
      </w:pPr>
      <w:ins w:id="554" w:author="svcMRProcess" w:date="2018-09-09T15:00: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555" w:author="svcMRProcess" w:date="2018-09-09T15:00:00Z"/>
        </w:rPr>
      </w:pPr>
      <w:ins w:id="556" w:author="svcMRProcess" w:date="2018-09-09T15:00:00Z">
        <w:r>
          <w:rPr>
            <w:rStyle w:val="CharSectno"/>
          </w:rPr>
          <w:t>155</w:t>
        </w:r>
        <w:r>
          <w:t>.</w:t>
        </w:r>
        <w:r>
          <w:tab/>
          <w:t>Interpretation</w:t>
        </w:r>
      </w:ins>
    </w:p>
    <w:p>
      <w:pPr>
        <w:pStyle w:val="nzSubsection"/>
        <w:rPr>
          <w:ins w:id="557" w:author="svcMRProcess" w:date="2018-09-09T15:00:00Z"/>
        </w:rPr>
      </w:pPr>
      <w:ins w:id="558" w:author="svcMRProcess" w:date="2018-09-09T15:00:00Z">
        <w:r>
          <w:tab/>
        </w:r>
        <w:r>
          <w:tab/>
          <w:t xml:space="preserve">In this Division — </w:t>
        </w:r>
      </w:ins>
    </w:p>
    <w:p>
      <w:pPr>
        <w:pStyle w:val="nzDefstart"/>
        <w:rPr>
          <w:ins w:id="559" w:author="svcMRProcess" w:date="2018-09-09T15:00:00Z"/>
        </w:rPr>
      </w:pPr>
      <w:ins w:id="560" w:author="svcMRProcess" w:date="2018-09-09T15:00:00Z">
        <w:r>
          <w:tab/>
        </w:r>
        <w:r>
          <w:rPr>
            <w:rStyle w:val="CharDefText"/>
          </w:rPr>
          <w:t>commencement</w:t>
        </w:r>
        <w:r>
          <w:t xml:space="preserve"> means the time at which this Division comes into operation;</w:t>
        </w:r>
      </w:ins>
    </w:p>
    <w:p>
      <w:pPr>
        <w:pStyle w:val="nzDefstart"/>
        <w:rPr>
          <w:ins w:id="561" w:author="svcMRProcess" w:date="2018-09-09T15:00:00Z"/>
        </w:rPr>
      </w:pPr>
      <w:ins w:id="562" w:author="svcMRProcess" w:date="2018-09-09T15:00:00Z">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ins>
    </w:p>
    <w:p>
      <w:pPr>
        <w:pStyle w:val="nzDefstart"/>
        <w:rPr>
          <w:ins w:id="563" w:author="svcMRProcess" w:date="2018-09-09T15:00:00Z"/>
        </w:rPr>
      </w:pPr>
      <w:ins w:id="564" w:author="svcMRProcess" w:date="2018-09-09T15:00:00Z">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ins>
    </w:p>
    <w:p>
      <w:pPr>
        <w:pStyle w:val="BlankClose"/>
        <w:rPr>
          <w:ins w:id="565" w:author="svcMRProcess" w:date="2018-09-09T15:00:00Z"/>
        </w:rPr>
      </w:pPr>
    </w:p>
    <w:p>
      <w:pPr>
        <w:pStyle w:val="nSubsection"/>
        <w:spacing w:before="160"/>
        <w:rPr>
          <w:ins w:id="566" w:author="svcMRProcess" w:date="2018-09-09T15:00:00Z"/>
          <w:snapToGrid w:val="0"/>
        </w:rPr>
      </w:pPr>
      <w:ins w:id="567" w:author="svcMRProcess" w:date="2018-09-09T15:00:00Z">
        <w:r>
          <w:rPr>
            <w:snapToGrid w:val="0"/>
            <w:vertAlign w:val="superscript"/>
          </w:rPr>
          <w:t>7</w:t>
        </w:r>
        <w:r>
          <w:rPr>
            <w:snapToGrid w:val="0"/>
          </w:rPr>
          <w:tab/>
          <w:t xml:space="preserve">On the date as at which this compilation was prepared, the </w:t>
        </w:r>
        <w:r>
          <w:rPr>
            <w:i/>
            <w:snapToGrid w:val="0"/>
          </w:rPr>
          <w:t xml:space="preserve">Travel Agents Amendment and Expiry Act 2014 </w:t>
        </w:r>
        <w:r>
          <w:rPr>
            <w:snapToGrid w:val="0"/>
          </w:rPr>
          <w:t>Pt. 2 had not come into operation.  It reads as follows:</w:t>
        </w:r>
      </w:ins>
    </w:p>
    <w:p>
      <w:pPr>
        <w:pStyle w:val="BlankOpen"/>
        <w:rPr>
          <w:ins w:id="568" w:author="svcMRProcess" w:date="2018-09-09T15:00:00Z"/>
          <w:snapToGrid w:val="0"/>
        </w:rPr>
      </w:pPr>
    </w:p>
    <w:p>
      <w:pPr>
        <w:pStyle w:val="nzHeading2"/>
        <w:rPr>
          <w:ins w:id="569" w:author="svcMRProcess" w:date="2018-09-09T15:00:00Z"/>
        </w:rPr>
      </w:pPr>
      <w:bookmarkStart w:id="570" w:name="_Toc384042295"/>
      <w:bookmarkStart w:id="571" w:name="_Toc384042316"/>
      <w:bookmarkStart w:id="572" w:name="_Toc384042403"/>
      <w:bookmarkStart w:id="573" w:name="_Toc384042578"/>
      <w:bookmarkStart w:id="574" w:name="_Toc384042599"/>
      <w:bookmarkStart w:id="575" w:name="_Toc384043031"/>
      <w:bookmarkStart w:id="576" w:name="_Toc396381245"/>
      <w:bookmarkStart w:id="577" w:name="_Toc396381352"/>
      <w:bookmarkStart w:id="578" w:name="_Toc396381750"/>
      <w:bookmarkStart w:id="579" w:name="_Toc397088624"/>
      <w:bookmarkStart w:id="580" w:name="_Toc397092860"/>
      <w:ins w:id="581" w:author="svcMRProcess" w:date="2018-09-09T15:00:00Z">
        <w:r>
          <w:rPr>
            <w:rStyle w:val="CharPartNo"/>
          </w:rPr>
          <w:t>Part 2</w:t>
        </w:r>
        <w:r>
          <w:rPr>
            <w:rStyle w:val="CharDivNo"/>
          </w:rPr>
          <w:t> </w:t>
        </w:r>
        <w:r>
          <w:t>—</w:t>
        </w:r>
        <w:r>
          <w:rPr>
            <w:rStyle w:val="CharDivText"/>
          </w:rPr>
          <w:t> </w:t>
        </w:r>
        <w:r>
          <w:rPr>
            <w:rStyle w:val="CharPartText"/>
            <w:i/>
          </w:rPr>
          <w:t>Travel Agents Act 1985</w:t>
        </w:r>
        <w:r>
          <w:rPr>
            <w:rStyle w:val="CharPartText"/>
          </w:rPr>
          <w:t xml:space="preserve"> amended</w:t>
        </w:r>
        <w:bookmarkEnd w:id="570"/>
        <w:bookmarkEnd w:id="571"/>
        <w:bookmarkEnd w:id="572"/>
        <w:bookmarkEnd w:id="573"/>
        <w:bookmarkEnd w:id="574"/>
        <w:bookmarkEnd w:id="575"/>
        <w:bookmarkEnd w:id="576"/>
        <w:bookmarkEnd w:id="577"/>
        <w:bookmarkEnd w:id="578"/>
        <w:bookmarkEnd w:id="579"/>
        <w:bookmarkEnd w:id="580"/>
      </w:ins>
    </w:p>
    <w:p>
      <w:pPr>
        <w:pStyle w:val="nzHeading5"/>
        <w:rPr>
          <w:ins w:id="582" w:author="svcMRProcess" w:date="2018-09-09T15:00:00Z"/>
          <w:snapToGrid w:val="0"/>
        </w:rPr>
      </w:pPr>
      <w:bookmarkStart w:id="583" w:name="_Toc397088625"/>
      <w:bookmarkStart w:id="584" w:name="_Toc397092861"/>
      <w:ins w:id="585" w:author="svcMRProcess" w:date="2018-09-09T15:00:00Z">
        <w:r>
          <w:rPr>
            <w:rStyle w:val="CharSectno"/>
          </w:rPr>
          <w:t>3</w:t>
        </w:r>
        <w:r>
          <w:rPr>
            <w:snapToGrid w:val="0"/>
          </w:rPr>
          <w:t>.</w:t>
        </w:r>
        <w:r>
          <w:rPr>
            <w:snapToGrid w:val="0"/>
          </w:rPr>
          <w:tab/>
          <w:t>Act amended</w:t>
        </w:r>
        <w:bookmarkEnd w:id="583"/>
        <w:bookmarkEnd w:id="584"/>
      </w:ins>
    </w:p>
    <w:p>
      <w:pPr>
        <w:pStyle w:val="nzSubsection"/>
        <w:rPr>
          <w:ins w:id="586" w:author="svcMRProcess" w:date="2018-09-09T15:00:00Z"/>
        </w:rPr>
      </w:pPr>
      <w:ins w:id="587" w:author="svcMRProcess" w:date="2018-09-09T15:00:00Z">
        <w:r>
          <w:tab/>
        </w:r>
        <w:r>
          <w:tab/>
          <w:t xml:space="preserve">This Part amends the </w:t>
        </w:r>
        <w:r>
          <w:rPr>
            <w:i/>
          </w:rPr>
          <w:t>Travel Agents Act 1985</w:t>
        </w:r>
        <w:r>
          <w:t>.</w:t>
        </w:r>
      </w:ins>
    </w:p>
    <w:p>
      <w:pPr>
        <w:pStyle w:val="nzHeading5"/>
        <w:rPr>
          <w:ins w:id="588" w:author="svcMRProcess" w:date="2018-09-09T15:00:00Z"/>
        </w:rPr>
      </w:pPr>
      <w:bookmarkStart w:id="589" w:name="_Toc397088626"/>
      <w:bookmarkStart w:id="590" w:name="_Toc397092862"/>
      <w:ins w:id="591" w:author="svcMRProcess" w:date="2018-09-09T15:00:00Z">
        <w:r>
          <w:rPr>
            <w:rStyle w:val="CharSectno"/>
          </w:rPr>
          <w:t>4</w:t>
        </w:r>
        <w:r>
          <w:t>.</w:t>
        </w:r>
        <w:r>
          <w:tab/>
          <w:t>Long title replaced</w:t>
        </w:r>
        <w:bookmarkEnd w:id="589"/>
        <w:bookmarkEnd w:id="590"/>
      </w:ins>
    </w:p>
    <w:p>
      <w:pPr>
        <w:pStyle w:val="nzSubsection"/>
        <w:rPr>
          <w:ins w:id="592" w:author="svcMRProcess" w:date="2018-09-09T15:00:00Z"/>
        </w:rPr>
      </w:pPr>
      <w:ins w:id="593" w:author="svcMRProcess" w:date="2018-09-09T15:00:00Z">
        <w:r>
          <w:tab/>
        </w:r>
        <w:r>
          <w:tab/>
          <w:t>Delete the long title and insert:</w:t>
        </w:r>
      </w:ins>
    </w:p>
    <w:p>
      <w:pPr>
        <w:pStyle w:val="BlankOpen"/>
        <w:rPr>
          <w:ins w:id="594" w:author="svcMRProcess" w:date="2018-09-09T15:00:00Z"/>
        </w:rPr>
      </w:pPr>
    </w:p>
    <w:p>
      <w:pPr>
        <w:pStyle w:val="zLongTitle"/>
        <w:rPr>
          <w:ins w:id="595" w:author="svcMRProcess" w:date="2018-09-09T15:00:00Z"/>
        </w:rPr>
      </w:pPr>
      <w:ins w:id="596" w:author="svcMRProcess" w:date="2018-09-09T15:00:00Z">
        <w:r>
          <w:t>An Act relating to the regulation of the travel industry.</w:t>
        </w:r>
      </w:ins>
    </w:p>
    <w:p>
      <w:pPr>
        <w:pStyle w:val="BlankClose"/>
        <w:rPr>
          <w:ins w:id="597" w:author="svcMRProcess" w:date="2018-09-09T15:00:00Z"/>
        </w:rPr>
      </w:pPr>
    </w:p>
    <w:p>
      <w:pPr>
        <w:pStyle w:val="nzHeading5"/>
        <w:rPr>
          <w:ins w:id="598" w:author="svcMRProcess" w:date="2018-09-09T15:00:00Z"/>
        </w:rPr>
      </w:pPr>
      <w:bookmarkStart w:id="599" w:name="_Toc397088627"/>
      <w:bookmarkStart w:id="600" w:name="_Toc397092863"/>
      <w:ins w:id="601" w:author="svcMRProcess" w:date="2018-09-09T15:00:00Z">
        <w:r>
          <w:rPr>
            <w:rStyle w:val="CharSectno"/>
          </w:rPr>
          <w:t>5</w:t>
        </w:r>
        <w:r>
          <w:t>.</w:t>
        </w:r>
        <w:r>
          <w:tab/>
          <w:t>Section 3 amended</w:t>
        </w:r>
        <w:bookmarkEnd w:id="599"/>
        <w:bookmarkEnd w:id="600"/>
      </w:ins>
    </w:p>
    <w:p>
      <w:pPr>
        <w:pStyle w:val="nzSubsection"/>
        <w:rPr>
          <w:ins w:id="602" w:author="svcMRProcess" w:date="2018-09-09T15:00:00Z"/>
        </w:rPr>
      </w:pPr>
      <w:ins w:id="603" w:author="svcMRProcess" w:date="2018-09-09T15:00:00Z">
        <w:r>
          <w:tab/>
          <w:t>(1)</w:t>
        </w:r>
        <w:r>
          <w:tab/>
          <w:t xml:space="preserve">In section 3(1) delete the definition of </w:t>
        </w:r>
        <w:r>
          <w:rPr>
            <w:b/>
            <w:i/>
          </w:rPr>
          <w:t>Compensation Scheme</w:t>
        </w:r>
        <w:r>
          <w:t>.</w:t>
        </w:r>
      </w:ins>
    </w:p>
    <w:p>
      <w:pPr>
        <w:pStyle w:val="nzSubsection"/>
        <w:rPr>
          <w:ins w:id="604" w:author="svcMRProcess" w:date="2018-09-09T15:00:00Z"/>
        </w:rPr>
      </w:pPr>
      <w:ins w:id="605" w:author="svcMRProcess" w:date="2018-09-09T15:00:00Z">
        <w:r>
          <w:tab/>
          <w:t>(2)</w:t>
        </w:r>
        <w:r>
          <w:tab/>
          <w:t>In section 3(1) insert in alphabetical order:</w:t>
        </w:r>
      </w:ins>
    </w:p>
    <w:p>
      <w:pPr>
        <w:pStyle w:val="BlankOpen"/>
        <w:rPr>
          <w:ins w:id="606" w:author="svcMRProcess" w:date="2018-09-09T15:00:00Z"/>
        </w:rPr>
      </w:pPr>
    </w:p>
    <w:p>
      <w:pPr>
        <w:pStyle w:val="nzDefstart"/>
        <w:rPr>
          <w:ins w:id="607" w:author="svcMRProcess" w:date="2018-09-09T15:00:00Z"/>
        </w:rPr>
      </w:pPr>
      <w:ins w:id="608" w:author="svcMRProcess" w:date="2018-09-09T15:00:00Z">
        <w:r>
          <w:tab/>
        </w:r>
        <w:r>
          <w:rPr>
            <w:rStyle w:val="CharDefText"/>
          </w:rPr>
          <w:t>Compensation Scheme</w:t>
        </w:r>
        <w:r>
          <w:t xml:space="preserve"> means the scheme for compensating persons who suffer loss by reason of an act or omission by a person who carries on, or carried on, business as a travel agent that is set out in the Trust Deed;</w:t>
        </w:r>
      </w:ins>
    </w:p>
    <w:p>
      <w:pPr>
        <w:pStyle w:val="nzNotesPerm"/>
        <w:rPr>
          <w:ins w:id="609" w:author="svcMRProcess" w:date="2018-09-09T15:00:00Z"/>
        </w:rPr>
      </w:pPr>
      <w:ins w:id="610" w:author="svcMRProcess" w:date="2018-09-09T15:00:00Z">
        <w:r>
          <w:tab/>
        </w:r>
        <w:r>
          <w:tab/>
          <w:t xml:space="preserve">Note for the definition of </w:t>
        </w:r>
        <w:r>
          <w:rPr>
            <w:b/>
            <w:i/>
          </w:rPr>
          <w:t>Compensation Scheme</w:t>
        </w:r>
        <w:r>
          <w:t>:</w:t>
        </w:r>
      </w:ins>
    </w:p>
    <w:p>
      <w:pPr>
        <w:pStyle w:val="nzNotesPerm"/>
        <w:rPr>
          <w:ins w:id="611" w:author="svcMRProcess" w:date="2018-09-09T15:00:00Z"/>
        </w:rPr>
      </w:pPr>
      <w:ins w:id="612" w:author="svcMRProcess" w:date="2018-09-09T15:00:00Z">
        <w:r>
          <w:tab/>
        </w:r>
        <w:r>
          <w:tab/>
          <w:t>A copy of the Trust Deed can be found on the Travel Compensation Fund’s website at &lt;http://www.tcf.org.au&gt;.</w:t>
        </w:r>
      </w:ins>
    </w:p>
    <w:p>
      <w:pPr>
        <w:pStyle w:val="nzDefstart"/>
        <w:rPr>
          <w:ins w:id="613" w:author="svcMRProcess" w:date="2018-09-09T15:00:00Z"/>
        </w:rPr>
      </w:pPr>
      <w:ins w:id="614" w:author="svcMRProcess" w:date="2018-09-09T15:00:00Z">
        <w:r>
          <w:tab/>
        </w:r>
        <w:r>
          <w:rPr>
            <w:rStyle w:val="CharDefText"/>
          </w:rPr>
          <w:t>transition day</w:t>
        </w:r>
        <w:r>
          <w:t xml:space="preserve"> means the day on which the </w:t>
        </w:r>
        <w:r>
          <w:rPr>
            <w:i/>
          </w:rPr>
          <w:t>Travel Agents Amendment and Expiry Act 2014</w:t>
        </w:r>
        <w:r>
          <w:t xml:space="preserve"> section 6 comes into operation;</w:t>
        </w:r>
      </w:ins>
    </w:p>
    <w:p>
      <w:pPr>
        <w:pStyle w:val="nzDefstart"/>
        <w:rPr>
          <w:ins w:id="615" w:author="svcMRProcess" w:date="2018-09-09T15:00:00Z"/>
        </w:rPr>
      </w:pPr>
      <w:ins w:id="616" w:author="svcMRProcess" w:date="2018-09-09T15:00:00Z">
        <w:r>
          <w:tab/>
        </w:r>
        <w:r>
          <w:rPr>
            <w:rStyle w:val="CharDefText"/>
          </w:rPr>
          <w:t>Trust Deed</w:t>
        </w:r>
        <w:r>
          <w:t xml:space="preserve"> means the Travel Compensation Fund Substitution Trust Deed (which was executed by the Minister for and on behalf of the State and which came into effect on 1 July 2013) as amended and in force from time to time.</w:t>
        </w:r>
      </w:ins>
    </w:p>
    <w:p>
      <w:pPr>
        <w:pStyle w:val="BlankClose"/>
        <w:rPr>
          <w:ins w:id="617" w:author="svcMRProcess" w:date="2018-09-09T15:00:00Z"/>
        </w:rPr>
      </w:pPr>
    </w:p>
    <w:p>
      <w:pPr>
        <w:pStyle w:val="nzSubsection"/>
        <w:rPr>
          <w:ins w:id="618" w:author="svcMRProcess" w:date="2018-09-09T15:00:00Z"/>
        </w:rPr>
      </w:pPr>
      <w:ins w:id="619" w:author="svcMRProcess" w:date="2018-09-09T15:00:00Z">
        <w:r>
          <w:tab/>
          <w:t>(3)</w:t>
        </w:r>
        <w:r>
          <w:tab/>
          <w:t xml:space="preserve">In section 3(1) in the definition of </w:t>
        </w:r>
        <w:r>
          <w:rPr>
            <w:b/>
            <w:i/>
          </w:rPr>
          <w:t>records</w:t>
        </w:r>
        <w:r>
          <w:t xml:space="preserve"> delete “means.” and insert:</w:t>
        </w:r>
      </w:ins>
    </w:p>
    <w:p>
      <w:pPr>
        <w:pStyle w:val="BlankOpen"/>
        <w:rPr>
          <w:ins w:id="620" w:author="svcMRProcess" w:date="2018-09-09T15:00:00Z"/>
        </w:rPr>
      </w:pPr>
    </w:p>
    <w:p>
      <w:pPr>
        <w:pStyle w:val="nzSubsection"/>
        <w:rPr>
          <w:ins w:id="621" w:author="svcMRProcess" w:date="2018-09-09T15:00:00Z"/>
        </w:rPr>
      </w:pPr>
      <w:ins w:id="622" w:author="svcMRProcess" w:date="2018-09-09T15:00:00Z">
        <w:r>
          <w:tab/>
        </w:r>
        <w:r>
          <w:tab/>
          <w:t>means;</w:t>
        </w:r>
      </w:ins>
    </w:p>
    <w:p>
      <w:pPr>
        <w:pStyle w:val="BlankClose"/>
        <w:rPr>
          <w:ins w:id="623" w:author="svcMRProcess" w:date="2018-09-09T15:00:00Z"/>
        </w:rPr>
      </w:pPr>
    </w:p>
    <w:p>
      <w:pPr>
        <w:pStyle w:val="nzSubsection"/>
        <w:rPr>
          <w:ins w:id="624" w:author="svcMRProcess" w:date="2018-09-09T15:00:00Z"/>
        </w:rPr>
      </w:pPr>
      <w:ins w:id="625" w:author="svcMRProcess" w:date="2018-09-09T15:00:00Z">
        <w:r>
          <w:tab/>
          <w:t>(4)</w:t>
        </w:r>
        <w:r>
          <w:tab/>
          <w:t>After section 3(2) insert:</w:t>
        </w:r>
      </w:ins>
    </w:p>
    <w:p>
      <w:pPr>
        <w:pStyle w:val="BlankOpen"/>
        <w:rPr>
          <w:ins w:id="626" w:author="svcMRProcess" w:date="2018-09-09T15:00:00Z"/>
        </w:rPr>
      </w:pPr>
    </w:p>
    <w:p>
      <w:pPr>
        <w:pStyle w:val="nzSubsection"/>
        <w:rPr>
          <w:ins w:id="627" w:author="svcMRProcess" w:date="2018-09-09T15:00:00Z"/>
        </w:rPr>
      </w:pPr>
      <w:ins w:id="628" w:author="svcMRProcess" w:date="2018-09-09T15:00:00Z">
        <w:r>
          <w:tab/>
          <w:t>(3)</w:t>
        </w:r>
        <w:r>
          <w:tab/>
          <w:t>A note set out at the foot of a provision of this Act does not form part of this Act.</w:t>
        </w:r>
      </w:ins>
    </w:p>
    <w:p>
      <w:pPr>
        <w:pStyle w:val="BlankClose"/>
        <w:rPr>
          <w:ins w:id="629" w:author="svcMRProcess" w:date="2018-09-09T15:00:00Z"/>
        </w:rPr>
      </w:pPr>
    </w:p>
    <w:p>
      <w:pPr>
        <w:pStyle w:val="nzHeading5"/>
        <w:rPr>
          <w:ins w:id="630" w:author="svcMRProcess" w:date="2018-09-09T15:00:00Z"/>
        </w:rPr>
      </w:pPr>
      <w:bookmarkStart w:id="631" w:name="_Toc397088628"/>
      <w:bookmarkStart w:id="632" w:name="_Toc397092864"/>
      <w:ins w:id="633" w:author="svcMRProcess" w:date="2018-09-09T15:00:00Z">
        <w:r>
          <w:rPr>
            <w:rStyle w:val="CharSectno"/>
          </w:rPr>
          <w:t>6</w:t>
        </w:r>
        <w:r>
          <w:t>.</w:t>
        </w:r>
        <w:r>
          <w:tab/>
          <w:t>Section 5A inserted</w:t>
        </w:r>
        <w:bookmarkEnd w:id="631"/>
        <w:bookmarkEnd w:id="632"/>
      </w:ins>
    </w:p>
    <w:p>
      <w:pPr>
        <w:pStyle w:val="nzSubsection"/>
        <w:rPr>
          <w:ins w:id="634" w:author="svcMRProcess" w:date="2018-09-09T15:00:00Z"/>
        </w:rPr>
      </w:pPr>
      <w:ins w:id="635" w:author="svcMRProcess" w:date="2018-09-09T15:00:00Z">
        <w:r>
          <w:tab/>
        </w:r>
        <w:r>
          <w:tab/>
          <w:t>After section 4 insert:</w:t>
        </w:r>
      </w:ins>
    </w:p>
    <w:p>
      <w:pPr>
        <w:pStyle w:val="BlankOpen"/>
        <w:rPr>
          <w:ins w:id="636" w:author="svcMRProcess" w:date="2018-09-09T15:00:00Z"/>
        </w:rPr>
      </w:pPr>
    </w:p>
    <w:p>
      <w:pPr>
        <w:pStyle w:val="nzHeading5"/>
        <w:rPr>
          <w:ins w:id="637" w:author="svcMRProcess" w:date="2018-09-09T15:00:00Z"/>
        </w:rPr>
      </w:pPr>
      <w:bookmarkStart w:id="638" w:name="_Toc397088629"/>
      <w:bookmarkStart w:id="639" w:name="_Toc397092865"/>
      <w:ins w:id="640" w:author="svcMRProcess" w:date="2018-09-09T15:00:00Z">
        <w:r>
          <w:t>5A.</w:t>
        </w:r>
        <w:r>
          <w:tab/>
          <w:t>Application of Act limited</w:t>
        </w:r>
        <w:bookmarkEnd w:id="638"/>
        <w:bookmarkEnd w:id="639"/>
      </w:ins>
    </w:p>
    <w:p>
      <w:pPr>
        <w:pStyle w:val="nzSubsection"/>
        <w:rPr>
          <w:ins w:id="641" w:author="svcMRProcess" w:date="2018-09-09T15:00:00Z"/>
        </w:rPr>
      </w:pPr>
      <w:ins w:id="642" w:author="svcMRProcess" w:date="2018-09-09T15:00:00Z">
        <w:r>
          <w:tab/>
        </w:r>
        <w:r>
          <w:tab/>
          <w:t>This Act does not apply on or after transition day except as provided by Part V.</w:t>
        </w:r>
      </w:ins>
    </w:p>
    <w:p>
      <w:pPr>
        <w:pStyle w:val="BlankClose"/>
        <w:rPr>
          <w:ins w:id="643" w:author="svcMRProcess" w:date="2018-09-09T15:00:00Z"/>
        </w:rPr>
      </w:pPr>
    </w:p>
    <w:p>
      <w:pPr>
        <w:pStyle w:val="nzHeading5"/>
        <w:rPr>
          <w:ins w:id="644" w:author="svcMRProcess" w:date="2018-09-09T15:00:00Z"/>
        </w:rPr>
      </w:pPr>
      <w:bookmarkStart w:id="645" w:name="_Toc397088630"/>
      <w:bookmarkStart w:id="646" w:name="_Toc397092866"/>
      <w:ins w:id="647" w:author="svcMRProcess" w:date="2018-09-09T15:00:00Z">
        <w:r>
          <w:rPr>
            <w:rStyle w:val="CharSectno"/>
          </w:rPr>
          <w:t>7</w:t>
        </w:r>
        <w:r>
          <w:t>.</w:t>
        </w:r>
        <w:r>
          <w:tab/>
          <w:t>Part V inserted</w:t>
        </w:r>
        <w:bookmarkEnd w:id="645"/>
        <w:bookmarkEnd w:id="646"/>
      </w:ins>
    </w:p>
    <w:p>
      <w:pPr>
        <w:pStyle w:val="nzSubsection"/>
        <w:rPr>
          <w:ins w:id="648" w:author="svcMRProcess" w:date="2018-09-09T15:00:00Z"/>
        </w:rPr>
      </w:pPr>
      <w:ins w:id="649" w:author="svcMRProcess" w:date="2018-09-09T15:00:00Z">
        <w:r>
          <w:tab/>
        </w:r>
        <w:r>
          <w:tab/>
          <w:t>After section 60 insert:</w:t>
        </w:r>
      </w:ins>
    </w:p>
    <w:p>
      <w:pPr>
        <w:pStyle w:val="BlankOpen"/>
        <w:rPr>
          <w:ins w:id="650" w:author="svcMRProcess" w:date="2018-09-09T15:00:00Z"/>
        </w:rPr>
      </w:pPr>
    </w:p>
    <w:p>
      <w:pPr>
        <w:pStyle w:val="nzHeading2"/>
        <w:rPr>
          <w:ins w:id="651" w:author="svcMRProcess" w:date="2018-09-09T15:00:00Z"/>
        </w:rPr>
      </w:pPr>
      <w:bookmarkStart w:id="652" w:name="_Toc384042302"/>
      <w:bookmarkStart w:id="653" w:name="_Toc384042323"/>
      <w:bookmarkStart w:id="654" w:name="_Toc384042410"/>
      <w:bookmarkStart w:id="655" w:name="_Toc384042585"/>
      <w:bookmarkStart w:id="656" w:name="_Toc384042606"/>
      <w:bookmarkStart w:id="657" w:name="_Toc384043038"/>
      <w:bookmarkStart w:id="658" w:name="_Toc396381252"/>
      <w:bookmarkStart w:id="659" w:name="_Toc396381359"/>
      <w:bookmarkStart w:id="660" w:name="_Toc396381757"/>
      <w:bookmarkStart w:id="661" w:name="_Toc397088631"/>
      <w:bookmarkStart w:id="662" w:name="_Toc397092867"/>
      <w:ins w:id="663" w:author="svcMRProcess" w:date="2018-09-09T15:00:00Z">
        <w:r>
          <w:t>Part V</w:t>
        </w:r>
        <w:r>
          <w:rPr>
            <w:b w:val="0"/>
          </w:rPr>
          <w:t> </w:t>
        </w:r>
        <w:r>
          <w:t>—</w:t>
        </w:r>
        <w:r>
          <w:rPr>
            <w:b w:val="0"/>
          </w:rPr>
          <w:t> </w:t>
        </w:r>
        <w:r>
          <w:t>Expiry of Act and related transitional arrangements</w:t>
        </w:r>
        <w:bookmarkEnd w:id="652"/>
        <w:bookmarkEnd w:id="653"/>
        <w:bookmarkEnd w:id="654"/>
        <w:bookmarkEnd w:id="655"/>
        <w:bookmarkEnd w:id="656"/>
        <w:bookmarkEnd w:id="657"/>
        <w:bookmarkEnd w:id="658"/>
        <w:bookmarkEnd w:id="659"/>
        <w:bookmarkEnd w:id="660"/>
        <w:bookmarkEnd w:id="661"/>
        <w:bookmarkEnd w:id="662"/>
      </w:ins>
    </w:p>
    <w:p>
      <w:pPr>
        <w:pStyle w:val="nzHeading3"/>
        <w:rPr>
          <w:ins w:id="664" w:author="svcMRProcess" w:date="2018-09-09T15:00:00Z"/>
        </w:rPr>
      </w:pPr>
      <w:bookmarkStart w:id="665" w:name="_Toc384042303"/>
      <w:bookmarkStart w:id="666" w:name="_Toc384042324"/>
      <w:bookmarkStart w:id="667" w:name="_Toc384042411"/>
      <w:bookmarkStart w:id="668" w:name="_Toc384042586"/>
      <w:bookmarkStart w:id="669" w:name="_Toc384042607"/>
      <w:bookmarkStart w:id="670" w:name="_Toc384043039"/>
      <w:bookmarkStart w:id="671" w:name="_Toc396381253"/>
      <w:bookmarkStart w:id="672" w:name="_Toc396381360"/>
      <w:bookmarkStart w:id="673" w:name="_Toc396381758"/>
      <w:bookmarkStart w:id="674" w:name="_Toc397088632"/>
      <w:bookmarkStart w:id="675" w:name="_Toc397092868"/>
      <w:ins w:id="676" w:author="svcMRProcess" w:date="2018-09-09T15:00:00Z">
        <w:r>
          <w:t>Division 1 — Expiry of Act</w:t>
        </w:r>
        <w:bookmarkEnd w:id="665"/>
        <w:bookmarkEnd w:id="666"/>
        <w:bookmarkEnd w:id="667"/>
        <w:bookmarkEnd w:id="668"/>
        <w:bookmarkEnd w:id="669"/>
        <w:bookmarkEnd w:id="670"/>
        <w:bookmarkEnd w:id="671"/>
        <w:bookmarkEnd w:id="672"/>
        <w:bookmarkEnd w:id="673"/>
        <w:bookmarkEnd w:id="674"/>
        <w:bookmarkEnd w:id="675"/>
      </w:ins>
    </w:p>
    <w:p>
      <w:pPr>
        <w:pStyle w:val="nzHeading5"/>
        <w:rPr>
          <w:ins w:id="677" w:author="svcMRProcess" w:date="2018-09-09T15:00:00Z"/>
        </w:rPr>
      </w:pPr>
      <w:bookmarkStart w:id="678" w:name="_Toc397088633"/>
      <w:bookmarkStart w:id="679" w:name="_Toc397092869"/>
      <w:ins w:id="680" w:author="svcMRProcess" w:date="2018-09-09T15:00:00Z">
        <w:r>
          <w:t>61.</w:t>
        </w:r>
        <w:r>
          <w:tab/>
          <w:t>When Act to expire</w:t>
        </w:r>
        <w:bookmarkEnd w:id="678"/>
        <w:bookmarkEnd w:id="679"/>
      </w:ins>
    </w:p>
    <w:p>
      <w:pPr>
        <w:pStyle w:val="nzSubsection"/>
        <w:rPr>
          <w:ins w:id="681" w:author="svcMRProcess" w:date="2018-09-09T15:00:00Z"/>
        </w:rPr>
      </w:pPr>
      <w:ins w:id="682" w:author="svcMRProcess" w:date="2018-09-09T15:00:00Z">
        <w:r>
          <w:tab/>
          <w:t>(1)</w:t>
        </w:r>
        <w:r>
          <w:tab/>
          <w:t>This Act expires as stated in the notice published under subsection (2).</w:t>
        </w:r>
      </w:ins>
    </w:p>
    <w:p>
      <w:pPr>
        <w:pStyle w:val="nzSubsection"/>
        <w:rPr>
          <w:ins w:id="683" w:author="svcMRProcess" w:date="2018-09-09T15:00:00Z"/>
        </w:rPr>
      </w:pPr>
      <w:ins w:id="684" w:author="svcMRProcess" w:date="2018-09-09T15:00:00Z">
        <w:r>
          <w:tab/>
          <w:t>(2)</w:t>
        </w:r>
        <w:r>
          <w:tab/>
          <w:t xml:space="preserve">When satisfied of the matters specified in subsection (3), the Minister must publish a notice in the </w:t>
        </w:r>
        <w:r>
          <w:rPr>
            <w:i/>
          </w:rPr>
          <w:t>Gazette</w:t>
        </w:r>
        <w:r>
          <w:t xml:space="preserve"> stating — </w:t>
        </w:r>
      </w:ins>
    </w:p>
    <w:p>
      <w:pPr>
        <w:pStyle w:val="nzIndenta"/>
        <w:rPr>
          <w:ins w:id="685" w:author="svcMRProcess" w:date="2018-09-09T15:00:00Z"/>
        </w:rPr>
      </w:pPr>
      <w:ins w:id="686" w:author="svcMRProcess" w:date="2018-09-09T15:00:00Z">
        <w:r>
          <w:tab/>
          <w:t>(a)</w:t>
        </w:r>
        <w:r>
          <w:tab/>
          <w:t>that the Minister is satisfied of those matters; and</w:t>
        </w:r>
      </w:ins>
    </w:p>
    <w:p>
      <w:pPr>
        <w:pStyle w:val="nzIndenta"/>
        <w:rPr>
          <w:ins w:id="687" w:author="svcMRProcess" w:date="2018-09-09T15:00:00Z"/>
        </w:rPr>
      </w:pPr>
      <w:ins w:id="688" w:author="svcMRProcess" w:date="2018-09-09T15:00:00Z">
        <w:r>
          <w:tab/>
          <w:t>(b)</w:t>
        </w:r>
        <w:r>
          <w:tab/>
          <w:t>that this Act expires at the end of the day specified in the notice.</w:t>
        </w:r>
      </w:ins>
    </w:p>
    <w:p>
      <w:pPr>
        <w:pStyle w:val="nzSubsection"/>
        <w:rPr>
          <w:ins w:id="689" w:author="svcMRProcess" w:date="2018-09-09T15:00:00Z"/>
        </w:rPr>
      </w:pPr>
      <w:ins w:id="690" w:author="svcMRProcess" w:date="2018-09-09T15:00:00Z">
        <w:r>
          <w:tab/>
          <w:t>(3)</w:t>
        </w:r>
        <w:r>
          <w:tab/>
          <w:t xml:space="preserve">For subsection (2), the Minister must be satisfied — </w:t>
        </w:r>
      </w:ins>
    </w:p>
    <w:p>
      <w:pPr>
        <w:pStyle w:val="nzIndenta"/>
        <w:rPr>
          <w:ins w:id="691" w:author="svcMRProcess" w:date="2018-09-09T15:00:00Z"/>
        </w:rPr>
      </w:pPr>
      <w:ins w:id="692" w:author="svcMRProcess" w:date="2018-09-09T15:00:00Z">
        <w:r>
          <w:tab/>
          <w:t>(a)</w:t>
        </w:r>
        <w:r>
          <w:tab/>
          <w:t>that the Compensation Scheme has been terminated in accordance with the Trust Deed; and</w:t>
        </w:r>
      </w:ins>
    </w:p>
    <w:p>
      <w:pPr>
        <w:pStyle w:val="nzIndenta"/>
        <w:rPr>
          <w:ins w:id="693" w:author="svcMRProcess" w:date="2018-09-09T15:00:00Z"/>
        </w:rPr>
      </w:pPr>
      <w:ins w:id="694" w:author="svcMRProcess" w:date="2018-09-09T15:00:00Z">
        <w:r>
          <w:tab/>
          <w:t>(b)</w:t>
        </w:r>
        <w:r>
          <w:tab/>
          <w:t>that there is no reason for this Act to continue.</w:t>
        </w:r>
      </w:ins>
    </w:p>
    <w:p>
      <w:pPr>
        <w:pStyle w:val="nzHeading3"/>
        <w:rPr>
          <w:ins w:id="695" w:author="svcMRProcess" w:date="2018-09-09T15:00:00Z"/>
        </w:rPr>
      </w:pPr>
      <w:bookmarkStart w:id="696" w:name="_Toc384042305"/>
      <w:bookmarkStart w:id="697" w:name="_Toc384042326"/>
      <w:bookmarkStart w:id="698" w:name="_Toc384042413"/>
      <w:bookmarkStart w:id="699" w:name="_Toc384042588"/>
      <w:bookmarkStart w:id="700" w:name="_Toc384042609"/>
      <w:bookmarkStart w:id="701" w:name="_Toc384043041"/>
      <w:bookmarkStart w:id="702" w:name="_Toc396381255"/>
      <w:bookmarkStart w:id="703" w:name="_Toc396381362"/>
      <w:bookmarkStart w:id="704" w:name="_Toc396381760"/>
      <w:bookmarkStart w:id="705" w:name="_Toc397088634"/>
      <w:bookmarkStart w:id="706" w:name="_Toc397092870"/>
      <w:ins w:id="707" w:author="svcMRProcess" w:date="2018-09-09T15:00:00Z">
        <w:r>
          <w:t>Division 2 — Transitional arrangements on and after transition day</w:t>
        </w:r>
        <w:bookmarkEnd w:id="696"/>
        <w:bookmarkEnd w:id="697"/>
        <w:bookmarkEnd w:id="698"/>
        <w:bookmarkEnd w:id="699"/>
        <w:bookmarkEnd w:id="700"/>
        <w:bookmarkEnd w:id="701"/>
        <w:bookmarkEnd w:id="702"/>
        <w:bookmarkEnd w:id="703"/>
        <w:bookmarkEnd w:id="704"/>
        <w:bookmarkEnd w:id="705"/>
        <w:bookmarkEnd w:id="706"/>
      </w:ins>
    </w:p>
    <w:p>
      <w:pPr>
        <w:pStyle w:val="nzHeading5"/>
        <w:rPr>
          <w:ins w:id="708" w:author="svcMRProcess" w:date="2018-09-09T15:00:00Z"/>
        </w:rPr>
      </w:pPr>
      <w:bookmarkStart w:id="709" w:name="_Toc397088635"/>
      <w:bookmarkStart w:id="710" w:name="_Toc397092871"/>
      <w:ins w:id="711" w:author="svcMRProcess" w:date="2018-09-09T15:00:00Z">
        <w:r>
          <w:t>62.</w:t>
        </w:r>
        <w:r>
          <w:tab/>
          <w:t>Purposes for which Act continues to apply</w:t>
        </w:r>
        <w:bookmarkEnd w:id="709"/>
        <w:bookmarkEnd w:id="710"/>
      </w:ins>
    </w:p>
    <w:p>
      <w:pPr>
        <w:pStyle w:val="nzSubsection"/>
        <w:rPr>
          <w:ins w:id="712" w:author="svcMRProcess" w:date="2018-09-09T15:00:00Z"/>
        </w:rPr>
      </w:pPr>
      <w:ins w:id="713" w:author="svcMRProcess" w:date="2018-09-09T15:00:00Z">
        <w:r>
          <w:tab/>
        </w:r>
        <w:r>
          <w:tab/>
          <w:t xml:space="preserve">This Act continues to apply on and after transition day for the following purposes — </w:t>
        </w:r>
      </w:ins>
    </w:p>
    <w:p>
      <w:pPr>
        <w:pStyle w:val="nzIndenta"/>
        <w:rPr>
          <w:ins w:id="714" w:author="svcMRProcess" w:date="2018-09-09T15:00:00Z"/>
        </w:rPr>
      </w:pPr>
      <w:ins w:id="715" w:author="svcMRProcess" w:date="2018-09-09T15:00:00Z">
        <w:r>
          <w:tab/>
          <w:t>(a)</w:t>
        </w:r>
        <w:r>
          <w:tab/>
          <w:t>the assessment of claims for, and the payment of, compensation under the Compensation Scheme in respect of any act done or omission made before transition day;</w:t>
        </w:r>
      </w:ins>
    </w:p>
    <w:p>
      <w:pPr>
        <w:pStyle w:val="nzIndenta"/>
        <w:rPr>
          <w:ins w:id="716" w:author="svcMRProcess" w:date="2018-09-09T15:00:00Z"/>
        </w:rPr>
      </w:pPr>
      <w:ins w:id="717" w:author="svcMRProcess" w:date="2018-09-09T15:00:00Z">
        <w:r>
          <w:tab/>
          <w:t>(b)</w:t>
        </w:r>
        <w:r>
          <w:tab/>
          <w:t>the investigation of, or inquiry into, any matter by the Commissioner under Part II Division 3 the grounds for which arose before transition day;</w:t>
        </w:r>
      </w:ins>
    </w:p>
    <w:p>
      <w:pPr>
        <w:pStyle w:val="nzIndenta"/>
        <w:rPr>
          <w:ins w:id="718" w:author="svcMRProcess" w:date="2018-09-09T15:00:00Z"/>
        </w:rPr>
      </w:pPr>
      <w:ins w:id="719" w:author="svcMRProcess" w:date="2018-09-09T15:00:00Z">
        <w:r>
          <w:tab/>
          <w:t>(c)</w:t>
        </w:r>
        <w:r>
          <w:tab/>
          <w:t>the request for, the giving of and compliance with undertakings under section 37 in connection with unjust conduct allegedly engaged in before transition day;</w:t>
        </w:r>
      </w:ins>
    </w:p>
    <w:p>
      <w:pPr>
        <w:pStyle w:val="nzIndenta"/>
        <w:rPr>
          <w:ins w:id="720" w:author="svcMRProcess" w:date="2018-09-09T15:00:00Z"/>
        </w:rPr>
      </w:pPr>
      <w:ins w:id="721" w:author="svcMRProcess" w:date="2018-09-09T15:00:00Z">
        <w:r>
          <w:tab/>
          <w:t>(d)</w:t>
        </w:r>
        <w:r>
          <w:tab/>
          <w:t>the investigation and prosecution of any offence under this Act alleged to have been committed before transition day;</w:t>
        </w:r>
      </w:ins>
    </w:p>
    <w:p>
      <w:pPr>
        <w:pStyle w:val="nzIndenta"/>
        <w:rPr>
          <w:ins w:id="722" w:author="svcMRProcess" w:date="2018-09-09T15:00:00Z"/>
        </w:rPr>
      </w:pPr>
      <w:ins w:id="723" w:author="svcMRProcess" w:date="2018-09-09T15:00:00Z">
        <w:r>
          <w:tab/>
          <w:t>(e)</w:t>
        </w:r>
        <w:r>
          <w:tab/>
          <w:t>the giving and withdrawal of, and the payment of the modified penalty specified in, any infringement notice in respect of any offence under this Act alleged to have been committed before transition day;</w:t>
        </w:r>
      </w:ins>
    </w:p>
    <w:p>
      <w:pPr>
        <w:pStyle w:val="nzIndenta"/>
        <w:rPr>
          <w:ins w:id="724" w:author="svcMRProcess" w:date="2018-09-09T15:00:00Z"/>
        </w:rPr>
      </w:pPr>
      <w:ins w:id="725" w:author="svcMRProcess" w:date="2018-09-09T15:00:00Z">
        <w:r>
          <w:tab/>
          <w:t>(f)</w:t>
        </w:r>
        <w:r>
          <w:tab/>
          <w:t>the commencement, conduct and disposal of proceedings before the State Administrative Tribunal under Part II Division 3 in respect of any allegation the grounds for which arose before transition day;</w:t>
        </w:r>
      </w:ins>
    </w:p>
    <w:p>
      <w:pPr>
        <w:pStyle w:val="nzIndenta"/>
        <w:rPr>
          <w:ins w:id="726" w:author="svcMRProcess" w:date="2018-09-09T15:00:00Z"/>
        </w:rPr>
      </w:pPr>
      <w:ins w:id="727" w:author="svcMRProcess" w:date="2018-09-09T15:00:00Z">
        <w:r>
          <w:tab/>
          <w:t>(g)</w:t>
        </w:r>
        <w:r>
          <w:tab/>
          <w:t>the review by the State Administrative Tribunal under Part II Division 4 of any reviewable decision made before transition day;</w:t>
        </w:r>
      </w:ins>
    </w:p>
    <w:p>
      <w:pPr>
        <w:pStyle w:val="nzIndenta"/>
        <w:rPr>
          <w:ins w:id="728" w:author="svcMRProcess" w:date="2018-09-09T15:00:00Z"/>
        </w:rPr>
      </w:pPr>
      <w:ins w:id="729" w:author="svcMRProcess" w:date="2018-09-09T15:00:00Z">
        <w:r>
          <w:tab/>
          <w:t>(h)</w:t>
        </w:r>
        <w:r>
          <w:tab/>
          <w:t xml:space="preserve">the commencement, conduct and disposal of proceedings before the State Administrative Tribunal under Part III in respect of — </w:t>
        </w:r>
      </w:ins>
    </w:p>
    <w:p>
      <w:pPr>
        <w:pStyle w:val="nzIndenti"/>
        <w:rPr>
          <w:ins w:id="730" w:author="svcMRProcess" w:date="2018-09-09T15:00:00Z"/>
        </w:rPr>
      </w:pPr>
      <w:ins w:id="731" w:author="svcMRProcess" w:date="2018-09-09T15:00:00Z">
        <w:r>
          <w:tab/>
          <w:t>(i)</w:t>
        </w:r>
        <w:r>
          <w:tab/>
          <w:t>any unjust conduct engaged in before transition day; or</w:t>
        </w:r>
      </w:ins>
    </w:p>
    <w:p>
      <w:pPr>
        <w:pStyle w:val="nzIndenti"/>
        <w:rPr>
          <w:ins w:id="732" w:author="svcMRProcess" w:date="2018-09-09T15:00:00Z"/>
        </w:rPr>
      </w:pPr>
      <w:ins w:id="733" w:author="svcMRProcess" w:date="2018-09-09T15:00:00Z">
        <w:r>
          <w:tab/>
          <w:t>(ii)</w:t>
        </w:r>
        <w:r>
          <w:tab/>
          <w:t>any failure to observe an undertaking whenever given.</w:t>
        </w:r>
      </w:ins>
    </w:p>
    <w:p>
      <w:pPr>
        <w:pStyle w:val="nzHeading5"/>
        <w:rPr>
          <w:ins w:id="734" w:author="svcMRProcess" w:date="2018-09-09T15:00:00Z"/>
        </w:rPr>
      </w:pPr>
      <w:bookmarkStart w:id="735" w:name="_Toc397088636"/>
      <w:bookmarkStart w:id="736" w:name="_Toc397092872"/>
      <w:ins w:id="737" w:author="svcMRProcess" w:date="2018-09-09T15:00:00Z">
        <w:r>
          <w:t>63.</w:t>
        </w:r>
        <w:r>
          <w:tab/>
          <w:t>Refund of licence fees</w:t>
        </w:r>
        <w:bookmarkEnd w:id="735"/>
        <w:bookmarkEnd w:id="736"/>
      </w:ins>
    </w:p>
    <w:p>
      <w:pPr>
        <w:pStyle w:val="nzSubsection"/>
        <w:rPr>
          <w:ins w:id="738" w:author="svcMRProcess" w:date="2018-09-09T15:00:00Z"/>
        </w:rPr>
      </w:pPr>
      <w:ins w:id="739" w:author="svcMRProcess" w:date="2018-09-09T15:00:00Z">
        <w:r>
          <w:tab/>
          <w:t>(1)</w:t>
        </w:r>
        <w:r>
          <w:tab/>
          <w:t xml:space="preserve">In this section — </w:t>
        </w:r>
      </w:ins>
    </w:p>
    <w:p>
      <w:pPr>
        <w:pStyle w:val="nzDefstart"/>
        <w:rPr>
          <w:ins w:id="740" w:author="svcMRProcess" w:date="2018-09-09T15:00:00Z"/>
        </w:rPr>
      </w:pPr>
      <w:ins w:id="741" w:author="svcMRProcess" w:date="2018-09-09T15:00:00Z">
        <w:r>
          <w:tab/>
        </w:r>
        <w:r>
          <w:rPr>
            <w:rStyle w:val="CharDefText"/>
          </w:rPr>
          <w:t>licence fee</w:t>
        </w:r>
        <w:r>
          <w:t xml:space="preserve">, for a licence, means — </w:t>
        </w:r>
      </w:ins>
    </w:p>
    <w:p>
      <w:pPr>
        <w:pStyle w:val="nzDefpara"/>
        <w:rPr>
          <w:ins w:id="742" w:author="svcMRProcess" w:date="2018-09-09T15:00:00Z"/>
        </w:rPr>
      </w:pPr>
      <w:ins w:id="743" w:author="svcMRProcess" w:date="2018-09-09T15:00:00Z">
        <w:r>
          <w:tab/>
          <w:t>(a)</w:t>
        </w:r>
        <w:r>
          <w:tab/>
          <w:t>the prescribed fee for the licence referred to in sections 9(2) and 12(7)(b)(i); or</w:t>
        </w:r>
      </w:ins>
    </w:p>
    <w:p>
      <w:pPr>
        <w:pStyle w:val="nzDefpara"/>
        <w:rPr>
          <w:ins w:id="744" w:author="svcMRProcess" w:date="2018-09-09T15:00:00Z"/>
        </w:rPr>
      </w:pPr>
      <w:ins w:id="745" w:author="svcMRProcess" w:date="2018-09-09T15:00:00Z">
        <w:r>
          <w:tab/>
          <w:t>(b)</w:t>
        </w:r>
        <w:r>
          <w:tab/>
          <w:t>the prescribed fee for the licence referred to in section 19(1);</w:t>
        </w:r>
      </w:ins>
    </w:p>
    <w:p>
      <w:pPr>
        <w:pStyle w:val="nzDefstart"/>
        <w:rPr>
          <w:ins w:id="746" w:author="svcMRProcess" w:date="2018-09-09T15:00:00Z"/>
        </w:rPr>
      </w:pPr>
      <w:ins w:id="747" w:author="svcMRProcess" w:date="2018-09-09T15:00:00Z">
        <w:r>
          <w:tab/>
        </w:r>
        <w:r>
          <w:rPr>
            <w:rStyle w:val="CharDefText"/>
          </w:rPr>
          <w:t>licence period</w:t>
        </w:r>
        <w:r>
          <w:t>, for a licence, means the period (expressed in days) in respect of which a licence fee for the licence was last paid before transition day;</w:t>
        </w:r>
      </w:ins>
    </w:p>
    <w:p>
      <w:pPr>
        <w:pStyle w:val="nzDefstart"/>
        <w:rPr>
          <w:ins w:id="748" w:author="svcMRProcess" w:date="2018-09-09T15:00:00Z"/>
        </w:rPr>
      </w:pPr>
      <w:ins w:id="749" w:author="svcMRProcess" w:date="2018-09-09T15:00:00Z">
        <w:r>
          <w:tab/>
        </w:r>
        <w:r>
          <w:rPr>
            <w:rStyle w:val="CharDefText"/>
          </w:rPr>
          <w:t>refundable portion</w:t>
        </w:r>
        <w:r>
          <w:t>, of a licence fee, means so much of the licence fee as is in the same proportion to the licence fee as the unexpired portion of the licence period is to the licence period;</w:t>
        </w:r>
      </w:ins>
    </w:p>
    <w:p>
      <w:pPr>
        <w:pStyle w:val="nzDefstart"/>
        <w:rPr>
          <w:ins w:id="750" w:author="svcMRProcess" w:date="2018-09-09T15:00:00Z"/>
        </w:rPr>
      </w:pPr>
      <w:ins w:id="751" w:author="svcMRProcess" w:date="2018-09-09T15:00:00Z">
        <w:r>
          <w:tab/>
        </w:r>
        <w:r>
          <w:rPr>
            <w:rStyle w:val="CharDefText"/>
          </w:rPr>
          <w:t>unexpired portion</w:t>
        </w:r>
        <w:r>
          <w:t xml:space="preserve">, of a licence period, means — </w:t>
        </w:r>
      </w:ins>
    </w:p>
    <w:p>
      <w:pPr>
        <w:pStyle w:val="nzDefpara"/>
        <w:rPr>
          <w:ins w:id="752" w:author="svcMRProcess" w:date="2018-09-09T15:00:00Z"/>
        </w:rPr>
      </w:pPr>
      <w:ins w:id="753" w:author="svcMRProcess" w:date="2018-09-09T15:00:00Z">
        <w:r>
          <w:tab/>
          <w:t>(a)</w:t>
        </w:r>
        <w:r>
          <w:tab/>
          <w:t>if the licence period had commenced but not expired before transition day — the portion (expressed in days) of the licence period that had not expired before transition day; or</w:t>
        </w:r>
      </w:ins>
    </w:p>
    <w:p>
      <w:pPr>
        <w:pStyle w:val="nzDefpara"/>
        <w:rPr>
          <w:ins w:id="754" w:author="svcMRProcess" w:date="2018-09-09T15:00:00Z"/>
        </w:rPr>
      </w:pPr>
      <w:ins w:id="755" w:author="svcMRProcess" w:date="2018-09-09T15:00:00Z">
        <w:r>
          <w:tab/>
          <w:t>(b)</w:t>
        </w:r>
        <w:r>
          <w:tab/>
          <w:t>if the licence period had not commenced before transition day — the licence period.</w:t>
        </w:r>
      </w:ins>
    </w:p>
    <w:p>
      <w:pPr>
        <w:pStyle w:val="nzSubsection"/>
        <w:rPr>
          <w:ins w:id="756" w:author="svcMRProcess" w:date="2018-09-09T15:00:00Z"/>
        </w:rPr>
      </w:pPr>
      <w:ins w:id="757" w:author="svcMRProcess" w:date="2018-09-09T15:00:00Z">
        <w:r>
          <w:tab/>
          <w:t>(2)</w:t>
        </w:r>
        <w:r>
          <w:tab/>
          <w:t>Subsection (3) applies if, immediately before transition day, the unexpired portion of the licence period for a licence was greater than one year.</w:t>
        </w:r>
      </w:ins>
    </w:p>
    <w:p>
      <w:pPr>
        <w:pStyle w:val="nzSubsection"/>
        <w:rPr>
          <w:ins w:id="758" w:author="svcMRProcess" w:date="2018-09-09T15:00:00Z"/>
        </w:rPr>
      </w:pPr>
      <w:ins w:id="759" w:author="svcMRProcess" w:date="2018-09-09T15:00:00Z">
        <w:r>
          <w:tab/>
          <w:t>(3)</w:t>
        </w:r>
        <w:r>
          <w:tab/>
          <w:t>The person who held the licence immediately before transition day is entitled to a refund of an amount that is equal to the refundable portion of the licence fee paid in respect of the licence period less the cost of calculating, and processing the payment of, the refund.</w:t>
        </w:r>
      </w:ins>
    </w:p>
    <w:p>
      <w:pPr>
        <w:pStyle w:val="nzHeading5"/>
        <w:rPr>
          <w:ins w:id="760" w:author="svcMRProcess" w:date="2018-09-09T15:00:00Z"/>
        </w:rPr>
      </w:pPr>
      <w:bookmarkStart w:id="761" w:name="_Toc397088637"/>
      <w:bookmarkStart w:id="762" w:name="_Toc397092873"/>
      <w:ins w:id="763" w:author="svcMRProcess" w:date="2018-09-09T15:00:00Z">
        <w:r>
          <w:t>64.</w:t>
        </w:r>
        <w:r>
          <w:tab/>
          <w:t>Refund of application fees</w:t>
        </w:r>
        <w:bookmarkEnd w:id="761"/>
        <w:bookmarkEnd w:id="762"/>
      </w:ins>
    </w:p>
    <w:p>
      <w:pPr>
        <w:pStyle w:val="nzSubsection"/>
        <w:rPr>
          <w:ins w:id="764" w:author="svcMRProcess" w:date="2018-09-09T15:00:00Z"/>
        </w:rPr>
      </w:pPr>
      <w:ins w:id="765" w:author="svcMRProcess" w:date="2018-09-09T15:00:00Z">
        <w:r>
          <w:tab/>
          <w:t>(1)</w:t>
        </w:r>
        <w:r>
          <w:tab/>
          <w:t xml:space="preserve">This section applies if, immediately before transition day — </w:t>
        </w:r>
      </w:ins>
    </w:p>
    <w:p>
      <w:pPr>
        <w:pStyle w:val="nzIndenta"/>
        <w:rPr>
          <w:ins w:id="766" w:author="svcMRProcess" w:date="2018-09-09T15:00:00Z"/>
        </w:rPr>
      </w:pPr>
      <w:ins w:id="767" w:author="svcMRProcess" w:date="2018-09-09T15:00:00Z">
        <w:r>
          <w:tab/>
          <w:t>(a)</w:t>
        </w:r>
        <w:r>
          <w:tab/>
          <w:t>a person had applied for a licence and paid the prescribed fee referred to in section 9(2); but</w:t>
        </w:r>
      </w:ins>
    </w:p>
    <w:p>
      <w:pPr>
        <w:pStyle w:val="nzIndenta"/>
        <w:rPr>
          <w:ins w:id="768" w:author="svcMRProcess" w:date="2018-09-09T15:00:00Z"/>
        </w:rPr>
      </w:pPr>
      <w:ins w:id="769" w:author="svcMRProcess" w:date="2018-09-09T15:00:00Z">
        <w:r>
          <w:tab/>
          <w:t>(b)</w:t>
        </w:r>
        <w:r>
          <w:tab/>
          <w:t>the Commissioner had not granted or refused the application.</w:t>
        </w:r>
      </w:ins>
    </w:p>
    <w:p>
      <w:pPr>
        <w:pStyle w:val="nzSubsection"/>
        <w:rPr>
          <w:ins w:id="770" w:author="svcMRProcess" w:date="2018-09-09T15:00:00Z"/>
        </w:rPr>
      </w:pPr>
      <w:ins w:id="771" w:author="svcMRProcess" w:date="2018-09-09T15:00:00Z">
        <w:r>
          <w:tab/>
          <w:t>(2)</w:t>
        </w:r>
        <w:r>
          <w:tab/>
          <w:t>The person is entitled to a refund of an amount equal to the fee paid less the cost of calculating, and processing the payment of, the refund.</w:t>
        </w:r>
      </w:ins>
    </w:p>
    <w:p>
      <w:pPr>
        <w:pStyle w:val="nzHeading5"/>
        <w:rPr>
          <w:ins w:id="772" w:author="svcMRProcess" w:date="2018-09-09T15:00:00Z"/>
        </w:rPr>
      </w:pPr>
      <w:bookmarkStart w:id="773" w:name="_Toc397088638"/>
      <w:bookmarkStart w:id="774" w:name="_Toc397092874"/>
      <w:ins w:id="775" w:author="svcMRProcess" w:date="2018-09-09T15:00:00Z">
        <w:r>
          <w:t>65.</w:t>
        </w:r>
        <w:r>
          <w:tab/>
          <w:t>Transitional regulations</w:t>
        </w:r>
        <w:bookmarkEnd w:id="773"/>
        <w:bookmarkEnd w:id="774"/>
      </w:ins>
    </w:p>
    <w:p>
      <w:pPr>
        <w:pStyle w:val="nzSubsection"/>
        <w:rPr>
          <w:ins w:id="776" w:author="svcMRProcess" w:date="2018-09-09T15:00:00Z"/>
        </w:rPr>
      </w:pPr>
      <w:ins w:id="777" w:author="svcMRProcess" w:date="2018-09-09T15:00:00Z">
        <w:r>
          <w:tab/>
          <w:t>(1)</w:t>
        </w:r>
        <w:r>
          <w:tab/>
          <w:t xml:space="preserve">In this section — </w:t>
        </w:r>
      </w:ins>
    </w:p>
    <w:p>
      <w:pPr>
        <w:pStyle w:val="nzDefstart"/>
        <w:rPr>
          <w:ins w:id="778" w:author="svcMRProcess" w:date="2018-09-09T15:00:00Z"/>
        </w:rPr>
      </w:pPr>
      <w:ins w:id="779" w:author="svcMRProcess" w:date="2018-09-09T15:00:00Z">
        <w:r>
          <w:tab/>
        </w:r>
        <w:r>
          <w:rPr>
            <w:rStyle w:val="CharDefText"/>
          </w:rPr>
          <w:t>publication day</w:t>
        </w:r>
        <w:r>
          <w:t xml:space="preserve">, for regulations referred to in subsection (2), means the day on which those regulations are published in the </w:t>
        </w:r>
        <w:r>
          <w:rPr>
            <w:i/>
          </w:rPr>
          <w:t>Gazette</w:t>
        </w:r>
        <w:r>
          <w:t>;</w:t>
        </w:r>
      </w:ins>
    </w:p>
    <w:p>
      <w:pPr>
        <w:pStyle w:val="nzDefstart"/>
        <w:rPr>
          <w:ins w:id="780" w:author="svcMRProcess" w:date="2018-09-09T15:00:00Z"/>
        </w:rPr>
      </w:pPr>
      <w:ins w:id="781" w:author="svcMRProcess" w:date="2018-09-09T15:00:00Z">
        <w:r>
          <w:tab/>
        </w:r>
        <w:r>
          <w:rPr>
            <w:rStyle w:val="CharDefText"/>
          </w:rPr>
          <w:t>specified</w:t>
        </w:r>
        <w:r>
          <w:t xml:space="preserve"> means specified or described in regulations referred to in subsection (2);</w:t>
        </w:r>
      </w:ins>
    </w:p>
    <w:p>
      <w:pPr>
        <w:pStyle w:val="nzDefstart"/>
        <w:rPr>
          <w:ins w:id="782" w:author="svcMRProcess" w:date="2018-09-09T15:00:00Z"/>
        </w:rPr>
      </w:pPr>
      <w:ins w:id="783" w:author="svcMRProcess" w:date="2018-09-09T15:00:00Z">
        <w:r>
          <w:tab/>
        </w:r>
        <w:r>
          <w:rPr>
            <w:rStyle w:val="CharDefText"/>
          </w:rPr>
          <w:t>transitional matter</w:t>
        </w:r>
        <w:r>
          <w:t xml:space="preserve"> means any matter of a transitional or savings nature arising from the enactment of the </w:t>
        </w:r>
        <w:r>
          <w:rPr>
            <w:i/>
          </w:rPr>
          <w:t>Travel Agents Amendment and Expiry Act 2014</w:t>
        </w:r>
        <w:r>
          <w:t>.</w:t>
        </w:r>
      </w:ins>
    </w:p>
    <w:p>
      <w:pPr>
        <w:pStyle w:val="nzSubsection"/>
        <w:rPr>
          <w:ins w:id="784" w:author="svcMRProcess" w:date="2018-09-09T15:00:00Z"/>
        </w:rPr>
      </w:pPr>
      <w:ins w:id="785" w:author="svcMRProcess" w:date="2018-09-09T15:00:00Z">
        <w:r>
          <w:tab/>
          <w:t>(2)</w:t>
        </w:r>
        <w:r>
          <w:tab/>
          <w:t>If there is no sufficient provision in this Division for dealing with a transitional matter, regulations made under section 59 may prescribe matters necessary or convenient to be prescribed for the purpose of dealing with the transitional matter.</w:t>
        </w:r>
      </w:ins>
    </w:p>
    <w:p>
      <w:pPr>
        <w:pStyle w:val="nzSubsection"/>
        <w:rPr>
          <w:ins w:id="786" w:author="svcMRProcess" w:date="2018-09-09T15:00:00Z"/>
        </w:rPr>
      </w:pPr>
      <w:ins w:id="787" w:author="svcMRProcess" w:date="2018-09-09T15:00:00Z">
        <w:r>
          <w:tab/>
          <w:t>(3)</w:t>
        </w:r>
        <w:r>
          <w:tab/>
          <w:t xml:space="preserve">Regulations referred to in subsection (2) may provide that specified provisions of a written law — </w:t>
        </w:r>
      </w:ins>
    </w:p>
    <w:p>
      <w:pPr>
        <w:pStyle w:val="nzIndenta"/>
        <w:rPr>
          <w:ins w:id="788" w:author="svcMRProcess" w:date="2018-09-09T15:00:00Z"/>
        </w:rPr>
      </w:pPr>
      <w:ins w:id="789" w:author="svcMRProcess" w:date="2018-09-09T15:00:00Z">
        <w:r>
          <w:tab/>
          <w:t>(a)</w:t>
        </w:r>
        <w:r>
          <w:tab/>
          <w:t>do not apply to or in relation to a specified matter; or</w:t>
        </w:r>
      </w:ins>
    </w:p>
    <w:p>
      <w:pPr>
        <w:pStyle w:val="nzIndenta"/>
        <w:rPr>
          <w:ins w:id="790" w:author="svcMRProcess" w:date="2018-09-09T15:00:00Z"/>
        </w:rPr>
      </w:pPr>
      <w:ins w:id="791" w:author="svcMRProcess" w:date="2018-09-09T15:00:00Z">
        <w:r>
          <w:tab/>
          <w:t>(b)</w:t>
        </w:r>
        <w:r>
          <w:tab/>
          <w:t>apply with specified modifications to or in relation to a specified matter.</w:t>
        </w:r>
      </w:ins>
    </w:p>
    <w:p>
      <w:pPr>
        <w:pStyle w:val="nzSubsection"/>
        <w:rPr>
          <w:ins w:id="792" w:author="svcMRProcess" w:date="2018-09-09T15:00:00Z"/>
        </w:rPr>
      </w:pPr>
      <w:ins w:id="793" w:author="svcMRProcess" w:date="2018-09-09T15:00:00Z">
        <w:r>
          <w:tab/>
          <w:t>(4)</w:t>
        </w:r>
        <w:r>
          <w:tab/>
          <w:t>If regulations referred to in subsection (2) provide that a specified state of affairs is taken to have existed, or not to have existed, on and from a day that is earlier than the publication day for those regulations but not earlier than transition day, the regulations have effect according to their terms.</w:t>
        </w:r>
      </w:ins>
    </w:p>
    <w:p>
      <w:pPr>
        <w:pStyle w:val="nzSubsection"/>
        <w:rPr>
          <w:ins w:id="794" w:author="svcMRProcess" w:date="2018-09-09T15:00:00Z"/>
        </w:rPr>
      </w:pPr>
      <w:ins w:id="795" w:author="svcMRProcess" w:date="2018-09-09T15:00:00Z">
        <w:r>
          <w:tab/>
          <w:t>(5)</w:t>
        </w:r>
        <w:r>
          <w:tab/>
          <w:t xml:space="preserve">If regulations referred to in subsection (2) contain a provision referred to in subsection (4), the provision does not operate so as — </w:t>
        </w:r>
      </w:ins>
    </w:p>
    <w:p>
      <w:pPr>
        <w:pStyle w:val="nzIndenta"/>
        <w:rPr>
          <w:ins w:id="796" w:author="svcMRProcess" w:date="2018-09-09T15:00:00Z"/>
        </w:rPr>
      </w:pPr>
      <w:ins w:id="797" w:author="svcMRProcess" w:date="2018-09-09T15:00:00Z">
        <w:r>
          <w:tab/>
          <w:t>(a)</w:t>
        </w:r>
        <w:r>
          <w:tab/>
          <w:t>to affect in a manner prejudicial to a person, other than the State or an authority of the State, the rights of that person existing before the publication day for those regulations; or</w:t>
        </w:r>
      </w:ins>
    </w:p>
    <w:p>
      <w:pPr>
        <w:pStyle w:val="nzIndenta"/>
        <w:rPr>
          <w:ins w:id="798" w:author="svcMRProcess" w:date="2018-09-09T15:00:00Z"/>
        </w:rPr>
      </w:pPr>
      <w:ins w:id="799" w:author="svcMRProcess" w:date="2018-09-09T15:00:00Z">
        <w:r>
          <w:tab/>
          <w:t>(b)</w:t>
        </w:r>
        <w:r>
          <w:tab/>
          <w:t>to impose liabilities on a person, other than the State or an authority of the State, in respect of an act done or omission made before the publication day for those regulations.</w:t>
        </w:r>
      </w:ins>
    </w:p>
    <w:p>
      <w:pPr>
        <w:pStyle w:val="BlankClose"/>
        <w:rPr>
          <w:ins w:id="800" w:author="svcMRProcess" w:date="2018-09-09T15:00:00Z"/>
        </w:rPr>
      </w:pPr>
    </w:p>
    <w:p>
      <w:pPr>
        <w:pStyle w:val="nzNotesPerm"/>
        <w:rPr>
          <w:ins w:id="801" w:author="svcMRProcess" w:date="2018-09-09T15:00:00Z"/>
        </w:rPr>
      </w:pPr>
      <w:ins w:id="802" w:author="svcMRProcess" w:date="2018-09-09T15:00:00Z">
        <w:r>
          <w:tab/>
          <w:t>Note:</w:t>
        </w:r>
        <w:r>
          <w:tab/>
          <w:t>The heading to section 5 is to read:</w:t>
        </w:r>
      </w:ins>
    </w:p>
    <w:p>
      <w:pPr>
        <w:pStyle w:val="nzNotesPerm"/>
        <w:rPr>
          <w:ins w:id="803" w:author="svcMRProcess" w:date="2018-09-09T15:00:00Z"/>
          <w:b/>
        </w:rPr>
      </w:pPr>
      <w:ins w:id="804" w:author="svcMRProcess" w:date="2018-09-09T15:00:00Z">
        <w:r>
          <w:tab/>
        </w:r>
        <w:r>
          <w:tab/>
        </w:r>
        <w:r>
          <w:rPr>
            <w:b/>
          </w:rPr>
          <w:t>Application of Act to Crown</w:t>
        </w:r>
      </w:ins>
    </w:p>
    <w:p>
      <w:pPr>
        <w:pStyle w:val="BlankClose"/>
        <w:rPr>
          <w:ins w:id="805" w:author="svcMRProcess" w:date="2018-09-09T15:00:00Z"/>
        </w:rPr>
      </w:pPr>
    </w:p>
    <w:p>
      <w:pPr>
        <w:rPr>
          <w:ins w:id="806" w:author="svcMRProcess" w:date="2018-09-09T15:00:00Z"/>
          <w:snapToGrid w:val="0"/>
        </w:rPr>
      </w:pPr>
    </w:p>
    <w:p>
      <w:pPr>
        <w:rPr>
          <w:ins w:id="807" w:author="svcMRProcess" w:date="2018-09-09T15:00:00Z"/>
          <w:snapToGrid w:val="0"/>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
    <w:p/>
    <w:p/>
    <w:p/>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12"/>
    <w:docVar w:name="WAFER_20140115161458" w:val="RemoveTocBookmarks,RemoveUnusedBookmarks,RemoveLanguageTags,UsedStyles,ResetPageSize,UpdateArrangement"/>
    <w:docVar w:name="WAFER_20140115161458_GUID" w:val="e505dd14-e811-4b65-b295-2b8c5fa3c0c5"/>
    <w:docVar w:name="WAFER_20140115164727" w:val="RemoveTocBookmarks,RunningHeaders"/>
    <w:docVar w:name="WAFER_20140115164727_GUID" w:val="af122747-e887-424a-af0b-797b10250318"/>
    <w:docVar w:name="WAFER_20151210154312" w:val="RemoveTrackChanges"/>
    <w:docVar w:name="WAFER_20151210154312_GUID" w:val="86212755-4b62-4cd2-a1bf-f8da0c6636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515AE-5EDF-43BB-84BE-AF142C998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16544</Words>
  <Characters>78089</Characters>
  <Application>Microsoft Office Word</Application>
  <DocSecurity>0</DocSecurity>
  <Lines>2169</Lines>
  <Paragraphs>1113</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93520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05-a0-02 - 05-b0-01</dc:title>
  <dc:subject/>
  <dc:creator/>
  <cp:keywords/>
  <dc:description/>
  <cp:lastModifiedBy>svcMRProcess</cp:lastModifiedBy>
  <cp:revision>2</cp:revision>
  <cp:lastPrinted>2013-11-22T03:52:00Z</cp:lastPrinted>
  <dcterms:created xsi:type="dcterms:W3CDTF">2018-09-09T07:00:00Z</dcterms:created>
  <dcterms:modified xsi:type="dcterms:W3CDTF">2018-09-09T07:00:00Z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20140829</vt:lpwstr>
  </property>
  <property fmtid="{D5CDD505-2E9C-101B-9397-08002B2CF9AE}" pid="4" name="DocumentType">
    <vt:lpwstr>Act</vt:lpwstr>
  </property>
  <property fmtid="{D5CDD505-2E9C-101B-9397-08002B2CF9AE}" pid="5" name="OwlsUID">
    <vt:i4>831</vt:i4>
  </property>
  <property fmtid="{D5CDD505-2E9C-101B-9397-08002B2CF9AE}" pid="6" name="ReprintNo">
    <vt:lpwstr>5</vt:lpwstr>
  </property>
  <property fmtid="{D5CDD505-2E9C-101B-9397-08002B2CF9AE}" pid="7" name="ReprintedAsAt">
    <vt:filetime>2013-11-14T16:00:00Z</vt:filetime>
  </property>
  <property fmtid="{D5CDD505-2E9C-101B-9397-08002B2CF9AE}" pid="8" name="FromSuffix">
    <vt:lpwstr>05-a0-02</vt:lpwstr>
  </property>
  <property fmtid="{D5CDD505-2E9C-101B-9397-08002B2CF9AE}" pid="9" name="FromAsAtDate">
    <vt:lpwstr>15 Nov 2013</vt:lpwstr>
  </property>
  <property fmtid="{D5CDD505-2E9C-101B-9397-08002B2CF9AE}" pid="10" name="ToSuffix">
    <vt:lpwstr>05-b0-01</vt:lpwstr>
  </property>
  <property fmtid="{D5CDD505-2E9C-101B-9397-08002B2CF9AE}" pid="11" name="ToAsAtDate">
    <vt:lpwstr>29 Aug 2014</vt:lpwstr>
  </property>
</Properties>
</file>