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2014</w:t>
      </w:r>
      <w:r>
        <w:fldChar w:fldCharType="end"/>
      </w:r>
      <w:r>
        <w:t xml:space="preserve">, </w:t>
      </w:r>
      <w:r>
        <w:fldChar w:fldCharType="begin"/>
      </w:r>
      <w:r>
        <w:instrText xml:space="preserve"> DocProperty FromSuffix </w:instrText>
      </w:r>
      <w:r>
        <w:fldChar w:fldCharType="separate"/>
      </w:r>
      <w:r>
        <w:t>08-h0-00</w:t>
      </w:r>
      <w:r>
        <w:fldChar w:fldCharType="end"/>
      </w:r>
      <w:r>
        <w:t>] and [</w:t>
      </w:r>
      <w:r>
        <w:fldChar w:fldCharType="begin"/>
      </w:r>
      <w:r>
        <w:instrText xml:space="preserve"> DocProperty ToAsAtDate</w:instrText>
      </w:r>
      <w:r>
        <w:fldChar w:fldCharType="separate"/>
      </w:r>
      <w:r>
        <w:t>17 Oct 2014</w:t>
      </w:r>
      <w:r>
        <w:fldChar w:fldCharType="end"/>
      </w:r>
      <w:r>
        <w:t xml:space="preserve">, </w:t>
      </w:r>
      <w:r>
        <w:fldChar w:fldCharType="begin"/>
      </w:r>
      <w:r>
        <w:instrText xml:space="preserve"> DocProperty ToSuffix</w:instrText>
      </w:r>
      <w:r>
        <w:fldChar w:fldCharType="separate"/>
      </w:r>
      <w:r>
        <w:t>09-a0-00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4:31:00Z"/>
        </w:trPr>
        <w:tc>
          <w:tcPr>
            <w:tcW w:w="2434" w:type="dxa"/>
            <w:vMerge w:val="restart"/>
          </w:tcPr>
          <w:p>
            <w:pPr>
              <w:rPr>
                <w:ins w:id="1" w:author="Master Repository Process" w:date="2021-09-12T14:31:00Z"/>
              </w:rPr>
            </w:pPr>
          </w:p>
        </w:tc>
        <w:tc>
          <w:tcPr>
            <w:tcW w:w="2434" w:type="dxa"/>
            <w:vMerge w:val="restart"/>
          </w:tcPr>
          <w:p>
            <w:pPr>
              <w:jc w:val="center"/>
              <w:rPr>
                <w:ins w:id="2" w:author="Master Repository Process" w:date="2021-09-12T14:31:00Z"/>
              </w:rPr>
            </w:pPr>
            <w:ins w:id="3" w:author="Master Repository Process" w:date="2021-09-12T14:3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4:31:00Z"/>
              </w:rPr>
            </w:pPr>
            <w:ins w:id="5" w:author="Master Repository Process" w:date="2021-09-12T14:31: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4:31:00Z"/>
        </w:trPr>
        <w:tc>
          <w:tcPr>
            <w:tcW w:w="2434" w:type="dxa"/>
            <w:vMerge/>
          </w:tcPr>
          <w:p>
            <w:pPr>
              <w:rPr>
                <w:ins w:id="7" w:author="Master Repository Process" w:date="2021-09-12T14:31:00Z"/>
              </w:rPr>
            </w:pPr>
          </w:p>
        </w:tc>
        <w:tc>
          <w:tcPr>
            <w:tcW w:w="2434" w:type="dxa"/>
            <w:vMerge/>
          </w:tcPr>
          <w:p>
            <w:pPr>
              <w:jc w:val="center"/>
              <w:rPr>
                <w:ins w:id="8" w:author="Master Repository Process" w:date="2021-09-12T14:31:00Z"/>
              </w:rPr>
            </w:pPr>
          </w:p>
        </w:tc>
        <w:tc>
          <w:tcPr>
            <w:tcW w:w="2434" w:type="dxa"/>
          </w:tcPr>
          <w:p>
            <w:pPr>
              <w:keepNext/>
              <w:rPr>
                <w:ins w:id="9" w:author="Master Repository Process" w:date="2021-09-12T14:31:00Z"/>
                <w:b/>
                <w:sz w:val="22"/>
              </w:rPr>
            </w:pPr>
            <w:ins w:id="10" w:author="Master Repository Process" w:date="2021-09-12T14:31:00Z">
              <w:r>
                <w:rPr>
                  <w:b/>
                  <w:sz w:val="22"/>
                </w:rPr>
                <w:t>at 17</w:t>
              </w:r>
              <w:r>
                <w:rPr>
                  <w:b/>
                  <w:snapToGrid w:val="0"/>
                  <w:sz w:val="22"/>
                </w:rPr>
                <w:t xml:space="preserve"> October 2014</w:t>
              </w:r>
            </w:ins>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1" w:name="_Toc397323471"/>
      <w:bookmarkStart w:id="12" w:name="_Toc397323604"/>
      <w:bookmarkStart w:id="13" w:name="_Toc397323676"/>
      <w:bookmarkStart w:id="14" w:name="_Toc397323749"/>
      <w:bookmarkStart w:id="15" w:name="_Toc397323822"/>
      <w:bookmarkStart w:id="16" w:name="_Toc400970324"/>
      <w:bookmarkStart w:id="17" w:name="_Toc403052271"/>
      <w:bookmarkStart w:id="18" w:name="_Toc398898721"/>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p>
    <w:p>
      <w:pPr>
        <w:pStyle w:val="Heading5"/>
        <w:rPr>
          <w:snapToGrid w:val="0"/>
        </w:rPr>
      </w:pPr>
      <w:bookmarkStart w:id="20" w:name="_Toc403052272"/>
      <w:bookmarkStart w:id="21" w:name="_Toc398898722"/>
      <w:r>
        <w:rPr>
          <w:rStyle w:val="CharSectno"/>
        </w:rPr>
        <w:t>1</w:t>
      </w:r>
      <w:r>
        <w:rPr>
          <w:snapToGrid w:val="0"/>
        </w:rPr>
        <w:t>.</w:t>
      </w:r>
      <w:r>
        <w:rPr>
          <w:snapToGrid w:val="0"/>
        </w:rPr>
        <w:tab/>
        <w:t>Citation</w:t>
      </w:r>
      <w:bookmarkEnd w:id="20"/>
      <w:bookmarkEnd w:id="21"/>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22" w:name="_Toc403052273"/>
      <w:bookmarkStart w:id="23" w:name="_Toc398898723"/>
      <w:r>
        <w:rPr>
          <w:rStyle w:val="CharSectno"/>
        </w:rPr>
        <w:t>3</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character</w:t>
      </w:r>
      <w:r>
        <w:t xml:space="preserve"> includes letter and numeral;</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ins w:id="24" w:author="Master Repository Process" w:date="2021-09-12T14:31:00Z">
        <w:r>
          <w:t xml:space="preserve"> and</w:t>
        </w:r>
      </w:ins>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w:t>
      </w:r>
      <w:del w:id="25" w:author="Master Repository Process" w:date="2021-09-12T14:31:00Z">
        <w:r>
          <w:delText>kilograms</w:delText>
        </w:r>
      </w:del>
      <w:ins w:id="26" w:author="Master Repository Process" w:date="2021-09-12T14:31:00Z">
        <w:r>
          <w:t>kg</w:t>
        </w:r>
      </w:ins>
      <w:r>
        <w:t>;</w:t>
      </w:r>
    </w:p>
    <w:p>
      <w:pPr>
        <w:pStyle w:val="Defstart"/>
      </w:pPr>
      <w:r>
        <w:tab/>
      </w:r>
      <w:r>
        <w:rPr>
          <w:rStyle w:val="CharDefText"/>
        </w:rPr>
        <w:t>heavy vehicle</w:t>
      </w:r>
      <w:r>
        <w:t xml:space="preserve"> means —</w:t>
      </w:r>
    </w:p>
    <w:p>
      <w:pPr>
        <w:pStyle w:val="Defpara"/>
      </w:pPr>
      <w:r>
        <w:tab/>
        <w:t>(a)</w:t>
      </w:r>
      <w:r>
        <w:tab/>
        <w:t>a vehicle with an MRC exceeding 4 500 </w:t>
      </w:r>
      <w:del w:id="27" w:author="Master Repository Process" w:date="2021-09-12T14:31:00Z">
        <w:r>
          <w:delText>kilograms</w:delText>
        </w:r>
      </w:del>
      <w:ins w:id="28" w:author="Master Repository Process" w:date="2021-09-12T14:31:00Z">
        <w:r>
          <w:t>kg</w:t>
        </w:r>
      </w:ins>
      <w:r>
        <w:t xml:space="preserve">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ins w:id="29" w:author="Master Repository Process" w:date="2021-09-12T14:31:00Z">
        <w:r>
          <w:rPr>
            <w:snapToGrid w:val="0"/>
          </w:rPr>
          <w:t xml:space="preserve"> or</w:t>
        </w:r>
      </w:ins>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spacing w:before="80"/>
        <w:ind w:left="1022" w:hanging="1022"/>
      </w:pPr>
      <w:r>
        <w:rPr>
          <w:b/>
        </w:rPr>
        <w:tab/>
      </w:r>
      <w:r>
        <w:t>“ATM” refers to “aggregate trailer mass”;</w:t>
      </w:r>
    </w:p>
    <w:p>
      <w:pPr>
        <w:pStyle w:val="MiscellaneousBody"/>
        <w:tabs>
          <w:tab w:val="left" w:pos="1022"/>
        </w:tabs>
        <w:spacing w:before="80"/>
        <w:ind w:left="1022" w:hanging="1022"/>
      </w:pPr>
      <w:r>
        <w:rPr>
          <w:b/>
        </w:rPr>
        <w:tab/>
      </w:r>
      <w:r>
        <w:t>“GTMR” refers to “gross trailer mass rating”;</w:t>
      </w:r>
    </w:p>
    <w:p>
      <w:pPr>
        <w:pStyle w:val="MiscellaneousBody"/>
        <w:tabs>
          <w:tab w:val="left" w:pos="1022"/>
        </w:tabs>
        <w:spacing w:before="80"/>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ins w:id="30" w:author="Master Repository Process" w:date="2021-09-12T14:31:00Z">
        <w:r>
          <w:rPr>
            <w:snapToGrid w:val="0"/>
          </w:rPr>
          <w:t xml:space="preserve"> and</w:t>
        </w:r>
      </w:ins>
    </w:p>
    <w:p>
      <w:pPr>
        <w:pStyle w:val="Indenta"/>
        <w:rPr>
          <w:snapToGrid w:val="0"/>
        </w:rPr>
      </w:pPr>
      <w:r>
        <w:rPr>
          <w:snapToGrid w:val="0"/>
        </w:rPr>
        <w:tab/>
        <w:t>(b)</w:t>
      </w:r>
      <w:r>
        <w:rPr>
          <w:snapToGrid w:val="0"/>
        </w:rPr>
        <w:tab/>
        <w:t>3 axles, where the outside axles are not more than 2 </w:t>
      </w:r>
      <w:del w:id="31" w:author="Master Repository Process" w:date="2021-09-12T14:31:00Z">
        <w:r>
          <w:rPr>
            <w:snapToGrid w:val="0"/>
          </w:rPr>
          <w:delText>metres</w:delText>
        </w:r>
      </w:del>
      <w:ins w:id="32" w:author="Master Repository Process" w:date="2021-09-12T14:31:00Z">
        <w:r>
          <w:rPr>
            <w:snapToGrid w:val="0"/>
          </w:rPr>
          <w:t>m</w:t>
        </w:r>
      </w:ins>
      <w:r>
        <w:rPr>
          <w:snapToGrid w:val="0"/>
        </w:rPr>
        <w:t xml:space="preserve"> apart, shall be regarded as 2 axles; and</w:t>
      </w:r>
    </w:p>
    <w:p>
      <w:pPr>
        <w:pStyle w:val="Indenta"/>
        <w:rPr>
          <w:snapToGrid w:val="0"/>
        </w:rPr>
      </w:pPr>
      <w:r>
        <w:rPr>
          <w:snapToGrid w:val="0"/>
        </w:rPr>
        <w:tab/>
        <w:t>(c)</w:t>
      </w:r>
      <w:r>
        <w:rPr>
          <w:snapToGrid w:val="0"/>
        </w:rPr>
        <w:tab/>
        <w:t>4 axles, where the outside axles are not more than 3.2 </w:t>
      </w:r>
      <w:del w:id="33" w:author="Master Repository Process" w:date="2021-09-12T14:31:00Z">
        <w:r>
          <w:rPr>
            <w:snapToGrid w:val="0"/>
          </w:rPr>
          <w:delText>metres</w:delText>
        </w:r>
      </w:del>
      <w:ins w:id="34" w:author="Master Repository Process" w:date="2021-09-12T14:31:00Z">
        <w:r>
          <w:rPr>
            <w:snapToGrid w:val="0"/>
          </w:rPr>
          <w:t>m</w:t>
        </w:r>
      </w:ins>
      <w:r>
        <w:rPr>
          <w:snapToGrid w:val="0"/>
        </w:rPr>
        <w:t xml:space="preserve">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 12 Apr 2013 p. 1540; 9 Sep 2014 p. 3249.]</w:t>
      </w:r>
    </w:p>
    <w:p>
      <w:pPr>
        <w:pStyle w:val="Heading5"/>
        <w:spacing w:before="800"/>
      </w:pPr>
      <w:bookmarkStart w:id="35" w:name="_Toc403052274"/>
      <w:bookmarkStart w:id="36" w:name="_Toc398898724"/>
      <w:r>
        <w:rPr>
          <w:rStyle w:val="CharSectno"/>
        </w:rPr>
        <w:t>3AA</w:t>
      </w:r>
      <w:r>
        <w:t>.</w:t>
      </w:r>
      <w:r>
        <w:tab/>
        <w:t>Vehicles required to be licensed</w:t>
      </w:r>
      <w:bookmarkEnd w:id="35"/>
      <w:bookmarkEnd w:id="36"/>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 or</w:t>
      </w:r>
    </w:p>
    <w:p>
      <w:pPr>
        <w:pStyle w:val="Indenta"/>
      </w:pPr>
      <w:r>
        <w:tab/>
        <w:t>(e)</w:t>
      </w:r>
      <w:r>
        <w:tab/>
        <w:t>an electric personal transporter that cannot travel at a speed exceeding 10 km/h being used in an electric personal transporter use area.</w:t>
      </w:r>
    </w:p>
    <w:p>
      <w:pPr>
        <w:pStyle w:val="Footnotesection"/>
      </w:pPr>
      <w:r>
        <w:tab/>
        <w:t>[Regulation 3AA inserted in Gazette 28 Nov 2006 p. 4901; amended in Gazette 12 Apr 2013 p. 1540.]</w:t>
      </w:r>
    </w:p>
    <w:p>
      <w:pPr>
        <w:pStyle w:val="Heading2"/>
      </w:pPr>
      <w:bookmarkStart w:id="37" w:name="_Toc397323475"/>
      <w:bookmarkStart w:id="38" w:name="_Toc397323608"/>
      <w:bookmarkStart w:id="39" w:name="_Toc397323680"/>
      <w:bookmarkStart w:id="40" w:name="_Toc397323753"/>
      <w:bookmarkStart w:id="41" w:name="_Toc397323826"/>
      <w:bookmarkStart w:id="42" w:name="_Toc400970328"/>
      <w:bookmarkStart w:id="43" w:name="_Toc403052275"/>
      <w:bookmarkStart w:id="44" w:name="_Toc39889872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37"/>
      <w:bookmarkEnd w:id="38"/>
      <w:bookmarkEnd w:id="39"/>
      <w:bookmarkEnd w:id="40"/>
      <w:bookmarkEnd w:id="41"/>
      <w:bookmarkEnd w:id="42"/>
      <w:bookmarkEnd w:id="43"/>
      <w:bookmarkEnd w:id="44"/>
    </w:p>
    <w:p>
      <w:pPr>
        <w:pStyle w:val="Footnoteheading"/>
      </w:pPr>
      <w:r>
        <w:tab/>
        <w:t>[Heading inserted in Gazette 31 Dec 1980 p. 4427.]</w:t>
      </w:r>
    </w:p>
    <w:p>
      <w:pPr>
        <w:pStyle w:val="Heading5"/>
        <w:rPr>
          <w:snapToGrid w:val="0"/>
        </w:rPr>
      </w:pPr>
      <w:bookmarkStart w:id="45" w:name="_Toc403052276"/>
      <w:bookmarkStart w:id="46" w:name="_Toc398898726"/>
      <w:r>
        <w:rPr>
          <w:rStyle w:val="CharSectno"/>
        </w:rPr>
        <w:t>3A</w:t>
      </w:r>
      <w:r>
        <w:rPr>
          <w:snapToGrid w:val="0"/>
        </w:rPr>
        <w:t>.</w:t>
      </w:r>
      <w:r>
        <w:rPr>
          <w:snapToGrid w:val="0"/>
        </w:rPr>
        <w:tab/>
        <w:t>Persons may be authorised to examine vehicles</w:t>
      </w:r>
      <w:bookmarkEnd w:id="45"/>
      <w:bookmarkEnd w:id="46"/>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ins w:id="47" w:author="Master Repository Process" w:date="2021-09-12T14:31:00Z">
        <w:r>
          <w:rPr>
            <w:snapToGrid w:val="0"/>
          </w:rPr>
          <w:t xml:space="preserve"> and</w:t>
        </w:r>
      </w:ins>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48" w:name="_Toc403052277"/>
      <w:bookmarkStart w:id="49" w:name="_Toc398898727"/>
      <w:r>
        <w:rPr>
          <w:rStyle w:val="CharSectno"/>
        </w:rPr>
        <w:t>3C</w:t>
      </w:r>
      <w:r>
        <w:rPr>
          <w:snapToGrid w:val="0"/>
        </w:rPr>
        <w:t>.</w:t>
      </w:r>
      <w:r>
        <w:rPr>
          <w:snapToGrid w:val="0"/>
        </w:rPr>
        <w:tab/>
        <w:t>Certificate of inspection</w:t>
      </w:r>
      <w:bookmarkEnd w:id="48"/>
      <w:bookmarkEnd w:id="49"/>
    </w:p>
    <w:p>
      <w:pPr>
        <w:pStyle w:val="Subsection"/>
      </w:pPr>
      <w:r>
        <w:tab/>
        <w:t>(1A)</w:t>
      </w:r>
      <w:r>
        <w:tab/>
        <w:t xml:space="preserve">In this regulation — </w:t>
      </w:r>
    </w:p>
    <w:p>
      <w:pPr>
        <w:pStyle w:val="Defstart"/>
      </w:pPr>
      <w:r>
        <w:tab/>
      </w:r>
      <w:r>
        <w:rPr>
          <w:rStyle w:val="CharDefText"/>
        </w:rPr>
        <w:t>approved place</w:t>
      </w:r>
      <w:r>
        <w:t xml:space="preserve"> means a place that is an authorised inspection station or is otherwise approved of by the Director General.</w:t>
      </w:r>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pPr>
      <w:r>
        <w:tab/>
        <w:t>(2)</w:t>
      </w:r>
      <w:r>
        <w:tab/>
        <w:t>An authorisation of a person under regulation 3A(1)(a) (as an authorised vehicle examiner) may specify a class of vehicle the examination and testing of which may be undertaken at a place that is not an approved place.</w:t>
      </w:r>
    </w:p>
    <w:p>
      <w:pPr>
        <w:pStyle w:val="Subsection"/>
      </w:pPr>
      <w:r>
        <w:tab/>
        <w:t>(3)</w:t>
      </w:r>
      <w:r>
        <w:tab/>
        <w:t xml:space="preserve">An authorised vehicle examiner cannot issue a valid certificate of inspection in relation to a vehicle based on the examiner’s examination and testing of the vehicle unless — </w:t>
      </w:r>
    </w:p>
    <w:p>
      <w:pPr>
        <w:pStyle w:val="Indenta"/>
      </w:pPr>
      <w:r>
        <w:tab/>
        <w:t>(a)</w:t>
      </w:r>
      <w:r>
        <w:tab/>
        <w:t>the testing and examination is undertaken at a place that is an approved place; or</w:t>
      </w:r>
    </w:p>
    <w:p>
      <w:pPr>
        <w:pStyle w:val="Indenta"/>
      </w:pPr>
      <w:r>
        <w:tab/>
        <w:t>(b)</w:t>
      </w:r>
      <w:r>
        <w:tab/>
        <w:t>the vehicle is of a class specified under subregulation (2) in the authorisation of the examiner.</w:t>
      </w:r>
    </w:p>
    <w:p>
      <w:pPr>
        <w:pStyle w:val="Footnotesection"/>
      </w:pPr>
      <w:r>
        <w:tab/>
        <w:t>[Regulation 3C inserted in Gazette 31 Dec 1980 p. 4427; amended in Gazette 2 Feb 1982 p. 401; 20 Sep 1991 p. 4946; 31 Jan 1997 p. 683; 14 Dec 2012 p. 6208.]</w:t>
      </w:r>
    </w:p>
    <w:p>
      <w:pPr>
        <w:pStyle w:val="Heading2"/>
      </w:pPr>
      <w:bookmarkStart w:id="50" w:name="_Toc397323478"/>
      <w:bookmarkStart w:id="51" w:name="_Toc397323611"/>
      <w:bookmarkStart w:id="52" w:name="_Toc397323683"/>
      <w:bookmarkStart w:id="53" w:name="_Toc397323756"/>
      <w:bookmarkStart w:id="54" w:name="_Toc397323829"/>
      <w:bookmarkStart w:id="55" w:name="_Toc400970331"/>
      <w:bookmarkStart w:id="56" w:name="_Toc403052278"/>
      <w:bookmarkStart w:id="57" w:name="_Toc398898728"/>
      <w:r>
        <w:rPr>
          <w:rStyle w:val="CharPartNo"/>
        </w:rPr>
        <w:t>Part II</w:t>
      </w:r>
      <w:r>
        <w:rPr>
          <w:rStyle w:val="CharDivNo"/>
        </w:rPr>
        <w:t> </w:t>
      </w:r>
      <w:r>
        <w:t>—</w:t>
      </w:r>
      <w:r>
        <w:rPr>
          <w:rStyle w:val="CharDivText"/>
        </w:rPr>
        <w:t> </w:t>
      </w:r>
      <w:r>
        <w:rPr>
          <w:rStyle w:val="CharPartText"/>
        </w:rPr>
        <w:t>Licences</w:t>
      </w:r>
      <w:bookmarkEnd w:id="50"/>
      <w:bookmarkEnd w:id="51"/>
      <w:bookmarkEnd w:id="52"/>
      <w:bookmarkEnd w:id="53"/>
      <w:bookmarkEnd w:id="54"/>
      <w:bookmarkEnd w:id="55"/>
      <w:bookmarkEnd w:id="56"/>
      <w:bookmarkEnd w:id="57"/>
    </w:p>
    <w:p>
      <w:pPr>
        <w:pStyle w:val="Heading5"/>
      </w:pPr>
      <w:bookmarkStart w:id="58" w:name="_Toc403052279"/>
      <w:bookmarkStart w:id="59" w:name="_Toc398898729"/>
      <w:r>
        <w:rPr>
          <w:rStyle w:val="CharSectno"/>
        </w:rPr>
        <w:t>3D</w:t>
      </w:r>
      <w:r>
        <w:t>.</w:t>
      </w:r>
      <w:r>
        <w:tab/>
        <w:t>Minimum age of applicant for grant of licence</w:t>
      </w:r>
      <w:bookmarkEnd w:id="58"/>
      <w:bookmarkEnd w:id="59"/>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60" w:name="_Toc403052280"/>
      <w:bookmarkStart w:id="61" w:name="_Toc398898730"/>
      <w:r>
        <w:rPr>
          <w:rStyle w:val="CharSectno"/>
        </w:rPr>
        <w:t>3E</w:t>
      </w:r>
      <w:r>
        <w:t>.</w:t>
      </w:r>
      <w:r>
        <w:tab/>
        <w:t>Proof of age and identity of applicant for grant of licence</w:t>
      </w:r>
      <w:bookmarkEnd w:id="60"/>
      <w:bookmarkEnd w:id="61"/>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62" w:name="_Toc403052281"/>
      <w:bookmarkStart w:id="63" w:name="_Toc398898731"/>
      <w:r>
        <w:rPr>
          <w:rStyle w:val="CharSectno"/>
        </w:rPr>
        <w:t>3F</w:t>
      </w:r>
      <w:r>
        <w:t>.</w:t>
      </w:r>
      <w:r>
        <w:tab/>
        <w:t>Registered write</w:t>
      </w:r>
      <w:r>
        <w:noBreakHyphen/>
        <w:t>offs</w:t>
      </w:r>
      <w:bookmarkEnd w:id="62"/>
      <w:bookmarkEnd w:id="63"/>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64" w:name="_Toc403052282"/>
      <w:bookmarkStart w:id="65" w:name="_Toc398898732"/>
      <w:r>
        <w:rPr>
          <w:rStyle w:val="CharSectno"/>
        </w:rPr>
        <w:t>4</w:t>
      </w:r>
      <w:r>
        <w:rPr>
          <w:snapToGrid w:val="0"/>
        </w:rPr>
        <w:t>.</w:t>
      </w:r>
      <w:r>
        <w:rPr>
          <w:snapToGrid w:val="0"/>
        </w:rPr>
        <w:tab/>
        <w:t>Inspection for licensing purposes</w:t>
      </w:r>
      <w:bookmarkEnd w:id="64"/>
      <w:bookmarkEnd w:id="65"/>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66" w:name="_Toc403052283"/>
      <w:bookmarkStart w:id="67" w:name="_Toc398898733"/>
      <w:r>
        <w:rPr>
          <w:rStyle w:val="CharSectno"/>
        </w:rPr>
        <w:t>4A</w:t>
      </w:r>
      <w:r>
        <w:t>.</w:t>
      </w:r>
      <w:r>
        <w:tab/>
        <w:t>Declaration as to immobiliser</w:t>
      </w:r>
      <w:bookmarkEnd w:id="66"/>
      <w:bookmarkEnd w:id="67"/>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68" w:name="_Toc403052284"/>
      <w:bookmarkStart w:id="69" w:name="_Toc398898734"/>
      <w:r>
        <w:rPr>
          <w:rStyle w:val="CharSectno"/>
        </w:rPr>
        <w:t>4B</w:t>
      </w:r>
      <w:r>
        <w:t>.</w:t>
      </w:r>
      <w:r>
        <w:tab/>
        <w:t>Grant of vehicle licence</w:t>
      </w:r>
      <w:bookmarkEnd w:id="68"/>
      <w:bookmarkEnd w:id="69"/>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70" w:name="_Toc403052285"/>
      <w:bookmarkStart w:id="71" w:name="_Toc398898735"/>
      <w:r>
        <w:rPr>
          <w:rStyle w:val="CharSectno"/>
        </w:rPr>
        <w:t>4C</w:t>
      </w:r>
      <w:r>
        <w:t>.</w:t>
      </w:r>
      <w:r>
        <w:tab/>
        <w:t>Renewal of vehicle licence</w:t>
      </w:r>
      <w:bookmarkEnd w:id="70"/>
      <w:bookmarkEnd w:id="71"/>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spacing w:before="100"/>
      </w:pPr>
      <w:r>
        <w:tab/>
        <w:t>[Regulation 4C inserted in Gazette 28 Nov 2006 p. 4902.]</w:t>
      </w:r>
    </w:p>
    <w:p>
      <w:pPr>
        <w:pStyle w:val="Heading5"/>
      </w:pPr>
      <w:bookmarkStart w:id="72" w:name="_Toc403052286"/>
      <w:bookmarkStart w:id="73" w:name="_Toc398898736"/>
      <w:r>
        <w:rPr>
          <w:rStyle w:val="CharSectno"/>
        </w:rPr>
        <w:t>4D</w:t>
      </w:r>
      <w:r>
        <w:t>.</w:t>
      </w:r>
      <w:r>
        <w:tab/>
        <w:t>Period of vehicle licence</w:t>
      </w:r>
      <w:bookmarkEnd w:id="72"/>
      <w:bookmarkEnd w:id="73"/>
    </w:p>
    <w:p>
      <w:pPr>
        <w:pStyle w:val="Subsection"/>
      </w:pPr>
      <w:r>
        <w:tab/>
        <w:t>(1)</w:t>
      </w:r>
      <w:r>
        <w:tab/>
        <w:t>The period for which a vehicle licence, except a heavy vehicle licence, is to be granted or renewed is a period elected by the applicant for the grant or renewal, being —</w:t>
      </w:r>
    </w:p>
    <w:p>
      <w:pPr>
        <w:pStyle w:val="Indenta"/>
        <w:spacing w:before="60"/>
      </w:pPr>
      <w:r>
        <w:tab/>
        <w:t>(a)</w:t>
      </w:r>
      <w:r>
        <w:tab/>
        <w:t>a period of one year, 6 months or 3 months; or</w:t>
      </w:r>
    </w:p>
    <w:p>
      <w:pPr>
        <w:pStyle w:val="Indenta"/>
        <w:spacing w:before="60"/>
      </w:pPr>
      <w:r>
        <w:tab/>
        <w:t>(b)</w:t>
      </w:r>
      <w:r>
        <w:tab/>
        <w:t>if the Director General so approves in a particular case — any period up to one year.</w:t>
      </w:r>
    </w:p>
    <w:p>
      <w:pPr>
        <w:pStyle w:val="Subsection"/>
      </w:pPr>
      <w:r>
        <w:tab/>
        <w:t>(2)</w:t>
      </w:r>
      <w:r>
        <w:tab/>
        <w:t>The period for which a heavy vehicle licence, except a seasonal heavy vehicle licence, is to be granted or renewed is a period elected by the applicant for the grant or renewal, being —</w:t>
      </w:r>
    </w:p>
    <w:p>
      <w:pPr>
        <w:pStyle w:val="Indenta"/>
        <w:spacing w:before="60"/>
      </w:pPr>
      <w:r>
        <w:tab/>
        <w:t>(a)</w:t>
      </w:r>
      <w:r>
        <w:tab/>
        <w:t>a period of one year, 6 months or 3 months; or</w:t>
      </w:r>
    </w:p>
    <w:p>
      <w:pPr>
        <w:pStyle w:val="Indenta"/>
        <w:spacing w:before="60"/>
      </w:pPr>
      <w:r>
        <w:tab/>
        <w:t>(b)</w:t>
      </w:r>
      <w:r>
        <w:tab/>
        <w:t>if the Director General so approves in a particular case — any period up to one year.</w:t>
      </w:r>
    </w:p>
    <w:p>
      <w:pPr>
        <w:pStyle w:val="Subsection"/>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spacing w:before="70"/>
      </w:pPr>
      <w:r>
        <w:tab/>
        <w:t>(a)</w:t>
      </w:r>
      <w:r>
        <w:tab/>
        <w:t>a period of one month; or</w:t>
      </w:r>
    </w:p>
    <w:p>
      <w:pPr>
        <w:pStyle w:val="Indenta"/>
        <w:spacing w:before="70"/>
      </w:pPr>
      <w:r>
        <w:tab/>
        <w:t>(b)</w:t>
      </w:r>
      <w:r>
        <w:tab/>
        <w:t>if the Director General so approves in a particular case — any period up to one year.</w:t>
      </w:r>
    </w:p>
    <w:p>
      <w:pPr>
        <w:pStyle w:val="Subsection"/>
        <w:spacing w:before="150"/>
      </w:pPr>
      <w:r>
        <w:tab/>
        <w:t>(5)</w:t>
      </w:r>
      <w:r>
        <w:tab/>
        <w:t>The period for which a licence is granted begins on the day on which the licence is granted.</w:t>
      </w:r>
    </w:p>
    <w:p>
      <w:pPr>
        <w:pStyle w:val="Subsection"/>
        <w:spacing w:before="150"/>
      </w:pPr>
      <w:r>
        <w:tab/>
        <w:t>(6)</w:t>
      </w:r>
      <w:r>
        <w:tab/>
        <w:t>The period for which a licence is renewed begins on and from the day next succeeding the day on which the licence expires.</w:t>
      </w:r>
    </w:p>
    <w:p>
      <w:pPr>
        <w:pStyle w:val="Footnotesection"/>
        <w:spacing w:before="100"/>
      </w:pPr>
      <w:r>
        <w:tab/>
        <w:t>[Regulation 4D inserted in Gazette 28 Nov 2006 p. 4902</w:t>
      </w:r>
      <w:r>
        <w:noBreakHyphen/>
        <w:t>3.]</w:t>
      </w:r>
    </w:p>
    <w:p>
      <w:pPr>
        <w:pStyle w:val="Heading5"/>
      </w:pPr>
      <w:bookmarkStart w:id="74" w:name="_Toc403052287"/>
      <w:bookmarkStart w:id="75" w:name="_Toc398898737"/>
      <w:r>
        <w:rPr>
          <w:rStyle w:val="CharSectno"/>
        </w:rPr>
        <w:t>4E</w:t>
      </w:r>
      <w:r>
        <w:t>.</w:t>
      </w:r>
      <w:r>
        <w:tab/>
        <w:t>Director General may vary, grant or renew licences so that they expire on the same day</w:t>
      </w:r>
      <w:bookmarkEnd w:id="74"/>
      <w:bookmarkEnd w:id="75"/>
    </w:p>
    <w:p>
      <w:pPr>
        <w:pStyle w:val="Subsection"/>
        <w:spacing w:before="150"/>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spacing w:before="100"/>
      </w:pPr>
      <w:r>
        <w:tab/>
        <w:t>[Regulation 4E inserted in Gazette 28 Nov 2006 p. 4903.]</w:t>
      </w:r>
    </w:p>
    <w:p>
      <w:pPr>
        <w:pStyle w:val="Heading5"/>
        <w:rPr>
          <w:snapToGrid w:val="0"/>
        </w:rPr>
      </w:pPr>
      <w:bookmarkStart w:id="76" w:name="_Toc403052288"/>
      <w:bookmarkStart w:id="77" w:name="_Toc398898738"/>
      <w:r>
        <w:rPr>
          <w:rStyle w:val="CharSectno"/>
        </w:rPr>
        <w:t>5</w:t>
      </w:r>
      <w:r>
        <w:rPr>
          <w:snapToGrid w:val="0"/>
        </w:rPr>
        <w:t>.</w:t>
      </w:r>
      <w:r>
        <w:rPr>
          <w:snapToGrid w:val="0"/>
        </w:rPr>
        <w:tab/>
        <w:t xml:space="preserve">Proof of ownership before </w:t>
      </w:r>
      <w:r>
        <w:t xml:space="preserve">grant </w:t>
      </w:r>
      <w:r>
        <w:rPr>
          <w:snapToGrid w:val="0"/>
        </w:rPr>
        <w:t>or transfer of licence</w:t>
      </w:r>
      <w:bookmarkEnd w:id="76"/>
      <w:bookmarkEnd w:id="77"/>
    </w:p>
    <w:p>
      <w:pPr>
        <w:pStyle w:val="Subsection"/>
        <w:spacing w:before="15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100"/>
      </w:pPr>
      <w:r>
        <w:tab/>
        <w:t>[Regulation 5 amended in Gazette 2 Feb 1982 p. 401; 31 Jan 1997 p. 683; 28 Nov 2006 p. 4910</w:t>
      </w:r>
      <w:r>
        <w:noBreakHyphen/>
        <w:t>11.]</w:t>
      </w:r>
    </w:p>
    <w:p>
      <w:pPr>
        <w:pStyle w:val="Ednotesection"/>
      </w:pPr>
      <w:r>
        <w:t>[</w:t>
      </w:r>
      <w:r>
        <w:rPr>
          <w:b/>
        </w:rPr>
        <w:t>5A.</w:t>
      </w:r>
      <w:r>
        <w:tab/>
        <w:t>Deleted in Gazette 2 Dec 2011 p. 5075.]</w:t>
      </w:r>
    </w:p>
    <w:p>
      <w:pPr>
        <w:pStyle w:val="Heading5"/>
        <w:rPr>
          <w:snapToGrid w:val="0"/>
        </w:rPr>
      </w:pPr>
      <w:bookmarkStart w:id="78" w:name="_Toc403052289"/>
      <w:bookmarkStart w:id="79" w:name="_Toc398898739"/>
      <w:r>
        <w:rPr>
          <w:rStyle w:val="CharSectno"/>
        </w:rPr>
        <w:t>6</w:t>
      </w:r>
      <w:r>
        <w:rPr>
          <w:snapToGrid w:val="0"/>
        </w:rPr>
        <w:t>.</w:t>
      </w:r>
      <w:r>
        <w:rPr>
          <w:snapToGrid w:val="0"/>
        </w:rPr>
        <w:tab/>
        <w:t>Weighbridge certificate may be required</w:t>
      </w:r>
      <w:bookmarkEnd w:id="78"/>
      <w:bookmarkEnd w:id="79"/>
    </w:p>
    <w:p>
      <w:pPr>
        <w:pStyle w:val="Subsection"/>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pPr>
      <w:r>
        <w:tab/>
        <w:t>[Regulation 6 amended in Gazette 11 Apr 1986 p. 1382; 25 Feb 2011 p. 658.]</w:t>
      </w:r>
    </w:p>
    <w:p>
      <w:pPr>
        <w:pStyle w:val="Heading5"/>
        <w:rPr>
          <w:snapToGrid w:val="0"/>
        </w:rPr>
      </w:pPr>
      <w:bookmarkStart w:id="80" w:name="_Toc403052290"/>
      <w:bookmarkStart w:id="81" w:name="_Toc398898740"/>
      <w:r>
        <w:rPr>
          <w:rStyle w:val="CharSectno"/>
        </w:rPr>
        <w:t>7</w:t>
      </w:r>
      <w:r>
        <w:rPr>
          <w:snapToGrid w:val="0"/>
        </w:rPr>
        <w:t>.</w:t>
      </w:r>
      <w:r>
        <w:rPr>
          <w:snapToGrid w:val="0"/>
        </w:rPr>
        <w:tab/>
        <w:t>Application for licence to be in writing and on form to be provided</w:t>
      </w:r>
      <w:bookmarkEnd w:id="80"/>
      <w:bookmarkEnd w:id="81"/>
    </w:p>
    <w:p>
      <w:pPr>
        <w:pStyle w:val="Subsection"/>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pPr>
      <w:r>
        <w:tab/>
        <w:t>[Regulation 7 amended in Gazette 2 Feb 1982 p. 401; 31 Jan 1997 p. 683.]</w:t>
      </w:r>
    </w:p>
    <w:p>
      <w:pPr>
        <w:pStyle w:val="Heading5"/>
        <w:rPr>
          <w:snapToGrid w:val="0"/>
        </w:rPr>
      </w:pPr>
      <w:bookmarkStart w:id="82" w:name="_Toc403052291"/>
      <w:bookmarkStart w:id="83" w:name="_Toc398898741"/>
      <w:r>
        <w:rPr>
          <w:rStyle w:val="CharSectno"/>
        </w:rPr>
        <w:t>8</w:t>
      </w:r>
      <w:r>
        <w:rPr>
          <w:snapToGrid w:val="0"/>
        </w:rPr>
        <w:t>.</w:t>
      </w:r>
      <w:r>
        <w:rPr>
          <w:snapToGrid w:val="0"/>
        </w:rPr>
        <w:tab/>
        <w:t>Form of licence</w:t>
      </w:r>
      <w:bookmarkEnd w:id="82"/>
      <w:bookmarkEnd w:id="83"/>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r>
        <w:t>[</w:t>
      </w:r>
      <w:r>
        <w:rPr>
          <w:b/>
        </w:rPr>
        <w:t>8A, 8B.</w:t>
      </w:r>
      <w:r>
        <w:tab/>
        <w:t>Deleted in Gazette 28 Nov 2006 p. 4904.]</w:t>
      </w:r>
    </w:p>
    <w:p>
      <w:pPr>
        <w:pStyle w:val="Heading5"/>
        <w:rPr>
          <w:snapToGrid w:val="0"/>
        </w:rPr>
      </w:pPr>
      <w:bookmarkStart w:id="84" w:name="_Toc403052292"/>
      <w:bookmarkStart w:id="85" w:name="_Toc398898742"/>
      <w:r>
        <w:rPr>
          <w:rStyle w:val="CharSectno"/>
        </w:rPr>
        <w:t>9</w:t>
      </w:r>
      <w:r>
        <w:rPr>
          <w:snapToGrid w:val="0"/>
        </w:rPr>
        <w:t>.</w:t>
      </w:r>
      <w:r>
        <w:rPr>
          <w:snapToGrid w:val="0"/>
        </w:rPr>
        <w:tab/>
        <w:t>Classes of vehicle licences</w:t>
      </w:r>
      <w:bookmarkEnd w:id="84"/>
      <w:bookmarkEnd w:id="85"/>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spacing w:before="60"/>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spacing w:before="60"/>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rPr>
          <w:snapToGrid w:val="0"/>
        </w:rPr>
      </w:pPr>
      <w:bookmarkStart w:id="86" w:name="_Toc403052293"/>
      <w:bookmarkStart w:id="87" w:name="_Toc398898743"/>
      <w:r>
        <w:rPr>
          <w:rStyle w:val="CharSectno"/>
        </w:rPr>
        <w:t>9A</w:t>
      </w:r>
      <w:r>
        <w:rPr>
          <w:snapToGrid w:val="0"/>
        </w:rPr>
        <w:t>.</w:t>
      </w:r>
      <w:r>
        <w:rPr>
          <w:snapToGrid w:val="0"/>
        </w:rPr>
        <w:tab/>
        <w:t>Classes of licences for heavy vehicles</w:t>
      </w:r>
      <w:bookmarkEnd w:id="86"/>
      <w:bookmarkEnd w:id="87"/>
    </w:p>
    <w:p>
      <w:pPr>
        <w:pStyle w:val="Subsection"/>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ins w:id="88" w:author="Master Repository Process" w:date="2021-09-12T14:31:00Z">
        <w:r>
          <w:rPr>
            <w:snapToGrid w:val="0"/>
          </w:rPr>
          <w:t xml:space="preserve"> and</w:t>
        </w:r>
      </w:ins>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ins w:id="89" w:author="Master Repository Process" w:date="2021-09-12T14:31:00Z">
        <w:r>
          <w:rPr>
            <w:snapToGrid w:val="0"/>
          </w:rPr>
          <w:t xml:space="preserve"> and</w:t>
        </w:r>
      </w:ins>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ins w:id="90" w:author="Master Repository Process" w:date="2021-09-12T14:31:00Z">
        <w:r>
          <w:rPr>
            <w:snapToGrid w:val="0"/>
          </w:rPr>
          <w:t xml:space="preserve"> or</w:t>
        </w:r>
      </w:ins>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ins w:id="91" w:author="Master Repository Process" w:date="2021-09-12T14:31:00Z">
        <w:r>
          <w:rPr>
            <w:snapToGrid w:val="0"/>
          </w:rPr>
          <w:t xml:space="preserve"> or</w:t>
        </w:r>
      </w:ins>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92" w:name="_Toc403052294"/>
      <w:bookmarkStart w:id="93" w:name="_Toc398898744"/>
      <w:r>
        <w:rPr>
          <w:rStyle w:val="CharSectno"/>
        </w:rPr>
        <w:t>9B</w:t>
      </w:r>
      <w:r>
        <w:t>.</w:t>
      </w:r>
      <w:r>
        <w:tab/>
        <w:t>Transitional provision for heavy vehicle licences</w:t>
      </w:r>
      <w:bookmarkEnd w:id="92"/>
      <w:bookmarkEnd w:id="93"/>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pPr>
      <w:r>
        <w:tab/>
        <w:t>[Regulation 9B inserted in Gazette 30 May 2008 p. 2084.]</w:t>
      </w:r>
    </w:p>
    <w:p>
      <w:pPr>
        <w:pStyle w:val="Heading5"/>
        <w:rPr>
          <w:snapToGrid w:val="0"/>
        </w:rPr>
      </w:pPr>
      <w:bookmarkStart w:id="94" w:name="_Toc403052295"/>
      <w:bookmarkStart w:id="95" w:name="_Toc398898745"/>
      <w:r>
        <w:rPr>
          <w:rStyle w:val="CharSectno"/>
        </w:rPr>
        <w:t>10</w:t>
      </w:r>
      <w:r>
        <w:rPr>
          <w:snapToGrid w:val="0"/>
        </w:rPr>
        <w:t>.</w:t>
      </w:r>
      <w:r>
        <w:rPr>
          <w:snapToGrid w:val="0"/>
        </w:rPr>
        <w:tab/>
        <w:t>Licence to be carried in certain cases</w:t>
      </w:r>
      <w:bookmarkEnd w:id="94"/>
      <w:bookmarkEnd w:id="95"/>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96" w:name="_Toc403052296"/>
      <w:bookmarkStart w:id="97" w:name="_Toc398898746"/>
      <w:r>
        <w:rPr>
          <w:rStyle w:val="CharSectno"/>
        </w:rPr>
        <w:t>11</w:t>
      </w:r>
      <w:r>
        <w:rPr>
          <w:snapToGrid w:val="0"/>
        </w:rPr>
        <w:t>.</w:t>
      </w:r>
      <w:r>
        <w:rPr>
          <w:snapToGrid w:val="0"/>
        </w:rPr>
        <w:tab/>
        <w:t>Director General may issue permits for unlicensed vehicles</w:t>
      </w:r>
      <w:bookmarkEnd w:id="96"/>
      <w:bookmarkEnd w:id="97"/>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w:t>
      </w:r>
      <w:del w:id="98" w:author="Master Repository Process" w:date="2021-09-12T14:31:00Z">
        <w:r>
          <w:rPr>
            <w:vertAlign w:val="superscript"/>
          </w:rPr>
          <w:delText>3</w:delText>
        </w:r>
      </w:del>
      <w:ins w:id="99" w:author="Master Repository Process" w:date="2021-09-12T14:31:00Z">
        <w:r>
          <w:rPr>
            <w:vertAlign w:val="superscript"/>
          </w:rPr>
          <w:t>2</w:t>
        </w:r>
      </w:ins>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100" w:name="_Toc403052297"/>
      <w:bookmarkStart w:id="101" w:name="_Toc398898747"/>
      <w:r>
        <w:rPr>
          <w:rStyle w:val="CharSectno"/>
        </w:rPr>
        <w:t>13</w:t>
      </w:r>
      <w:r>
        <w:rPr>
          <w:snapToGrid w:val="0"/>
        </w:rPr>
        <w:t>.</w:t>
      </w:r>
      <w:r>
        <w:rPr>
          <w:snapToGrid w:val="0"/>
        </w:rPr>
        <w:tab/>
        <w:t>Signs to be displayed</w:t>
      </w:r>
      <w:bookmarkEnd w:id="100"/>
      <w:bookmarkEnd w:id="101"/>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102" w:name="_Toc403052298"/>
      <w:bookmarkStart w:id="103" w:name="_Toc398898748"/>
      <w:r>
        <w:rPr>
          <w:rStyle w:val="CharSectno"/>
        </w:rPr>
        <w:t>14</w:t>
      </w:r>
      <w:r>
        <w:rPr>
          <w:snapToGrid w:val="0"/>
        </w:rPr>
        <w:t>.</w:t>
      </w:r>
      <w:r>
        <w:rPr>
          <w:snapToGrid w:val="0"/>
        </w:rPr>
        <w:tab/>
        <w:t>Fee for duplicate or certified copy of licence</w:t>
      </w:r>
      <w:bookmarkEnd w:id="102"/>
      <w:bookmarkEnd w:id="103"/>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104" w:name="_Toc403052299"/>
      <w:bookmarkStart w:id="105" w:name="_Toc398898749"/>
      <w:r>
        <w:rPr>
          <w:rStyle w:val="CharSectno"/>
        </w:rPr>
        <w:t>15</w:t>
      </w:r>
      <w:r>
        <w:rPr>
          <w:snapToGrid w:val="0"/>
        </w:rPr>
        <w:t>.</w:t>
      </w:r>
      <w:r>
        <w:rPr>
          <w:snapToGrid w:val="0"/>
        </w:rPr>
        <w:tab/>
        <w:t>Licences unlawfully held, or not current, and change of address</w:t>
      </w:r>
      <w:bookmarkEnd w:id="104"/>
      <w:bookmarkEnd w:id="105"/>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t>or in any other manner approved in writing by the Director General</w:t>
      </w:r>
      <w:r>
        <w:rPr>
          <w:snapToGrid w:val="0"/>
        </w:rPr>
        <w:t xml:space="preserve"> of the change to the Director General.</w:t>
      </w:r>
    </w:p>
    <w:p>
      <w:pPr>
        <w:pStyle w:val="Footnotesection"/>
      </w:pPr>
      <w:r>
        <w:tab/>
        <w:t>[Regulation 15 amended in Gazette 13 Mar 1981 p. 939; 2 Feb 1982 p. 401; 31 Jan 1997 p. 683; 2 Dec 2011 p. 5073.]</w:t>
      </w:r>
    </w:p>
    <w:p>
      <w:pPr>
        <w:pStyle w:val="Heading5"/>
      </w:pPr>
      <w:bookmarkStart w:id="106" w:name="_Toc403052300"/>
      <w:bookmarkStart w:id="107" w:name="_Toc398898750"/>
      <w:r>
        <w:rPr>
          <w:rStyle w:val="CharSectno"/>
        </w:rPr>
        <w:t>16A</w:t>
      </w:r>
      <w:r>
        <w:t>.</w:t>
      </w:r>
      <w:r>
        <w:tab/>
        <w:t>Licence documents to be handed over on disposal</w:t>
      </w:r>
      <w:bookmarkEnd w:id="106"/>
      <w:bookmarkEnd w:id="107"/>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108" w:name="_Toc397323501"/>
      <w:bookmarkStart w:id="109" w:name="_Toc397323634"/>
      <w:bookmarkStart w:id="110" w:name="_Toc397323706"/>
      <w:bookmarkStart w:id="111" w:name="_Toc397323779"/>
      <w:bookmarkStart w:id="112" w:name="_Toc397323852"/>
      <w:bookmarkStart w:id="113" w:name="_Toc400970354"/>
      <w:bookmarkStart w:id="114" w:name="_Toc403052301"/>
      <w:bookmarkStart w:id="115" w:name="_Toc398898751"/>
      <w:r>
        <w:rPr>
          <w:rStyle w:val="CharPartNo"/>
        </w:rPr>
        <w:t>Part III</w:t>
      </w:r>
      <w:r>
        <w:rPr>
          <w:rStyle w:val="CharDivNo"/>
        </w:rPr>
        <w:t> </w:t>
      </w:r>
      <w:r>
        <w:t>—</w:t>
      </w:r>
      <w:r>
        <w:rPr>
          <w:rStyle w:val="CharDivText"/>
        </w:rPr>
        <w:t> </w:t>
      </w:r>
      <w:r>
        <w:rPr>
          <w:rStyle w:val="CharPartText"/>
        </w:rPr>
        <w:t>Licences for overseas vehicles</w:t>
      </w:r>
      <w:bookmarkEnd w:id="108"/>
      <w:bookmarkEnd w:id="109"/>
      <w:bookmarkEnd w:id="110"/>
      <w:bookmarkEnd w:id="111"/>
      <w:bookmarkEnd w:id="112"/>
      <w:bookmarkEnd w:id="113"/>
      <w:bookmarkEnd w:id="114"/>
      <w:bookmarkEnd w:id="115"/>
    </w:p>
    <w:p>
      <w:pPr>
        <w:pStyle w:val="Heading5"/>
        <w:rPr>
          <w:snapToGrid w:val="0"/>
        </w:rPr>
      </w:pPr>
      <w:bookmarkStart w:id="116" w:name="_Toc403052302"/>
      <w:bookmarkStart w:id="117" w:name="_Toc398898752"/>
      <w:r>
        <w:rPr>
          <w:rStyle w:val="CharSectno"/>
        </w:rPr>
        <w:t>16</w:t>
      </w:r>
      <w:r>
        <w:rPr>
          <w:snapToGrid w:val="0"/>
        </w:rPr>
        <w:t>.</w:t>
      </w:r>
      <w:r>
        <w:rPr>
          <w:snapToGrid w:val="0"/>
        </w:rPr>
        <w:tab/>
        <w:t>Application for vehicle licence and for extension or renewal</w:t>
      </w:r>
      <w:bookmarkEnd w:id="116"/>
      <w:bookmarkEnd w:id="117"/>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ins w:id="118" w:author="Master Repository Process" w:date="2021-09-12T14:31:00Z">
        <w:r>
          <w:rPr>
            <w:snapToGrid w:val="0"/>
          </w:rPr>
          <w:t xml:space="preserve"> and</w:t>
        </w:r>
      </w:ins>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ins w:id="119" w:author="Master Repository Process" w:date="2021-09-12T14:31:00Z">
        <w:r>
          <w:rPr>
            <w:snapToGrid w:val="0"/>
          </w:rPr>
          <w:t xml:space="preserve"> and</w:t>
        </w:r>
      </w:ins>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ins w:id="120" w:author="Master Repository Process" w:date="2021-09-12T14:31:00Z">
        <w:r>
          <w:rPr>
            <w:snapToGrid w:val="0"/>
          </w:rPr>
          <w:t xml:space="preserve"> and</w:t>
        </w:r>
      </w:ins>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ins w:id="121" w:author="Master Repository Process" w:date="2021-09-12T14:31:00Z">
        <w:r>
          <w:rPr>
            <w:snapToGrid w:val="0"/>
          </w:rPr>
          <w:t xml:space="preserve"> and</w:t>
        </w:r>
      </w:ins>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122" w:name="_Toc403052303"/>
      <w:bookmarkStart w:id="123" w:name="_Toc398898753"/>
      <w:r>
        <w:rPr>
          <w:rStyle w:val="CharSectno"/>
        </w:rPr>
        <w:t>17</w:t>
      </w:r>
      <w:r>
        <w:rPr>
          <w:snapToGrid w:val="0"/>
        </w:rPr>
        <w:t>.</w:t>
      </w:r>
      <w:r>
        <w:rPr>
          <w:snapToGrid w:val="0"/>
        </w:rPr>
        <w:tab/>
        <w:t>Contract of Third Party Insurance required</w:t>
      </w:r>
      <w:bookmarkEnd w:id="122"/>
      <w:bookmarkEnd w:id="123"/>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124" w:name="_Toc403052304"/>
      <w:bookmarkStart w:id="125" w:name="_Toc398898754"/>
      <w:r>
        <w:rPr>
          <w:rStyle w:val="CharSectno"/>
        </w:rPr>
        <w:t>18</w:t>
      </w:r>
      <w:r>
        <w:rPr>
          <w:snapToGrid w:val="0"/>
        </w:rPr>
        <w:t>.</w:t>
      </w:r>
      <w:r>
        <w:rPr>
          <w:snapToGrid w:val="0"/>
        </w:rPr>
        <w:tab/>
        <w:t>Identification tablets or plates on motor vehicles to which Part IV of Act applies</w:t>
      </w:r>
      <w:bookmarkEnd w:id="124"/>
      <w:bookmarkEnd w:id="125"/>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126" w:name="_Toc403052305"/>
      <w:bookmarkStart w:id="127" w:name="_Toc398898755"/>
      <w:r>
        <w:rPr>
          <w:rStyle w:val="CharSectno"/>
        </w:rPr>
        <w:t>20</w:t>
      </w:r>
      <w:r>
        <w:rPr>
          <w:snapToGrid w:val="0"/>
        </w:rPr>
        <w:t>.</w:t>
      </w:r>
      <w:r>
        <w:rPr>
          <w:snapToGrid w:val="0"/>
        </w:rPr>
        <w:tab/>
        <w:t>Permits for use of vehicle not conforming with requirements of Act or regulations</w:t>
      </w:r>
      <w:bookmarkEnd w:id="126"/>
      <w:bookmarkEnd w:id="127"/>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128" w:name="_Toc403052306"/>
      <w:bookmarkStart w:id="129" w:name="_Toc398898756"/>
      <w:r>
        <w:rPr>
          <w:rStyle w:val="CharSectno"/>
        </w:rPr>
        <w:t>21</w:t>
      </w:r>
      <w:r>
        <w:rPr>
          <w:snapToGrid w:val="0"/>
        </w:rPr>
        <w:t>.</w:t>
      </w:r>
      <w:r>
        <w:rPr>
          <w:snapToGrid w:val="0"/>
        </w:rPr>
        <w:tab/>
        <w:t>When licence for overseas vehicle ceases to have force and effect</w:t>
      </w:r>
      <w:bookmarkEnd w:id="128"/>
      <w:bookmarkEnd w:id="129"/>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r>
        <w:t>[Part IIIA:</w:t>
      </w:r>
      <w:r>
        <w:tab/>
        <w:t>s. 21FA deleted in Gazette 25 May 1999 p. 2068;</w:t>
      </w:r>
      <w:r>
        <w:br/>
        <w:t>s. 21N deleted in Gazette 12 May 1998 p. 2798;</w:t>
      </w:r>
      <w:r>
        <w:br/>
        <w:t>balance deleted in Gazette 28 Nov 2006 p. 4906.]</w:t>
      </w:r>
    </w:p>
    <w:p>
      <w:pPr>
        <w:pStyle w:val="Heading2"/>
      </w:pPr>
      <w:bookmarkStart w:id="130" w:name="_Toc397323507"/>
      <w:bookmarkStart w:id="131" w:name="_Toc397323640"/>
      <w:bookmarkStart w:id="132" w:name="_Toc397323712"/>
      <w:bookmarkStart w:id="133" w:name="_Toc397323785"/>
      <w:bookmarkStart w:id="134" w:name="_Toc397323858"/>
      <w:bookmarkStart w:id="135" w:name="_Toc400970360"/>
      <w:bookmarkStart w:id="136" w:name="_Toc403052307"/>
      <w:bookmarkStart w:id="137" w:name="_Toc398898757"/>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130"/>
      <w:bookmarkEnd w:id="131"/>
      <w:bookmarkEnd w:id="132"/>
      <w:bookmarkEnd w:id="133"/>
      <w:bookmarkEnd w:id="134"/>
      <w:bookmarkEnd w:id="135"/>
      <w:bookmarkEnd w:id="136"/>
      <w:bookmarkEnd w:id="137"/>
    </w:p>
    <w:p>
      <w:pPr>
        <w:pStyle w:val="Footnoteheading"/>
      </w:pPr>
      <w:r>
        <w:tab/>
        <w:t>[Heading inserted in Gazette 31 Mar 1989 p. 856.]</w:t>
      </w:r>
    </w:p>
    <w:p>
      <w:pPr>
        <w:pStyle w:val="Heading5"/>
        <w:rPr>
          <w:snapToGrid w:val="0"/>
        </w:rPr>
      </w:pPr>
      <w:bookmarkStart w:id="138" w:name="_Toc403052308"/>
      <w:bookmarkStart w:id="139" w:name="_Toc398898758"/>
      <w:r>
        <w:rPr>
          <w:rStyle w:val="CharSectno"/>
        </w:rPr>
        <w:t>22</w:t>
      </w:r>
      <w:r>
        <w:rPr>
          <w:snapToGrid w:val="0"/>
        </w:rPr>
        <w:t>.</w:t>
      </w:r>
      <w:r>
        <w:rPr>
          <w:snapToGrid w:val="0"/>
        </w:rPr>
        <w:tab/>
        <w:t>Director General to provide number plates</w:t>
      </w:r>
      <w:bookmarkEnd w:id="138"/>
      <w:bookmarkEnd w:id="139"/>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ins w:id="140" w:author="Master Repository Process" w:date="2021-09-12T14:31:00Z">
        <w:r>
          <w:rPr>
            <w:snapToGrid w:val="0"/>
          </w:rPr>
          <w:t xml:space="preserve"> and</w:t>
        </w:r>
      </w:ins>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ins w:id="141" w:author="Master Repository Process" w:date="2021-09-12T14:31:00Z">
        <w:r>
          <w:rPr>
            <w:snapToGrid w:val="0"/>
          </w:rPr>
          <w:t xml:space="preserve"> and</w:t>
        </w:r>
      </w:ins>
    </w:p>
    <w:p>
      <w:pPr>
        <w:pStyle w:val="Indenta"/>
        <w:spacing w:before="70"/>
      </w:pPr>
      <w:r>
        <w:rPr>
          <w:snapToGrid w:val="0"/>
        </w:rPr>
        <w:tab/>
        <w:t>(b)</w:t>
      </w:r>
      <w:r>
        <w:rPr>
          <w:snapToGrid w:val="0"/>
        </w:rPr>
        <w:tab/>
        <w:t>omnibuses</w:t>
      </w:r>
      <w:r>
        <w:t>; and</w:t>
      </w:r>
    </w:p>
    <w:p>
      <w:pPr>
        <w:pStyle w:val="Indenta"/>
        <w:spacing w:before="70"/>
        <w:rPr>
          <w:snapToGrid w:val="0"/>
        </w:rPr>
      </w:pPr>
      <w:r>
        <w:tab/>
        <w:t>(c)</w:t>
      </w:r>
      <w:r>
        <w:tab/>
        <w:t>heavy vehicles that are the subject of a seasonal heavy vehicle licence.</w:t>
      </w:r>
    </w:p>
    <w:p>
      <w:pPr>
        <w:pStyle w:val="Footnotesection"/>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142" w:name="_Toc403052309"/>
      <w:bookmarkStart w:id="143" w:name="_Toc398898759"/>
      <w:r>
        <w:rPr>
          <w:rStyle w:val="CharSectno"/>
        </w:rPr>
        <w:t>23</w:t>
      </w:r>
      <w:r>
        <w:rPr>
          <w:snapToGrid w:val="0"/>
        </w:rPr>
        <w:t>.</w:t>
      </w:r>
      <w:r>
        <w:rPr>
          <w:snapToGrid w:val="0"/>
        </w:rPr>
        <w:tab/>
        <w:t>Lost number plates</w:t>
      </w:r>
      <w:bookmarkEnd w:id="142"/>
      <w:bookmarkEnd w:id="143"/>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spacing w:before="70"/>
        <w:rPr>
          <w:snapToGrid w:val="0"/>
        </w:rPr>
      </w:pPr>
      <w:r>
        <w:rPr>
          <w:snapToGrid w:val="0"/>
        </w:rPr>
        <w:tab/>
        <w:t>(a)</w:t>
      </w:r>
      <w:r>
        <w:rPr>
          <w:snapToGrid w:val="0"/>
        </w:rPr>
        <w:tab/>
        <w:t>a special plate;</w:t>
      </w:r>
      <w:ins w:id="144" w:author="Master Repository Process" w:date="2021-09-12T14:31:00Z">
        <w:r>
          <w:rPr>
            <w:snapToGrid w:val="0"/>
          </w:rPr>
          <w:t xml:space="preserve"> or</w:t>
        </w:r>
      </w:ins>
    </w:p>
    <w:p>
      <w:pPr>
        <w:pStyle w:val="Indenta"/>
        <w:keepNext/>
        <w:spacing w:before="70"/>
        <w:rPr>
          <w:snapToGrid w:val="0"/>
        </w:rPr>
      </w:pPr>
      <w:r>
        <w:rPr>
          <w:snapToGrid w:val="0"/>
        </w:rPr>
        <w:tab/>
        <w:t>(b)</w:t>
      </w:r>
      <w:r>
        <w:rPr>
          <w:snapToGrid w:val="0"/>
        </w:rPr>
        <w:tab/>
        <w:t>a name plate; or</w:t>
      </w:r>
    </w:p>
    <w:p>
      <w:pPr>
        <w:pStyle w:val="Indenta"/>
        <w:spacing w:before="70"/>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ins w:id="145" w:author="Master Repository Process" w:date="2021-09-12T14:31:00Z">
        <w:r>
          <w:rPr>
            <w:snapToGrid w:val="0"/>
          </w:rPr>
          <w:t xml:space="preserve"> or</w:t>
        </w:r>
      </w:ins>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as that number plate.</w:t>
      </w:r>
    </w:p>
    <w:p>
      <w:pPr>
        <w:pStyle w:val="Footnotesection"/>
      </w:pPr>
      <w:r>
        <w:tab/>
        <w:t>[Regulation 23 amended in Gazette 2 Feb 1982 p. 402; 24 May 1985 p. 1762; 29 Nov 1985 p. 4452; 29 May 1987 p. 2221</w:t>
      </w:r>
      <w:r>
        <w:noBreakHyphen/>
        <w:t>2; 31 Jan 1997 p. 683; 23 Dec 2005 p. 6284; 9 Sep 2014 p. 3249.]</w:t>
      </w:r>
    </w:p>
    <w:p>
      <w:pPr>
        <w:pStyle w:val="Heading5"/>
        <w:rPr>
          <w:snapToGrid w:val="0"/>
        </w:rPr>
      </w:pPr>
      <w:bookmarkStart w:id="146" w:name="_Toc403052310"/>
      <w:bookmarkStart w:id="147" w:name="_Toc398898760"/>
      <w:r>
        <w:rPr>
          <w:rStyle w:val="CharSectno"/>
        </w:rPr>
        <w:t>24</w:t>
      </w:r>
      <w:r>
        <w:rPr>
          <w:snapToGrid w:val="0"/>
        </w:rPr>
        <w:t>.</w:t>
      </w:r>
      <w:r>
        <w:rPr>
          <w:snapToGrid w:val="0"/>
        </w:rPr>
        <w:tab/>
        <w:t>Nature of number plates</w:t>
      </w:r>
      <w:bookmarkEnd w:id="146"/>
      <w:bookmarkEnd w:id="147"/>
    </w:p>
    <w:p>
      <w:pPr>
        <w:pStyle w:val="Subsection"/>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pPr>
      <w:r>
        <w:tab/>
        <w:t>[(2)</w:t>
      </w:r>
      <w:r>
        <w:tab/>
        <w:t>deleted]</w:t>
      </w:r>
    </w:p>
    <w:p>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w:t>
      </w:r>
      <w:del w:id="148" w:author="Master Repository Process" w:date="2021-09-12T14:31:00Z">
        <w:r>
          <w:rPr>
            <w:snapToGrid w:val="0"/>
          </w:rPr>
          <w:delText>millimetres</w:delText>
        </w:r>
      </w:del>
      <w:ins w:id="149" w:author="Master Repository Process" w:date="2021-09-12T14:31:00Z">
        <w:r>
          <w:rPr>
            <w:snapToGrid w:val="0"/>
          </w:rPr>
          <w:t>mm</w:t>
        </w:r>
      </w:ins>
      <w:r>
        <w:rPr>
          <w:snapToGrid w:val="0"/>
        </w:rPr>
        <w:t xml:space="preserve">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ins w:id="150" w:author="Master Repository Process" w:date="2021-09-12T14:31:00Z">
        <w:r>
          <w:rPr>
            <w:snapToGrid w:val="0"/>
          </w:rPr>
          <w:t xml:space="preserve"> or</w:t>
        </w:r>
      </w:ins>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ins w:id="151" w:author="Master Repository Process" w:date="2021-09-12T14:31:00Z">
        <w:r>
          <w:rPr>
            <w:snapToGrid w:val="0"/>
          </w:rPr>
          <w:t xml:space="preserve"> or</w:t>
        </w:r>
      </w:ins>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152" w:name="_Toc403052311"/>
      <w:bookmarkStart w:id="153" w:name="_Toc398898761"/>
      <w:r>
        <w:rPr>
          <w:rStyle w:val="CharSectno"/>
        </w:rPr>
        <w:t>25</w:t>
      </w:r>
      <w:r>
        <w:rPr>
          <w:snapToGrid w:val="0"/>
        </w:rPr>
        <w:t>.</w:t>
      </w:r>
      <w:r>
        <w:rPr>
          <w:snapToGrid w:val="0"/>
        </w:rPr>
        <w:tab/>
        <w:t>Number plate to be fixed on vehicle</w:t>
      </w:r>
      <w:bookmarkEnd w:id="152"/>
      <w:bookmarkEnd w:id="153"/>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w:t>
      </w:r>
    </w:p>
    <w:p>
      <w:pPr>
        <w:pStyle w:val="Ednotepara"/>
        <w:rPr>
          <w:del w:id="154" w:author="Master Repository Process" w:date="2021-09-12T14:31:00Z"/>
          <w:snapToGrid w:val="0"/>
        </w:rPr>
      </w:pPr>
      <w:del w:id="155" w:author="Master Repository Process" w:date="2021-09-12T14:31:00Z">
        <w:r>
          <w:rPr>
            <w:snapToGrid w:val="0"/>
          </w:rPr>
          <w:tab/>
          <w:delText>[(d)</w:delText>
        </w:r>
        <w:r>
          <w:rPr>
            <w:snapToGrid w:val="0"/>
          </w:rPr>
          <w:tab/>
          <w:delText>deleted]</w:delText>
        </w:r>
      </w:del>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ins w:id="156" w:author="Master Repository Process" w:date="2021-09-12T14:31:00Z">
        <w:r>
          <w:rPr>
            <w:snapToGrid w:val="0"/>
          </w:rPr>
          <w:t xml:space="preserve"> or</w:t>
        </w:r>
      </w:ins>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 9 Sep 2014 p. 3249.]</w:t>
      </w:r>
    </w:p>
    <w:p>
      <w:pPr>
        <w:pStyle w:val="Heading5"/>
      </w:pPr>
      <w:bookmarkStart w:id="157" w:name="_Toc398898762"/>
      <w:bookmarkStart w:id="158" w:name="_Toc403052312"/>
      <w:r>
        <w:rPr>
          <w:rStyle w:val="CharSectno"/>
        </w:rPr>
        <w:t>25AA</w:t>
      </w:r>
      <w:r>
        <w:t>.</w:t>
      </w:r>
      <w:r>
        <w:tab/>
        <w:t>Preventing effective identification of number plate</w:t>
      </w:r>
      <w:bookmarkEnd w:id="157"/>
      <w:bookmarkEnd w:id="158"/>
    </w:p>
    <w:p>
      <w:pPr>
        <w:pStyle w:val="Subsection"/>
        <w:keepNext/>
      </w:pPr>
      <w:r>
        <w:tab/>
        <w:t>(1)</w:t>
      </w:r>
      <w:r>
        <w:tab/>
        <w:t xml:space="preserve">In this regulation — </w:t>
      </w:r>
    </w:p>
    <w:p>
      <w:pPr>
        <w:pStyle w:val="Defstart"/>
        <w:keepNext/>
      </w:pPr>
      <w:r>
        <w:tab/>
      </w:r>
      <w:r>
        <w:rPr>
          <w:rStyle w:val="CharDefText"/>
        </w:rPr>
        <w:t>ID prevention state</w:t>
      </w:r>
      <w:r>
        <w:t xml:space="preserve">, in relation to a plate on a vehicle, means that — </w:t>
      </w:r>
    </w:p>
    <w:p>
      <w:pPr>
        <w:pStyle w:val="Defpara"/>
      </w:pPr>
      <w:r>
        <w:tab/>
        <w:t>(a)</w:t>
      </w:r>
      <w:r>
        <w:tab/>
        <w:t>the plate is bent in a way that prevents the whole or a part of a character on the plate from being read at any time when the vehicle is used or driven; or</w:t>
      </w:r>
    </w:p>
    <w:p>
      <w:pPr>
        <w:pStyle w:val="Defpara"/>
      </w:pPr>
      <w:r>
        <w:tab/>
        <w:t>(b)</w:t>
      </w:r>
      <w:r>
        <w:tab/>
        <w:t>the plate’s angle is changed in a way that prevents the whole or a part of a character on the plate from being read at any time when the vehicle is used or driven; or</w:t>
      </w:r>
    </w:p>
    <w:p>
      <w:pPr>
        <w:pStyle w:val="Defpara"/>
      </w:pPr>
      <w:r>
        <w:tab/>
        <w:t>(c)</w:t>
      </w:r>
      <w:r>
        <w:tab/>
        <w:t>the plate or any part of the plate is covered, altered or otherwise obscured in a way that prevents the whole or part of a character on the plate from being read at any time when the vehicle is used or driven; or</w:t>
      </w:r>
    </w:p>
    <w:p>
      <w:pPr>
        <w:pStyle w:val="Defpara"/>
      </w:pPr>
      <w:r>
        <w:tab/>
        <w:t>(d)</w:t>
      </w:r>
      <w:r>
        <w:tab/>
        <w:t>a character or a part of a character on the plate is covered, altered or otherwise obscured in a way that prevents the whole or part of a character on the plate from being read at any time when the vehicle is used or driven; or</w:t>
      </w:r>
    </w:p>
    <w:p>
      <w:pPr>
        <w:pStyle w:val="Defpara"/>
      </w:pPr>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p>
    <w:p>
      <w:pPr>
        <w:pStyle w:val="Defstart"/>
      </w:pPr>
      <w:r>
        <w:tab/>
      </w:r>
      <w:r>
        <w:rPr>
          <w:rStyle w:val="CharDefText"/>
        </w:rPr>
        <w:t>obscuring device</w:t>
      </w:r>
      <w:r>
        <w:t xml:space="preserve"> means a device the use or operation of which would result in a plate on a vehicle being in an ID prevention state but does not include — </w:t>
      </w:r>
    </w:p>
    <w:p>
      <w:pPr>
        <w:pStyle w:val="Defpara"/>
      </w:pPr>
      <w:r>
        <w:tab/>
        <w:t>(a)</w:t>
      </w:r>
      <w:r>
        <w:tab/>
        <w:t>a tow ball fitted to the rear of a vehicle; or</w:t>
      </w:r>
    </w:p>
    <w:p>
      <w:pPr>
        <w:pStyle w:val="Defpara"/>
      </w:pPr>
      <w:r>
        <w:tab/>
        <w:t>(b)</w:t>
      </w:r>
      <w:r>
        <w:tab/>
        <w:t>a bicycle rack fitted to the rear of a vehicle; or</w:t>
      </w:r>
    </w:p>
    <w:p>
      <w:pPr>
        <w:pStyle w:val="Defpara"/>
      </w:pPr>
      <w:r>
        <w:tab/>
        <w:t>(c)</w:t>
      </w:r>
      <w:r>
        <w:tab/>
        <w:t>a bicycle carried on a bicycle rack fitted to the rear of a vehicle;</w:t>
      </w:r>
    </w:p>
    <w:p>
      <w:pPr>
        <w:pStyle w:val="Defstart"/>
      </w:pPr>
      <w:r>
        <w:tab/>
      </w:r>
      <w:r>
        <w:rPr>
          <w:rStyle w:val="CharDefText"/>
        </w:rPr>
        <w:t>obscuring device action</w:t>
      </w:r>
      <w:r>
        <w:t xml:space="preserve">, in relation to a vehicle, means — </w:t>
      </w:r>
    </w:p>
    <w:p>
      <w:pPr>
        <w:pStyle w:val="Defpara"/>
      </w:pPr>
      <w:r>
        <w:tab/>
        <w:t>(a)</w:t>
      </w:r>
      <w:r>
        <w:tab/>
        <w:t>installing an obscuring device in or on the vehicle; or</w:t>
      </w:r>
    </w:p>
    <w:p>
      <w:pPr>
        <w:pStyle w:val="Defpara"/>
      </w:pPr>
      <w:r>
        <w:tab/>
        <w:t>(b)</w:t>
      </w:r>
      <w:r>
        <w:tab/>
        <w:t>causing an obscuring device to be installed in or on the vehicle; or</w:t>
      </w:r>
    </w:p>
    <w:p>
      <w:pPr>
        <w:pStyle w:val="Defpara"/>
      </w:pPr>
      <w:r>
        <w:tab/>
        <w:t>(c)</w:t>
      </w:r>
      <w:r>
        <w:tab/>
        <w:t>otherwise providing an obscuring device for the vehicle;</w:t>
      </w:r>
    </w:p>
    <w:p>
      <w:pPr>
        <w:pStyle w:val="Defstart"/>
      </w:pPr>
      <w:r>
        <w:tab/>
      </w:r>
      <w:r>
        <w:rPr>
          <w:rStyle w:val="CharDefText"/>
        </w:rPr>
        <w:t>plate</w:t>
      </w:r>
      <w:r>
        <w:t xml:space="preserve"> means a number plate or identification tablet;</w:t>
      </w:r>
    </w:p>
    <w:p>
      <w:pPr>
        <w:pStyle w:val="Defstart"/>
      </w:pPr>
      <w:r>
        <w:tab/>
      </w:r>
      <w:r>
        <w:rPr>
          <w:rStyle w:val="CharDefText"/>
        </w:rPr>
        <w:t>read</w:t>
      </w:r>
      <w:r>
        <w:t>, in relation to a plate on a vehicle, means read from the vehicle’s exterior.</w:t>
      </w:r>
    </w:p>
    <w:p>
      <w:pPr>
        <w:pStyle w:val="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pPr>
        <w:pStyle w:val="Subsection"/>
      </w:pPr>
      <w:r>
        <w:tab/>
        <w:t>(3)</w:t>
      </w:r>
      <w:r>
        <w:tab/>
        <w:t>A responsible person for a vehicle must not allow the vehicle to be used or driven if a plate on the vehicle is in an ID prevention state.</w:t>
      </w:r>
    </w:p>
    <w:p>
      <w:pPr>
        <w:pStyle w:val="Subsection"/>
      </w:pPr>
      <w:r>
        <w:rPr>
          <w:snapToGrid w:val="0"/>
        </w:rPr>
        <w:tab/>
        <w:t>(4)</w:t>
      </w:r>
      <w:r>
        <w:rPr>
          <w:snapToGrid w:val="0"/>
        </w:rPr>
        <w:tab/>
        <w:t>A responsible person for a vehicle must not take obscuring device action in relation to the vehicle.</w:t>
      </w:r>
    </w:p>
    <w:p>
      <w:pPr>
        <w:pStyle w:val="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pPr>
        <w:pStyle w:val="Subsection"/>
        <w:rPr>
          <w:snapToGrid w:val="0"/>
        </w:rPr>
      </w:pPr>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pPr>
        <w:pStyle w:val="Subsection"/>
      </w:pPr>
      <w:r>
        <w:tab/>
        <w:t>(7)</w:t>
      </w:r>
      <w:r>
        <w:tab/>
        <w:t>A person in charge of a vehicle must not use or drive the vehicle if a plate on the vehicle is in an ID prevention state.</w:t>
      </w:r>
    </w:p>
    <w:p>
      <w:pPr>
        <w:pStyle w:val="Subsection"/>
      </w:pPr>
      <w:r>
        <w:tab/>
        <w:t>(8)</w:t>
      </w:r>
      <w:r>
        <w:tab/>
        <w:t>A person in charge of a vehicle must not use or drive the vehicle if an obscuring device is installed in or on the vehicle or is otherwise provided for the vehicle.</w:t>
      </w:r>
    </w:p>
    <w:p>
      <w:pPr>
        <w:pStyle w:val="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pPr>
        <w:pStyle w:val="Subsection"/>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pPr>
        <w:pStyle w:val="Indenta"/>
      </w:pPr>
      <w:r>
        <w:tab/>
        <w:t>(a)</w:t>
      </w:r>
      <w:r>
        <w:tab/>
        <w:t>a tow ball fitted to the rear of the vehicle; or</w:t>
      </w:r>
    </w:p>
    <w:p>
      <w:pPr>
        <w:pStyle w:val="Indenta"/>
      </w:pPr>
      <w:r>
        <w:tab/>
        <w:t>(b)</w:t>
      </w:r>
      <w:r>
        <w:tab/>
        <w:t>a bicycle rack fitted to the rear of the vehicle; or</w:t>
      </w:r>
    </w:p>
    <w:p>
      <w:pPr>
        <w:pStyle w:val="Indenta"/>
      </w:pPr>
      <w:r>
        <w:tab/>
        <w:t>(c)</w:t>
      </w:r>
      <w:r>
        <w:tab/>
        <w:t>a bicycle carried on a bicycle rack fitted to the rear of the vehicle.</w:t>
      </w:r>
    </w:p>
    <w:p>
      <w:pPr>
        <w:pStyle w:val="Subsection"/>
      </w:pPr>
      <w:r>
        <w:tab/>
        <w:t>(11)</w:t>
      </w:r>
      <w:r>
        <w:tab/>
        <w:t xml:space="preserve">A person does not commit an offence under subregulation (3) or (7) in relation to the covering of a plate or a character if the plate or character is covered by a transparent film or cover that — </w:t>
      </w:r>
    </w:p>
    <w:p>
      <w:pPr>
        <w:pStyle w:val="Indenta"/>
      </w:pPr>
      <w:r>
        <w:tab/>
        <w:t>(a)</w:t>
      </w:r>
      <w:r>
        <w:tab/>
        <w:t>is of a type approved by the Director General as being non</w:t>
      </w:r>
      <w:r>
        <w:noBreakHyphen/>
        <w:t>reflective; and</w:t>
      </w:r>
    </w:p>
    <w:p>
      <w:pPr>
        <w:pStyle w:val="Indenta"/>
      </w:pPr>
      <w:r>
        <w:tab/>
        <w:t>(b)</w:t>
      </w:r>
      <w:r>
        <w:tab/>
        <w:t>bears the name of its manufacturer and its serial or other identification number in a conspicuous place, but not so as to obscure the characters on the number plate; and</w:t>
      </w:r>
    </w:p>
    <w:p>
      <w:pPr>
        <w:pStyle w:val="Indenta"/>
      </w:pPr>
      <w:r>
        <w:tab/>
        <w:t>(c)</w:t>
      </w:r>
      <w:r>
        <w:tab/>
        <w:t>is kept clean, in good condition and free from discoloration, heavy scratching and any marking other than those referred to in paragraph (b).</w:t>
      </w:r>
    </w:p>
    <w:p>
      <w:pPr>
        <w:pStyle w:val="Penstart"/>
      </w:pPr>
      <w:r>
        <w:tab/>
        <w:t>Penalty applicable to subregulations (2), (3), (4), (5), (6), (7), (8) and (9): a fine of 24 PU.</w:t>
      </w:r>
    </w:p>
    <w:p>
      <w:pPr>
        <w:pStyle w:val="Footnotesection"/>
      </w:pPr>
      <w:r>
        <w:tab/>
        <w:t>[Regulation 25AA inserted in Gazette 9 Sep 2014 p. 3250</w:t>
      </w:r>
      <w:r>
        <w:noBreakHyphen/>
        <w:t>2.]</w:t>
      </w:r>
    </w:p>
    <w:p>
      <w:pPr>
        <w:pStyle w:val="Heading5"/>
        <w:rPr>
          <w:snapToGrid w:val="0"/>
        </w:rPr>
      </w:pPr>
      <w:bookmarkStart w:id="159" w:name="_Toc403052313"/>
      <w:bookmarkStart w:id="160" w:name="_Toc398898763"/>
      <w:r>
        <w:rPr>
          <w:rStyle w:val="CharSectno"/>
        </w:rPr>
        <w:t>25A</w:t>
      </w:r>
      <w:r>
        <w:rPr>
          <w:snapToGrid w:val="0"/>
        </w:rPr>
        <w:t>.</w:t>
      </w:r>
      <w:r>
        <w:rPr>
          <w:snapToGrid w:val="0"/>
        </w:rPr>
        <w:tab/>
        <w:t>Certificate of right to display</w:t>
      </w:r>
      <w:bookmarkEnd w:id="159"/>
      <w:bookmarkEnd w:id="160"/>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ins w:id="161" w:author="Master Repository Process" w:date="2021-09-12T14:31:00Z">
        <w:r>
          <w:rPr>
            <w:snapToGrid w:val="0"/>
          </w:rPr>
          <w:t xml:space="preserve"> and</w:t>
        </w:r>
      </w:ins>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snapToGrid w:val="0"/>
        </w:rPr>
      </w:pPr>
      <w:r>
        <w:rPr>
          <w:snapToGrid w:val="0"/>
        </w:rPr>
        <w:tab/>
        <w:t>(c)</w:t>
      </w:r>
      <w:r>
        <w:rPr>
          <w:snapToGrid w:val="0"/>
        </w:rPr>
        <w:tab/>
        <w:t>subject to regulation 25B, the special plates.</w:t>
      </w:r>
    </w:p>
    <w:p>
      <w:pPr>
        <w:pStyle w:val="Footnotesection"/>
      </w:pPr>
      <w:r>
        <w:tab/>
        <w:t>[Regulation 25A inserted in Gazette 24 May 1985 p. 1762</w:t>
      </w:r>
      <w:r>
        <w:noBreakHyphen/>
        <w:t>3; amended in Gazette 6 Sep 1991 p. 4714; 17 Aug 1993 p. 4431; 31 Jan 1997 p. 683</w:t>
      </w:r>
      <w:r>
        <w:noBreakHyphen/>
        <w:t>4; 28 Nov 2006 p. 4907</w:t>
      </w:r>
      <w:r>
        <w:noBreakHyphen/>
        <w:t>8.]</w:t>
      </w:r>
    </w:p>
    <w:p>
      <w:pPr>
        <w:pStyle w:val="Heading5"/>
        <w:rPr>
          <w:snapToGrid w:val="0"/>
        </w:rPr>
      </w:pPr>
      <w:bookmarkStart w:id="162" w:name="_Toc403052314"/>
      <w:bookmarkStart w:id="163" w:name="_Toc398898764"/>
      <w:r>
        <w:rPr>
          <w:rStyle w:val="CharSectno"/>
          <w:rFonts w:ascii="Times" w:hAnsi="Times"/>
        </w:rPr>
        <w:t>25B</w:t>
      </w:r>
      <w:r>
        <w:rPr>
          <w:snapToGrid w:val="0"/>
        </w:rPr>
        <w:t>.</w:t>
      </w:r>
      <w:r>
        <w:rPr>
          <w:snapToGrid w:val="0"/>
        </w:rPr>
        <w:tab/>
        <w:t>Retention of special plates by Director General</w:t>
      </w:r>
      <w:bookmarkEnd w:id="162"/>
      <w:bookmarkEnd w:id="163"/>
    </w:p>
    <w:p>
      <w:pPr>
        <w:pStyle w:val="Subsection"/>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pPr>
      <w:r>
        <w:tab/>
        <w:t>[(2)</w:t>
      </w:r>
      <w:r>
        <w:tab/>
        <w:t>deleted]</w:t>
      </w:r>
    </w:p>
    <w:p>
      <w:pPr>
        <w:pStyle w:val="Subsection"/>
        <w:rPr>
          <w:snapToGrid w:val="0"/>
        </w:rPr>
      </w:pPr>
      <w:r>
        <w:rPr>
          <w:snapToGrid w:val="0"/>
        </w:rPr>
        <w:tab/>
        <w:t>(3)</w:t>
      </w:r>
      <w:r>
        <w:rPr>
          <w:snapToGrid w:val="0"/>
        </w:rPr>
        <w:tab/>
        <w:t xml:space="preserve">Where the person who is entitled to the right to display a special plate on a vehicle fails to pay </w:t>
      </w:r>
      <w:r>
        <w:t xml:space="preserve">a relevant fee prescribed under the </w:t>
      </w:r>
      <w:r>
        <w:rPr>
          <w:i/>
        </w:rPr>
        <w:t xml:space="preserve">Road Traffic (Charges and Fees) Regulations 2006 </w:t>
      </w:r>
      <w:r>
        <w:rPr>
          <w:snapToGrid w:val="0"/>
        </w:rPr>
        <w:t xml:space="preserve">for 3 consecutive years the Director General may by notice served on that person at his last known address and published in a newspaper circulating throughout the State notify him that unless he pays all the fees </w:t>
      </w:r>
      <w:r>
        <w:t xml:space="preserve">prescribed under those regulations that are </w:t>
      </w:r>
      <w:r>
        <w:rPr>
          <w:snapToGrid w:val="0"/>
        </w:rPr>
        <w:t>due in respect of the storage of the special plate on or before the date specified in the notice his entitlement to the right to display the special plates will cease.</w:t>
      </w:r>
    </w:p>
    <w:p>
      <w:pPr>
        <w:pStyle w:val="Subsection"/>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pPr>
      <w:r>
        <w:tab/>
        <w:t>[Regulation 25B inserted in Gazette 24 May 1985 p. 1763; amended in Gazette 8 Sep 1989 p. 3171</w:t>
      </w:r>
      <w:r>
        <w:noBreakHyphen/>
        <w:t>2; 21 Sep 1990 p. 4941; 17 Aug 1993 p. 4431; 31 Jan 1997 p. 683</w:t>
      </w:r>
      <w:r>
        <w:noBreakHyphen/>
        <w:t>4; 28 Nov 2006 p. 4908.]</w:t>
      </w:r>
    </w:p>
    <w:p>
      <w:pPr>
        <w:pStyle w:val="Heading5"/>
        <w:keepLines w:val="0"/>
        <w:rPr>
          <w:snapToGrid w:val="0"/>
        </w:rPr>
      </w:pPr>
      <w:bookmarkStart w:id="164" w:name="_Toc403052315"/>
      <w:bookmarkStart w:id="165" w:name="_Toc398898765"/>
      <w:r>
        <w:rPr>
          <w:rStyle w:val="CharSectno"/>
        </w:rPr>
        <w:t>25C</w:t>
      </w:r>
      <w:r>
        <w:rPr>
          <w:snapToGrid w:val="0"/>
        </w:rPr>
        <w:t>.</w:t>
      </w:r>
      <w:r>
        <w:rPr>
          <w:snapToGrid w:val="0"/>
        </w:rPr>
        <w:tab/>
        <w:t>Name plates to be treated as special plates</w:t>
      </w:r>
      <w:bookmarkEnd w:id="164"/>
      <w:bookmarkEnd w:id="165"/>
    </w:p>
    <w:p>
      <w:pPr>
        <w:pStyle w:val="Subsection"/>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w:t>
      </w:r>
      <w:del w:id="166" w:author="Master Repository Process" w:date="2021-09-12T14:31:00Z">
        <w:r>
          <w:rPr>
            <w:snapToGrid w:val="0"/>
          </w:rPr>
          <w:delText>5)(d</w:delText>
        </w:r>
      </w:del>
      <w:ins w:id="167" w:author="Master Repository Process" w:date="2021-09-12T14:31:00Z">
        <w:r>
          <w:rPr>
            <w:snapToGrid w:val="0"/>
          </w:rPr>
          <w:t>6)(b</w:t>
        </w:r>
      </w:ins>
      <w:r>
        <w:rPr>
          <w:snapToGrid w:val="0"/>
        </w:rPr>
        <w:t>).</w:t>
      </w:r>
    </w:p>
    <w:p>
      <w:pPr>
        <w:pStyle w:val="Footnotesection"/>
        <w:spacing w:before="90"/>
      </w:pPr>
      <w:r>
        <w:tab/>
        <w:t>[Regulation 25C inserted in Gazette 29 Nov 1985 p. 4452; amended in Gazette 31 Jan 1997 p. 683</w:t>
      </w:r>
      <w:r>
        <w:noBreakHyphen/>
        <w:t>4.]</w:t>
      </w:r>
    </w:p>
    <w:p>
      <w:pPr>
        <w:pStyle w:val="Heading5"/>
        <w:rPr>
          <w:snapToGrid w:val="0"/>
        </w:rPr>
      </w:pPr>
      <w:bookmarkStart w:id="168" w:name="_Toc403052316"/>
      <w:bookmarkStart w:id="169" w:name="_Toc398898766"/>
      <w:r>
        <w:rPr>
          <w:rStyle w:val="CharSectno"/>
        </w:rPr>
        <w:t>26</w:t>
      </w:r>
      <w:r>
        <w:rPr>
          <w:snapToGrid w:val="0"/>
        </w:rPr>
        <w:t>.</w:t>
      </w:r>
      <w:r>
        <w:rPr>
          <w:snapToGrid w:val="0"/>
        </w:rPr>
        <w:tab/>
        <w:t>Application for trade plates</w:t>
      </w:r>
      <w:bookmarkEnd w:id="168"/>
      <w:bookmarkEnd w:id="169"/>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rPr>
          <w:snapToGrid w:val="0"/>
        </w:rPr>
      </w:pPr>
      <w:r>
        <w:rPr>
          <w:snapToGrid w:val="0"/>
        </w:rPr>
        <w:tab/>
        <w:t>(2)</w:t>
      </w:r>
      <w:r>
        <w:rPr>
          <w:snapToGrid w:val="0"/>
        </w:rPr>
        <w:tab/>
        <w:t>The classes of persons to whom trade plates may be assigned and issued are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170" w:name="_Toc403052317"/>
      <w:bookmarkStart w:id="171" w:name="_Toc398898767"/>
      <w:r>
        <w:rPr>
          <w:rStyle w:val="CharSectno"/>
        </w:rPr>
        <w:t>26A</w:t>
      </w:r>
      <w:r>
        <w:rPr>
          <w:snapToGrid w:val="0"/>
        </w:rPr>
        <w:t>.</w:t>
      </w:r>
      <w:r>
        <w:rPr>
          <w:snapToGrid w:val="0"/>
        </w:rPr>
        <w:tab/>
        <w:t>Annual fee for trade plates</w:t>
      </w:r>
      <w:bookmarkEnd w:id="170"/>
      <w:bookmarkEnd w:id="171"/>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172" w:name="_Toc403052318"/>
      <w:bookmarkStart w:id="173" w:name="_Toc398898768"/>
      <w:r>
        <w:rPr>
          <w:rStyle w:val="CharSectno"/>
        </w:rPr>
        <w:t>26C</w:t>
      </w:r>
      <w:r>
        <w:rPr>
          <w:snapToGrid w:val="0"/>
        </w:rPr>
        <w:t>.</w:t>
      </w:r>
      <w:r>
        <w:rPr>
          <w:snapToGrid w:val="0"/>
        </w:rPr>
        <w:tab/>
        <w:t>Conditions of use</w:t>
      </w:r>
      <w:bookmarkEnd w:id="172"/>
      <w:bookmarkEnd w:id="173"/>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spacing w:before="70"/>
      </w:pPr>
      <w:r>
        <w:tab/>
        <w:t>(viii)</w:t>
      </w:r>
      <w:r>
        <w:tab/>
        <w:t>in the case of a vehicle of a type referred to in subparagraph (i) or (ii), lights at the front and rear; and</w:t>
      </w:r>
    </w:p>
    <w:p>
      <w:pPr>
        <w:pStyle w:val="Indenti"/>
        <w:spacing w:before="70"/>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spacing w:before="70"/>
      </w:pPr>
      <w:r>
        <w:tab/>
        <w:t>(x)</w:t>
      </w:r>
      <w:r>
        <w:tab/>
        <w:t>reflectors at the rear; and</w:t>
      </w:r>
    </w:p>
    <w:p>
      <w:pPr>
        <w:pStyle w:val="Indenti"/>
        <w:spacing w:before="70"/>
      </w:pPr>
      <w:r>
        <w:tab/>
        <w:t>(xi)</w:t>
      </w:r>
      <w:r>
        <w:tab/>
        <w:t>a means of transmitting power from the engine to the drive wheels; and</w:t>
      </w:r>
    </w:p>
    <w:p>
      <w:pPr>
        <w:pStyle w:val="Indenti"/>
        <w:spacing w:before="70"/>
      </w:pPr>
      <w:r>
        <w:tab/>
        <w:t>(xii)</w:t>
      </w:r>
      <w:r>
        <w:tab/>
        <w:t>a structure that will not fail when the vehicle is used for the purpose for which it was designed;</w:t>
      </w:r>
    </w:p>
    <w:p>
      <w:pPr>
        <w:pStyle w:val="Indenta"/>
        <w:spacing w:before="70"/>
      </w:pPr>
      <w:r>
        <w:tab/>
        <w:t>(b)</w:t>
      </w:r>
      <w:r>
        <w:tab/>
        <w:t xml:space="preserve">if the vehicle is an agricultural machine that does not comply with the Vehicle Standards, the vehicle — </w:t>
      </w:r>
    </w:p>
    <w:p>
      <w:pPr>
        <w:pStyle w:val="Indenti"/>
        <w:spacing w:before="70"/>
      </w:pPr>
      <w:r>
        <w:tab/>
        <w:t>(i)</w:t>
      </w:r>
      <w:r>
        <w:tab/>
        <w:t>is not more than 2.5 m wide, 4.3 m high and 12</w:t>
      </w:r>
      <w:del w:id="174" w:author="Master Repository Process" w:date="2021-09-12T14:31:00Z">
        <w:r>
          <w:delText xml:space="preserve"> </w:delText>
        </w:r>
      </w:del>
      <w:ins w:id="175" w:author="Master Repository Process" w:date="2021-09-12T14:31:00Z">
        <w:r>
          <w:t> </w:t>
        </w:r>
      </w:ins>
      <w:r>
        <w:t xml:space="preserve">m long and complies with any applicable requirements of the </w:t>
      </w:r>
      <w:r>
        <w:rPr>
          <w:i/>
        </w:rPr>
        <w:t>Road Traffic (Vehicle Standards) Regulations 2002</w:t>
      </w:r>
      <w:r>
        <w:t xml:space="preserve"> Schedules 1 and 2; or</w:t>
      </w:r>
    </w:p>
    <w:p>
      <w:pPr>
        <w:pStyle w:val="Indenti"/>
        <w:spacing w:before="70"/>
      </w:pPr>
      <w:r>
        <w:tab/>
        <w:t>(ii)</w:t>
      </w:r>
      <w:r>
        <w:tab/>
        <w:t xml:space="preserve">is more than 2.5 m but not more than 3.5 m wide and not more than 4.3 m high and 12 m long and — </w:t>
      </w:r>
    </w:p>
    <w:p>
      <w:pPr>
        <w:pStyle w:val="IndentI0"/>
        <w:spacing w:before="70"/>
      </w:pPr>
      <w:r>
        <w:tab/>
        <w:t>(I)</w:t>
      </w:r>
      <w:r>
        <w:tab/>
        <w:t xml:space="preserve">complies with the </w:t>
      </w:r>
      <w:r>
        <w:rPr>
          <w:i/>
        </w:rPr>
        <w:t>Road Traffic (Vehicle Standards) Regulations 2002</w:t>
      </w:r>
      <w:r>
        <w:t xml:space="preserve"> Schedule 2; and</w:t>
      </w:r>
    </w:p>
    <w:p>
      <w:pPr>
        <w:pStyle w:val="IndentI0"/>
        <w:spacing w:before="7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spacing w:before="7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spacing w:before="70"/>
      </w:pPr>
      <w:r>
        <w:tab/>
      </w:r>
      <w:r>
        <w:tab/>
        <w:t>or</w:t>
      </w:r>
    </w:p>
    <w:p>
      <w:pPr>
        <w:pStyle w:val="Indenti"/>
        <w:spacing w:before="70"/>
      </w:pPr>
      <w:r>
        <w:tab/>
        <w:t>(iii)</w:t>
      </w:r>
      <w:r>
        <w:tab/>
        <w:t>is more than 3.5 m but not more than 6 m wide and not more than 4.3 m high and 12 m long and —</w:t>
      </w:r>
    </w:p>
    <w:p>
      <w:pPr>
        <w:pStyle w:val="IndentI0"/>
        <w:spacing w:before="70"/>
      </w:pPr>
      <w:r>
        <w:tab/>
        <w:t>(I)</w:t>
      </w:r>
      <w:r>
        <w:tab/>
        <w:t xml:space="preserve">complies with the </w:t>
      </w:r>
      <w:r>
        <w:rPr>
          <w:i/>
        </w:rPr>
        <w:t>Road Traffic (Vehicle Standards) Regulations 2002</w:t>
      </w:r>
      <w:r>
        <w:t xml:space="preserve"> Schedule 2; and</w:t>
      </w:r>
    </w:p>
    <w:p>
      <w:pPr>
        <w:pStyle w:val="IndentI0"/>
        <w:spacing w:before="70"/>
      </w:pPr>
      <w:r>
        <w:tab/>
        <w:t>(II)</w:t>
      </w:r>
      <w:r>
        <w:tab/>
        <w:t>is not used on a road without the prior written approval of the Commissioner of Main Roads;</w:t>
      </w:r>
    </w:p>
    <w:p>
      <w:pPr>
        <w:pStyle w:val="Indenti"/>
        <w:spacing w:before="70"/>
      </w:pPr>
      <w:r>
        <w:tab/>
      </w:r>
      <w:r>
        <w:tab/>
        <w:t>or</w:t>
      </w:r>
    </w:p>
    <w:p>
      <w:pPr>
        <w:pStyle w:val="Indenti"/>
        <w:spacing w:before="70"/>
      </w:pPr>
      <w:r>
        <w:tab/>
        <w:t>(iv)</w:t>
      </w:r>
      <w:r>
        <w:tab/>
        <w:t>is more than 4.3 m but not more than 4.6 m high and is not used on a road without the prior written approval of Western Power Corporation;</w:t>
      </w:r>
    </w:p>
    <w:p>
      <w:pPr>
        <w:pStyle w:val="Indenta"/>
        <w:spacing w:before="70"/>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spacing w:before="70"/>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spacing w:before="70"/>
        <w:rPr>
          <w:snapToGrid w:val="0"/>
        </w:rPr>
      </w:pPr>
      <w:r>
        <w:rPr>
          <w:snapToGrid w:val="0"/>
        </w:rPr>
        <w:tab/>
        <w:t>(e)</w:t>
      </w:r>
      <w:r>
        <w:rPr>
          <w:snapToGrid w:val="0"/>
        </w:rPr>
        <w:tab/>
        <w:t>the vehicle is not used to carry goods other than —</w:t>
      </w:r>
    </w:p>
    <w:p>
      <w:pPr>
        <w:pStyle w:val="Indenti"/>
        <w:spacing w:before="70"/>
        <w:rPr>
          <w:snapToGrid w:val="0"/>
        </w:rPr>
      </w:pPr>
      <w:r>
        <w:rPr>
          <w:snapToGrid w:val="0"/>
        </w:rPr>
        <w:tab/>
        <w:t>(i)</w:t>
      </w:r>
      <w:r>
        <w:rPr>
          <w:snapToGrid w:val="0"/>
        </w:rPr>
        <w:tab/>
        <w:t>goods essential for the operation of the vehicle;</w:t>
      </w:r>
    </w:p>
    <w:p>
      <w:pPr>
        <w:pStyle w:val="Indenti"/>
        <w:spacing w:before="70"/>
        <w:rPr>
          <w:snapToGrid w:val="0"/>
        </w:rPr>
      </w:pPr>
      <w:r>
        <w:rPr>
          <w:snapToGrid w:val="0"/>
        </w:rPr>
        <w:tab/>
        <w:t>(ii)</w:t>
      </w:r>
      <w:r>
        <w:rPr>
          <w:snapToGrid w:val="0"/>
        </w:rPr>
        <w:tab/>
        <w:t>goods for the comfort of the person or persons travelling in the vehicle;</w:t>
      </w:r>
    </w:p>
    <w:p>
      <w:pPr>
        <w:pStyle w:val="Indenti"/>
        <w:spacing w:before="70"/>
      </w:pPr>
      <w:r>
        <w:rPr>
          <w:snapToGrid w:val="0"/>
        </w:rPr>
        <w:tab/>
        <w:t>(iii)</w:t>
      </w:r>
      <w:r>
        <w:rPr>
          <w:snapToGrid w:val="0"/>
        </w:rPr>
        <w:tab/>
        <w:t xml:space="preserve">other vehicles in accordance with </w:t>
      </w:r>
      <w:r>
        <w:t>subregulation (2)(g);</w:t>
      </w:r>
    </w:p>
    <w:p>
      <w:pPr>
        <w:pStyle w:val="Indenti"/>
        <w:spacing w:before="70"/>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w:t>
      </w:r>
      <w:ins w:id="176" w:author="Master Repository Process" w:date="2021-09-12T14:31:00Z">
        <w:r>
          <w:rPr>
            <w:snapToGrid w:val="0"/>
          </w:rPr>
          <w:t xml:space="preserve"> or</w:t>
        </w:r>
      </w:ins>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177" w:name="_Toc403052319"/>
      <w:bookmarkStart w:id="178" w:name="_Toc398898769"/>
      <w:r>
        <w:rPr>
          <w:rStyle w:val="CharSectno"/>
        </w:rPr>
        <w:t>26D</w:t>
      </w:r>
      <w:r>
        <w:rPr>
          <w:snapToGrid w:val="0"/>
        </w:rPr>
        <w:t>.</w:t>
      </w:r>
      <w:r>
        <w:rPr>
          <w:snapToGrid w:val="0"/>
        </w:rPr>
        <w:tab/>
        <w:t>Terms used</w:t>
      </w:r>
      <w:bookmarkEnd w:id="177"/>
      <w:bookmarkEnd w:id="178"/>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179" w:name="_Toc403052320"/>
      <w:bookmarkStart w:id="180" w:name="_Toc398898770"/>
      <w:r>
        <w:rPr>
          <w:rStyle w:val="CharSectno"/>
        </w:rPr>
        <w:t>26E</w:t>
      </w:r>
      <w:r>
        <w:t>.</w:t>
      </w:r>
      <w:r>
        <w:tab/>
        <w:t>Transitional</w:t>
      </w:r>
      <w:bookmarkEnd w:id="179"/>
      <w:bookmarkEnd w:id="180"/>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ins w:id="181" w:author="Master Repository Process" w:date="2021-09-12T14:31:00Z">
        <w:r>
          <w:rPr>
            <w:iCs/>
            <w:vertAlign w:val="superscript"/>
          </w:rPr>
          <w:t> 1</w:t>
        </w:r>
      </w:ins>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rPr>
          <w:snapToGrid w:val="0"/>
        </w:rPr>
      </w:pPr>
      <w:bookmarkStart w:id="182" w:name="_Toc403052321"/>
      <w:bookmarkStart w:id="183" w:name="_Toc398898771"/>
      <w:r>
        <w:rPr>
          <w:rStyle w:val="CharSectno"/>
        </w:rPr>
        <w:t>27</w:t>
      </w:r>
      <w:r>
        <w:rPr>
          <w:snapToGrid w:val="0"/>
        </w:rPr>
        <w:t>.</w:t>
      </w:r>
      <w:r>
        <w:rPr>
          <w:snapToGrid w:val="0"/>
        </w:rPr>
        <w:tab/>
        <w:t>Prohibition on painting or interfering with number plates</w:t>
      </w:r>
      <w:bookmarkEnd w:id="182"/>
      <w:bookmarkEnd w:id="183"/>
    </w:p>
    <w:p>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pPr>
      <w:r>
        <w:tab/>
        <w:t>[Regulation 27 amended in Gazette 2 Feb 1982 p. 402; 25 Feb 1983 p. 654; 28 Sep 1990 p. 5072</w:t>
      </w:r>
      <w:r>
        <w:noBreakHyphen/>
        <w:t>3; 31 Jan 1997 p. 683</w:t>
      </w:r>
      <w:r>
        <w:noBreakHyphen/>
        <w:t>4; 1 Nov 2002 p. 5393.]</w:t>
      </w:r>
    </w:p>
    <w:p>
      <w:pPr>
        <w:pStyle w:val="Heading5"/>
        <w:rPr>
          <w:snapToGrid w:val="0"/>
        </w:rPr>
      </w:pPr>
      <w:bookmarkStart w:id="184" w:name="_Toc403052322"/>
      <w:bookmarkStart w:id="185" w:name="_Toc398898772"/>
      <w:r>
        <w:rPr>
          <w:rStyle w:val="CharSectno"/>
        </w:rPr>
        <w:t>27A</w:t>
      </w:r>
      <w:r>
        <w:rPr>
          <w:snapToGrid w:val="0"/>
        </w:rPr>
        <w:t>.</w:t>
      </w:r>
      <w:r>
        <w:rPr>
          <w:snapToGrid w:val="0"/>
        </w:rPr>
        <w:tab/>
        <w:t xml:space="preserve">Term used: </w:t>
      </w:r>
      <w:r>
        <w:t>imitation plate</w:t>
      </w:r>
      <w:bookmarkEnd w:id="184"/>
      <w:bookmarkEnd w:id="185"/>
    </w:p>
    <w:p>
      <w:pPr>
        <w:pStyle w:val="Subsection"/>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pPr>
      <w:r>
        <w:tab/>
        <w:t>[Regulation 27A inserted in Gazette 2 Jun 1989 p. 1611.]</w:t>
      </w:r>
    </w:p>
    <w:p>
      <w:pPr>
        <w:pStyle w:val="Heading5"/>
        <w:rPr>
          <w:snapToGrid w:val="0"/>
        </w:rPr>
      </w:pPr>
      <w:bookmarkStart w:id="186" w:name="_Toc403052323"/>
      <w:bookmarkStart w:id="187" w:name="_Toc398898773"/>
      <w:r>
        <w:rPr>
          <w:rStyle w:val="CharSectno"/>
        </w:rPr>
        <w:t>27B</w:t>
      </w:r>
      <w:r>
        <w:rPr>
          <w:snapToGrid w:val="0"/>
        </w:rPr>
        <w:t>.</w:t>
      </w:r>
      <w:r>
        <w:rPr>
          <w:snapToGrid w:val="0"/>
        </w:rPr>
        <w:tab/>
        <w:t>Restriction on manufacture, sale or supply of imitation plates</w:t>
      </w:r>
      <w:bookmarkEnd w:id="186"/>
      <w:bookmarkEnd w:id="187"/>
    </w:p>
    <w:p>
      <w:pPr>
        <w:pStyle w:val="Subsection"/>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pPr>
      <w:r>
        <w:tab/>
        <w:t>[Regulation 27B inserted in Gazette 2 Jun 1989 p. 1611; amended in Gazette 31 Jan 1997 p. 683</w:t>
      </w:r>
      <w:r>
        <w:noBreakHyphen/>
        <w:t>4.]</w:t>
      </w:r>
    </w:p>
    <w:p>
      <w:pPr>
        <w:pStyle w:val="Heading5"/>
        <w:rPr>
          <w:snapToGrid w:val="0"/>
        </w:rPr>
      </w:pPr>
      <w:bookmarkStart w:id="188" w:name="_Toc403052324"/>
      <w:bookmarkStart w:id="189" w:name="_Toc398898774"/>
      <w:r>
        <w:rPr>
          <w:rStyle w:val="CharSectno"/>
        </w:rPr>
        <w:t>27C</w:t>
      </w:r>
      <w:r>
        <w:rPr>
          <w:snapToGrid w:val="0"/>
        </w:rPr>
        <w:t>.</w:t>
      </w:r>
      <w:r>
        <w:rPr>
          <w:snapToGrid w:val="0"/>
        </w:rPr>
        <w:tab/>
        <w:t>Confiscation and disposal of imitation plates</w:t>
      </w:r>
      <w:bookmarkEnd w:id="188"/>
      <w:bookmarkEnd w:id="189"/>
    </w:p>
    <w:p>
      <w:pPr>
        <w:pStyle w:val="Subsection"/>
        <w:rPr>
          <w:snapToGrid w:val="0"/>
        </w:rPr>
      </w:pPr>
      <w:r>
        <w:rPr>
          <w:snapToGrid w:val="0"/>
        </w:rPr>
        <w:tab/>
        <w:t>(1)</w:t>
      </w:r>
      <w:r>
        <w:rPr>
          <w:snapToGrid w:val="0"/>
        </w:rPr>
        <w:tab/>
        <w:t>A member of the Police Force may seize and take possession of —</w:t>
      </w:r>
    </w:p>
    <w:p>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60"/>
        <w:rPr>
          <w:snapToGrid w:val="0"/>
        </w:rPr>
      </w:pPr>
      <w:r>
        <w:rPr>
          <w:snapToGrid w:val="0"/>
        </w:rPr>
        <w:tab/>
        <w:t>(a)</w:t>
      </w:r>
      <w:r>
        <w:rPr>
          <w:snapToGrid w:val="0"/>
        </w:rPr>
        <w:tab/>
        <w:t>that the plate is liable to be destroyed; and</w:t>
      </w:r>
    </w:p>
    <w:p>
      <w:pPr>
        <w:pStyle w:val="Indenta"/>
        <w:spacing w:before="6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rPr>
          <w:snapToGrid w:val="0"/>
        </w:rPr>
      </w:pPr>
      <w:r>
        <w:rPr>
          <w:snapToGrid w:val="0"/>
        </w:rPr>
        <w:tab/>
        <w:t>(5)</w:t>
      </w:r>
      <w:r>
        <w:rPr>
          <w:snapToGrid w:val="0"/>
        </w:rPr>
        <w:tab/>
        <w:t xml:space="preserve">For the purposes of subregulation (4) an imitation plate that was fixed to a vehicle shall be deemed to have been seized from the person who is the owner of the vehicle within the meaning of paragraph (d) of the definition of </w:t>
      </w:r>
      <w:r>
        <w:rPr>
          <w:b/>
          <w:i/>
          <w:snapToGrid w:val="0"/>
        </w:rPr>
        <w:t>owner</w:t>
      </w:r>
      <w:r>
        <w:rPr>
          <w:snapToGrid w:val="0"/>
        </w:rPr>
        <w:t xml:space="preserve"> in section 5(</w:t>
      </w:r>
      <w:del w:id="190" w:author="Master Repository Process" w:date="2021-09-12T14:31:00Z">
        <w:r>
          <w:rPr>
            <w:snapToGrid w:val="0"/>
          </w:rPr>
          <w:delText>2</w:delText>
        </w:r>
      </w:del>
      <w:ins w:id="191" w:author="Master Repository Process" w:date="2021-09-12T14:31:00Z">
        <w:r>
          <w:rPr>
            <w:snapToGrid w:val="0"/>
          </w:rPr>
          <w:t>1</w:t>
        </w:r>
      </w:ins>
      <w:r>
        <w:rPr>
          <w:snapToGrid w:val="0"/>
        </w:rPr>
        <w:t>)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spacing w:before="60"/>
        <w:rPr>
          <w:snapToGrid w:val="0"/>
        </w:rPr>
      </w:pPr>
      <w:r>
        <w:rPr>
          <w:snapToGrid w:val="0"/>
        </w:rPr>
        <w:tab/>
        <w:t>(a)</w:t>
      </w:r>
      <w:r>
        <w:rPr>
          <w:snapToGrid w:val="0"/>
        </w:rPr>
        <w:tab/>
        <w:t>approve of the destruction of the plate;</w:t>
      </w:r>
      <w:ins w:id="192" w:author="Master Repository Process" w:date="2021-09-12T14:31:00Z">
        <w:r>
          <w:rPr>
            <w:snapToGrid w:val="0"/>
          </w:rPr>
          <w:t xml:space="preserve"> or</w:t>
        </w:r>
      </w:ins>
    </w:p>
    <w:p>
      <w:pPr>
        <w:pStyle w:val="Indenta"/>
        <w:spacing w:before="60"/>
        <w:rPr>
          <w:snapToGrid w:val="0"/>
        </w:rPr>
      </w:pPr>
      <w:r>
        <w:rPr>
          <w:snapToGrid w:val="0"/>
        </w:rPr>
        <w:tab/>
        <w:t>(b)</w:t>
      </w:r>
      <w:r>
        <w:rPr>
          <w:snapToGrid w:val="0"/>
        </w:rPr>
        <w:tab/>
        <w:t>direct that the plate be returned to the person from whom it was seized; or</w:t>
      </w:r>
    </w:p>
    <w:p>
      <w:pPr>
        <w:pStyle w:val="Indenta"/>
        <w:spacing w:before="60"/>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193" w:name="_Toc403052325"/>
      <w:bookmarkStart w:id="194" w:name="_Toc398898775"/>
      <w:r>
        <w:rPr>
          <w:rStyle w:val="CharSectno"/>
        </w:rPr>
        <w:t>28</w:t>
      </w:r>
      <w:r>
        <w:rPr>
          <w:snapToGrid w:val="0"/>
        </w:rPr>
        <w:t>.</w:t>
      </w:r>
      <w:r>
        <w:rPr>
          <w:snapToGrid w:val="0"/>
        </w:rPr>
        <w:tab/>
        <w:t>Engine identification marks</w:t>
      </w:r>
      <w:bookmarkEnd w:id="193"/>
      <w:bookmarkEnd w:id="194"/>
    </w:p>
    <w:p>
      <w:pPr>
        <w:pStyle w:val="Subsection"/>
        <w:rPr>
          <w:snapToGrid w:val="0"/>
        </w:rPr>
      </w:pPr>
      <w:r>
        <w:rPr>
          <w:snapToGrid w:val="0"/>
        </w:rPr>
        <w:tab/>
        <w:t>(1)</w:t>
      </w:r>
      <w:r>
        <w:rPr>
          <w:snapToGrid w:val="0"/>
        </w:rPr>
        <w:tab/>
        <w:t>Upon an application to license a motor vehicle under these regulations, the Director General shall not grant the licence —</w:t>
      </w:r>
    </w:p>
    <w:p>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rPr>
          <w:snapToGrid w:val="0"/>
        </w:rPr>
      </w:pPr>
      <w:r>
        <w:rPr>
          <w:snapToGrid w:val="0"/>
        </w:rPr>
        <w:tab/>
        <w:t>(a)</w:t>
      </w:r>
      <w:r>
        <w:rPr>
          <w:snapToGrid w:val="0"/>
        </w:rPr>
        <w:tab/>
        <w:t>the date of the change or replacement of the engine or engine part;</w:t>
      </w:r>
      <w:ins w:id="195" w:author="Master Repository Process" w:date="2021-09-12T14:31:00Z">
        <w:r>
          <w:rPr>
            <w:snapToGrid w:val="0"/>
          </w:rPr>
          <w:t xml:space="preserve"> and</w:t>
        </w:r>
      </w:ins>
    </w:p>
    <w:p>
      <w:pPr>
        <w:pStyle w:val="Indenta"/>
        <w:rPr>
          <w:snapToGrid w:val="0"/>
        </w:rPr>
      </w:pPr>
      <w:r>
        <w:rPr>
          <w:snapToGrid w:val="0"/>
        </w:rPr>
        <w:tab/>
        <w:t>(b)</w:t>
      </w:r>
      <w:r>
        <w:rPr>
          <w:snapToGrid w:val="0"/>
        </w:rPr>
        <w:tab/>
        <w:t>the make and the registered number of the motor vehicle;</w:t>
      </w:r>
      <w:ins w:id="196" w:author="Master Repository Process" w:date="2021-09-12T14:31:00Z">
        <w:r>
          <w:rPr>
            <w:snapToGrid w:val="0"/>
          </w:rPr>
          <w:t xml:space="preserve"> and</w:t>
        </w:r>
      </w:ins>
    </w:p>
    <w:p>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w:t>
      </w:r>
      <w:ins w:id="197" w:author="Master Repository Process" w:date="2021-09-12T14:31:00Z">
        <w:r>
          <w:rPr>
            <w:snapToGrid w:val="0"/>
          </w:rPr>
          <w:t xml:space="preserve"> and</w:t>
        </w:r>
      </w:ins>
    </w:p>
    <w:p>
      <w:pPr>
        <w:pStyle w:val="Indenta"/>
        <w:rPr>
          <w:snapToGrid w:val="0"/>
        </w:rPr>
      </w:pPr>
      <w:r>
        <w:rPr>
          <w:snapToGrid w:val="0"/>
        </w:rPr>
        <w:tab/>
        <w:t>(d)</w:t>
      </w:r>
      <w:r>
        <w:rPr>
          <w:snapToGrid w:val="0"/>
        </w:rPr>
        <w:tab/>
        <w:t>the identification mark on the engine or engine part so changed or replaced;</w:t>
      </w:r>
      <w:ins w:id="198" w:author="Master Repository Process" w:date="2021-09-12T14:31:00Z">
        <w:r>
          <w:rPr>
            <w:snapToGrid w:val="0"/>
          </w:rPr>
          <w:t xml:space="preserve"> and</w:t>
        </w:r>
      </w:ins>
    </w:p>
    <w:p>
      <w:pPr>
        <w:pStyle w:val="Indenta"/>
        <w:rPr>
          <w:snapToGrid w:val="0"/>
        </w:rPr>
      </w:pPr>
      <w:r>
        <w:rPr>
          <w:snapToGrid w:val="0"/>
        </w:rPr>
        <w:tab/>
        <w:t>(e)</w:t>
      </w:r>
      <w:r>
        <w:rPr>
          <w:snapToGrid w:val="0"/>
        </w:rPr>
        <w:tab/>
        <w:t>the identification mark (if any) on the engine or engine part substituted for that changed or replaced; and</w:t>
      </w:r>
    </w:p>
    <w:p>
      <w:pPr>
        <w:pStyle w:val="Indenta"/>
        <w:rPr>
          <w:snapToGrid w:val="0"/>
        </w:rPr>
      </w:pPr>
      <w:r>
        <w:rPr>
          <w:snapToGrid w:val="0"/>
        </w:rPr>
        <w:tab/>
        <w:t>(f)</w:t>
      </w:r>
      <w:r>
        <w:rPr>
          <w:snapToGrid w:val="0"/>
        </w:rPr>
        <w:tab/>
        <w:t>the name and address of the person from whom the substituted engine or engine part was obtained.</w:t>
      </w:r>
    </w:p>
    <w:p>
      <w:pPr>
        <w:pStyle w:val="Subsection"/>
        <w:keepNext/>
        <w:rPr>
          <w:snapToGrid w:val="0"/>
        </w:rPr>
      </w:pPr>
      <w:r>
        <w:rPr>
          <w:snapToGrid w:val="0"/>
        </w:rPr>
        <w:tab/>
        <w:t>(3)</w:t>
      </w:r>
      <w:r>
        <w:rPr>
          <w:snapToGrid w:val="0"/>
        </w:rPr>
        <w:tab/>
        <w:t>The Director General may allot an identification mark, where —</w:t>
      </w:r>
    </w:p>
    <w:p>
      <w:pPr>
        <w:pStyle w:val="Indenta"/>
        <w:spacing w:before="60"/>
        <w:rPr>
          <w:snapToGrid w:val="0"/>
        </w:rPr>
      </w:pPr>
      <w:r>
        <w:rPr>
          <w:snapToGrid w:val="0"/>
        </w:rPr>
        <w:tab/>
        <w:t>(a)</w:t>
      </w:r>
      <w:r>
        <w:rPr>
          <w:snapToGrid w:val="0"/>
        </w:rPr>
        <w:tab/>
        <w:t>there is no identification mark on the engine of a motor vehicle; or</w:t>
      </w:r>
    </w:p>
    <w:p>
      <w:pPr>
        <w:pStyle w:val="Indenta"/>
        <w:keepNext/>
        <w:spacing w:before="60"/>
        <w:rPr>
          <w:snapToGrid w:val="0"/>
        </w:rPr>
      </w:pPr>
      <w:r>
        <w:rPr>
          <w:snapToGrid w:val="0"/>
        </w:rPr>
        <w:tab/>
        <w:t>(b)</w:t>
      </w:r>
      <w:r>
        <w:rPr>
          <w:snapToGrid w:val="0"/>
        </w:rPr>
        <w:tab/>
        <w:t>the identification mark on the engine has been or appears to have been, altered, defaced, obliterated or removed,</w:t>
      </w:r>
    </w:p>
    <w:p>
      <w:pPr>
        <w:pStyle w:val="Subsection"/>
        <w:spacing w:before="120"/>
        <w:rPr>
          <w:snapToGrid w:val="0"/>
        </w:rPr>
      </w:pPr>
      <w:r>
        <w:rPr>
          <w:snapToGrid w:val="0"/>
        </w:rPr>
        <w:tab/>
      </w:r>
      <w:r>
        <w:rPr>
          <w:snapToGrid w:val="0"/>
        </w:rPr>
        <w:tab/>
        <w:t>if it is satisfied that an identification mark is necessary for identifying the engine of the motor vehicle.</w:t>
      </w:r>
    </w:p>
    <w:p>
      <w:pPr>
        <w:pStyle w:val="Subsection"/>
        <w:spacing w:before="130"/>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spacing w:before="130"/>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spacing w:before="60"/>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spacing w:before="60"/>
        <w:rPr>
          <w:snapToGrid w:val="0"/>
        </w:rPr>
      </w:pPr>
      <w:r>
        <w:rPr>
          <w:snapToGrid w:val="0"/>
        </w:rPr>
        <w:tab/>
        <w:t>(b)</w:t>
      </w:r>
      <w:r>
        <w:rPr>
          <w:snapToGrid w:val="0"/>
        </w:rPr>
        <w:tab/>
        <w:t>the identification on the engine has been, or appears to have been, altered, defaced, obliterated or removed.</w:t>
      </w:r>
    </w:p>
    <w:p>
      <w:pPr>
        <w:pStyle w:val="Subsection"/>
        <w:spacing w:before="130"/>
        <w:rPr>
          <w:snapToGrid w:val="0"/>
        </w:rPr>
      </w:pPr>
      <w:r>
        <w:rPr>
          <w:snapToGrid w:val="0"/>
        </w:rPr>
        <w:tab/>
        <w:t>(6)</w:t>
      </w:r>
      <w:r>
        <w:rPr>
          <w:snapToGrid w:val="0"/>
        </w:rPr>
        <w:tab/>
        <w:t>Except with the approval, in writing, of the Director General, a person shall not —</w:t>
      </w:r>
    </w:p>
    <w:p>
      <w:pPr>
        <w:pStyle w:val="Indenta"/>
        <w:spacing w:before="60"/>
        <w:rPr>
          <w:snapToGrid w:val="0"/>
        </w:rPr>
      </w:pPr>
      <w:r>
        <w:rPr>
          <w:snapToGrid w:val="0"/>
        </w:rPr>
        <w:tab/>
        <w:t>(a)</w:t>
      </w:r>
      <w:r>
        <w:rPr>
          <w:snapToGrid w:val="0"/>
        </w:rPr>
        <w:tab/>
        <w:t>alter, deface, obliterate or remove an identification mark from the engine of a motor vehicle; or</w:t>
      </w:r>
    </w:p>
    <w:p>
      <w:pPr>
        <w:pStyle w:val="Indenta"/>
        <w:spacing w:before="60"/>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spacing w:before="100"/>
      </w:pPr>
      <w:r>
        <w:tab/>
        <w:t>[Regulation 28 amended in Gazette 2 Feb 1982 p. 402</w:t>
      </w:r>
      <w:r>
        <w:noBreakHyphen/>
        <w:t>3; 31 Jan 1997 p. 683</w:t>
      </w:r>
      <w:r>
        <w:noBreakHyphen/>
        <w:t>4; 23 Dec 2005 p. 6284</w:t>
      </w:r>
      <w:r>
        <w:noBreakHyphen/>
        <w:t>5.]</w:t>
      </w:r>
    </w:p>
    <w:p>
      <w:pPr>
        <w:pStyle w:val="Heading5"/>
        <w:rPr>
          <w:snapToGrid w:val="0"/>
        </w:rPr>
      </w:pPr>
      <w:bookmarkStart w:id="199" w:name="_Toc403052326"/>
      <w:bookmarkStart w:id="200" w:name="_Toc398898776"/>
      <w:r>
        <w:rPr>
          <w:rStyle w:val="CharSectno"/>
        </w:rPr>
        <w:t>28A</w:t>
      </w:r>
      <w:r>
        <w:rPr>
          <w:snapToGrid w:val="0"/>
        </w:rPr>
        <w:t>.</w:t>
      </w:r>
      <w:r>
        <w:rPr>
          <w:snapToGrid w:val="0"/>
        </w:rPr>
        <w:tab/>
        <w:t>Vehicle identification number</w:t>
      </w:r>
      <w:bookmarkEnd w:id="199"/>
      <w:bookmarkEnd w:id="200"/>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pPr>
      <w:r>
        <w:tab/>
        <w:t>[Regulation 28A inserted in Gazette 31 Mar 1989 p. 856; amended in Gazette 28 Sep 1990 p. 5072</w:t>
      </w:r>
      <w:r>
        <w:noBreakHyphen/>
        <w:t>3; 31 Jan 1997 p. 683</w:t>
      </w:r>
      <w:r>
        <w:noBreakHyphen/>
        <w:t>4; 1 Nov 2002 p. 5393; 31 Dec 2009 p. 5408.]</w:t>
      </w:r>
    </w:p>
    <w:p>
      <w:pPr>
        <w:pStyle w:val="Heading2"/>
      </w:pPr>
      <w:bookmarkStart w:id="201" w:name="_Toc397323526"/>
      <w:bookmarkStart w:id="202" w:name="_Toc397323659"/>
      <w:bookmarkStart w:id="203" w:name="_Toc397323731"/>
      <w:bookmarkStart w:id="204" w:name="_Toc397323804"/>
      <w:bookmarkStart w:id="205" w:name="_Toc397323877"/>
      <w:bookmarkStart w:id="206" w:name="_Toc400970380"/>
      <w:bookmarkStart w:id="207" w:name="_Toc403052327"/>
      <w:bookmarkStart w:id="208" w:name="_Toc398898777"/>
      <w:r>
        <w:rPr>
          <w:rStyle w:val="CharPartNo"/>
        </w:rPr>
        <w:t>Part V</w:t>
      </w:r>
      <w:r>
        <w:t> — </w:t>
      </w:r>
      <w:r>
        <w:rPr>
          <w:rStyle w:val="CharPartText"/>
        </w:rPr>
        <w:t>Labels issued on grant or renewal of licence</w:t>
      </w:r>
      <w:bookmarkEnd w:id="201"/>
      <w:bookmarkEnd w:id="202"/>
      <w:bookmarkEnd w:id="203"/>
      <w:bookmarkEnd w:id="204"/>
      <w:bookmarkEnd w:id="205"/>
      <w:bookmarkEnd w:id="206"/>
      <w:bookmarkEnd w:id="207"/>
      <w:bookmarkEnd w:id="208"/>
    </w:p>
    <w:p>
      <w:pPr>
        <w:pStyle w:val="Footnoteheading"/>
        <w:spacing w:before="100"/>
      </w:pPr>
      <w:r>
        <w:tab/>
        <w:t>[Heading inserted in Gazette 31 Dec 2009 p. 5408.]</w:t>
      </w:r>
    </w:p>
    <w:p>
      <w:pPr>
        <w:pStyle w:val="Heading5"/>
      </w:pPr>
      <w:bookmarkStart w:id="209" w:name="_Toc403052328"/>
      <w:bookmarkStart w:id="210" w:name="_Toc398898778"/>
      <w:r>
        <w:rPr>
          <w:rStyle w:val="CharSectno"/>
        </w:rPr>
        <w:t>29</w:t>
      </w:r>
      <w:r>
        <w:t>.</w:t>
      </w:r>
      <w:r>
        <w:tab/>
        <w:t>Labels to be issued for heavy vehicles</w:t>
      </w:r>
      <w:bookmarkEnd w:id="209"/>
      <w:bookmarkEnd w:id="210"/>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pPr>
      <w:r>
        <w:tab/>
        <w:t>[Regulation 29 inserted in Gazette 31 Dec 2009 p. 5408.]</w:t>
      </w:r>
    </w:p>
    <w:p>
      <w:pPr>
        <w:pStyle w:val="Heading5"/>
        <w:spacing w:before="200"/>
      </w:pPr>
      <w:bookmarkStart w:id="211" w:name="_Toc403052329"/>
      <w:bookmarkStart w:id="212" w:name="_Toc398898779"/>
      <w:r>
        <w:rPr>
          <w:rStyle w:val="CharSectno"/>
        </w:rPr>
        <w:t>30</w:t>
      </w:r>
      <w:r>
        <w:t>.</w:t>
      </w:r>
      <w:r>
        <w:tab/>
        <w:t>Information to be contained in or on labels</w:t>
      </w:r>
      <w:bookmarkEnd w:id="211"/>
      <w:bookmarkEnd w:id="212"/>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pPr>
      <w:r>
        <w:tab/>
        <w:t>[Regulation 30 inserted in Gazette 31 Dec 2009 p. 5408</w:t>
      </w:r>
      <w:r>
        <w:noBreakHyphen/>
        <w:t>9.]</w:t>
      </w:r>
    </w:p>
    <w:p>
      <w:pPr>
        <w:pStyle w:val="Heading5"/>
      </w:pPr>
      <w:bookmarkStart w:id="213" w:name="_Toc403052330"/>
      <w:bookmarkStart w:id="214" w:name="_Toc398898780"/>
      <w:r>
        <w:rPr>
          <w:rStyle w:val="CharSectno"/>
        </w:rPr>
        <w:t>31</w:t>
      </w:r>
      <w:r>
        <w:t>.</w:t>
      </w:r>
      <w:r>
        <w:tab/>
        <w:t>Affixing, display of, labels</w:t>
      </w:r>
      <w:bookmarkEnd w:id="213"/>
      <w:bookmarkEnd w:id="214"/>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215" w:name="_Toc403052331"/>
      <w:bookmarkStart w:id="216" w:name="_Toc398898781"/>
      <w:r>
        <w:rPr>
          <w:rStyle w:val="CharSectno"/>
        </w:rPr>
        <w:t>32</w:t>
      </w:r>
      <w:r>
        <w:t>.</w:t>
      </w:r>
      <w:r>
        <w:tab/>
        <w:t>Affixing, display of, registration labels issued 10 to 31 December 2009 for heavy vehicles</w:t>
      </w:r>
      <w:bookmarkEnd w:id="215"/>
      <w:bookmarkEnd w:id="216"/>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217" w:name="_Toc403052332"/>
      <w:bookmarkStart w:id="218" w:name="_Toc398898782"/>
      <w:r>
        <w:rPr>
          <w:rStyle w:val="CharSectno"/>
        </w:rPr>
        <w:t>33</w:t>
      </w:r>
      <w:r>
        <w:t>.</w:t>
      </w:r>
      <w:r>
        <w:tab/>
        <w:t>Keeping affixed registration labels issued before 1 January 2010 for heavy vehicles</w:t>
      </w:r>
      <w:bookmarkEnd w:id="217"/>
      <w:bookmarkEnd w:id="218"/>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219" w:name="_Toc397323532"/>
      <w:bookmarkStart w:id="220" w:name="_Toc397323665"/>
      <w:bookmarkStart w:id="221" w:name="_Toc397323737"/>
      <w:bookmarkStart w:id="222" w:name="_Toc397323810"/>
      <w:bookmarkStart w:id="223" w:name="_Toc397323883"/>
      <w:bookmarkStart w:id="224" w:name="_Toc400970386"/>
      <w:bookmarkStart w:id="225" w:name="_Toc403052333"/>
      <w:bookmarkStart w:id="226" w:name="_Toc398898783"/>
      <w:r>
        <w:rPr>
          <w:rStyle w:val="CharPartNo"/>
        </w:rPr>
        <w:t>Part VI</w:t>
      </w:r>
      <w:r>
        <w:rPr>
          <w:rStyle w:val="CharDivNo"/>
        </w:rPr>
        <w:t> </w:t>
      </w:r>
      <w:r>
        <w:t>—</w:t>
      </w:r>
      <w:r>
        <w:rPr>
          <w:rStyle w:val="CharDivText"/>
        </w:rPr>
        <w:t> </w:t>
      </w:r>
      <w:r>
        <w:rPr>
          <w:rStyle w:val="CharPartText"/>
        </w:rPr>
        <w:t>Traffic inspectors</w:t>
      </w:r>
      <w:bookmarkEnd w:id="219"/>
      <w:bookmarkEnd w:id="220"/>
      <w:bookmarkEnd w:id="221"/>
      <w:bookmarkEnd w:id="222"/>
      <w:bookmarkEnd w:id="223"/>
      <w:bookmarkEnd w:id="224"/>
      <w:bookmarkEnd w:id="225"/>
      <w:bookmarkEnd w:id="226"/>
    </w:p>
    <w:p>
      <w:pPr>
        <w:pStyle w:val="Heading5"/>
        <w:rPr>
          <w:snapToGrid w:val="0"/>
        </w:rPr>
      </w:pPr>
      <w:bookmarkStart w:id="227" w:name="_Toc403052334"/>
      <w:bookmarkStart w:id="228" w:name="_Toc398898784"/>
      <w:r>
        <w:rPr>
          <w:rStyle w:val="CharSectno"/>
        </w:rPr>
        <w:t>35</w:t>
      </w:r>
      <w:r>
        <w:rPr>
          <w:snapToGrid w:val="0"/>
        </w:rPr>
        <w:t>.</w:t>
      </w:r>
      <w:r>
        <w:rPr>
          <w:snapToGrid w:val="0"/>
        </w:rPr>
        <w:tab/>
        <w:t>Application of Part</w:t>
      </w:r>
      <w:bookmarkEnd w:id="227"/>
      <w:bookmarkEnd w:id="228"/>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229" w:name="_Toc403052335"/>
      <w:bookmarkStart w:id="230" w:name="_Toc398898785"/>
      <w:r>
        <w:rPr>
          <w:rStyle w:val="CharSectno"/>
        </w:rPr>
        <w:t>36</w:t>
      </w:r>
      <w:r>
        <w:rPr>
          <w:snapToGrid w:val="0"/>
        </w:rPr>
        <w:t>.</w:t>
      </w:r>
      <w:r>
        <w:rPr>
          <w:snapToGrid w:val="0"/>
        </w:rPr>
        <w:tab/>
        <w:t>Certificate of appointment, badge of authority, uniform</w:t>
      </w:r>
      <w:del w:id="231" w:author="Master Repository Process" w:date="2021-09-12T14:31:00Z">
        <w:r>
          <w:rPr>
            <w:snapToGrid w:val="0"/>
          </w:rPr>
          <w:delText>,</w:delText>
        </w:r>
      </w:del>
      <w:r>
        <w:rPr>
          <w:snapToGrid w:val="0"/>
        </w:rPr>
        <w:t xml:space="preserve"> etc.</w:t>
      </w:r>
      <w:bookmarkEnd w:id="229"/>
      <w:bookmarkEnd w:id="230"/>
    </w:p>
    <w:p>
      <w:pPr>
        <w:pStyle w:val="Subsection"/>
        <w:rPr>
          <w:snapToGrid w:val="0"/>
        </w:rPr>
      </w:pPr>
      <w:r>
        <w:rPr>
          <w:snapToGrid w:val="0"/>
        </w:rPr>
        <w:tab/>
        <w:t>(1)</w:t>
      </w:r>
      <w:r>
        <w:rPr>
          <w:snapToGrid w:val="0"/>
        </w:rPr>
        <w:tab/>
        <w:t>A certificate of the appointment of a traffic inspector shall be in the form of Form 1 in Schedule 1.</w:t>
      </w:r>
    </w:p>
    <w:p>
      <w:pPr>
        <w:pStyle w:val="Subsection"/>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pPr>
      <w:r>
        <w:t>[Part VII (r. 37, 38) deleted in Gazette 28 Nov 1986 p. 4382.]</w:t>
      </w:r>
    </w:p>
    <w:p>
      <w:pPr>
        <w:pStyle w:val="Heading2"/>
      </w:pPr>
      <w:bookmarkStart w:id="232" w:name="_Toc397323535"/>
      <w:bookmarkStart w:id="233" w:name="_Toc397323668"/>
      <w:bookmarkStart w:id="234" w:name="_Toc397323740"/>
      <w:bookmarkStart w:id="235" w:name="_Toc397323813"/>
      <w:bookmarkStart w:id="236" w:name="_Toc397323886"/>
      <w:bookmarkStart w:id="237" w:name="_Toc400970389"/>
      <w:bookmarkStart w:id="238" w:name="_Toc403052336"/>
      <w:bookmarkStart w:id="239" w:name="_Toc398898786"/>
      <w:r>
        <w:rPr>
          <w:rStyle w:val="CharPartNo"/>
        </w:rPr>
        <w:t>Part VIII</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bookmarkEnd w:id="238"/>
      <w:bookmarkEnd w:id="239"/>
    </w:p>
    <w:p>
      <w:pPr>
        <w:pStyle w:val="Footnoteheading"/>
      </w:pPr>
      <w:r>
        <w:tab/>
        <w:t>[Heading amended in Gazette 24 Nov 1995 p. 5454.]</w:t>
      </w:r>
    </w:p>
    <w:p>
      <w:pPr>
        <w:pStyle w:val="Ednotesection"/>
      </w:pPr>
      <w:r>
        <w:t>[</w:t>
      </w:r>
      <w:r>
        <w:rPr>
          <w:b/>
        </w:rPr>
        <w:t>38A, 38B.</w:t>
      </w:r>
      <w:r>
        <w:tab/>
        <w:t>Deleted in Gazette 28 Nov 2006 p. 4909.]</w:t>
      </w:r>
    </w:p>
    <w:p>
      <w:pPr>
        <w:pStyle w:val="Heading5"/>
        <w:rPr>
          <w:snapToGrid w:val="0"/>
        </w:rPr>
      </w:pPr>
      <w:bookmarkStart w:id="240" w:name="_Toc403052337"/>
      <w:bookmarkStart w:id="241" w:name="_Toc398898787"/>
      <w:r>
        <w:rPr>
          <w:rStyle w:val="CharSectno"/>
        </w:rPr>
        <w:t>39</w:t>
      </w:r>
      <w:r>
        <w:rPr>
          <w:snapToGrid w:val="0"/>
        </w:rPr>
        <w:t>.</w:t>
      </w:r>
      <w:r>
        <w:rPr>
          <w:snapToGrid w:val="0"/>
        </w:rPr>
        <w:tab/>
        <w:t>Penalty for breach of regulation</w:t>
      </w:r>
      <w:bookmarkEnd w:id="240"/>
      <w:bookmarkEnd w:id="241"/>
    </w:p>
    <w:p>
      <w:pPr>
        <w:pStyle w:val="Subsection"/>
        <w:rPr>
          <w:snapToGrid w:val="0"/>
        </w:rPr>
      </w:pPr>
      <w:r>
        <w:rPr>
          <w:snapToGrid w:val="0"/>
        </w:rPr>
        <w:tab/>
        <w:t>(1)</w:t>
      </w:r>
      <w:r>
        <w:rPr>
          <w:snapToGrid w:val="0"/>
        </w:rPr>
        <w:tab/>
        <w:t xml:space="preserve">A person committing a breach of any of these </w:t>
      </w:r>
      <w:r>
        <w:t xml:space="preserve">regulations, except regulations 25AA(2), (3), (4), (5), (6), (7), (8) and (9),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w:t>
      </w:r>
      <w:del w:id="242" w:author="Master Repository Process" w:date="2021-09-12T14:31:00Z">
        <w:r>
          <w:rPr>
            <w:snapToGrid w:val="0"/>
            <w:vertAlign w:val="superscript"/>
          </w:rPr>
          <w:delText>4</w:delText>
        </w:r>
      </w:del>
      <w:ins w:id="243" w:author="Master Repository Process" w:date="2021-09-12T14:31:00Z">
        <w:r>
          <w:rPr>
            <w:snapToGrid w:val="0"/>
            <w:vertAlign w:val="superscript"/>
          </w:rPr>
          <w:t>3</w:t>
        </w:r>
      </w:ins>
      <w:r>
        <w:rPr>
          <w:snapToGrid w:val="0"/>
        </w:rPr>
        <w:t xml:space="preserve">, as amended at any time or against the </w:t>
      </w:r>
      <w:r>
        <w:rPr>
          <w:i/>
          <w:snapToGrid w:val="0"/>
        </w:rPr>
        <w:t>Traffic (Licensing Authorities) Regulations 1974</w:t>
      </w:r>
      <w:r>
        <w:rPr>
          <w:snapToGrid w:val="0"/>
          <w:vertAlign w:val="superscript"/>
        </w:rPr>
        <w:t> </w:t>
      </w:r>
      <w:del w:id="244" w:author="Master Repository Process" w:date="2021-09-12T14:31:00Z">
        <w:r>
          <w:rPr>
            <w:snapToGrid w:val="0"/>
            <w:vertAlign w:val="superscript"/>
          </w:rPr>
          <w:delText>5</w:delText>
        </w:r>
      </w:del>
      <w:ins w:id="245" w:author="Master Repository Process" w:date="2021-09-12T14:31:00Z">
        <w:r>
          <w:rPr>
            <w:snapToGrid w:val="0"/>
            <w:vertAlign w:val="superscript"/>
          </w:rPr>
          <w:t>4</w:t>
        </w:r>
      </w:ins>
      <w:r>
        <w:rPr>
          <w:snapToGrid w:val="0"/>
        </w:rPr>
        <w:t>, as amended at any time.</w:t>
      </w:r>
    </w:p>
    <w:p>
      <w:pPr>
        <w:pStyle w:val="Footnotesection"/>
      </w:pPr>
      <w:r>
        <w:tab/>
        <w:t>[Regulation 39 amended in Gazette 23 Dec 1997 p. 7444; 31 Dec 2009 p. 5412</w:t>
      </w:r>
      <w:r>
        <w:noBreakHyphen/>
        <w:t>13; 9 Sep 2014 p. 3252.]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46" w:name="_Toc397323537"/>
      <w:bookmarkStart w:id="247" w:name="_Toc397323670"/>
      <w:bookmarkStart w:id="248" w:name="_Toc397323742"/>
      <w:bookmarkStart w:id="249" w:name="_Toc397323815"/>
      <w:bookmarkStart w:id="250" w:name="_Toc397323888"/>
      <w:bookmarkStart w:id="251" w:name="_Toc400970391"/>
      <w:bookmarkStart w:id="252" w:name="_Toc403052338"/>
      <w:bookmarkStart w:id="253" w:name="_Toc398898788"/>
      <w:r>
        <w:rPr>
          <w:rStyle w:val="CharSchNo"/>
        </w:rPr>
        <w:t>Schedule 1</w:t>
      </w:r>
      <w:bookmarkEnd w:id="246"/>
      <w:bookmarkEnd w:id="247"/>
      <w:bookmarkEnd w:id="248"/>
      <w:bookmarkEnd w:id="249"/>
      <w:bookmarkEnd w:id="250"/>
      <w:bookmarkEnd w:id="251"/>
      <w:bookmarkEnd w:id="252"/>
      <w:bookmarkEnd w:id="253"/>
    </w:p>
    <w:p>
      <w:pPr>
        <w:pStyle w:val="yFootnoteheading"/>
        <w:rPr>
          <w:snapToGrid w:val="0"/>
        </w:rPr>
      </w:pPr>
      <w:r>
        <w:rPr>
          <w:snapToGrid w:val="0"/>
        </w:rPr>
        <w:tab/>
        <w:t>[Heading amended in Gazette 17 Aug 1993 p. 4432.]</w:t>
      </w:r>
    </w:p>
    <w:p>
      <w:pPr>
        <w:pStyle w:val="yMiscellaneousHeading"/>
      </w:pPr>
      <w:r>
        <w:rPr>
          <w:rStyle w:val="CharSClsNo"/>
          <w:b/>
        </w:rPr>
        <w:t>Form 1</w:t>
      </w:r>
    </w:p>
    <w:p>
      <w:pPr>
        <w:pStyle w:val="yMiscellaneousHeading"/>
        <w:rPr>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snapToGrid w:val="0"/>
          <w:vertAlign w:val="superscript"/>
        </w:rPr>
        <w:t> </w:t>
      </w:r>
      <w:del w:id="254" w:author="Master Repository Process" w:date="2021-09-12T14:31:00Z">
        <w:r>
          <w:rPr>
            <w:rFonts w:ascii="Times" w:hAnsi="Times"/>
            <w:snapToGrid w:val="0"/>
            <w:vertAlign w:val="superscript"/>
          </w:rPr>
          <w:delText>6</w:delText>
        </w:r>
      </w:del>
      <w:ins w:id="255" w:author="Master Repository Process" w:date="2021-09-12T14:31:00Z">
        <w:r>
          <w:rPr>
            <w:snapToGrid w:val="0"/>
            <w:vertAlign w:val="superscript"/>
          </w:rPr>
          <w:t>5</w:t>
        </w:r>
      </w:ins>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snapToGrid w:val="0"/>
          <w:vertAlign w:val="superscript"/>
        </w:rPr>
        <w:t> </w:t>
      </w:r>
      <w:del w:id="256" w:author="Master Repository Process" w:date="2021-09-12T14:31:00Z">
        <w:r>
          <w:rPr>
            <w:rFonts w:ascii="Times" w:hAnsi="Times"/>
            <w:snapToGrid w:val="0"/>
            <w:vertAlign w:val="superscript"/>
          </w:rPr>
          <w:delText>6</w:delText>
        </w:r>
      </w:del>
      <w:ins w:id="257" w:author="Master Repository Process" w:date="2021-09-12T14:31:00Z">
        <w:r>
          <w:rPr>
            <w:snapToGrid w:val="0"/>
            <w:vertAlign w:val="superscript"/>
          </w:rPr>
          <w:t>5</w:t>
        </w:r>
      </w:ins>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spacing w:before="0"/>
        <w:rPr>
          <w:b/>
          <w:snapToGrid w:val="0"/>
        </w:rPr>
      </w:pPr>
      <w:r>
        <w:rPr>
          <w:rStyle w:val="CharSClsNo"/>
          <w:b/>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spacing w:before="0"/>
        <w:rPr>
          <w:b/>
          <w:snapToGrid w:val="0"/>
        </w:rPr>
      </w:pPr>
      <w:r>
        <w:rPr>
          <w:rStyle w:val="CharSClsNo"/>
          <w:b/>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rPr>
            </w:pPr>
            <w:r>
              <w:rPr>
                <w:snapToGrid w:val="0"/>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r>
        <w:t>[Schedule 2 deleted in Gazette 28 Nov 2006 p. 4909.]</w:t>
      </w:r>
    </w:p>
    <w:p>
      <w:pPr>
        <w:rPr>
          <w:ins w:id="258" w:author="Master Repository Process" w:date="2021-09-12T14:31:00Z"/>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259" w:name="_Toc397323538"/>
      <w:bookmarkStart w:id="260" w:name="_Toc397323671"/>
      <w:bookmarkStart w:id="261" w:name="_Toc397323743"/>
      <w:bookmarkStart w:id="262" w:name="_Toc397323816"/>
      <w:bookmarkStart w:id="263" w:name="_Toc397323889"/>
      <w:bookmarkStart w:id="264" w:name="_Toc400970392"/>
      <w:bookmarkStart w:id="265" w:name="_Toc403052339"/>
      <w:bookmarkStart w:id="266" w:name="_Toc398898789"/>
      <w:r>
        <w:rPr>
          <w:rStyle w:val="CharSchNo"/>
        </w:rPr>
        <w:t>Schedule 3</w:t>
      </w:r>
      <w:bookmarkEnd w:id="259"/>
      <w:bookmarkEnd w:id="260"/>
      <w:bookmarkEnd w:id="261"/>
      <w:bookmarkEnd w:id="262"/>
      <w:bookmarkEnd w:id="263"/>
      <w:bookmarkEnd w:id="264"/>
      <w:bookmarkEnd w:id="265"/>
      <w:bookmarkEnd w:id="266"/>
    </w:p>
    <w:p>
      <w:pPr>
        <w:pStyle w:val="yScheduleHeading"/>
        <w:pageBreakBefore w:val="0"/>
        <w:spacing w:before="160"/>
      </w:pPr>
      <w:bookmarkStart w:id="267" w:name="_Toc397323817"/>
      <w:bookmarkStart w:id="268" w:name="_Toc397323890"/>
      <w:bookmarkStart w:id="269" w:name="_Toc400970393"/>
      <w:bookmarkStart w:id="270" w:name="_Toc403052340"/>
      <w:r>
        <w:rPr>
          <w:rStyle w:val="CharSchText"/>
        </w:rPr>
        <w:t>Classes of licences for heavy vehicles</w:t>
      </w:r>
      <w:bookmarkEnd w:id="267"/>
      <w:bookmarkEnd w:id="268"/>
      <w:bookmarkEnd w:id="269"/>
      <w:bookmarkEnd w:id="270"/>
    </w:p>
    <w:p>
      <w:pPr>
        <w:pStyle w:val="yShoulderClause"/>
        <w:rPr>
          <w:snapToGrid w:val="0"/>
        </w:rPr>
      </w:pPr>
      <w:r>
        <w:rPr>
          <w:snapToGrid w:val="0"/>
        </w:rPr>
        <w:t>[Regulation 9A]</w:t>
      </w:r>
    </w:p>
    <w:p>
      <w:pPr>
        <w:pStyle w:val="yHeading5"/>
        <w:rPr>
          <w:snapToGrid w:val="0"/>
        </w:rPr>
      </w:pPr>
      <w:bookmarkStart w:id="271" w:name="_Toc403052341"/>
      <w:bookmarkStart w:id="272" w:name="_Toc398898790"/>
      <w:r>
        <w:rPr>
          <w:snapToGrid w:val="0"/>
        </w:rPr>
        <w:t>1.</w:t>
      </w:r>
      <w:r>
        <w:rPr>
          <w:snapToGrid w:val="0"/>
        </w:rPr>
        <w:tab/>
        <w:t>Terms used</w:t>
      </w:r>
      <w:bookmarkEnd w:id="271"/>
      <w:bookmarkEnd w:id="272"/>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1"/>
        <w:gridCol w:w="1265"/>
        <w:gridCol w:w="17"/>
        <w:gridCol w:w="11"/>
        <w:gridCol w:w="1487"/>
        <w:gridCol w:w="44"/>
        <w:gridCol w:w="17"/>
        <w:gridCol w:w="2394"/>
        <w:gridCol w:w="8"/>
        <w:gridCol w:w="36"/>
      </w:tblGrid>
      <w:tr>
        <w:trPr>
          <w:trHeight w:val="240"/>
          <w:tblHeader/>
        </w:trPr>
        <w:tc>
          <w:tcPr>
            <w:tcW w:w="840" w:type="dxa"/>
            <w:gridSpan w:val="2"/>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gridSpan w:val="2"/>
          </w:tcPr>
          <w:p>
            <w:pPr>
              <w:pStyle w:val="yTableNAm"/>
              <w:spacing w:before="0"/>
              <w:jc w:val="center"/>
              <w:rPr>
                <w:b/>
                <w:bCs/>
                <w:sz w:val="18"/>
              </w:rPr>
            </w:pPr>
            <w:r>
              <w:rPr>
                <w:b/>
                <w:bCs/>
                <w:sz w:val="18"/>
              </w:rPr>
              <w:t>Column 2</w:t>
            </w:r>
          </w:p>
        </w:tc>
        <w:tc>
          <w:tcPr>
            <w:tcW w:w="1559" w:type="dxa"/>
            <w:gridSpan w:val="4"/>
          </w:tcPr>
          <w:p>
            <w:pPr>
              <w:pStyle w:val="yTableNAm"/>
              <w:spacing w:before="0"/>
              <w:jc w:val="center"/>
              <w:rPr>
                <w:b/>
                <w:bCs/>
                <w:sz w:val="18"/>
              </w:rPr>
            </w:pPr>
            <w:r>
              <w:rPr>
                <w:b/>
                <w:bCs/>
                <w:sz w:val="18"/>
              </w:rPr>
              <w:t>Column 3</w:t>
            </w:r>
          </w:p>
        </w:tc>
        <w:tc>
          <w:tcPr>
            <w:tcW w:w="2411" w:type="dxa"/>
            <w:gridSpan w:val="3"/>
          </w:tcPr>
          <w:p>
            <w:pPr>
              <w:pStyle w:val="yTableNAm"/>
              <w:spacing w:before="0"/>
              <w:jc w:val="center"/>
              <w:rPr>
                <w:b/>
                <w:bCs/>
                <w:sz w:val="18"/>
              </w:rPr>
            </w:pPr>
            <w:r>
              <w:rPr>
                <w:b/>
                <w:bCs/>
                <w:sz w:val="18"/>
              </w:rPr>
              <w:t>Column 4</w:t>
            </w:r>
          </w:p>
        </w:tc>
      </w:tr>
      <w:tr>
        <w:trPr>
          <w:trHeight w:val="240"/>
          <w:tblHeader/>
        </w:trPr>
        <w:tc>
          <w:tcPr>
            <w:tcW w:w="840" w:type="dxa"/>
            <w:gridSpan w:val="2"/>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gridSpan w:val="2"/>
          </w:tcPr>
          <w:p>
            <w:pPr>
              <w:pStyle w:val="yTableNAm"/>
              <w:jc w:val="center"/>
              <w:rPr>
                <w:b/>
                <w:bCs/>
                <w:sz w:val="18"/>
              </w:rPr>
            </w:pPr>
            <w:r>
              <w:rPr>
                <w:b/>
                <w:bCs/>
                <w:sz w:val="18"/>
              </w:rPr>
              <w:t>No. of axles</w:t>
            </w:r>
          </w:p>
        </w:tc>
        <w:tc>
          <w:tcPr>
            <w:tcW w:w="1559" w:type="dxa"/>
            <w:gridSpan w:val="4"/>
          </w:tcPr>
          <w:p>
            <w:pPr>
              <w:pStyle w:val="yTableNAm"/>
              <w:jc w:val="center"/>
              <w:rPr>
                <w:b/>
                <w:bCs/>
                <w:sz w:val="18"/>
              </w:rPr>
            </w:pPr>
            <w:r>
              <w:rPr>
                <w:b/>
                <w:bCs/>
                <w:sz w:val="18"/>
              </w:rPr>
              <w:t>MRC</w:t>
            </w:r>
          </w:p>
        </w:tc>
        <w:tc>
          <w:tcPr>
            <w:tcW w:w="2411" w:type="dxa"/>
            <w:gridSpan w:val="3"/>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(not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AB3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Goods vehicle or motor home</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16 500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over 16 500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 xml:space="preserve">Prime mover  </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Trailer, not being a towed special purpose vehicle</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HT</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rPr>
          <w:cantSplit/>
        </w:trPr>
        <w:tc>
          <w:tcPr>
            <w:tcW w:w="7089" w:type="dxa"/>
            <w:gridSpan w:val="13"/>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gridSpan w:val="2"/>
          </w:tcPr>
          <w:p>
            <w:pPr>
              <w:pStyle w:val="yTableNAm"/>
              <w:jc w:val="center"/>
              <w:rPr>
                <w:sz w:val="18"/>
              </w:rPr>
            </w:pPr>
            <w:r>
              <w:rPr>
                <w:sz w:val="18"/>
              </w:rPr>
              <w:t>one or 2</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gridSpan w:val="2"/>
          </w:tcPr>
          <w:p>
            <w:pPr>
              <w:pStyle w:val="yTableNAm"/>
              <w:jc w:val="center"/>
              <w:rPr>
                <w:sz w:val="18"/>
              </w:rPr>
            </w:pPr>
            <w:r>
              <w:rPr>
                <w:sz w:val="18"/>
              </w:rPr>
              <w:t>6</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gridSpan w:val="2"/>
          </w:tcPr>
          <w:p>
            <w:pPr>
              <w:pStyle w:val="yTableNAm"/>
              <w:jc w:val="center"/>
              <w:rPr>
                <w:sz w:val="18"/>
              </w:rPr>
            </w:pPr>
            <w:r>
              <w:rPr>
                <w:sz w:val="18"/>
              </w:rPr>
              <w:t>7</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gridSpan w:val="2"/>
          </w:tcPr>
          <w:p>
            <w:pPr>
              <w:pStyle w:val="yTableNAm"/>
              <w:jc w:val="center"/>
              <w:rPr>
                <w:sz w:val="18"/>
              </w:rPr>
            </w:pPr>
            <w:r>
              <w:rPr>
                <w:sz w:val="18"/>
              </w:rPr>
              <w:t>8</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gridSpan w:val="2"/>
          </w:tcPr>
          <w:p>
            <w:pPr>
              <w:pStyle w:val="yTableNAm"/>
              <w:jc w:val="center"/>
              <w:rPr>
                <w:sz w:val="18"/>
              </w:rPr>
            </w:pPr>
            <w:r>
              <w:rPr>
                <w:sz w:val="18"/>
              </w:rPr>
              <w:t>9</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273" w:name="_Toc397323540"/>
      <w:bookmarkStart w:id="274" w:name="_Toc397323673"/>
      <w:bookmarkStart w:id="275" w:name="_Toc397323745"/>
      <w:bookmarkStart w:id="276" w:name="_Toc397323819"/>
      <w:bookmarkStart w:id="277" w:name="_Toc397323892"/>
      <w:bookmarkStart w:id="278" w:name="_Toc400970395"/>
      <w:bookmarkStart w:id="279" w:name="_Toc403052342"/>
      <w:bookmarkStart w:id="280" w:name="_Toc398898791"/>
      <w:r>
        <w:t>Notes</w:t>
      </w:r>
      <w:bookmarkEnd w:id="273"/>
      <w:bookmarkEnd w:id="274"/>
      <w:bookmarkEnd w:id="275"/>
      <w:bookmarkEnd w:id="276"/>
      <w:bookmarkEnd w:id="277"/>
      <w:bookmarkEnd w:id="278"/>
      <w:bookmarkEnd w:id="279"/>
      <w:bookmarkEnd w:id="280"/>
    </w:p>
    <w:p>
      <w:pPr>
        <w:pStyle w:val="nSubsection"/>
        <w:rPr>
          <w:snapToGrid w:val="0"/>
        </w:rPr>
      </w:pPr>
      <w:r>
        <w:rPr>
          <w:snapToGrid w:val="0"/>
          <w:vertAlign w:val="superscript"/>
        </w:rPr>
        <w:t>1</w:t>
      </w:r>
      <w:r>
        <w:rPr>
          <w:snapToGrid w:val="0"/>
        </w:rPr>
        <w:tab/>
        <w:t xml:space="preserve">This </w:t>
      </w:r>
      <w:ins w:id="281" w:author="Master Repository Process" w:date="2021-09-12T14:31:00Z">
        <w:r>
          <w:rPr>
            <w:snapToGrid w:val="0"/>
          </w:rPr>
          <w:t xml:space="preserve">reprint </w:t>
        </w:r>
      </w:ins>
      <w:r>
        <w:rPr>
          <w:snapToGrid w:val="0"/>
        </w:rPr>
        <w:t>is a compilation</w:t>
      </w:r>
      <w:ins w:id="282" w:author="Master Repository Process" w:date="2021-09-12T14:31:00Z">
        <w:r>
          <w:rPr>
            <w:snapToGrid w:val="0"/>
          </w:rPr>
          <w:t xml:space="preserve"> as at 17 October 2014</w:t>
        </w:r>
      </w:ins>
      <w:r>
        <w:rPr>
          <w:snapToGrid w:val="0"/>
        </w:rPr>
        <w:t xml:space="preserve">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283" w:name="_Toc403052343"/>
      <w:bookmarkStart w:id="284" w:name="_Toc398898792"/>
      <w:r>
        <w:t>Compilation table</w:t>
      </w:r>
      <w:bookmarkEnd w:id="283"/>
      <w:bookmarkEnd w:id="28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del w:id="285" w:author="Master Repository Process" w:date="2021-09-12T14:31:00Z">
              <w:r>
                <w:rPr>
                  <w:sz w:val="19"/>
                  <w:vertAlign w:val="superscript"/>
                </w:rPr>
                <w:delText>7</w:delText>
              </w:r>
            </w:del>
            <w:ins w:id="286" w:author="Master Repository Process" w:date="2021-09-12T14:31:00Z">
              <w:r>
                <w:rPr>
                  <w:sz w:val="19"/>
                  <w:vertAlign w:val="superscript"/>
                </w:rPr>
                <w:t>6</w:t>
              </w:r>
            </w:ins>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8"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8"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8"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8"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8"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8"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8"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rFonts w:ascii="Arial" w:hAnsi="Arial"/>
                <w:b/>
                <w:i/>
                <w:sz w:val="19"/>
                <w:vertAlign w:val="superscript"/>
              </w:rPr>
            </w:pPr>
            <w:r>
              <w:rPr>
                <w:i/>
                <w:sz w:val="19"/>
              </w:rPr>
              <w:t>Road Traffic (Licensing) Amendment Regulations (No. 2) 1984 </w:t>
            </w:r>
            <w:del w:id="287" w:author="Master Repository Process" w:date="2021-09-12T14:31:00Z">
              <w:r>
                <w:rPr>
                  <w:sz w:val="19"/>
                  <w:vertAlign w:val="superscript"/>
                </w:rPr>
                <w:delText>8</w:delText>
              </w:r>
            </w:del>
            <w:ins w:id="288" w:author="Master Repository Process" w:date="2021-09-12T14:31:00Z">
              <w:r>
                <w:rPr>
                  <w:sz w:val="19"/>
                  <w:vertAlign w:val="superscript"/>
                </w:rPr>
                <w:t>7</w:t>
              </w:r>
            </w:ins>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8"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8"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8"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8"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8"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8"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8"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8"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8"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8"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8"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8"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8"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8"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8"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8"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8"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8"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8"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8"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8"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8"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8"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8"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8"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8" w:type="dxa"/>
          </w:tcPr>
          <w:p>
            <w:pPr>
              <w:pStyle w:val="nTable"/>
              <w:spacing w:after="40"/>
              <w:ind w:right="113"/>
              <w:rPr>
                <w:rFonts w:ascii="Arial" w:hAnsi="Arial"/>
                <w:b/>
                <w:sz w:val="19"/>
                <w:vertAlign w:val="superscript"/>
              </w:rPr>
            </w:pPr>
            <w:r>
              <w:rPr>
                <w:i/>
                <w:sz w:val="19"/>
              </w:rPr>
              <w:t>Road Traffic (Licensing) Amendment Regulations 1996</w:t>
            </w:r>
            <w:r>
              <w:rPr>
                <w:sz w:val="19"/>
                <w:vertAlign w:val="superscript"/>
              </w:rPr>
              <w:t> </w:t>
            </w:r>
            <w:del w:id="289" w:author="Master Repository Process" w:date="2021-09-12T14:31:00Z">
              <w:r>
                <w:rPr>
                  <w:sz w:val="19"/>
                  <w:vertAlign w:val="superscript"/>
                </w:rPr>
                <w:delText>9</w:delText>
              </w:r>
            </w:del>
            <w:ins w:id="290" w:author="Master Repository Process" w:date="2021-09-12T14:31:00Z">
              <w:r>
                <w:rPr>
                  <w:sz w:val="19"/>
                  <w:vertAlign w:val="superscript"/>
                </w:rPr>
                <w:t>8</w:t>
              </w:r>
            </w:ins>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w:t>
            </w:r>
            <w:del w:id="291" w:author="Master Repository Process" w:date="2021-09-12T14:31:00Z">
              <w:r>
                <w:rPr>
                  <w:sz w:val="19"/>
                </w:rPr>
                <w:delText xml:space="preserve"> </w:delText>
              </w:r>
            </w:del>
            <w:ins w:id="292" w:author="Master Repository Process" w:date="2021-09-12T14:31:00Z">
              <w:r>
                <w:rPr>
                  <w:sz w:val="19"/>
                </w:rPr>
                <w:t> </w:t>
              </w:r>
            </w:ins>
            <w:r>
              <w:rPr>
                <w:sz w:val="19"/>
              </w:rPr>
              <w:t>r. 2(1))</w:t>
            </w:r>
          </w:p>
        </w:tc>
      </w:tr>
      <w:tr>
        <w:trPr>
          <w:cantSplit/>
        </w:trPr>
        <w:tc>
          <w:tcPr>
            <w:tcW w:w="3118" w:type="dxa"/>
          </w:tcPr>
          <w:p>
            <w:pPr>
              <w:pStyle w:val="nTable"/>
              <w:spacing w:after="40"/>
              <w:ind w:right="113"/>
              <w:rPr>
                <w:rFonts w:ascii="Arial" w:hAnsi="Arial"/>
                <w:b/>
                <w:sz w:val="19"/>
                <w:vertAlign w:val="superscript"/>
              </w:rPr>
            </w:pPr>
            <w:r>
              <w:rPr>
                <w:i/>
                <w:sz w:val="19"/>
              </w:rPr>
              <w:t>Road Traffic (Licensing) Amendment Regulations (No. 3) 1996</w:t>
            </w:r>
            <w:r>
              <w:rPr>
                <w:sz w:val="19"/>
                <w:vertAlign w:val="superscript"/>
              </w:rPr>
              <w:t> </w:t>
            </w:r>
            <w:del w:id="293" w:author="Master Repository Process" w:date="2021-09-12T14:31:00Z">
              <w:r>
                <w:rPr>
                  <w:sz w:val="19"/>
                  <w:vertAlign w:val="superscript"/>
                </w:rPr>
                <w:delText>10</w:delText>
              </w:r>
            </w:del>
            <w:ins w:id="294" w:author="Master Repository Process" w:date="2021-09-12T14:31:00Z">
              <w:r>
                <w:rPr>
                  <w:sz w:val="19"/>
                  <w:vertAlign w:val="superscript"/>
                </w:rPr>
                <w:t>9</w:t>
              </w:r>
            </w:ins>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8"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8" w:type="dxa"/>
          </w:tcPr>
          <w:p>
            <w:pPr>
              <w:pStyle w:val="nTable"/>
              <w:spacing w:after="40"/>
              <w:ind w:right="113"/>
              <w:rPr>
                <w:rFonts w:ascii="Arial" w:hAnsi="Arial"/>
                <w:b/>
                <w:sz w:val="19"/>
                <w:vertAlign w:val="superscript"/>
              </w:rPr>
            </w:pPr>
            <w:r>
              <w:rPr>
                <w:i/>
                <w:sz w:val="19"/>
              </w:rPr>
              <w:t>Road Traffic (Licensing) Amendment Regulations (No. 2) 1997</w:t>
            </w:r>
            <w:r>
              <w:rPr>
                <w:iCs/>
                <w:sz w:val="19"/>
                <w:vertAlign w:val="superscript"/>
              </w:rPr>
              <w:t> </w:t>
            </w:r>
            <w:del w:id="295" w:author="Master Repository Process" w:date="2021-09-12T14:31:00Z">
              <w:r>
                <w:rPr>
                  <w:iCs/>
                  <w:sz w:val="19"/>
                  <w:vertAlign w:val="superscript"/>
                </w:rPr>
                <w:delText>11</w:delText>
              </w:r>
            </w:del>
            <w:ins w:id="296" w:author="Master Repository Process" w:date="2021-09-12T14:31:00Z">
              <w:r>
                <w:rPr>
                  <w:iCs/>
                  <w:sz w:val="19"/>
                  <w:vertAlign w:val="superscript"/>
                </w:rPr>
                <w:t>10</w:t>
              </w:r>
            </w:ins>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8"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8"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8"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8" w:type="dxa"/>
          </w:tcPr>
          <w:p>
            <w:pPr>
              <w:pStyle w:val="nTable"/>
              <w:spacing w:after="40"/>
              <w:ind w:right="113"/>
              <w:rPr>
                <w:rFonts w:ascii="Arial" w:hAnsi="Arial"/>
                <w:b/>
                <w:i/>
                <w:sz w:val="19"/>
                <w:vertAlign w:val="superscript"/>
              </w:rPr>
            </w:pPr>
            <w:r>
              <w:rPr>
                <w:i/>
                <w:sz w:val="19"/>
              </w:rPr>
              <w:t>Road Traffic (Licensing) Amendment Regulations (No. 3) 2000 </w:t>
            </w:r>
            <w:del w:id="297" w:author="Master Repository Process" w:date="2021-09-12T14:31:00Z">
              <w:r>
                <w:rPr>
                  <w:sz w:val="19"/>
                  <w:vertAlign w:val="superscript"/>
                </w:rPr>
                <w:delText>12</w:delText>
              </w:r>
            </w:del>
            <w:ins w:id="298" w:author="Master Repository Process" w:date="2021-09-12T14:31:00Z">
              <w:r>
                <w:rPr>
                  <w:sz w:val="19"/>
                  <w:vertAlign w:val="superscript"/>
                </w:rPr>
                <w:t>11</w:t>
              </w:r>
            </w:ins>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8"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8"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8"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8"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7"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8"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8"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8"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8"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7"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8"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8"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7"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8"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8"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8"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z w:val="19"/>
              </w:rPr>
              <w:t>r. 1 and 2: 31 Dec 2009 (see r. 2(a));</w:t>
            </w:r>
            <w:r>
              <w:rPr>
                <w:snapToGrid w:val="0"/>
                <w:sz w:val="19"/>
              </w:rPr>
              <w:br/>
              <w:t>Regulations other than r. 1 and 2: 1 Jan 2010 (see r. 2(b))</w:t>
            </w:r>
          </w:p>
        </w:tc>
      </w:tr>
      <w:tr>
        <w:trPr>
          <w:cantSplit/>
        </w:trPr>
        <w:tc>
          <w:tcPr>
            <w:tcW w:w="7087" w:type="dxa"/>
            <w:gridSpan w:val="3"/>
          </w:tcPr>
          <w:p>
            <w:pPr>
              <w:pStyle w:val="nTable"/>
              <w:spacing w:after="40"/>
              <w:rPr>
                <w:snapToGrid w:val="0"/>
                <w:spacing w:val="-2"/>
                <w:sz w:val="19"/>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Road Traffic (Licensing) Amendment Regulations 2010</w:t>
            </w:r>
          </w:p>
        </w:tc>
        <w:tc>
          <w:tcPr>
            <w:tcW w:w="1276" w:type="dxa"/>
          </w:tcPr>
          <w:p>
            <w:pPr>
              <w:pStyle w:val="nTable"/>
              <w:spacing w:after="40"/>
              <w:rPr>
                <w:sz w:val="19"/>
              </w:rPr>
            </w:pPr>
            <w:r>
              <w:rPr>
                <w:sz w:val="19"/>
              </w:rPr>
              <w:t>24 Sep 2010 p. 5017</w:t>
            </w:r>
            <w:r>
              <w:rPr>
                <w:sz w:val="19"/>
              </w:rPr>
              <w:noBreakHyphen/>
              <w:t>22</w:t>
            </w:r>
          </w:p>
        </w:tc>
        <w:tc>
          <w:tcPr>
            <w:tcW w:w="2693" w:type="dxa"/>
          </w:tcPr>
          <w:p>
            <w:pPr>
              <w:pStyle w:val="nTable"/>
              <w:spacing w:after="40"/>
              <w:rPr>
                <w:sz w:val="19"/>
              </w:rPr>
            </w:pPr>
            <w:r>
              <w:rPr>
                <w:snapToGrid w:val="0"/>
                <w:sz w:val="19"/>
              </w:rPr>
              <w:t>r. 1 and 2: 24 Sep 2010 (see r. 2(a));</w:t>
            </w:r>
            <w:r>
              <w:rPr>
                <w:snapToGrid w:val="0"/>
                <w:sz w:val="19"/>
              </w:rPr>
              <w:br/>
              <w:t>Regulations other than r. 1 and 2: 25 Sep 2010 (see r. 2(b))</w:t>
            </w:r>
          </w:p>
        </w:tc>
      </w:tr>
      <w:tr>
        <w:trPr>
          <w:cantSplit/>
        </w:trPr>
        <w:tc>
          <w:tcPr>
            <w:tcW w:w="3118" w:type="dxa"/>
          </w:tcPr>
          <w:p>
            <w:pPr>
              <w:pStyle w:val="nTable"/>
              <w:spacing w:after="40"/>
              <w:ind w:right="113"/>
              <w:rPr>
                <w:i/>
                <w:sz w:val="19"/>
              </w:rPr>
            </w:pPr>
            <w:r>
              <w:rPr>
                <w:i/>
                <w:sz w:val="19"/>
              </w:rPr>
              <w:t>Road Traffic (Licensing) Amendment Regulations 2011</w:t>
            </w:r>
          </w:p>
        </w:tc>
        <w:tc>
          <w:tcPr>
            <w:tcW w:w="1276" w:type="dxa"/>
          </w:tcPr>
          <w:p>
            <w:pPr>
              <w:pStyle w:val="nTable"/>
              <w:spacing w:after="40"/>
              <w:rPr>
                <w:sz w:val="19"/>
              </w:rPr>
            </w:pPr>
            <w:r>
              <w:rPr>
                <w:sz w:val="19"/>
              </w:rPr>
              <w:t>25 Feb 2011 p. 657-8</w:t>
            </w:r>
          </w:p>
        </w:tc>
        <w:tc>
          <w:tcPr>
            <w:tcW w:w="2693" w:type="dxa"/>
          </w:tcPr>
          <w:p>
            <w:pPr>
              <w:pStyle w:val="nTable"/>
              <w:spacing w:after="40"/>
              <w:rPr>
                <w:snapToGrid w:val="0"/>
                <w:sz w:val="19"/>
              </w:rPr>
            </w:pPr>
            <w:r>
              <w:rPr>
                <w:snapToGrid w:val="0"/>
                <w:sz w:val="19"/>
              </w:rPr>
              <w:t>r. 1 and 2: 25 Feb 2011 (see r. 2(a));</w:t>
            </w:r>
            <w:r>
              <w:rPr>
                <w:snapToGrid w:val="0"/>
                <w:sz w:val="19"/>
              </w:rPr>
              <w:br/>
              <w:t>Regulations other than r. 1 and 2: 26 Feb 2011 (see r. 2(b))</w:t>
            </w:r>
          </w:p>
        </w:tc>
      </w:tr>
      <w:tr>
        <w:trPr>
          <w:cantSplit/>
        </w:trPr>
        <w:tc>
          <w:tcPr>
            <w:tcW w:w="3118" w:type="dxa"/>
          </w:tcPr>
          <w:p>
            <w:pPr>
              <w:pStyle w:val="nTable"/>
              <w:spacing w:after="40"/>
              <w:ind w:right="113"/>
              <w:rPr>
                <w:i/>
                <w:sz w:val="19"/>
              </w:rPr>
            </w:pPr>
            <w:r>
              <w:rPr>
                <w:i/>
                <w:sz w:val="19"/>
              </w:rPr>
              <w:t>Road Traffic (Licensing) Amendment Regulations (No. 3) 2011</w:t>
            </w:r>
          </w:p>
        </w:tc>
        <w:tc>
          <w:tcPr>
            <w:tcW w:w="1276" w:type="dxa"/>
          </w:tcPr>
          <w:p>
            <w:pPr>
              <w:pStyle w:val="nTable"/>
              <w:spacing w:after="40"/>
              <w:rPr>
                <w:sz w:val="19"/>
              </w:rPr>
            </w:pPr>
            <w:r>
              <w:rPr>
                <w:sz w:val="19"/>
              </w:rPr>
              <w:t>2 Dec 2011 p. 5073-4</w:t>
            </w:r>
          </w:p>
        </w:tc>
        <w:tc>
          <w:tcPr>
            <w:tcW w:w="2693" w:type="dxa"/>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rPr>
          <w:cantSplit/>
        </w:trPr>
        <w:tc>
          <w:tcPr>
            <w:tcW w:w="3118" w:type="dxa"/>
          </w:tcPr>
          <w:p>
            <w:pPr>
              <w:pStyle w:val="nTable"/>
              <w:spacing w:after="40"/>
              <w:ind w:right="113"/>
              <w:rPr>
                <w:i/>
                <w:sz w:val="19"/>
              </w:rPr>
            </w:pPr>
            <w:r>
              <w:rPr>
                <w:i/>
                <w:sz w:val="19"/>
              </w:rPr>
              <w:t>Road Traffic (Licensing) Amendment Regulations (No. 2) 2011</w:t>
            </w:r>
          </w:p>
        </w:tc>
        <w:tc>
          <w:tcPr>
            <w:tcW w:w="1276" w:type="dxa"/>
          </w:tcPr>
          <w:p>
            <w:pPr>
              <w:pStyle w:val="nTable"/>
              <w:spacing w:after="40"/>
              <w:rPr>
                <w:sz w:val="19"/>
              </w:rPr>
            </w:pPr>
            <w:r>
              <w:rPr>
                <w:sz w:val="19"/>
              </w:rPr>
              <w:t>2 Dec 2011 p. 5075</w:t>
            </w:r>
          </w:p>
        </w:tc>
        <w:tc>
          <w:tcPr>
            <w:tcW w:w="2693" w:type="dxa"/>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rPr>
          <w:cantSplit/>
        </w:trPr>
        <w:tc>
          <w:tcPr>
            <w:tcW w:w="3118" w:type="dxa"/>
          </w:tcPr>
          <w:p>
            <w:pPr>
              <w:pStyle w:val="nTable"/>
              <w:spacing w:after="40"/>
              <w:ind w:right="113"/>
              <w:rPr>
                <w:i/>
                <w:sz w:val="19"/>
              </w:rPr>
            </w:pPr>
            <w:r>
              <w:rPr>
                <w:i/>
                <w:sz w:val="19"/>
              </w:rPr>
              <w:t>Road Traffic (Licensing) Amendment Regulations 2012</w:t>
            </w:r>
          </w:p>
        </w:tc>
        <w:tc>
          <w:tcPr>
            <w:tcW w:w="1276" w:type="dxa"/>
          </w:tcPr>
          <w:p>
            <w:pPr>
              <w:pStyle w:val="nTable"/>
              <w:spacing w:after="40"/>
              <w:rPr>
                <w:sz w:val="19"/>
              </w:rPr>
            </w:pPr>
            <w:r>
              <w:rPr>
                <w:sz w:val="19"/>
              </w:rPr>
              <w:t>14 Dec 2012 p. 6207</w:t>
            </w:r>
            <w:r>
              <w:rPr>
                <w:sz w:val="19"/>
              </w:rPr>
              <w:noBreakHyphen/>
              <w:t>8</w:t>
            </w:r>
          </w:p>
        </w:tc>
        <w:tc>
          <w:tcPr>
            <w:tcW w:w="2693" w:type="dxa"/>
          </w:tcPr>
          <w:p>
            <w:pPr>
              <w:pStyle w:val="nTable"/>
              <w:spacing w:after="40"/>
              <w:rPr>
                <w:snapToGrid w:val="0"/>
                <w:sz w:val="19"/>
              </w:rPr>
            </w:pPr>
            <w:r>
              <w:rPr>
                <w:snapToGrid w:val="0"/>
                <w:sz w:val="19"/>
              </w:rPr>
              <w:t>r. 1 and 2: 14 Dec 2012 (see r. 2(a));</w:t>
            </w:r>
            <w:r>
              <w:rPr>
                <w:snapToGrid w:val="0"/>
                <w:sz w:val="19"/>
              </w:rPr>
              <w:br/>
              <w:t>Regulations other than r. 1 and 2: 15 Dec 2012 (see r. 2(b))</w:t>
            </w:r>
          </w:p>
        </w:tc>
      </w:tr>
      <w:tr>
        <w:trPr>
          <w:cantSplit/>
        </w:trPr>
        <w:tc>
          <w:tcPr>
            <w:tcW w:w="3118" w:type="dxa"/>
            <w:shd w:val="clear" w:color="auto" w:fill="auto"/>
          </w:tcPr>
          <w:p>
            <w:pPr>
              <w:pStyle w:val="nTable"/>
              <w:spacing w:after="40"/>
              <w:ind w:right="113"/>
              <w:rPr>
                <w:i/>
                <w:sz w:val="19"/>
              </w:rPr>
            </w:pPr>
            <w:r>
              <w:rPr>
                <w:i/>
                <w:sz w:val="19"/>
              </w:rPr>
              <w:t>Road Traffic (Licensing) Amendment Regulations (No. 2) 2013</w:t>
            </w:r>
          </w:p>
        </w:tc>
        <w:tc>
          <w:tcPr>
            <w:tcW w:w="1276" w:type="dxa"/>
            <w:shd w:val="clear" w:color="auto" w:fill="auto"/>
          </w:tcPr>
          <w:p>
            <w:pPr>
              <w:pStyle w:val="nTable"/>
              <w:spacing w:after="40"/>
              <w:rPr>
                <w:sz w:val="19"/>
              </w:rPr>
            </w:pPr>
            <w:r>
              <w:rPr>
                <w:sz w:val="19"/>
              </w:rPr>
              <w:t>12 Apr 2013 p. 1540</w:t>
            </w:r>
          </w:p>
        </w:tc>
        <w:tc>
          <w:tcPr>
            <w:tcW w:w="2693" w:type="dxa"/>
            <w:shd w:val="clear" w:color="auto" w:fill="auto"/>
          </w:tcPr>
          <w:p>
            <w:pPr>
              <w:pStyle w:val="nTable"/>
              <w:spacing w:after="40"/>
              <w:rPr>
                <w:snapToGrid w:val="0"/>
                <w:spacing w:val="-2"/>
                <w:sz w:val="19"/>
              </w:rPr>
            </w:pPr>
            <w:r>
              <w:rPr>
                <w:snapToGrid w:val="0"/>
                <w:sz w:val="19"/>
              </w:rPr>
              <w:t>r. 1 and 2: 12 Apr 2013 (see r. 2(a));</w:t>
            </w:r>
            <w:r>
              <w:rPr>
                <w:snapToGrid w:val="0"/>
                <w:sz w:val="19"/>
              </w:rPr>
              <w:br/>
              <w:t xml:space="preserve">Regulations other than r. 1 and 2: 13 Apr  2013 (see r. 2(b) and </w:t>
            </w:r>
            <w:r>
              <w:rPr>
                <w:i/>
                <w:snapToGrid w:val="0"/>
                <w:sz w:val="19"/>
              </w:rPr>
              <w:t xml:space="preserve">Gazette </w:t>
            </w:r>
            <w:r>
              <w:rPr>
                <w:snapToGrid w:val="0"/>
                <w:sz w:val="19"/>
              </w:rPr>
              <w:t>12 Apr 2013 p. 1533)</w:t>
            </w:r>
          </w:p>
        </w:tc>
      </w:tr>
      <w:tr>
        <w:trPr>
          <w:cantSplit/>
        </w:trPr>
        <w:tc>
          <w:tcPr>
            <w:tcW w:w="3118" w:type="dxa"/>
            <w:shd w:val="clear" w:color="auto" w:fill="auto"/>
          </w:tcPr>
          <w:p>
            <w:pPr>
              <w:pStyle w:val="nTable"/>
              <w:spacing w:after="40"/>
              <w:ind w:right="113"/>
              <w:rPr>
                <w:i/>
                <w:sz w:val="19"/>
              </w:rPr>
            </w:pPr>
            <w:r>
              <w:rPr>
                <w:i/>
                <w:sz w:val="19"/>
              </w:rPr>
              <w:t>Road Traffic (Licensing) Amendment Regulations (No. 2) 2014</w:t>
            </w:r>
          </w:p>
        </w:tc>
        <w:tc>
          <w:tcPr>
            <w:tcW w:w="1276" w:type="dxa"/>
            <w:shd w:val="clear" w:color="auto" w:fill="auto"/>
          </w:tcPr>
          <w:p>
            <w:pPr>
              <w:pStyle w:val="nTable"/>
              <w:spacing w:after="40"/>
              <w:rPr>
                <w:sz w:val="19"/>
              </w:rPr>
            </w:pPr>
            <w:r>
              <w:rPr>
                <w:sz w:val="19"/>
              </w:rPr>
              <w:t>9 Sep 2014 p. 3249</w:t>
            </w:r>
            <w:r>
              <w:rPr>
                <w:sz w:val="19"/>
              </w:rPr>
              <w:noBreakHyphen/>
              <w:t>52</w:t>
            </w:r>
          </w:p>
        </w:tc>
        <w:tc>
          <w:tcPr>
            <w:tcW w:w="2693" w:type="dxa"/>
            <w:shd w:val="clear" w:color="auto" w:fill="auto"/>
          </w:tcPr>
          <w:p>
            <w:pPr>
              <w:pStyle w:val="nTable"/>
              <w:spacing w:after="40"/>
              <w:rPr>
                <w:snapToGrid w:val="0"/>
                <w:sz w:val="19"/>
              </w:rPr>
            </w:pPr>
            <w:r>
              <w:rPr>
                <w:sz w:val="19"/>
              </w:rPr>
              <w:t>r. 1 and 2: 9 Sep 2014 (see r. 2(a));</w:t>
            </w:r>
            <w:r>
              <w:rPr>
                <w:sz w:val="19"/>
              </w:rPr>
              <w:br/>
              <w:t>Regulations other than r. 1 and 2: 26 Sep 2014 (see r. 2(b))</w:t>
            </w:r>
          </w:p>
        </w:tc>
      </w:tr>
    </w:tbl>
    <w:p>
      <w:pPr>
        <w:pStyle w:val="nSubsection"/>
        <w:rPr>
          <w:del w:id="299" w:author="Master Repository Process" w:date="2021-09-12T14:31:00Z"/>
          <w:snapToGrid w:val="0"/>
        </w:rPr>
      </w:pPr>
      <w:del w:id="300" w:author="Master Repository Process" w:date="2021-09-12T14:31:00Z">
        <w:r>
          <w:rPr>
            <w:snapToGrid w:val="0"/>
            <w:vertAlign w:val="superscript"/>
          </w:rPr>
          <w:delText>2</w:delText>
        </w:r>
        <w:r>
          <w:rPr>
            <w:snapToGrid w:val="0"/>
          </w:rPr>
          <w:tab/>
          <w:delText>Footnote no longer applicable.</w:delText>
        </w:r>
      </w:del>
    </w:p>
    <w:tbl>
      <w:tblPr>
        <w:tblW w:w="0" w:type="auto"/>
        <w:tblInd w:w="56" w:type="dxa"/>
        <w:tblLayout w:type="fixed"/>
        <w:tblCellMar>
          <w:left w:w="56" w:type="dxa"/>
          <w:right w:w="56" w:type="dxa"/>
        </w:tblCellMar>
        <w:tblLook w:val="0000" w:firstRow="0" w:lastRow="0" w:firstColumn="0" w:lastColumn="0" w:noHBand="0" w:noVBand="0"/>
      </w:tblPr>
      <w:tblGrid>
        <w:gridCol w:w="7087"/>
      </w:tblGrid>
      <w:tr>
        <w:trPr>
          <w:cantSplit/>
          <w:ins w:id="301" w:author="Master Repository Process" w:date="2021-09-12T14:31:00Z"/>
        </w:trPr>
        <w:tc>
          <w:tcPr>
            <w:tcW w:w="7087" w:type="dxa"/>
            <w:tcBorders>
              <w:bottom w:val="single" w:sz="8" w:space="0" w:color="auto"/>
            </w:tcBorders>
            <w:shd w:val="clear" w:color="auto" w:fill="auto"/>
          </w:tcPr>
          <w:p>
            <w:pPr>
              <w:pStyle w:val="nTable"/>
              <w:spacing w:after="40"/>
              <w:rPr>
                <w:ins w:id="302" w:author="Master Repository Process" w:date="2021-09-12T14:31:00Z"/>
                <w:rFonts w:ascii="Times" w:hAnsi="Times"/>
                <w:snapToGrid w:val="0"/>
                <w:sz w:val="19"/>
              </w:rPr>
            </w:pPr>
            <w:del w:id="303" w:author="Master Repository Process" w:date="2021-09-12T14:31:00Z">
              <w:r>
                <w:rPr>
                  <w:snapToGrid w:val="0"/>
                  <w:vertAlign w:val="superscript"/>
                </w:rPr>
                <w:delText>3</w:delText>
              </w:r>
            </w:del>
            <w:ins w:id="304" w:author="Master Repository Process" w:date="2021-09-12T14:31:00Z">
              <w:r>
                <w:rPr>
                  <w:b/>
                  <w:sz w:val="19"/>
                </w:rPr>
                <w:t xml:space="preserve">Reprint 9: The </w:t>
              </w:r>
              <w:r>
                <w:rPr>
                  <w:b/>
                  <w:i/>
                  <w:sz w:val="19"/>
                </w:rPr>
                <w:t>Road Traffic (Licensing) Regulations 1975</w:t>
              </w:r>
              <w:r>
                <w:rPr>
                  <w:b/>
                  <w:sz w:val="19"/>
                </w:rPr>
                <w:t xml:space="preserve"> as at 17 Oct 2014</w:t>
              </w:r>
              <w:r>
                <w:rPr>
                  <w:b/>
                  <w:sz w:val="19"/>
                </w:rPr>
                <w:br/>
              </w:r>
              <w:r>
                <w:rPr>
                  <w:sz w:val="19"/>
                </w:rPr>
                <w:t>(includes amendments listed above)</w:t>
              </w:r>
            </w:ins>
          </w:p>
        </w:tc>
      </w:tr>
    </w:tbl>
    <w:p>
      <w:pPr>
        <w:pStyle w:val="nSubsection"/>
        <w:spacing w:before="100"/>
        <w:rPr>
          <w:snapToGrid w:val="0"/>
        </w:rPr>
      </w:pPr>
      <w:ins w:id="305" w:author="Master Repository Process" w:date="2021-09-12T14:31:00Z">
        <w:r>
          <w:rPr>
            <w:snapToGrid w:val="0"/>
            <w:vertAlign w:val="superscript"/>
          </w:rPr>
          <w:t>2</w:t>
        </w:r>
      </w:ins>
      <w:r>
        <w:rPr>
          <w:snapToGrid w:val="0"/>
        </w:rPr>
        <w:tab/>
        <w:t xml:space="preserve">Repealed by the </w:t>
      </w:r>
      <w:r>
        <w:rPr>
          <w:i/>
        </w:rPr>
        <w:t>Motor Vehicle (Third Party Insurance) Regulations 2009</w:t>
      </w:r>
      <w:r>
        <w:rPr>
          <w:snapToGrid w:val="0"/>
        </w:rPr>
        <w:t>.</w:t>
      </w:r>
    </w:p>
    <w:p>
      <w:pPr>
        <w:pStyle w:val="nSubsection"/>
        <w:spacing w:before="100"/>
        <w:rPr>
          <w:snapToGrid w:val="0"/>
        </w:rPr>
      </w:pPr>
      <w:del w:id="306" w:author="Master Repository Process" w:date="2021-09-12T14:31:00Z">
        <w:r>
          <w:rPr>
            <w:snapToGrid w:val="0"/>
            <w:vertAlign w:val="superscript"/>
          </w:rPr>
          <w:delText>4</w:delText>
        </w:r>
      </w:del>
      <w:ins w:id="307" w:author="Master Repository Process" w:date="2021-09-12T14:31:00Z">
        <w:r>
          <w:rPr>
            <w:snapToGrid w:val="0"/>
            <w:vertAlign w:val="superscript"/>
          </w:rPr>
          <w:t>3</w:t>
        </w:r>
      </w:ins>
      <w:r>
        <w:rPr>
          <w:snapToGrid w:val="0"/>
        </w:rPr>
        <w:tab/>
        <w:t xml:space="preserve">Revoked on 4 Oct 1974 (see </w:t>
      </w:r>
      <w:r>
        <w:rPr>
          <w:i/>
          <w:snapToGrid w:val="0"/>
        </w:rPr>
        <w:t>Gazette</w:t>
      </w:r>
      <w:r>
        <w:rPr>
          <w:snapToGrid w:val="0"/>
        </w:rPr>
        <w:t xml:space="preserve"> 3 Oct 1974 p. 3701).</w:t>
      </w:r>
    </w:p>
    <w:p>
      <w:pPr>
        <w:pStyle w:val="nSubsection"/>
        <w:spacing w:before="100"/>
        <w:rPr>
          <w:snapToGrid w:val="0"/>
        </w:rPr>
      </w:pPr>
      <w:del w:id="308" w:author="Master Repository Process" w:date="2021-09-12T14:31:00Z">
        <w:r>
          <w:rPr>
            <w:snapToGrid w:val="0"/>
            <w:vertAlign w:val="superscript"/>
          </w:rPr>
          <w:delText>5</w:delText>
        </w:r>
      </w:del>
      <w:ins w:id="309" w:author="Master Repository Process" w:date="2021-09-12T14:31:00Z">
        <w:r>
          <w:rPr>
            <w:snapToGrid w:val="0"/>
            <w:vertAlign w:val="superscript"/>
          </w:rPr>
          <w:t>4</w:t>
        </w:r>
      </w:ins>
      <w:r>
        <w:rPr>
          <w:snapToGrid w:val="0"/>
        </w:rPr>
        <w:tab/>
        <w:t xml:space="preserve">Revoked on 1 Jun 1975 (see </w:t>
      </w:r>
      <w:r>
        <w:rPr>
          <w:i/>
          <w:snapToGrid w:val="0"/>
        </w:rPr>
        <w:t>Gazette</w:t>
      </w:r>
      <w:r>
        <w:rPr>
          <w:snapToGrid w:val="0"/>
        </w:rPr>
        <w:t xml:space="preserve"> 29 May 1975 p. 1577).</w:t>
      </w:r>
    </w:p>
    <w:p>
      <w:pPr>
        <w:pStyle w:val="nSubsection"/>
        <w:spacing w:before="100"/>
      </w:pPr>
      <w:del w:id="310" w:author="Master Repository Process" w:date="2021-09-12T14:31:00Z">
        <w:r>
          <w:rPr>
            <w:vertAlign w:val="superscript"/>
          </w:rPr>
          <w:delText>6</w:delText>
        </w:r>
      </w:del>
      <w:ins w:id="311" w:author="Master Repository Process" w:date="2021-09-12T14:31:00Z">
        <w:r>
          <w:rPr>
            <w:vertAlign w:val="superscript"/>
          </w:rPr>
          <w:t>5</w:t>
        </w:r>
      </w:ins>
      <w:r>
        <w:tab/>
        <w:t xml:space="preserve">Under the </w:t>
      </w:r>
      <w:r>
        <w:rPr>
          <w:i/>
        </w:rPr>
        <w:t>Local Government Act 1995</w:t>
      </w:r>
      <w:r>
        <w:t xml:space="preserve"> Sch. 9.3 cl. 3(2) a reference to a municipality or municipal district under the </w:t>
      </w:r>
      <w:r>
        <w:rPr>
          <w:i/>
        </w:rPr>
        <w:t>Local Government Act 1960</w:t>
      </w:r>
      <w:r>
        <w:t xml:space="preserve"> may, when the context requires, be read as if it had been amended to include or be a reference to a local government or local government district under the </w:t>
      </w:r>
      <w:r>
        <w:rPr>
          <w:i/>
        </w:rPr>
        <w:t>Local Government Act 1995</w:t>
      </w:r>
      <w:r>
        <w:t xml:space="preserve">. This reference was changed under the </w:t>
      </w:r>
      <w:r>
        <w:rPr>
          <w:i/>
        </w:rPr>
        <w:t>Reprints Act 1984</w:t>
      </w:r>
      <w:r>
        <w:t xml:space="preserve"> s. 7(5)(a).</w:t>
      </w:r>
    </w:p>
    <w:p>
      <w:pPr>
        <w:pStyle w:val="nSubsection"/>
        <w:spacing w:before="100"/>
      </w:pPr>
      <w:del w:id="312" w:author="Master Repository Process" w:date="2021-09-12T14:31:00Z">
        <w:r>
          <w:rPr>
            <w:vertAlign w:val="superscript"/>
          </w:rPr>
          <w:delText>7</w:delText>
        </w:r>
      </w:del>
      <w:ins w:id="313" w:author="Master Repository Process" w:date="2021-09-12T14:31:00Z">
        <w:r>
          <w:rPr>
            <w:vertAlign w:val="superscript"/>
          </w:rPr>
          <w:t>6</w:t>
        </w:r>
      </w:ins>
      <w:r>
        <w:tab/>
        <w:t xml:space="preserve">Now known as the </w:t>
      </w:r>
      <w:r>
        <w:rPr>
          <w:i/>
          <w:iCs/>
        </w:rPr>
        <w:t>Road Traffic (Licensing) Regulations 1975</w:t>
      </w:r>
      <w:r>
        <w:t>; citation changed (see note under r. 1).</w:t>
      </w:r>
    </w:p>
    <w:p>
      <w:pPr>
        <w:pStyle w:val="nSubsection"/>
        <w:spacing w:before="100"/>
      </w:pPr>
      <w:del w:id="314" w:author="Master Repository Process" w:date="2021-09-12T14:31:00Z">
        <w:r>
          <w:rPr>
            <w:vertAlign w:val="superscript"/>
          </w:rPr>
          <w:delText>8</w:delText>
        </w:r>
      </w:del>
      <w:ins w:id="315" w:author="Master Repository Process" w:date="2021-09-12T14:31:00Z">
        <w:r>
          <w:rPr>
            <w:vertAlign w:val="superscript"/>
          </w:rPr>
          <w:t>7</w:t>
        </w:r>
      </w:ins>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00"/>
        <w:rPr>
          <w:snapToGrid w:val="0"/>
        </w:rPr>
      </w:pPr>
      <w:del w:id="316" w:author="Master Repository Process" w:date="2021-09-12T14:31:00Z">
        <w:r>
          <w:rPr>
            <w:snapToGrid w:val="0"/>
            <w:vertAlign w:val="superscript"/>
          </w:rPr>
          <w:delText>9</w:delText>
        </w:r>
      </w:del>
      <w:ins w:id="317" w:author="Master Repository Process" w:date="2021-09-12T14:31:00Z">
        <w:r>
          <w:rPr>
            <w:snapToGrid w:val="0"/>
            <w:vertAlign w:val="superscript"/>
          </w:rPr>
          <w:t>8</w:t>
        </w:r>
      </w:ins>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spacing w:before="100"/>
        <w:rPr>
          <w:snapToGrid w:val="0"/>
        </w:rPr>
      </w:pPr>
      <w:del w:id="318" w:author="Master Repository Process" w:date="2021-09-12T14:31:00Z">
        <w:r>
          <w:rPr>
            <w:snapToGrid w:val="0"/>
            <w:vertAlign w:val="superscript"/>
          </w:rPr>
          <w:delText>10</w:delText>
        </w:r>
      </w:del>
      <w:ins w:id="319" w:author="Master Repository Process" w:date="2021-09-12T14:31:00Z">
        <w:r>
          <w:rPr>
            <w:snapToGrid w:val="0"/>
            <w:vertAlign w:val="superscript"/>
          </w:rPr>
          <w:t>9</w:t>
        </w:r>
      </w:ins>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spacing w:before="100"/>
      </w:pPr>
      <w:del w:id="320" w:author="Master Repository Process" w:date="2021-09-12T14:31:00Z">
        <w:r>
          <w:rPr>
            <w:vertAlign w:val="superscript"/>
          </w:rPr>
          <w:delText>11</w:delText>
        </w:r>
      </w:del>
      <w:ins w:id="321" w:author="Master Repository Process" w:date="2021-09-12T14:31:00Z">
        <w:r>
          <w:rPr>
            <w:vertAlign w:val="superscript"/>
          </w:rPr>
          <w:t>10</w:t>
        </w:r>
      </w:ins>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100"/>
      </w:pPr>
      <w:del w:id="322" w:author="Master Repository Process" w:date="2021-09-12T14:31:00Z">
        <w:r>
          <w:rPr>
            <w:vertAlign w:val="superscript"/>
          </w:rPr>
          <w:delText>12</w:delText>
        </w:r>
      </w:del>
      <w:ins w:id="323" w:author="Master Repository Process" w:date="2021-09-12T14:31:00Z">
        <w:r>
          <w:rPr>
            <w:vertAlign w:val="superscript"/>
          </w:rPr>
          <w:t>11</w:t>
        </w:r>
      </w:ins>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rPr>
          <w:del w:id="324" w:author="Master Repository Process" w:date="2021-09-12T14:31:00Z"/>
        </w:rPr>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 w:numId="26">
    <w:abstractNumId w:val="27"/>
  </w:num>
  <w:num w:numId="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901082839"/>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 w:name="WAFER_20140212162612" w:val="RemoveTocBookmarks,RemoveUnusedBookmarks,RemoveLanguageTags,UsedStyles,ResetPageSize,UpdateArrangement"/>
    <w:docVar w:name="WAFER_20140212162612_GUID" w:val="a5f02c14-6f8c-4baf-96c1-098da65372f1"/>
    <w:docVar w:name="WAFER_20140901082825" w:val="RemoveTocBookmarks,RemoveUnusedBookmarks,RemoveLanguageTags,UsedStyles,RemoveTrackChanges"/>
    <w:docVar w:name="WAFER_20140901082825_GUID" w:val="b878485a-f89a-4762-b4f4-d39715d5d84c"/>
    <w:docVar w:name="WAFER_20140901082839" w:val="RemoveTocBookmarks,RemoveLanguageTags,RemoveTrackChanges,RunningHeaders"/>
    <w:docVar w:name="WAFER_20140901082839_GUID" w:val="696ff60e-76e1-41be-bcd0-d63a44d19a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55307E9-4A5C-4E17-B843-542FA63FC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19453</Words>
  <Characters>90265</Characters>
  <Application>Microsoft Office Word</Application>
  <DocSecurity>0</DocSecurity>
  <Lines>2911</Lines>
  <Paragraphs>1637</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08-h0-00 - 09-a0-00</dc:title>
  <dc:subject/>
  <dc:creator/>
  <cp:keywords/>
  <dc:description/>
  <cp:lastModifiedBy>Master Repository Process</cp:lastModifiedBy>
  <cp:revision>2</cp:revision>
  <cp:lastPrinted>2014-10-13T06:06:00Z</cp:lastPrinted>
  <dcterms:created xsi:type="dcterms:W3CDTF">2021-09-12T06:30:00Z</dcterms:created>
  <dcterms:modified xsi:type="dcterms:W3CDTF">2021-09-12T06:31:00Z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20141017</vt:lpwstr>
  </property>
  <property fmtid="{D5CDD505-2E9C-101B-9397-08002B2CF9AE}" pid="4" name="DocumentType">
    <vt:lpwstr>Reg</vt:lpwstr>
  </property>
  <property fmtid="{D5CDD505-2E9C-101B-9397-08002B2CF9AE}" pid="5" name="OwlsUID">
    <vt:i4>4755</vt:i4>
  </property>
  <property fmtid="{D5CDD505-2E9C-101B-9397-08002B2CF9AE}" pid="6" name="ReprintNo">
    <vt:lpwstr>9</vt:lpwstr>
  </property>
  <property fmtid="{D5CDD505-2E9C-101B-9397-08002B2CF9AE}" pid="7" name="ReprintedAsAt">
    <vt:filetime>2014-10-16T16:00:00Z</vt:filetime>
  </property>
  <property fmtid="{D5CDD505-2E9C-101B-9397-08002B2CF9AE}" pid="8" name="FromSuffix">
    <vt:lpwstr>08-h0-00</vt:lpwstr>
  </property>
  <property fmtid="{D5CDD505-2E9C-101B-9397-08002B2CF9AE}" pid="9" name="FromAsAtDate">
    <vt:lpwstr>26 Sep 2014</vt:lpwstr>
  </property>
  <property fmtid="{D5CDD505-2E9C-101B-9397-08002B2CF9AE}" pid="10" name="ToSuffix">
    <vt:lpwstr>09-a0-00</vt:lpwstr>
  </property>
  <property fmtid="{D5CDD505-2E9C-101B-9397-08002B2CF9AE}" pid="11" name="ToAsAtDate">
    <vt:lpwstr>17 Oct 2014</vt:lpwstr>
  </property>
</Properties>
</file>