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07 Nov 2014</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2" w:name="_Toc400352447"/>
      <w:bookmarkStart w:id="3" w:name="_Toc400352890"/>
      <w:bookmarkStart w:id="4" w:name="_Toc403114403"/>
      <w:bookmarkStart w:id="5" w:name="_Toc403114484"/>
      <w:bookmarkStart w:id="6" w:name="_Toc403464952"/>
      <w:bookmarkStart w:id="7" w:name="_Toc404007696"/>
      <w:bookmarkStart w:id="8" w:name="_Toc413142640"/>
      <w:bookmarkStart w:id="9" w:name="_Toc413142720"/>
      <w:bookmarkStart w:id="10" w:name="_Toc40296849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04007697"/>
      <w:bookmarkStart w:id="12" w:name="_Toc413142721"/>
      <w:bookmarkStart w:id="13" w:name="_Toc402968493"/>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14" w:name="_Toc404007698"/>
      <w:bookmarkStart w:id="15" w:name="_Toc413142722"/>
      <w:bookmarkStart w:id="16" w:name="_Toc402968494"/>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7" w:name="_Toc402968495"/>
      <w:bookmarkStart w:id="18" w:name="_Toc404007699"/>
      <w:bookmarkStart w:id="19" w:name="_Toc413142723"/>
      <w:r>
        <w:rPr>
          <w:rStyle w:val="CharSectno"/>
        </w:rPr>
        <w:t>3</w:t>
      </w:r>
      <w:r>
        <w:rPr>
          <w:snapToGrid w:val="0"/>
        </w:rPr>
        <w:t>.</w:t>
      </w:r>
      <w:r>
        <w:rPr>
          <w:snapToGrid w:val="0"/>
        </w:rPr>
        <w:tab/>
      </w:r>
      <w:del w:id="20" w:author="svcMRProcess" w:date="2018-08-22T11:37:00Z">
        <w:r>
          <w:rPr>
            <w:snapToGrid w:val="0"/>
          </w:rPr>
          <w:delText>Interpretation</w:delText>
        </w:r>
        <w:bookmarkEnd w:id="17"/>
        <w:r>
          <w:rPr>
            <w:snapToGrid w:val="0"/>
          </w:rPr>
          <w:delText xml:space="preserve"> </w:delText>
        </w:r>
      </w:del>
      <w:ins w:id="21" w:author="svcMRProcess" w:date="2018-08-22T11:37:00Z">
        <w:r>
          <w:rPr>
            <w:snapToGrid w:val="0"/>
          </w:rPr>
          <w:t>Terms used</w:t>
        </w:r>
      </w:ins>
      <w:bookmarkEnd w:id="18"/>
      <w:bookmarkEnd w:id="1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ins w:id="22" w:author="svcMRProcess" w:date="2018-08-22T11:37:00Z">
        <w:r>
          <w:t xml:space="preserve"> or</w:t>
        </w:r>
      </w:ins>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rPr>
          <w:ins w:id="23" w:author="svcMRProcess" w:date="2018-08-22T11:37:00Z"/>
        </w:rPr>
      </w:pPr>
      <w:ins w:id="24" w:author="svcMRProcess" w:date="2018-08-22T11:37:00Z">
        <w:r>
          <w:tab/>
        </w:r>
        <w:r>
          <w:tab/>
          <w:t>or</w:t>
        </w:r>
      </w:ins>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ins w:id="25" w:author="svcMRProcess" w:date="2018-08-22T11:37:00Z">
        <w:r>
          <w:t xml:space="preserve"> or</w:t>
        </w:r>
      </w:ins>
    </w:p>
    <w:p>
      <w:pPr>
        <w:pStyle w:val="Defpara"/>
      </w:pPr>
      <w:r>
        <w:tab/>
        <w:t>(b)</w:t>
      </w:r>
      <w:r>
        <w:tab/>
        <w:t xml:space="preserve">a person admitted to a centre under the </w:t>
      </w:r>
      <w:r>
        <w:rPr>
          <w:i/>
        </w:rPr>
        <w:t>Alcohol and Drug Authority Act 1974</w:t>
      </w:r>
      <w:r>
        <w:t xml:space="preserve">; </w:t>
      </w:r>
      <w:ins w:id="26" w:author="svcMRProcess" w:date="2018-08-22T11:37:00Z">
        <w:r>
          <w:t>or</w:t>
        </w:r>
      </w:ins>
    </w:p>
    <w:p>
      <w:pPr>
        <w:pStyle w:val="Defpara"/>
      </w:pPr>
      <w:r>
        <w:tab/>
        <w:t>(c)</w:t>
      </w:r>
      <w:r>
        <w:tab/>
        <w:t xml:space="preserve">a person who is an involuntary patient within the meaning of the </w:t>
      </w:r>
      <w:r>
        <w:rPr>
          <w:i/>
        </w:rPr>
        <w:t>Mental Health Act 1996</w:t>
      </w:r>
      <w:r>
        <w:t>, 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w:t>
      </w:r>
      <w:ins w:id="27" w:author="svcMRProcess" w:date="2018-08-22T11:37:00Z">
        <w:r>
          <w:t xml:space="preserve"> or</w:t>
        </w:r>
      </w:ins>
    </w:p>
    <w:p>
      <w:pPr>
        <w:pStyle w:val="Defpara"/>
      </w:pPr>
      <w:r>
        <w:tab/>
        <w:t>(b)</w:t>
      </w:r>
      <w:r>
        <w:tab/>
        <w:t>that occurs during an anaesthetic;</w:t>
      </w:r>
      <w:ins w:id="28" w:author="svcMRProcess" w:date="2018-08-22T11:37:00Z">
        <w:r>
          <w:t xml:space="preserve"> or</w:t>
        </w:r>
      </w:ins>
    </w:p>
    <w:p>
      <w:pPr>
        <w:pStyle w:val="Defpara"/>
      </w:pPr>
      <w:r>
        <w:tab/>
        <w:t>(c)</w:t>
      </w:r>
      <w:r>
        <w:tab/>
        <w:t>that occurs as a result of an anaesthetic and is not due to natural causes;</w:t>
      </w:r>
      <w:ins w:id="29" w:author="svcMRProcess" w:date="2018-08-22T11:37:00Z">
        <w:r>
          <w:t xml:space="preserve"> or</w:t>
        </w:r>
      </w:ins>
    </w:p>
    <w:p>
      <w:pPr>
        <w:pStyle w:val="Defpara"/>
      </w:pPr>
      <w:r>
        <w:tab/>
        <w:t>(d)</w:t>
      </w:r>
      <w:r>
        <w:tab/>
        <w:t>that occurs in prescribed circumstances;</w:t>
      </w:r>
      <w:ins w:id="30" w:author="svcMRProcess" w:date="2018-08-22T11:37:00Z">
        <w:r>
          <w:t xml:space="preserve"> or</w:t>
        </w:r>
      </w:ins>
    </w:p>
    <w:p>
      <w:pPr>
        <w:pStyle w:val="Defpara"/>
      </w:pPr>
      <w:r>
        <w:tab/>
        <w:t>(e)</w:t>
      </w:r>
      <w:r>
        <w:tab/>
        <w:t>of a person who immediately before death was a person held in care;</w:t>
      </w:r>
      <w:ins w:id="31" w:author="svcMRProcess" w:date="2018-08-22T11:37:00Z">
        <w:r>
          <w:t xml:space="preserve"> or</w:t>
        </w:r>
      </w:ins>
    </w:p>
    <w:p>
      <w:pPr>
        <w:pStyle w:val="Defpara"/>
      </w:pPr>
      <w:r>
        <w:tab/>
        <w:t>(f)</w:t>
      </w:r>
      <w:r>
        <w:tab/>
        <w:t>that appears to have been caused or contributed to while the person was held in care;</w:t>
      </w:r>
      <w:ins w:id="32" w:author="svcMRProcess" w:date="2018-08-22T11:37:00Z">
        <w:r>
          <w:t xml:space="preserve"> or</w:t>
        </w:r>
      </w:ins>
    </w:p>
    <w:p>
      <w:pPr>
        <w:pStyle w:val="Defpara"/>
      </w:pPr>
      <w:r>
        <w:tab/>
        <w:t>(g)</w:t>
      </w:r>
      <w:r>
        <w:tab/>
        <w:t>that appears to have been caused or contributed to by any action of a member of the Police Force;</w:t>
      </w:r>
      <w:ins w:id="33" w:author="svcMRProcess" w:date="2018-08-22T11:37:00Z">
        <w:r>
          <w:t xml:space="preserve"> or</w:t>
        </w:r>
      </w:ins>
    </w:p>
    <w:p>
      <w:pPr>
        <w:pStyle w:val="Defpara"/>
      </w:pPr>
      <w:r>
        <w:tab/>
        <w:t>(h)</w:t>
      </w:r>
      <w:r>
        <w:tab/>
        <w:t>of a person whose identity is unknown;</w:t>
      </w:r>
      <w:ins w:id="34" w:author="svcMRProcess" w:date="2018-08-22T11:37:00Z">
        <w:r>
          <w:t xml:space="preserve"> or</w:t>
        </w:r>
      </w:ins>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w:t>
      </w:r>
      <w:ins w:id="35" w:author="svcMRProcess" w:date="2018-08-22T11:37:00Z">
        <w:r>
          <w:t xml:space="preserve"> or</w:t>
        </w:r>
      </w:ins>
    </w:p>
    <w:p>
      <w:pPr>
        <w:pStyle w:val="Defpara"/>
      </w:pPr>
      <w:r>
        <w:tab/>
        <w:t>(b)</w:t>
      </w:r>
      <w:r>
        <w:tab/>
        <w:t>where the body is in Western Australia;</w:t>
      </w:r>
      <w:ins w:id="36" w:author="svcMRProcess" w:date="2018-08-22T11:37:00Z">
        <w:r>
          <w:t xml:space="preserve"> or</w:t>
        </w:r>
      </w:ins>
    </w:p>
    <w:p>
      <w:pPr>
        <w:pStyle w:val="Defpara"/>
      </w:pPr>
      <w:r>
        <w:tab/>
        <w:t>(c)</w:t>
      </w:r>
      <w:r>
        <w:tab/>
        <w:t>the cause of which occurred in Western Australia;</w:t>
      </w:r>
      <w:ins w:id="37" w:author="svcMRProcess" w:date="2018-08-22T11:37:00Z">
        <w:r>
          <w:t xml:space="preserve"> or</w:t>
        </w:r>
      </w:ins>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 xml:space="preserve">No. 34 of 2004 </w:t>
      </w:r>
      <w:del w:id="38" w:author="svcMRProcess" w:date="2018-08-22T11:37:00Z">
        <w:r>
          <w:rPr>
            <w:spacing w:val="-6"/>
          </w:rPr>
          <w:delText>s. </w:delText>
        </w:r>
        <w:r>
          <w:delText>251</w:delText>
        </w:r>
      </w:del>
      <w:ins w:id="39" w:author="svcMRProcess" w:date="2018-08-22T11:37:00Z">
        <w:r>
          <w:rPr>
            <w:spacing w:val="-6"/>
          </w:rPr>
          <w:t>Sch. 2 cl. 6</w:t>
        </w:r>
      </w:ins>
      <w:r>
        <w:t xml:space="preserve">; No. 59 of 2004 s. 76; No. 22 of 2008 </w:t>
      </w:r>
      <w:del w:id="40" w:author="svcMRProcess" w:date="2018-08-22T11:37:00Z">
        <w:r>
          <w:delText>s. 162</w:delText>
        </w:r>
      </w:del>
      <w:ins w:id="41" w:author="svcMRProcess" w:date="2018-08-22T11:37:00Z">
        <w:r>
          <w:t>Sch. 3 cl. 10</w:t>
        </w:r>
      </w:ins>
      <w:r>
        <w:t>; No. 35 of 2010 s. 46.]</w:t>
      </w:r>
    </w:p>
    <w:p>
      <w:pPr>
        <w:pStyle w:val="Heading5"/>
        <w:rPr>
          <w:snapToGrid w:val="0"/>
        </w:rPr>
      </w:pPr>
      <w:bookmarkStart w:id="42" w:name="_Toc404007700"/>
      <w:bookmarkStart w:id="43" w:name="_Toc413142724"/>
      <w:bookmarkStart w:id="44" w:name="_Toc402968496"/>
      <w:r>
        <w:rPr>
          <w:rStyle w:val="CharSectno"/>
        </w:rPr>
        <w:t>4</w:t>
      </w:r>
      <w:r>
        <w:rPr>
          <w:snapToGrid w:val="0"/>
        </w:rPr>
        <w:t>.</w:t>
      </w:r>
      <w:r>
        <w:rPr>
          <w:snapToGrid w:val="0"/>
        </w:rPr>
        <w:tab/>
        <w:t>Common law rules to cease to have effect</w:t>
      </w:r>
      <w:bookmarkEnd w:id="42"/>
      <w:bookmarkEnd w:id="43"/>
      <w:bookmarkEnd w:id="44"/>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45" w:name="_Toc400352452"/>
      <w:bookmarkStart w:id="46" w:name="_Toc400352895"/>
      <w:bookmarkStart w:id="47" w:name="_Toc403114408"/>
      <w:bookmarkStart w:id="48" w:name="_Toc403114489"/>
      <w:bookmarkStart w:id="49" w:name="_Toc403464957"/>
      <w:bookmarkStart w:id="50" w:name="_Toc404007701"/>
      <w:bookmarkStart w:id="51" w:name="_Toc413142645"/>
      <w:bookmarkStart w:id="52" w:name="_Toc413142725"/>
      <w:bookmarkStart w:id="53" w:name="_Toc402968497"/>
      <w:r>
        <w:rPr>
          <w:rStyle w:val="CharPartNo"/>
        </w:rPr>
        <w:t>Part 2</w:t>
      </w:r>
      <w:r>
        <w:t> — </w:t>
      </w:r>
      <w:r>
        <w:rPr>
          <w:rStyle w:val="CharPartText"/>
        </w:rPr>
        <w:t>Coroners and Coroner’s court</w:t>
      </w:r>
      <w:bookmarkEnd w:id="45"/>
      <w:bookmarkEnd w:id="46"/>
      <w:bookmarkEnd w:id="47"/>
      <w:bookmarkEnd w:id="48"/>
      <w:bookmarkEnd w:id="49"/>
      <w:bookmarkEnd w:id="50"/>
      <w:bookmarkEnd w:id="51"/>
      <w:bookmarkEnd w:id="52"/>
      <w:bookmarkEnd w:id="53"/>
      <w:r>
        <w:rPr>
          <w:rStyle w:val="CharPartText"/>
        </w:rPr>
        <w:t xml:space="preserve"> </w:t>
      </w:r>
    </w:p>
    <w:p>
      <w:pPr>
        <w:pStyle w:val="Heading3"/>
        <w:rPr>
          <w:snapToGrid w:val="0"/>
        </w:rPr>
      </w:pPr>
      <w:bookmarkStart w:id="54" w:name="_Toc400352453"/>
      <w:bookmarkStart w:id="55" w:name="_Toc400352896"/>
      <w:bookmarkStart w:id="56" w:name="_Toc403114409"/>
      <w:bookmarkStart w:id="57" w:name="_Toc403114490"/>
      <w:bookmarkStart w:id="58" w:name="_Toc403464958"/>
      <w:bookmarkStart w:id="59" w:name="_Toc404007702"/>
      <w:bookmarkStart w:id="60" w:name="_Toc413142646"/>
      <w:bookmarkStart w:id="61" w:name="_Toc413142726"/>
      <w:bookmarkStart w:id="62" w:name="_Toc402968498"/>
      <w:r>
        <w:rPr>
          <w:rStyle w:val="CharDivNo"/>
        </w:rPr>
        <w:t>Division 1</w:t>
      </w:r>
      <w:r>
        <w:rPr>
          <w:snapToGrid w:val="0"/>
        </w:rPr>
        <w:t> — </w:t>
      </w:r>
      <w:r>
        <w:rPr>
          <w:rStyle w:val="CharDivText"/>
        </w:rPr>
        <w:t>Coroner’s court</w:t>
      </w:r>
      <w:bookmarkEnd w:id="54"/>
      <w:bookmarkEnd w:id="55"/>
      <w:bookmarkEnd w:id="56"/>
      <w:bookmarkEnd w:id="57"/>
      <w:bookmarkEnd w:id="58"/>
      <w:bookmarkEnd w:id="59"/>
      <w:bookmarkEnd w:id="60"/>
      <w:bookmarkEnd w:id="61"/>
      <w:bookmarkEnd w:id="62"/>
      <w:r>
        <w:rPr>
          <w:rStyle w:val="CharDivText"/>
        </w:rPr>
        <w:t xml:space="preserve"> </w:t>
      </w:r>
    </w:p>
    <w:p>
      <w:pPr>
        <w:pStyle w:val="Heading5"/>
        <w:rPr>
          <w:snapToGrid w:val="0"/>
        </w:rPr>
      </w:pPr>
      <w:bookmarkStart w:id="63" w:name="_Toc404007703"/>
      <w:bookmarkStart w:id="64" w:name="_Toc413142727"/>
      <w:bookmarkStart w:id="65" w:name="_Toc402968499"/>
      <w:r>
        <w:rPr>
          <w:rStyle w:val="CharSectno"/>
        </w:rPr>
        <w:t>5</w:t>
      </w:r>
      <w:r>
        <w:rPr>
          <w:snapToGrid w:val="0"/>
        </w:rPr>
        <w:t>.</w:t>
      </w:r>
      <w:r>
        <w:rPr>
          <w:snapToGrid w:val="0"/>
        </w:rPr>
        <w:tab/>
        <w:t>Establishment of court</w:t>
      </w:r>
      <w:bookmarkEnd w:id="63"/>
      <w:bookmarkEnd w:id="64"/>
      <w:bookmarkEnd w:id="65"/>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66" w:name="_Toc400352455"/>
      <w:bookmarkStart w:id="67" w:name="_Toc400352898"/>
      <w:bookmarkStart w:id="68" w:name="_Toc403114411"/>
      <w:bookmarkStart w:id="69" w:name="_Toc403114492"/>
      <w:bookmarkStart w:id="70" w:name="_Toc403464960"/>
      <w:bookmarkStart w:id="71" w:name="_Toc404007704"/>
      <w:bookmarkStart w:id="72" w:name="_Toc413142648"/>
      <w:bookmarkStart w:id="73" w:name="_Toc413142728"/>
      <w:bookmarkStart w:id="74" w:name="_Toc402968500"/>
      <w:r>
        <w:rPr>
          <w:rStyle w:val="CharDivNo"/>
        </w:rPr>
        <w:t>Division 2</w:t>
      </w:r>
      <w:r>
        <w:rPr>
          <w:snapToGrid w:val="0"/>
        </w:rPr>
        <w:t> — </w:t>
      </w:r>
      <w:r>
        <w:rPr>
          <w:rStyle w:val="CharDivText"/>
        </w:rPr>
        <w:t>State Coroner and other coroners</w:t>
      </w:r>
      <w:bookmarkEnd w:id="66"/>
      <w:bookmarkEnd w:id="67"/>
      <w:bookmarkEnd w:id="68"/>
      <w:bookmarkEnd w:id="69"/>
      <w:bookmarkEnd w:id="70"/>
      <w:bookmarkEnd w:id="71"/>
      <w:bookmarkEnd w:id="72"/>
      <w:bookmarkEnd w:id="73"/>
      <w:bookmarkEnd w:id="74"/>
    </w:p>
    <w:p>
      <w:pPr>
        <w:pStyle w:val="Heading5"/>
        <w:rPr>
          <w:snapToGrid w:val="0"/>
        </w:rPr>
      </w:pPr>
      <w:bookmarkStart w:id="75" w:name="_Toc404007705"/>
      <w:bookmarkStart w:id="76" w:name="_Toc413142729"/>
      <w:bookmarkStart w:id="77" w:name="_Toc402968501"/>
      <w:r>
        <w:rPr>
          <w:rStyle w:val="CharSectno"/>
        </w:rPr>
        <w:t>6</w:t>
      </w:r>
      <w:r>
        <w:rPr>
          <w:snapToGrid w:val="0"/>
        </w:rPr>
        <w:t>.</w:t>
      </w:r>
      <w:r>
        <w:rPr>
          <w:snapToGrid w:val="0"/>
        </w:rPr>
        <w:tab/>
        <w:t>State Coroner</w:t>
      </w:r>
      <w:bookmarkEnd w:id="75"/>
      <w:bookmarkEnd w:id="76"/>
      <w:bookmarkEnd w:id="77"/>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 xml:space="preserve">In the exercise of that office the State Coroner has the same protection and immunity as a </w:t>
      </w:r>
      <w:del w:id="78" w:author="svcMRProcess" w:date="2018-08-22T11:37:00Z">
        <w:r>
          <w:rPr>
            <w:snapToGrid w:val="0"/>
          </w:rPr>
          <w:delText>Judge</w:delText>
        </w:r>
      </w:del>
      <w:ins w:id="79" w:author="svcMRProcess" w:date="2018-08-22T11:37:00Z">
        <w:r>
          <w:rPr>
            <w:snapToGrid w:val="0"/>
          </w:rPr>
          <w:t>judge</w:t>
        </w:r>
      </w:ins>
      <w:r>
        <w:rPr>
          <w:snapToGrid w:val="0"/>
        </w:rPr>
        <w:t xml:space="preserv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80" w:name="_Toc404007706"/>
      <w:bookmarkStart w:id="81" w:name="_Toc413142730"/>
      <w:bookmarkStart w:id="82" w:name="_Toc402968502"/>
      <w:r>
        <w:rPr>
          <w:rStyle w:val="CharSectno"/>
        </w:rPr>
        <w:t>7</w:t>
      </w:r>
      <w:r>
        <w:t>.</w:t>
      </w:r>
      <w:r>
        <w:tab/>
        <w:t>Deputy State Coroner</w:t>
      </w:r>
      <w:bookmarkEnd w:id="80"/>
      <w:bookmarkEnd w:id="81"/>
      <w:bookmarkEnd w:id="82"/>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 xml:space="preserve">In the exercise of that office the Deputy State Coroner has the same protection and immunity as a </w:t>
      </w:r>
      <w:del w:id="83" w:author="svcMRProcess" w:date="2018-08-22T11:37:00Z">
        <w:r>
          <w:delText>Judge</w:delText>
        </w:r>
      </w:del>
      <w:ins w:id="84" w:author="svcMRProcess" w:date="2018-08-22T11:37:00Z">
        <w:r>
          <w:t>judge</w:t>
        </w:r>
      </w:ins>
      <w:r>
        <w:t xml:space="preserv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85" w:name="_Toc404007707"/>
      <w:bookmarkStart w:id="86" w:name="_Toc413142731"/>
      <w:bookmarkStart w:id="87" w:name="_Toc402968503"/>
      <w:r>
        <w:rPr>
          <w:rStyle w:val="CharSectno"/>
        </w:rPr>
        <w:t>7A</w:t>
      </w:r>
      <w:r>
        <w:t>.</w:t>
      </w:r>
      <w:r>
        <w:tab/>
        <w:t>Acting Deputy State Coroner</w:t>
      </w:r>
      <w:bookmarkEnd w:id="85"/>
      <w:bookmarkEnd w:id="86"/>
      <w:bookmarkEnd w:id="87"/>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88" w:name="_Toc404007708"/>
      <w:bookmarkStart w:id="89" w:name="_Toc413142732"/>
      <w:bookmarkStart w:id="90" w:name="_Toc402968504"/>
      <w:r>
        <w:rPr>
          <w:rStyle w:val="CharSectno"/>
        </w:rPr>
        <w:t>8</w:t>
      </w:r>
      <w:r>
        <w:rPr>
          <w:snapToGrid w:val="0"/>
        </w:rPr>
        <w:t>.</w:t>
      </w:r>
      <w:r>
        <w:rPr>
          <w:snapToGrid w:val="0"/>
        </w:rPr>
        <w:tab/>
        <w:t>Functions of State Coroner</w:t>
      </w:r>
      <w:bookmarkEnd w:id="88"/>
      <w:bookmarkEnd w:id="89"/>
      <w:bookmarkEnd w:id="90"/>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91" w:name="_Toc404007709"/>
      <w:bookmarkStart w:id="92" w:name="_Toc413142733"/>
      <w:bookmarkStart w:id="93" w:name="_Toc402968505"/>
      <w:r>
        <w:rPr>
          <w:rStyle w:val="CharSectno"/>
        </w:rPr>
        <w:t>9</w:t>
      </w:r>
      <w:r>
        <w:rPr>
          <w:snapToGrid w:val="0"/>
        </w:rPr>
        <w:t>.</w:t>
      </w:r>
      <w:r>
        <w:rPr>
          <w:snapToGrid w:val="0"/>
        </w:rPr>
        <w:tab/>
        <w:t>Oath of office</w:t>
      </w:r>
      <w:bookmarkEnd w:id="91"/>
      <w:bookmarkEnd w:id="92"/>
      <w:bookmarkEnd w:id="93"/>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w:t>
      </w:r>
      <w:del w:id="94" w:author="svcMRProcess" w:date="2018-08-22T11:37:00Z">
        <w:r>
          <w:rPr>
            <w:snapToGrid w:val="0"/>
          </w:rPr>
          <w:delText>Judge</w:delText>
        </w:r>
      </w:del>
      <w:ins w:id="95" w:author="svcMRProcess" w:date="2018-08-22T11:37:00Z">
        <w:r>
          <w:rPr>
            <w:snapToGrid w:val="0"/>
          </w:rPr>
          <w:t>judge</w:t>
        </w:r>
      </w:ins>
      <w:r>
        <w:rPr>
          <w:snapToGrid w:val="0"/>
        </w:rPr>
        <w:t xml:space="preserve"> of the Supreme Court, an oath or affirmation of office in accordance with the appropriate prescribed form. </w:t>
      </w:r>
    </w:p>
    <w:p>
      <w:pPr>
        <w:pStyle w:val="Heading5"/>
        <w:rPr>
          <w:snapToGrid w:val="0"/>
        </w:rPr>
      </w:pPr>
      <w:bookmarkStart w:id="96" w:name="_Toc404007710"/>
      <w:bookmarkStart w:id="97" w:name="_Toc413142734"/>
      <w:bookmarkStart w:id="98" w:name="_Toc402968506"/>
      <w:r>
        <w:rPr>
          <w:rStyle w:val="CharSectno"/>
        </w:rPr>
        <w:t>10</w:t>
      </w:r>
      <w:r>
        <w:rPr>
          <w:snapToGrid w:val="0"/>
        </w:rPr>
        <w:t>.</w:t>
      </w:r>
      <w:r>
        <w:rPr>
          <w:snapToGrid w:val="0"/>
        </w:rPr>
        <w:tab/>
        <w:t>Delegation</w:t>
      </w:r>
      <w:bookmarkEnd w:id="96"/>
      <w:bookmarkEnd w:id="97"/>
      <w:bookmarkEnd w:id="98"/>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99" w:name="_Toc404007711"/>
      <w:bookmarkStart w:id="100" w:name="_Toc413142735"/>
      <w:bookmarkStart w:id="101" w:name="_Toc402968507"/>
      <w:r>
        <w:rPr>
          <w:rStyle w:val="CharSectno"/>
        </w:rPr>
        <w:t>11</w:t>
      </w:r>
      <w:r>
        <w:rPr>
          <w:snapToGrid w:val="0"/>
        </w:rPr>
        <w:t>.</w:t>
      </w:r>
      <w:r>
        <w:rPr>
          <w:snapToGrid w:val="0"/>
        </w:rPr>
        <w:tab/>
        <w:t>Coroners</w:t>
      </w:r>
      <w:bookmarkEnd w:id="99"/>
      <w:bookmarkEnd w:id="100"/>
      <w:bookmarkEnd w:id="101"/>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 xml:space="preserve">In the exercise of that office, a coroner has the same protection and immunity as a </w:t>
      </w:r>
      <w:del w:id="102" w:author="svcMRProcess" w:date="2018-08-22T11:37:00Z">
        <w:r>
          <w:delText>Judge</w:delText>
        </w:r>
      </w:del>
      <w:ins w:id="103" w:author="svcMRProcess" w:date="2018-08-22T11:37:00Z">
        <w:r>
          <w:t>judge</w:t>
        </w:r>
      </w:ins>
      <w:r>
        <w:t xml:space="preserve"> has in respect of proceedings in the Supreme Court.</w:t>
      </w:r>
    </w:p>
    <w:p>
      <w:pPr>
        <w:pStyle w:val="Footnotesection"/>
      </w:pPr>
      <w:r>
        <w:tab/>
        <w:t>[Section 11 amended by No. 15 of 2003 s. 5.]</w:t>
      </w:r>
    </w:p>
    <w:p>
      <w:pPr>
        <w:pStyle w:val="Heading3"/>
        <w:spacing w:before="600"/>
        <w:rPr>
          <w:snapToGrid w:val="0"/>
        </w:rPr>
      </w:pPr>
      <w:bookmarkStart w:id="104" w:name="_Toc400352463"/>
      <w:bookmarkStart w:id="105" w:name="_Toc400352906"/>
      <w:bookmarkStart w:id="106" w:name="_Toc403114419"/>
      <w:bookmarkStart w:id="107" w:name="_Toc403114500"/>
      <w:bookmarkStart w:id="108" w:name="_Toc403464968"/>
      <w:bookmarkStart w:id="109" w:name="_Toc404007712"/>
      <w:bookmarkStart w:id="110" w:name="_Toc413142656"/>
      <w:bookmarkStart w:id="111" w:name="_Toc413142736"/>
      <w:bookmarkStart w:id="112" w:name="_Toc402968508"/>
      <w:r>
        <w:rPr>
          <w:rStyle w:val="CharDivNo"/>
        </w:rPr>
        <w:t>Division 3</w:t>
      </w:r>
      <w:r>
        <w:rPr>
          <w:snapToGrid w:val="0"/>
        </w:rPr>
        <w:t> — </w:t>
      </w:r>
      <w:r>
        <w:rPr>
          <w:rStyle w:val="CharDivText"/>
        </w:rPr>
        <w:t>Coroner’s registrars and investigators</w:t>
      </w:r>
      <w:bookmarkEnd w:id="104"/>
      <w:bookmarkEnd w:id="105"/>
      <w:bookmarkEnd w:id="106"/>
      <w:bookmarkEnd w:id="107"/>
      <w:bookmarkEnd w:id="108"/>
      <w:bookmarkEnd w:id="109"/>
      <w:bookmarkEnd w:id="110"/>
      <w:bookmarkEnd w:id="111"/>
      <w:bookmarkEnd w:id="112"/>
      <w:r>
        <w:rPr>
          <w:rStyle w:val="CharDivText"/>
        </w:rPr>
        <w:t xml:space="preserve"> </w:t>
      </w:r>
    </w:p>
    <w:p>
      <w:pPr>
        <w:pStyle w:val="Footnoteheading"/>
      </w:pPr>
      <w:r>
        <w:tab/>
        <w:t>[Heading amended by No. 59 of 2004 s. 76.]</w:t>
      </w:r>
    </w:p>
    <w:p>
      <w:pPr>
        <w:pStyle w:val="Heading5"/>
      </w:pPr>
      <w:bookmarkStart w:id="113" w:name="_Toc404007713"/>
      <w:bookmarkStart w:id="114" w:name="_Toc413142737"/>
      <w:bookmarkStart w:id="115" w:name="_Toc402968509"/>
      <w:r>
        <w:rPr>
          <w:rStyle w:val="CharSectno"/>
        </w:rPr>
        <w:t>12</w:t>
      </w:r>
      <w:r>
        <w:t>.</w:t>
      </w:r>
      <w:r>
        <w:tab/>
        <w:t>Coroner’s registrars</w:t>
      </w:r>
      <w:bookmarkEnd w:id="113"/>
      <w:bookmarkEnd w:id="114"/>
      <w:bookmarkEnd w:id="115"/>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16" w:name="_Toc404007714"/>
      <w:bookmarkStart w:id="117" w:name="_Toc413142738"/>
      <w:bookmarkStart w:id="118" w:name="_Toc402968510"/>
      <w:r>
        <w:rPr>
          <w:rStyle w:val="CharSectno"/>
        </w:rPr>
        <w:t>13</w:t>
      </w:r>
      <w:r>
        <w:rPr>
          <w:snapToGrid w:val="0"/>
        </w:rPr>
        <w:t>.</w:t>
      </w:r>
      <w:r>
        <w:rPr>
          <w:snapToGrid w:val="0"/>
        </w:rPr>
        <w:tab/>
        <w:t xml:space="preserve">Functions of coroner’s </w:t>
      </w:r>
      <w:r>
        <w:t>registrars</w:t>
      </w:r>
      <w:bookmarkEnd w:id="116"/>
      <w:bookmarkEnd w:id="117"/>
      <w:bookmarkEnd w:id="118"/>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ins w:id="119" w:author="svcMRProcess" w:date="2018-08-22T11:37:00Z">
        <w:r>
          <w:rPr>
            <w:snapToGrid w:val="0"/>
          </w:rPr>
          <w:t xml:space="preserve"> and</w:t>
        </w:r>
      </w:ins>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20" w:name="_Toc404007715"/>
      <w:bookmarkStart w:id="121" w:name="_Toc413142739"/>
      <w:bookmarkStart w:id="122" w:name="_Toc402968511"/>
      <w:r>
        <w:rPr>
          <w:rStyle w:val="CharSectno"/>
        </w:rPr>
        <w:t>14</w:t>
      </w:r>
      <w:r>
        <w:rPr>
          <w:snapToGrid w:val="0"/>
        </w:rPr>
        <w:t>.</w:t>
      </w:r>
      <w:r>
        <w:rPr>
          <w:snapToGrid w:val="0"/>
        </w:rPr>
        <w:tab/>
        <w:t>Appointment of coroner’s investigators</w:t>
      </w:r>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23" w:name="_Toc404007716"/>
      <w:bookmarkStart w:id="124" w:name="_Toc413142740"/>
      <w:bookmarkStart w:id="125" w:name="_Toc402968512"/>
      <w:r>
        <w:rPr>
          <w:rStyle w:val="CharSectno"/>
        </w:rPr>
        <w:t>15</w:t>
      </w:r>
      <w:r>
        <w:rPr>
          <w:snapToGrid w:val="0"/>
        </w:rPr>
        <w:t>.</w:t>
      </w:r>
      <w:r>
        <w:rPr>
          <w:snapToGrid w:val="0"/>
        </w:rPr>
        <w:tab/>
        <w:t>Affidavits</w:t>
      </w:r>
      <w:bookmarkEnd w:id="123"/>
      <w:bookmarkEnd w:id="124"/>
      <w:bookmarkEnd w:id="125"/>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26" w:name="_Toc400352468"/>
      <w:bookmarkStart w:id="127" w:name="_Toc400352911"/>
      <w:bookmarkStart w:id="128" w:name="_Toc403114424"/>
      <w:bookmarkStart w:id="129" w:name="_Toc403114505"/>
      <w:bookmarkStart w:id="130" w:name="_Toc403464973"/>
      <w:bookmarkStart w:id="131" w:name="_Toc404007717"/>
      <w:bookmarkStart w:id="132" w:name="_Toc413142661"/>
      <w:bookmarkStart w:id="133" w:name="_Toc413142741"/>
      <w:bookmarkStart w:id="134" w:name="_Toc402968513"/>
      <w:r>
        <w:rPr>
          <w:rStyle w:val="CharDivNo"/>
        </w:rPr>
        <w:t>Division 4</w:t>
      </w:r>
      <w:r>
        <w:rPr>
          <w:snapToGrid w:val="0"/>
        </w:rPr>
        <w:t> — </w:t>
      </w:r>
      <w:r>
        <w:rPr>
          <w:rStyle w:val="CharDivText"/>
        </w:rPr>
        <w:t>Counselling</w:t>
      </w:r>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404007718"/>
      <w:bookmarkStart w:id="136" w:name="_Toc413142742"/>
      <w:bookmarkStart w:id="137" w:name="_Toc402968514"/>
      <w:r>
        <w:rPr>
          <w:rStyle w:val="CharSectno"/>
        </w:rPr>
        <w:t>16</w:t>
      </w:r>
      <w:r>
        <w:rPr>
          <w:snapToGrid w:val="0"/>
        </w:rPr>
        <w:t>.</w:t>
      </w:r>
      <w:r>
        <w:rPr>
          <w:snapToGrid w:val="0"/>
        </w:rPr>
        <w:tab/>
        <w:t>Counselling</w:t>
      </w:r>
      <w:bookmarkEnd w:id="135"/>
      <w:bookmarkEnd w:id="136"/>
      <w:bookmarkEnd w:id="137"/>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38" w:name="_Toc400352470"/>
      <w:bookmarkStart w:id="139" w:name="_Toc400352913"/>
      <w:bookmarkStart w:id="140" w:name="_Toc403114426"/>
      <w:bookmarkStart w:id="141" w:name="_Toc403114507"/>
      <w:bookmarkStart w:id="142" w:name="_Toc403464975"/>
      <w:bookmarkStart w:id="143" w:name="_Toc404007719"/>
      <w:bookmarkStart w:id="144" w:name="_Toc413142663"/>
      <w:bookmarkStart w:id="145" w:name="_Toc413142743"/>
      <w:bookmarkStart w:id="146" w:name="_Toc402968515"/>
      <w:r>
        <w:rPr>
          <w:rStyle w:val="CharPartNo"/>
        </w:rPr>
        <w:t>Part 3</w:t>
      </w:r>
      <w:r>
        <w:rPr>
          <w:rStyle w:val="CharDivNo"/>
        </w:rPr>
        <w:t> </w:t>
      </w:r>
      <w:r>
        <w:t>—</w:t>
      </w:r>
      <w:r>
        <w:rPr>
          <w:rStyle w:val="CharDivText"/>
        </w:rPr>
        <w:t> </w:t>
      </w:r>
      <w:r>
        <w:rPr>
          <w:rStyle w:val="CharPartText"/>
        </w:rPr>
        <w:t>Reporting of deaths</w:t>
      </w:r>
      <w:bookmarkEnd w:id="138"/>
      <w:bookmarkEnd w:id="139"/>
      <w:bookmarkEnd w:id="140"/>
      <w:bookmarkEnd w:id="141"/>
      <w:bookmarkEnd w:id="142"/>
      <w:bookmarkEnd w:id="143"/>
      <w:bookmarkEnd w:id="144"/>
      <w:bookmarkEnd w:id="145"/>
      <w:bookmarkEnd w:id="146"/>
    </w:p>
    <w:p>
      <w:pPr>
        <w:pStyle w:val="Heading5"/>
        <w:rPr>
          <w:snapToGrid w:val="0"/>
        </w:rPr>
      </w:pPr>
      <w:bookmarkStart w:id="147" w:name="_Toc404007720"/>
      <w:bookmarkStart w:id="148" w:name="_Toc413142744"/>
      <w:bookmarkStart w:id="149" w:name="_Toc402968516"/>
      <w:r>
        <w:rPr>
          <w:rStyle w:val="CharSectno"/>
        </w:rPr>
        <w:t>17</w:t>
      </w:r>
      <w:r>
        <w:rPr>
          <w:snapToGrid w:val="0"/>
        </w:rPr>
        <w:t>.</w:t>
      </w:r>
      <w:r>
        <w:rPr>
          <w:snapToGrid w:val="0"/>
        </w:rPr>
        <w:tab/>
        <w:t>Obligation to report death</w:t>
      </w:r>
      <w:bookmarkEnd w:id="147"/>
      <w:bookmarkEnd w:id="148"/>
      <w:bookmarkEnd w:id="149"/>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ins w:id="150" w:author="svcMRProcess" w:date="2018-08-22T11:37:00Z">
        <w:r>
          <w:rPr>
            <w:snapToGrid w:val="0"/>
          </w:rPr>
          <w:t xml:space="preserve"> or</w:t>
        </w:r>
      </w:ins>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151" w:name="_Toc404007721"/>
      <w:bookmarkStart w:id="152" w:name="_Toc413142745"/>
      <w:bookmarkStart w:id="153" w:name="_Toc402968517"/>
      <w:r>
        <w:rPr>
          <w:rStyle w:val="CharSectno"/>
        </w:rPr>
        <w:t>18</w:t>
      </w:r>
      <w:r>
        <w:rPr>
          <w:snapToGrid w:val="0"/>
        </w:rPr>
        <w:t>.</w:t>
      </w:r>
      <w:r>
        <w:rPr>
          <w:snapToGrid w:val="0"/>
        </w:rPr>
        <w:tab/>
        <w:t xml:space="preserve">Information to </w:t>
      </w:r>
      <w:del w:id="154" w:author="svcMRProcess" w:date="2018-08-22T11:37:00Z">
        <w:r>
          <w:rPr>
            <w:snapToGrid w:val="0"/>
          </w:rPr>
          <w:delText>the</w:delText>
        </w:r>
      </w:del>
      <w:ins w:id="155" w:author="svcMRProcess" w:date="2018-08-22T11:37:00Z">
        <w:r>
          <w:rPr>
            <w:snapToGrid w:val="0"/>
          </w:rPr>
          <w:t>be given to</w:t>
        </w:r>
      </w:ins>
      <w:r>
        <w:rPr>
          <w:snapToGrid w:val="0"/>
        </w:rPr>
        <w:t xml:space="preserve"> coroner</w:t>
      </w:r>
      <w:bookmarkEnd w:id="151"/>
      <w:bookmarkEnd w:id="152"/>
      <w:bookmarkEnd w:id="153"/>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56" w:name="_Toc400352473"/>
      <w:bookmarkStart w:id="157" w:name="_Toc400352916"/>
      <w:bookmarkStart w:id="158" w:name="_Toc403114429"/>
      <w:bookmarkStart w:id="159" w:name="_Toc403114510"/>
      <w:bookmarkStart w:id="160" w:name="_Toc403464978"/>
      <w:bookmarkStart w:id="161" w:name="_Toc404007722"/>
      <w:bookmarkStart w:id="162" w:name="_Toc413142666"/>
      <w:bookmarkStart w:id="163" w:name="_Toc413142746"/>
      <w:bookmarkStart w:id="164" w:name="_Toc402968518"/>
      <w:r>
        <w:rPr>
          <w:rStyle w:val="CharPartNo"/>
        </w:rPr>
        <w:t>Part 4</w:t>
      </w:r>
      <w:r>
        <w:t> — </w:t>
      </w:r>
      <w:r>
        <w:rPr>
          <w:rStyle w:val="CharPartText"/>
        </w:rPr>
        <w:t>Investigation of deaths</w:t>
      </w:r>
      <w:bookmarkEnd w:id="156"/>
      <w:bookmarkEnd w:id="157"/>
      <w:bookmarkEnd w:id="158"/>
      <w:bookmarkEnd w:id="159"/>
      <w:bookmarkEnd w:id="160"/>
      <w:bookmarkEnd w:id="161"/>
      <w:bookmarkEnd w:id="162"/>
      <w:bookmarkEnd w:id="163"/>
      <w:bookmarkEnd w:id="164"/>
    </w:p>
    <w:p>
      <w:pPr>
        <w:pStyle w:val="Heading3"/>
        <w:rPr>
          <w:snapToGrid w:val="0"/>
        </w:rPr>
      </w:pPr>
      <w:bookmarkStart w:id="165" w:name="_Toc400352474"/>
      <w:bookmarkStart w:id="166" w:name="_Toc400352917"/>
      <w:bookmarkStart w:id="167" w:name="_Toc403114430"/>
      <w:bookmarkStart w:id="168" w:name="_Toc403114511"/>
      <w:bookmarkStart w:id="169" w:name="_Toc403464979"/>
      <w:bookmarkStart w:id="170" w:name="_Toc404007723"/>
      <w:bookmarkStart w:id="171" w:name="_Toc413142667"/>
      <w:bookmarkStart w:id="172" w:name="_Toc413142747"/>
      <w:bookmarkStart w:id="173" w:name="_Toc402968519"/>
      <w:r>
        <w:rPr>
          <w:rStyle w:val="CharDivNo"/>
        </w:rPr>
        <w:t>Division 1</w:t>
      </w:r>
      <w:r>
        <w:rPr>
          <w:snapToGrid w:val="0"/>
        </w:rPr>
        <w:t> — </w:t>
      </w:r>
      <w:r>
        <w:rPr>
          <w:rStyle w:val="CharDivText"/>
        </w:rPr>
        <w:t>General powers and duties of coroners</w:t>
      </w:r>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404007724"/>
      <w:bookmarkStart w:id="175" w:name="_Toc413142748"/>
      <w:bookmarkStart w:id="176" w:name="_Toc402968520"/>
      <w:r>
        <w:rPr>
          <w:rStyle w:val="CharSectno"/>
        </w:rPr>
        <w:t>19</w:t>
      </w:r>
      <w:r>
        <w:rPr>
          <w:snapToGrid w:val="0"/>
        </w:rPr>
        <w:t>.</w:t>
      </w:r>
      <w:r>
        <w:rPr>
          <w:snapToGrid w:val="0"/>
        </w:rPr>
        <w:tab/>
        <w:t xml:space="preserve">Jurisdiction of coroner to investigate </w:t>
      </w:r>
      <w:del w:id="177" w:author="svcMRProcess" w:date="2018-08-22T11:37:00Z">
        <w:r>
          <w:rPr>
            <w:snapToGrid w:val="0"/>
          </w:rPr>
          <w:delText xml:space="preserve">a </w:delText>
        </w:r>
      </w:del>
      <w:r>
        <w:rPr>
          <w:snapToGrid w:val="0"/>
        </w:rPr>
        <w:t>death</w:t>
      </w:r>
      <w:bookmarkEnd w:id="174"/>
      <w:bookmarkEnd w:id="175"/>
      <w:bookmarkEnd w:id="176"/>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178" w:name="_Toc404007725"/>
      <w:bookmarkStart w:id="179" w:name="_Toc413142749"/>
      <w:bookmarkStart w:id="180" w:name="_Toc402968521"/>
      <w:r>
        <w:rPr>
          <w:rStyle w:val="CharSectno"/>
        </w:rPr>
        <w:t>20</w:t>
      </w:r>
      <w:r>
        <w:rPr>
          <w:snapToGrid w:val="0"/>
        </w:rPr>
        <w:t>.</w:t>
      </w:r>
      <w:r>
        <w:rPr>
          <w:snapToGrid w:val="0"/>
        </w:rPr>
        <w:tab/>
        <w:t>Information to be provided to next of kin</w:t>
      </w:r>
      <w:bookmarkEnd w:id="178"/>
      <w:bookmarkEnd w:id="179"/>
      <w:bookmarkEnd w:id="180"/>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ins w:id="181" w:author="svcMRProcess" w:date="2018-08-22T11:37:00Z">
        <w:r>
          <w:rPr>
            <w:snapToGrid w:val="0"/>
          </w:rPr>
          <w:t xml:space="preserve"> and</w:t>
        </w:r>
      </w:ins>
    </w:p>
    <w:p>
      <w:pPr>
        <w:pStyle w:val="Indenta"/>
        <w:rPr>
          <w:snapToGrid w:val="0"/>
        </w:rPr>
      </w:pPr>
      <w:r>
        <w:rPr>
          <w:snapToGrid w:val="0"/>
        </w:rPr>
        <w:tab/>
        <w:t>(b)</w:t>
      </w:r>
      <w:r>
        <w:rPr>
          <w:snapToGrid w:val="0"/>
        </w:rPr>
        <w:tab/>
        <w:t>that a post mortem examination is likely to be performed on the body under section 34;</w:t>
      </w:r>
      <w:ins w:id="182" w:author="svcMRProcess" w:date="2018-08-22T11:37:00Z">
        <w:r>
          <w:rPr>
            <w:snapToGrid w:val="0"/>
          </w:rPr>
          <w:t xml:space="preserve"> and</w:t>
        </w:r>
      </w:ins>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ins w:id="183" w:author="svcMRProcess" w:date="2018-08-22T11:37:00Z">
        <w:r>
          <w:rPr>
            <w:snapToGrid w:val="0"/>
          </w:rPr>
          <w:t xml:space="preserve"> and</w:t>
        </w:r>
      </w:ins>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ins w:id="184" w:author="svcMRProcess" w:date="2018-08-22T11:37:00Z">
        <w:r>
          <w:rPr>
            <w:snapToGrid w:val="0"/>
          </w:rPr>
          <w:t xml:space="preserve"> and</w:t>
        </w:r>
      </w:ins>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ins w:id="185" w:author="svcMRProcess" w:date="2018-08-22T11:37:00Z">
        <w:r>
          <w:rPr>
            <w:snapToGrid w:val="0"/>
          </w:rPr>
          <w:t xml:space="preserve"> and</w:t>
        </w:r>
      </w:ins>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ins w:id="186" w:author="svcMRProcess" w:date="2018-08-22T11:37:00Z">
        <w:r>
          <w:rPr>
            <w:snapToGrid w:val="0"/>
          </w:rPr>
          <w:t xml:space="preserve"> and</w:t>
        </w:r>
      </w:ins>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ins w:id="187" w:author="svcMRProcess" w:date="2018-08-22T11:37:00Z">
        <w:r>
          <w:rPr>
            <w:snapToGrid w:val="0"/>
          </w:rPr>
          <w:t xml:space="preserve"> and</w:t>
        </w:r>
      </w:ins>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ins w:id="188" w:author="svcMRProcess" w:date="2018-08-22T11:37:00Z">
        <w:r>
          <w:rPr>
            <w:snapToGrid w:val="0"/>
          </w:rPr>
          <w:t xml:space="preserve"> and</w:t>
        </w:r>
      </w:ins>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89" w:name="_Toc404007726"/>
      <w:bookmarkStart w:id="190" w:name="_Toc413142750"/>
      <w:bookmarkStart w:id="191" w:name="_Toc402968522"/>
      <w:r>
        <w:rPr>
          <w:rStyle w:val="CharSectno"/>
        </w:rPr>
        <w:t>21</w:t>
      </w:r>
      <w:r>
        <w:rPr>
          <w:snapToGrid w:val="0"/>
        </w:rPr>
        <w:t>.</w:t>
      </w:r>
      <w:r>
        <w:rPr>
          <w:snapToGrid w:val="0"/>
        </w:rPr>
        <w:tab/>
        <w:t>Directions by State Coroner</w:t>
      </w:r>
      <w:bookmarkEnd w:id="189"/>
      <w:bookmarkEnd w:id="190"/>
      <w:bookmarkEnd w:id="191"/>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192" w:name="_Toc404007727"/>
      <w:bookmarkStart w:id="193" w:name="_Toc413142751"/>
      <w:bookmarkStart w:id="194" w:name="_Toc402968523"/>
      <w:r>
        <w:rPr>
          <w:rStyle w:val="CharSectno"/>
        </w:rPr>
        <w:t>22</w:t>
      </w:r>
      <w:r>
        <w:rPr>
          <w:snapToGrid w:val="0"/>
        </w:rPr>
        <w:t>.</w:t>
      </w:r>
      <w:r>
        <w:rPr>
          <w:snapToGrid w:val="0"/>
        </w:rPr>
        <w:tab/>
        <w:t xml:space="preserve">Jurisdiction of coroner to hold inquest into </w:t>
      </w:r>
      <w:del w:id="195" w:author="svcMRProcess" w:date="2018-08-22T11:37:00Z">
        <w:r>
          <w:rPr>
            <w:snapToGrid w:val="0"/>
          </w:rPr>
          <w:delText xml:space="preserve">a </w:delText>
        </w:r>
      </w:del>
      <w:r>
        <w:rPr>
          <w:snapToGrid w:val="0"/>
        </w:rPr>
        <w:t>death</w:t>
      </w:r>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ins w:id="196" w:author="svcMRProcess" w:date="2018-08-22T11:37:00Z">
        <w:r>
          <w:rPr>
            <w:snapToGrid w:val="0"/>
          </w:rPr>
          <w:t xml:space="preserve"> or</w:t>
        </w:r>
      </w:ins>
    </w:p>
    <w:p>
      <w:pPr>
        <w:pStyle w:val="Indenta"/>
        <w:rPr>
          <w:snapToGrid w:val="0"/>
        </w:rPr>
      </w:pPr>
      <w:r>
        <w:rPr>
          <w:snapToGrid w:val="0"/>
        </w:rPr>
        <w:tab/>
        <w:t>(b)</w:t>
      </w:r>
      <w:r>
        <w:rPr>
          <w:snapToGrid w:val="0"/>
        </w:rPr>
        <w:tab/>
        <w:t>it appears that the death was caused, or contributed to, by any action of a member of the Police Force;</w:t>
      </w:r>
      <w:ins w:id="197" w:author="svcMRProcess" w:date="2018-08-22T11:37:00Z">
        <w:r>
          <w:rPr>
            <w:snapToGrid w:val="0"/>
          </w:rPr>
          <w:t xml:space="preserve"> or</w:t>
        </w:r>
      </w:ins>
    </w:p>
    <w:p>
      <w:pPr>
        <w:pStyle w:val="Indenta"/>
        <w:rPr>
          <w:snapToGrid w:val="0"/>
        </w:rPr>
      </w:pPr>
      <w:r>
        <w:rPr>
          <w:snapToGrid w:val="0"/>
        </w:rPr>
        <w:tab/>
        <w:t>(c)</w:t>
      </w:r>
      <w:r>
        <w:rPr>
          <w:snapToGrid w:val="0"/>
        </w:rPr>
        <w:tab/>
        <w:t>it appears that the death was caused, or contributed to, while the deceased was a person held in care;</w:t>
      </w:r>
      <w:ins w:id="198" w:author="svcMRProcess" w:date="2018-08-22T11:37:00Z">
        <w:r>
          <w:rPr>
            <w:snapToGrid w:val="0"/>
          </w:rPr>
          <w:t xml:space="preserve"> or</w:t>
        </w:r>
      </w:ins>
    </w:p>
    <w:p>
      <w:pPr>
        <w:pStyle w:val="Indenta"/>
        <w:rPr>
          <w:snapToGrid w:val="0"/>
        </w:rPr>
      </w:pPr>
      <w:r>
        <w:rPr>
          <w:snapToGrid w:val="0"/>
        </w:rPr>
        <w:tab/>
        <w:t>(d)</w:t>
      </w:r>
      <w:r>
        <w:rPr>
          <w:snapToGrid w:val="0"/>
        </w:rPr>
        <w:tab/>
        <w:t xml:space="preserve">the Attorney General so directs; </w:t>
      </w:r>
      <w:ins w:id="199" w:author="svcMRProcess" w:date="2018-08-22T11:37:00Z">
        <w:r>
          <w:rPr>
            <w:snapToGrid w:val="0"/>
          </w:rPr>
          <w:t>or</w:t>
        </w:r>
      </w:ins>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200" w:name="_Toc404007728"/>
      <w:bookmarkStart w:id="201" w:name="_Toc413142752"/>
      <w:bookmarkStart w:id="202" w:name="_Toc402968524"/>
      <w:r>
        <w:rPr>
          <w:rStyle w:val="CharSectno"/>
        </w:rPr>
        <w:t>23</w:t>
      </w:r>
      <w:r>
        <w:rPr>
          <w:snapToGrid w:val="0"/>
        </w:rPr>
        <w:t>.</w:t>
      </w:r>
      <w:r>
        <w:rPr>
          <w:snapToGrid w:val="0"/>
        </w:rPr>
        <w:tab/>
        <w:t>Investigation of suspected deaths</w:t>
      </w:r>
      <w:bookmarkEnd w:id="200"/>
      <w:bookmarkEnd w:id="201"/>
      <w:bookmarkEnd w:id="202"/>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203" w:name="_Toc404007729"/>
      <w:bookmarkStart w:id="204" w:name="_Toc413142753"/>
      <w:bookmarkStart w:id="205" w:name="_Toc402968525"/>
      <w:r>
        <w:rPr>
          <w:rStyle w:val="CharSectno"/>
        </w:rPr>
        <w:t>24</w:t>
      </w:r>
      <w:r>
        <w:rPr>
          <w:snapToGrid w:val="0"/>
        </w:rPr>
        <w:t>.</w:t>
      </w:r>
      <w:r>
        <w:rPr>
          <w:snapToGrid w:val="0"/>
        </w:rPr>
        <w:tab/>
        <w:t>Application for inquest into death</w:t>
      </w:r>
      <w:bookmarkEnd w:id="203"/>
      <w:bookmarkEnd w:id="204"/>
      <w:bookmarkEnd w:id="205"/>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206" w:name="_Toc404007730"/>
      <w:bookmarkStart w:id="207" w:name="_Toc413142754"/>
      <w:bookmarkStart w:id="208" w:name="_Toc402968526"/>
      <w:r>
        <w:rPr>
          <w:rStyle w:val="CharSectno"/>
        </w:rPr>
        <w:t>25</w:t>
      </w:r>
      <w:r>
        <w:rPr>
          <w:snapToGrid w:val="0"/>
        </w:rPr>
        <w:t>.</w:t>
      </w:r>
      <w:r>
        <w:rPr>
          <w:snapToGrid w:val="0"/>
        </w:rPr>
        <w:tab/>
        <w:t>Findings and comments of coroner</w:t>
      </w:r>
      <w:bookmarkEnd w:id="206"/>
      <w:bookmarkEnd w:id="207"/>
      <w:bookmarkEnd w:id="208"/>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ins w:id="209" w:author="svcMRProcess" w:date="2018-08-22T11:37:00Z">
        <w:r>
          <w:rPr>
            <w:snapToGrid w:val="0"/>
          </w:rPr>
          <w:t>and</w:t>
        </w:r>
      </w:ins>
    </w:p>
    <w:p>
      <w:pPr>
        <w:pStyle w:val="Indenta"/>
        <w:rPr>
          <w:snapToGrid w:val="0"/>
        </w:rPr>
      </w:pPr>
      <w:r>
        <w:rPr>
          <w:snapToGrid w:val="0"/>
        </w:rPr>
        <w:tab/>
        <w:t>(b)</w:t>
      </w:r>
      <w:r>
        <w:rPr>
          <w:snapToGrid w:val="0"/>
        </w:rPr>
        <w:tab/>
        <w:t xml:space="preserve">how death occurred; </w:t>
      </w:r>
      <w:ins w:id="210" w:author="svcMRProcess" w:date="2018-08-22T11:37:00Z">
        <w:r>
          <w:rPr>
            <w:snapToGrid w:val="0"/>
          </w:rPr>
          <w:t>and</w:t>
        </w:r>
      </w:ins>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211" w:name="_Toc404007731"/>
      <w:bookmarkStart w:id="212" w:name="_Toc413142755"/>
      <w:bookmarkStart w:id="213" w:name="_Toc402968527"/>
      <w:r>
        <w:rPr>
          <w:rStyle w:val="CharSectno"/>
        </w:rPr>
        <w:t>26</w:t>
      </w:r>
      <w:r>
        <w:rPr>
          <w:snapToGrid w:val="0"/>
        </w:rPr>
        <w:t>.</w:t>
      </w:r>
      <w:r>
        <w:rPr>
          <w:snapToGrid w:val="0"/>
        </w:rPr>
        <w:tab/>
        <w:t>Record of findings and comments</w:t>
      </w:r>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214" w:name="_Toc404007732"/>
      <w:bookmarkStart w:id="215" w:name="_Toc413142756"/>
      <w:bookmarkStart w:id="216" w:name="_Toc402968528"/>
      <w:r>
        <w:rPr>
          <w:rStyle w:val="CharSectno"/>
        </w:rPr>
        <w:t>26A</w:t>
      </w:r>
      <w:r>
        <w:t>.</w:t>
      </w:r>
      <w:r>
        <w:tab/>
        <w:t>Access to evidence</w:t>
      </w:r>
      <w:bookmarkEnd w:id="214"/>
      <w:bookmarkEnd w:id="215"/>
      <w:bookmarkEnd w:id="216"/>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217" w:name="_Toc404007733"/>
      <w:bookmarkStart w:id="218" w:name="_Toc413142757"/>
      <w:bookmarkStart w:id="219" w:name="_Toc402968529"/>
      <w:r>
        <w:rPr>
          <w:rStyle w:val="CharSectno"/>
        </w:rPr>
        <w:t>27</w:t>
      </w:r>
      <w:r>
        <w:rPr>
          <w:snapToGrid w:val="0"/>
        </w:rPr>
        <w:t>.</w:t>
      </w:r>
      <w:r>
        <w:rPr>
          <w:snapToGrid w:val="0"/>
        </w:rPr>
        <w:tab/>
        <w:t>Reports</w:t>
      </w:r>
      <w:bookmarkEnd w:id="217"/>
      <w:bookmarkEnd w:id="218"/>
      <w:bookmarkEnd w:id="219"/>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220" w:name="_Toc404007734"/>
      <w:bookmarkStart w:id="221" w:name="_Toc413142758"/>
      <w:bookmarkStart w:id="222" w:name="_Toc402968530"/>
      <w:r>
        <w:rPr>
          <w:rStyle w:val="CharSectno"/>
        </w:rPr>
        <w:t>28</w:t>
      </w:r>
      <w:r>
        <w:rPr>
          <w:snapToGrid w:val="0"/>
        </w:rPr>
        <w:t>.</w:t>
      </w:r>
      <w:r>
        <w:rPr>
          <w:snapToGrid w:val="0"/>
        </w:rPr>
        <w:tab/>
        <w:t>Notification of reported deaths to</w:t>
      </w:r>
      <w:del w:id="223" w:author="svcMRProcess" w:date="2018-08-22T11:37:00Z">
        <w:r>
          <w:rPr>
            <w:snapToGrid w:val="0"/>
          </w:rPr>
          <w:delText xml:space="preserve"> the</w:delText>
        </w:r>
      </w:del>
      <w:r>
        <w:rPr>
          <w:snapToGrid w:val="0"/>
        </w:rPr>
        <w:t xml:space="preserve"> Registrar of Births, Deaths and Marriages</w:t>
      </w:r>
      <w:bookmarkEnd w:id="220"/>
      <w:bookmarkEnd w:id="221"/>
      <w:bookmarkEnd w:id="222"/>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224" w:name="_Toc404007735"/>
      <w:bookmarkStart w:id="225" w:name="_Toc413142759"/>
      <w:bookmarkStart w:id="226" w:name="_Toc402968531"/>
      <w:r>
        <w:rPr>
          <w:rStyle w:val="CharSectno"/>
        </w:rPr>
        <w:t>29</w:t>
      </w:r>
      <w:r>
        <w:rPr>
          <w:snapToGrid w:val="0"/>
        </w:rPr>
        <w:t>.</w:t>
      </w:r>
      <w:r>
        <w:rPr>
          <w:snapToGrid w:val="0"/>
        </w:rPr>
        <w:tab/>
        <w:t>Certificate of disposal of body</w:t>
      </w:r>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ins w:id="227" w:author="svcMRProcess" w:date="2018-08-22T11:37:00Z">
        <w:r>
          <w:t xml:space="preserve"> or</w:t>
        </w:r>
      </w:ins>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228" w:name="_Toc404007736"/>
      <w:bookmarkStart w:id="229" w:name="_Toc413142760"/>
      <w:bookmarkStart w:id="230" w:name="_Toc402968532"/>
      <w:r>
        <w:rPr>
          <w:rStyle w:val="CharSectno"/>
        </w:rPr>
        <w:t>30</w:t>
      </w:r>
      <w:r>
        <w:rPr>
          <w:snapToGrid w:val="0"/>
        </w:rPr>
        <w:t>.</w:t>
      </w:r>
      <w:r>
        <w:rPr>
          <w:snapToGrid w:val="0"/>
        </w:rPr>
        <w:tab/>
        <w:t>Control of body</w:t>
      </w:r>
      <w:bookmarkEnd w:id="228"/>
      <w:bookmarkEnd w:id="229"/>
      <w:bookmarkEnd w:id="230"/>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231" w:name="_Toc404007737"/>
      <w:bookmarkStart w:id="232" w:name="_Toc413142761"/>
      <w:bookmarkStart w:id="233" w:name="_Toc402968533"/>
      <w:r>
        <w:rPr>
          <w:rStyle w:val="CharSectno"/>
        </w:rPr>
        <w:t>31</w:t>
      </w:r>
      <w:r>
        <w:rPr>
          <w:snapToGrid w:val="0"/>
        </w:rPr>
        <w:t>.</w:t>
      </w:r>
      <w:r>
        <w:rPr>
          <w:snapToGrid w:val="0"/>
        </w:rPr>
        <w:tab/>
        <w:t>Aid to coroners in other places</w:t>
      </w:r>
      <w:bookmarkEnd w:id="231"/>
      <w:bookmarkEnd w:id="232"/>
      <w:bookmarkEnd w:id="233"/>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234" w:name="_Toc400352489"/>
      <w:bookmarkStart w:id="235" w:name="_Toc400352932"/>
      <w:bookmarkStart w:id="236" w:name="_Toc403114445"/>
      <w:bookmarkStart w:id="237" w:name="_Toc403114526"/>
      <w:bookmarkStart w:id="238" w:name="_Toc403464994"/>
      <w:bookmarkStart w:id="239" w:name="_Toc404007738"/>
      <w:bookmarkStart w:id="240" w:name="_Toc413142682"/>
      <w:bookmarkStart w:id="241" w:name="_Toc413142762"/>
      <w:bookmarkStart w:id="242" w:name="_Toc402968534"/>
      <w:r>
        <w:rPr>
          <w:rStyle w:val="CharDivNo"/>
        </w:rPr>
        <w:t>Division 2</w:t>
      </w:r>
      <w:r>
        <w:rPr>
          <w:snapToGrid w:val="0"/>
        </w:rPr>
        <w:t> — </w:t>
      </w:r>
      <w:r>
        <w:rPr>
          <w:rStyle w:val="CharDivText"/>
        </w:rPr>
        <w:t>Powers of investigation</w:t>
      </w:r>
      <w:bookmarkEnd w:id="234"/>
      <w:bookmarkEnd w:id="235"/>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404007739"/>
      <w:bookmarkStart w:id="244" w:name="_Toc413142763"/>
      <w:bookmarkStart w:id="245" w:name="_Toc402968535"/>
      <w:r>
        <w:rPr>
          <w:rStyle w:val="CharSectno"/>
        </w:rPr>
        <w:t>32</w:t>
      </w:r>
      <w:r>
        <w:rPr>
          <w:snapToGrid w:val="0"/>
        </w:rPr>
        <w:t>.</w:t>
      </w:r>
      <w:r>
        <w:rPr>
          <w:snapToGrid w:val="0"/>
        </w:rPr>
        <w:tab/>
        <w:t>Restriction of access to area</w:t>
      </w:r>
      <w:bookmarkEnd w:id="243"/>
      <w:bookmarkEnd w:id="244"/>
      <w:bookmarkEnd w:id="245"/>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246" w:name="_Toc404007740"/>
      <w:bookmarkStart w:id="247" w:name="_Toc413142764"/>
      <w:bookmarkStart w:id="248" w:name="_Toc402968536"/>
      <w:r>
        <w:rPr>
          <w:rStyle w:val="CharSectno"/>
        </w:rPr>
        <w:t>33</w:t>
      </w:r>
      <w:r>
        <w:rPr>
          <w:snapToGrid w:val="0"/>
        </w:rPr>
        <w:t>.</w:t>
      </w:r>
      <w:r>
        <w:rPr>
          <w:snapToGrid w:val="0"/>
        </w:rPr>
        <w:tab/>
        <w:t>Powers of entry, inspection and possession</w:t>
      </w:r>
      <w:bookmarkEnd w:id="246"/>
      <w:bookmarkEnd w:id="247"/>
      <w:bookmarkEnd w:id="248"/>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ins w:id="249" w:author="svcMRProcess" w:date="2018-08-22T11:37:00Z">
        <w:r>
          <w:rPr>
            <w:snapToGrid w:val="0"/>
          </w:rPr>
          <w:t xml:space="preserve"> and</w:t>
        </w:r>
      </w:ins>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ins w:id="250" w:author="svcMRProcess" w:date="2018-08-22T11:37:00Z">
        <w:r>
          <w:t xml:space="preserve"> and</w:t>
        </w:r>
      </w:ins>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ins w:id="251" w:author="svcMRProcess" w:date="2018-08-22T11:37:00Z">
        <w:r>
          <w:rPr>
            <w:snapToGrid w:val="0"/>
          </w:rPr>
          <w:t xml:space="preserve"> and</w:t>
        </w:r>
      </w:ins>
    </w:p>
    <w:p>
      <w:pPr>
        <w:pStyle w:val="Indenta"/>
        <w:rPr>
          <w:snapToGrid w:val="0"/>
        </w:rPr>
      </w:pPr>
      <w:r>
        <w:rPr>
          <w:snapToGrid w:val="0"/>
        </w:rPr>
        <w:tab/>
        <w:t>(b)</w:t>
      </w:r>
      <w:r>
        <w:rPr>
          <w:snapToGrid w:val="0"/>
        </w:rPr>
        <w:tab/>
        <w:t>to inspect a specified place and anything in it;</w:t>
      </w:r>
      <w:ins w:id="252" w:author="svcMRProcess" w:date="2018-08-22T11:37:00Z">
        <w:r>
          <w:rPr>
            <w:snapToGrid w:val="0"/>
          </w:rPr>
          <w:t xml:space="preserve"> and</w:t>
        </w:r>
      </w:ins>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253" w:name="_Toc404007741"/>
      <w:bookmarkStart w:id="254" w:name="_Toc413142765"/>
      <w:bookmarkStart w:id="255" w:name="_Toc402968537"/>
      <w:r>
        <w:rPr>
          <w:rStyle w:val="CharSectno"/>
        </w:rPr>
        <w:t>34</w:t>
      </w:r>
      <w:r>
        <w:rPr>
          <w:snapToGrid w:val="0"/>
        </w:rPr>
        <w:t>.</w:t>
      </w:r>
      <w:r>
        <w:rPr>
          <w:snapToGrid w:val="0"/>
        </w:rPr>
        <w:tab/>
        <w:t>Post mortem examinations</w:t>
      </w:r>
      <w:bookmarkEnd w:id="253"/>
      <w:bookmarkEnd w:id="254"/>
      <w:bookmarkEnd w:id="255"/>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ins w:id="256" w:author="svcMRProcess" w:date="2018-08-22T11:37:00Z">
        <w:r>
          <w:rPr>
            <w:snapToGrid w:val="0"/>
          </w:rPr>
          <w:t xml:space="preserve"> or</w:t>
        </w:r>
      </w:ins>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257" w:name="_Toc404007742"/>
      <w:bookmarkStart w:id="258" w:name="_Toc413142766"/>
      <w:bookmarkStart w:id="259" w:name="_Toc402968538"/>
      <w:r>
        <w:rPr>
          <w:rStyle w:val="CharSectno"/>
        </w:rPr>
        <w:t>35</w:t>
      </w:r>
      <w:r>
        <w:rPr>
          <w:snapToGrid w:val="0"/>
        </w:rPr>
        <w:t>.</w:t>
      </w:r>
      <w:r>
        <w:rPr>
          <w:snapToGrid w:val="0"/>
        </w:rPr>
        <w:tab/>
        <w:t>Independent doctor at post mortem examination</w:t>
      </w:r>
      <w:bookmarkEnd w:id="257"/>
      <w:bookmarkEnd w:id="258"/>
      <w:bookmarkEnd w:id="259"/>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260" w:name="_Toc404007743"/>
      <w:bookmarkStart w:id="261" w:name="_Toc413142767"/>
      <w:bookmarkStart w:id="262" w:name="_Toc402968539"/>
      <w:r>
        <w:rPr>
          <w:rStyle w:val="CharSectno"/>
        </w:rPr>
        <w:t>36</w:t>
      </w:r>
      <w:r>
        <w:rPr>
          <w:snapToGrid w:val="0"/>
        </w:rPr>
        <w:t>.</w:t>
      </w:r>
      <w:r>
        <w:rPr>
          <w:snapToGrid w:val="0"/>
        </w:rPr>
        <w:tab/>
        <w:t>Application for post mortem examination</w:t>
      </w:r>
      <w:bookmarkEnd w:id="260"/>
      <w:bookmarkEnd w:id="261"/>
      <w:bookmarkEnd w:id="262"/>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263" w:name="_Toc404007744"/>
      <w:bookmarkStart w:id="264" w:name="_Toc413142768"/>
      <w:bookmarkStart w:id="265" w:name="_Toc402968540"/>
      <w:r>
        <w:rPr>
          <w:rStyle w:val="CharSectno"/>
        </w:rPr>
        <w:t>37</w:t>
      </w:r>
      <w:r>
        <w:rPr>
          <w:snapToGrid w:val="0"/>
        </w:rPr>
        <w:t>.</w:t>
      </w:r>
      <w:r>
        <w:rPr>
          <w:snapToGrid w:val="0"/>
        </w:rPr>
        <w:tab/>
        <w:t>Objections to post mortem examinations</w:t>
      </w:r>
      <w:bookmarkEnd w:id="263"/>
      <w:bookmarkEnd w:id="264"/>
      <w:bookmarkEnd w:id="265"/>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rPr>
          <w:ins w:id="266" w:author="svcMRProcess" w:date="2018-08-22T11:37:00Z"/>
        </w:rPr>
      </w:pPr>
      <w:ins w:id="267" w:author="svcMRProcess" w:date="2018-08-22T11:37:00Z">
        <w:r>
          <w:tab/>
        </w:r>
        <w:r>
          <w:tab/>
          <w:t>or</w:t>
        </w:r>
      </w:ins>
    </w:p>
    <w:p>
      <w:pPr>
        <w:pStyle w:val="Indenta"/>
      </w:pPr>
      <w:r>
        <w:tab/>
        <w:t>(b)</w:t>
      </w:r>
      <w:r>
        <w:tab/>
        <w:t>a person who, immediately before death, was legally married to the person;</w:t>
      </w:r>
      <w:ins w:id="268" w:author="svcMRProcess" w:date="2018-08-22T11:37:00Z">
        <w:r>
          <w:t xml:space="preserve"> or</w:t>
        </w:r>
      </w:ins>
    </w:p>
    <w:p>
      <w:pPr>
        <w:pStyle w:val="Indenta"/>
      </w:pPr>
      <w:r>
        <w:tab/>
        <w:t>(c)</w:t>
      </w:r>
      <w:r>
        <w:tab/>
        <w:t>a son or daughter, who is of or over the age of 18 years, of the person;</w:t>
      </w:r>
      <w:ins w:id="269" w:author="svcMRProcess" w:date="2018-08-22T11:37:00Z">
        <w:r>
          <w:t xml:space="preserve"> or</w:t>
        </w:r>
      </w:ins>
    </w:p>
    <w:p>
      <w:pPr>
        <w:pStyle w:val="Indenta"/>
      </w:pPr>
      <w:r>
        <w:tab/>
        <w:t>(d)</w:t>
      </w:r>
      <w:r>
        <w:tab/>
        <w:t>a parent of the person;</w:t>
      </w:r>
      <w:ins w:id="270" w:author="svcMRProcess" w:date="2018-08-22T11:37:00Z">
        <w:r>
          <w:t xml:space="preserve"> or</w:t>
        </w:r>
      </w:ins>
    </w:p>
    <w:p>
      <w:pPr>
        <w:pStyle w:val="Indenta"/>
      </w:pPr>
      <w:r>
        <w:tab/>
        <w:t>(e)</w:t>
      </w:r>
      <w:r>
        <w:tab/>
        <w:t>a brother or sister, who is of or over the age of 18 years, of the person;</w:t>
      </w:r>
      <w:ins w:id="271" w:author="svcMRProcess" w:date="2018-08-22T11:37:00Z">
        <w:r>
          <w:t xml:space="preserve"> or</w:t>
        </w:r>
      </w:ins>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272" w:name="_Toc404007745"/>
      <w:bookmarkStart w:id="273" w:name="_Toc413142769"/>
      <w:bookmarkStart w:id="274" w:name="_Toc402968541"/>
      <w:r>
        <w:rPr>
          <w:rStyle w:val="CharSectno"/>
        </w:rPr>
        <w:t>38</w:t>
      </w:r>
      <w:r>
        <w:rPr>
          <w:snapToGrid w:val="0"/>
        </w:rPr>
        <w:t>.</w:t>
      </w:r>
      <w:r>
        <w:rPr>
          <w:snapToGrid w:val="0"/>
        </w:rPr>
        <w:tab/>
        <w:t>Exhumation</w:t>
      </w:r>
      <w:bookmarkEnd w:id="272"/>
      <w:bookmarkEnd w:id="273"/>
      <w:bookmarkEnd w:id="274"/>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275" w:name="_Toc400352497"/>
      <w:bookmarkStart w:id="276" w:name="_Toc400352940"/>
      <w:bookmarkStart w:id="277" w:name="_Toc403114453"/>
      <w:bookmarkStart w:id="278" w:name="_Toc403114534"/>
      <w:bookmarkStart w:id="279" w:name="_Toc403465002"/>
      <w:bookmarkStart w:id="280" w:name="_Toc404007746"/>
      <w:bookmarkStart w:id="281" w:name="_Toc413142690"/>
      <w:bookmarkStart w:id="282" w:name="_Toc413142770"/>
      <w:bookmarkStart w:id="283" w:name="_Toc402968542"/>
      <w:r>
        <w:rPr>
          <w:rStyle w:val="CharPartNo"/>
        </w:rPr>
        <w:t>Part 5</w:t>
      </w:r>
      <w:r>
        <w:rPr>
          <w:rStyle w:val="CharDivNo"/>
        </w:rPr>
        <w:t> </w:t>
      </w:r>
      <w:r>
        <w:t>—</w:t>
      </w:r>
      <w:r>
        <w:rPr>
          <w:rStyle w:val="CharDivText"/>
        </w:rPr>
        <w:t> </w:t>
      </w:r>
      <w:r>
        <w:rPr>
          <w:rStyle w:val="CharPartText"/>
        </w:rPr>
        <w:t>Inquests into deaths</w:t>
      </w:r>
      <w:bookmarkEnd w:id="275"/>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404007747"/>
      <w:bookmarkStart w:id="285" w:name="_Toc413142771"/>
      <w:bookmarkStart w:id="286" w:name="_Toc402968543"/>
      <w:r>
        <w:rPr>
          <w:rStyle w:val="CharSectno"/>
        </w:rPr>
        <w:t>39</w:t>
      </w:r>
      <w:r>
        <w:rPr>
          <w:snapToGrid w:val="0"/>
        </w:rPr>
        <w:t>.</w:t>
      </w:r>
      <w:r>
        <w:rPr>
          <w:snapToGrid w:val="0"/>
        </w:rPr>
        <w:tab/>
        <w:t xml:space="preserve">Advertisement of </w:t>
      </w:r>
      <w:del w:id="287" w:author="svcMRProcess" w:date="2018-08-22T11:37:00Z">
        <w:r>
          <w:rPr>
            <w:snapToGrid w:val="0"/>
          </w:rPr>
          <w:delText xml:space="preserve">an </w:delText>
        </w:r>
      </w:del>
      <w:r>
        <w:rPr>
          <w:snapToGrid w:val="0"/>
        </w:rPr>
        <w:t>inquest</w:t>
      </w:r>
      <w:bookmarkEnd w:id="284"/>
      <w:bookmarkEnd w:id="285"/>
      <w:bookmarkEnd w:id="286"/>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288" w:name="_Toc404007748"/>
      <w:bookmarkStart w:id="289" w:name="_Toc413142772"/>
      <w:bookmarkStart w:id="290" w:name="_Toc402968544"/>
      <w:r>
        <w:rPr>
          <w:rStyle w:val="CharSectno"/>
        </w:rPr>
        <w:t>40</w:t>
      </w:r>
      <w:r>
        <w:rPr>
          <w:snapToGrid w:val="0"/>
        </w:rPr>
        <w:t>.</w:t>
      </w:r>
      <w:r>
        <w:rPr>
          <w:snapToGrid w:val="0"/>
        </w:rPr>
        <w:tab/>
        <w:t>Two or more deaths</w:t>
      </w:r>
      <w:bookmarkEnd w:id="288"/>
      <w:bookmarkEnd w:id="289"/>
      <w:bookmarkEnd w:id="290"/>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291" w:name="_Toc404007749"/>
      <w:bookmarkStart w:id="292" w:name="_Toc413142773"/>
      <w:bookmarkStart w:id="293" w:name="_Toc402968545"/>
      <w:r>
        <w:rPr>
          <w:rStyle w:val="CharSectno"/>
        </w:rPr>
        <w:t>41</w:t>
      </w:r>
      <w:r>
        <w:rPr>
          <w:snapToGrid w:val="0"/>
        </w:rPr>
        <w:t>.</w:t>
      </w:r>
      <w:r>
        <w:rPr>
          <w:snapToGrid w:val="0"/>
        </w:rPr>
        <w:tab/>
        <w:t>Rules of evidence not to apply</w:t>
      </w:r>
      <w:bookmarkEnd w:id="291"/>
      <w:bookmarkEnd w:id="292"/>
      <w:bookmarkEnd w:id="293"/>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294" w:name="_Toc404007750"/>
      <w:bookmarkStart w:id="295" w:name="_Toc413142774"/>
      <w:bookmarkStart w:id="296" w:name="_Toc402968546"/>
      <w:r>
        <w:rPr>
          <w:rStyle w:val="CharSectno"/>
        </w:rPr>
        <w:t>42</w:t>
      </w:r>
      <w:r>
        <w:rPr>
          <w:snapToGrid w:val="0"/>
        </w:rPr>
        <w:t>.</w:t>
      </w:r>
      <w:r>
        <w:rPr>
          <w:snapToGrid w:val="0"/>
        </w:rPr>
        <w:tab/>
        <w:t>Rights of interested persons</w:t>
      </w:r>
      <w:bookmarkEnd w:id="294"/>
      <w:bookmarkEnd w:id="295"/>
      <w:bookmarkEnd w:id="296"/>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297" w:name="_Toc404007751"/>
      <w:bookmarkStart w:id="298" w:name="_Toc413142775"/>
      <w:bookmarkStart w:id="299" w:name="_Toc402968547"/>
      <w:r>
        <w:rPr>
          <w:rStyle w:val="CharSectno"/>
        </w:rPr>
        <w:t>43</w:t>
      </w:r>
      <w:r>
        <w:rPr>
          <w:snapToGrid w:val="0"/>
        </w:rPr>
        <w:t>.</w:t>
      </w:r>
      <w:r>
        <w:rPr>
          <w:snapToGrid w:val="0"/>
        </w:rPr>
        <w:tab/>
        <w:t>Attorney General may appear at inquest</w:t>
      </w:r>
      <w:bookmarkEnd w:id="297"/>
      <w:bookmarkEnd w:id="298"/>
      <w:bookmarkEnd w:id="299"/>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300" w:name="_Toc404007752"/>
      <w:bookmarkStart w:id="301" w:name="_Toc413142776"/>
      <w:bookmarkStart w:id="302" w:name="_Toc402968548"/>
      <w:r>
        <w:rPr>
          <w:rStyle w:val="CharSectno"/>
        </w:rPr>
        <w:t>44</w:t>
      </w:r>
      <w:r>
        <w:rPr>
          <w:snapToGrid w:val="0"/>
        </w:rPr>
        <w:t>.</w:t>
      </w:r>
      <w:r>
        <w:rPr>
          <w:snapToGrid w:val="0"/>
        </w:rPr>
        <w:tab/>
        <w:t>Other persons may appear at inquest</w:t>
      </w:r>
      <w:bookmarkEnd w:id="300"/>
      <w:bookmarkEnd w:id="301"/>
      <w:bookmarkEnd w:id="302"/>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303" w:name="_Toc404007753"/>
      <w:bookmarkStart w:id="304" w:name="_Toc413142777"/>
      <w:bookmarkStart w:id="305" w:name="_Toc402968549"/>
      <w:r>
        <w:rPr>
          <w:rStyle w:val="CharSectno"/>
        </w:rPr>
        <w:t>45</w:t>
      </w:r>
      <w:r>
        <w:rPr>
          <w:snapToGrid w:val="0"/>
        </w:rPr>
        <w:t>.</w:t>
      </w:r>
      <w:r>
        <w:rPr>
          <w:snapToGrid w:val="0"/>
        </w:rPr>
        <w:tab/>
        <w:t xml:space="preserve">Exclusion from </w:t>
      </w:r>
      <w:del w:id="306" w:author="svcMRProcess" w:date="2018-08-22T11:37:00Z">
        <w:r>
          <w:rPr>
            <w:snapToGrid w:val="0"/>
          </w:rPr>
          <w:delText xml:space="preserve">an </w:delText>
        </w:r>
      </w:del>
      <w:r>
        <w:rPr>
          <w:snapToGrid w:val="0"/>
        </w:rPr>
        <w:t>inquest</w:t>
      </w:r>
      <w:bookmarkEnd w:id="303"/>
      <w:bookmarkEnd w:id="304"/>
      <w:bookmarkEnd w:id="305"/>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307" w:name="_Toc404007754"/>
      <w:bookmarkStart w:id="308" w:name="_Toc413142778"/>
      <w:bookmarkStart w:id="309" w:name="_Toc402968550"/>
      <w:r>
        <w:rPr>
          <w:rStyle w:val="CharSectno"/>
        </w:rPr>
        <w:t>46</w:t>
      </w:r>
      <w:r>
        <w:rPr>
          <w:snapToGrid w:val="0"/>
        </w:rPr>
        <w:t>.</w:t>
      </w:r>
      <w:r>
        <w:rPr>
          <w:snapToGrid w:val="0"/>
        </w:rPr>
        <w:tab/>
        <w:t>Powers of coroners at inquests</w:t>
      </w:r>
      <w:bookmarkEnd w:id="307"/>
      <w:bookmarkEnd w:id="308"/>
      <w:bookmarkEnd w:id="309"/>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ins w:id="310" w:author="svcMRProcess" w:date="2018-08-22T11:37:00Z">
        <w:r>
          <w:rPr>
            <w:snapToGrid w:val="0"/>
          </w:rPr>
          <w:t xml:space="preserve"> and</w:t>
        </w:r>
      </w:ins>
    </w:p>
    <w:p>
      <w:pPr>
        <w:pStyle w:val="Indenta"/>
        <w:rPr>
          <w:snapToGrid w:val="0"/>
        </w:rPr>
      </w:pPr>
      <w:r>
        <w:rPr>
          <w:snapToGrid w:val="0"/>
        </w:rPr>
        <w:tab/>
        <w:t>(b)</w:t>
      </w:r>
      <w:r>
        <w:rPr>
          <w:snapToGrid w:val="0"/>
        </w:rPr>
        <w:tab/>
        <w:t>inspect, copy and keep for a reasonable period any thing produced at the inquest;</w:t>
      </w:r>
      <w:ins w:id="311" w:author="svcMRProcess" w:date="2018-08-22T11:37:00Z">
        <w:r>
          <w:rPr>
            <w:snapToGrid w:val="0"/>
          </w:rPr>
          <w:t xml:space="preserve"> and</w:t>
        </w:r>
      </w:ins>
    </w:p>
    <w:p>
      <w:pPr>
        <w:pStyle w:val="Indenta"/>
        <w:rPr>
          <w:snapToGrid w:val="0"/>
        </w:rPr>
      </w:pPr>
      <w:r>
        <w:rPr>
          <w:snapToGrid w:val="0"/>
        </w:rPr>
        <w:tab/>
        <w:t>(c)</w:t>
      </w:r>
      <w:r>
        <w:rPr>
          <w:snapToGrid w:val="0"/>
        </w:rPr>
        <w:tab/>
        <w:t>order a witness to answer questions;</w:t>
      </w:r>
      <w:ins w:id="312" w:author="svcMRProcess" w:date="2018-08-22T11:37:00Z">
        <w:r>
          <w:rPr>
            <w:snapToGrid w:val="0"/>
          </w:rPr>
          <w:t xml:space="preserve"> and</w:t>
        </w:r>
      </w:ins>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by No. 35 of 2001 s. 3(1); No. 59 of 2004 s. 76.]</w:t>
      </w:r>
    </w:p>
    <w:p>
      <w:pPr>
        <w:pStyle w:val="Heading5"/>
        <w:spacing w:before="200"/>
      </w:pPr>
      <w:bookmarkStart w:id="313" w:name="_Toc404007755"/>
      <w:bookmarkStart w:id="314" w:name="_Toc413142779"/>
      <w:bookmarkStart w:id="315" w:name="_Toc402968551"/>
      <w:r>
        <w:rPr>
          <w:rStyle w:val="CharSectno"/>
        </w:rPr>
        <w:t>46A</w:t>
      </w:r>
      <w:r>
        <w:t>.</w:t>
      </w:r>
      <w:r>
        <w:tab/>
        <w:t>Disobeying coroner</w:t>
      </w:r>
      <w:bookmarkEnd w:id="313"/>
      <w:bookmarkEnd w:id="314"/>
      <w:bookmarkEnd w:id="315"/>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by No. 4 of 2004 s. 58.]</w:t>
      </w:r>
    </w:p>
    <w:p>
      <w:pPr>
        <w:pStyle w:val="Heading5"/>
        <w:spacing w:before="200"/>
        <w:rPr>
          <w:snapToGrid w:val="0"/>
        </w:rPr>
      </w:pPr>
      <w:bookmarkStart w:id="316" w:name="_Toc404007756"/>
      <w:bookmarkStart w:id="317" w:name="_Toc413142780"/>
      <w:bookmarkStart w:id="318" w:name="_Toc402968552"/>
      <w:r>
        <w:rPr>
          <w:rStyle w:val="CharSectno"/>
        </w:rPr>
        <w:t>47</w:t>
      </w:r>
      <w:r>
        <w:rPr>
          <w:snapToGrid w:val="0"/>
        </w:rPr>
        <w:t>.</w:t>
      </w:r>
      <w:r>
        <w:rPr>
          <w:snapToGrid w:val="0"/>
        </w:rPr>
        <w:tab/>
        <w:t>Statements made by witness</w:t>
      </w:r>
      <w:bookmarkEnd w:id="316"/>
      <w:bookmarkEnd w:id="317"/>
      <w:bookmarkEnd w:id="318"/>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319" w:name="_Toc404007757"/>
      <w:bookmarkStart w:id="320" w:name="_Toc413142781"/>
      <w:bookmarkStart w:id="321" w:name="_Toc402968553"/>
      <w:r>
        <w:rPr>
          <w:rStyle w:val="CharSectno"/>
        </w:rPr>
        <w:t>48</w:t>
      </w:r>
      <w:r>
        <w:rPr>
          <w:snapToGrid w:val="0"/>
        </w:rPr>
        <w:t>.</w:t>
      </w:r>
      <w:r>
        <w:rPr>
          <w:snapToGrid w:val="0"/>
        </w:rPr>
        <w:tab/>
        <w:t>Record of evidence</w:t>
      </w:r>
      <w:bookmarkEnd w:id="319"/>
      <w:bookmarkEnd w:id="320"/>
      <w:bookmarkEnd w:id="321"/>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322" w:name="_Toc404007758"/>
      <w:bookmarkStart w:id="323" w:name="_Toc413142782"/>
      <w:bookmarkStart w:id="324" w:name="_Toc402968554"/>
      <w:r>
        <w:rPr>
          <w:rStyle w:val="CharSectno"/>
        </w:rPr>
        <w:t>49</w:t>
      </w:r>
      <w:r>
        <w:rPr>
          <w:snapToGrid w:val="0"/>
        </w:rPr>
        <w:t>.</w:t>
      </w:r>
      <w:r>
        <w:rPr>
          <w:snapToGrid w:val="0"/>
        </w:rPr>
        <w:tab/>
        <w:t>Restriction on publication of reports</w:t>
      </w:r>
      <w:bookmarkEnd w:id="322"/>
      <w:bookmarkEnd w:id="323"/>
      <w:bookmarkEnd w:id="324"/>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325" w:name="_Toc404007759"/>
      <w:bookmarkStart w:id="326" w:name="_Toc413142783"/>
      <w:bookmarkStart w:id="327" w:name="_Toc402968555"/>
      <w:r>
        <w:rPr>
          <w:rStyle w:val="CharSectno"/>
        </w:rPr>
        <w:t>50</w:t>
      </w:r>
      <w:r>
        <w:rPr>
          <w:snapToGrid w:val="0"/>
        </w:rPr>
        <w:t>.</w:t>
      </w:r>
      <w:r>
        <w:rPr>
          <w:snapToGrid w:val="0"/>
        </w:rPr>
        <w:tab/>
        <w:t>Reference to</w:t>
      </w:r>
      <w:del w:id="328" w:author="svcMRProcess" w:date="2018-08-22T11:37:00Z">
        <w:r>
          <w:rPr>
            <w:snapToGrid w:val="0"/>
          </w:rPr>
          <w:delText xml:space="preserve"> a</w:delText>
        </w:r>
      </w:del>
      <w:r>
        <w:rPr>
          <w:snapToGrid w:val="0"/>
        </w:rPr>
        <w:t xml:space="preserve"> disciplinary body</w:t>
      </w:r>
      <w:bookmarkEnd w:id="325"/>
      <w:bookmarkEnd w:id="326"/>
      <w:bookmarkEnd w:id="327"/>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329" w:name="_Toc404007760"/>
      <w:bookmarkStart w:id="330" w:name="_Toc413142784"/>
      <w:bookmarkStart w:id="331" w:name="_Toc402968556"/>
      <w:r>
        <w:rPr>
          <w:rStyle w:val="CharSectno"/>
        </w:rPr>
        <w:t>51</w:t>
      </w:r>
      <w:r>
        <w:rPr>
          <w:snapToGrid w:val="0"/>
        </w:rPr>
        <w:t>.</w:t>
      </w:r>
      <w:r>
        <w:rPr>
          <w:snapToGrid w:val="0"/>
        </w:rPr>
        <w:tab/>
        <w:t xml:space="preserve">Interruption of </w:t>
      </w:r>
      <w:del w:id="332" w:author="svcMRProcess" w:date="2018-08-22T11:37:00Z">
        <w:r>
          <w:rPr>
            <w:snapToGrid w:val="0"/>
          </w:rPr>
          <w:delText xml:space="preserve">an </w:delText>
        </w:r>
      </w:del>
      <w:r>
        <w:rPr>
          <w:snapToGrid w:val="0"/>
        </w:rPr>
        <w:t>inquest</w:t>
      </w:r>
      <w:bookmarkEnd w:id="329"/>
      <w:bookmarkEnd w:id="330"/>
      <w:bookmarkEnd w:id="331"/>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333" w:name="_Toc404007761"/>
      <w:bookmarkStart w:id="334" w:name="_Toc413142785"/>
      <w:bookmarkStart w:id="335" w:name="_Toc402968557"/>
      <w:r>
        <w:rPr>
          <w:rStyle w:val="CharSectno"/>
        </w:rPr>
        <w:t>52</w:t>
      </w:r>
      <w:r>
        <w:rPr>
          <w:snapToGrid w:val="0"/>
        </w:rPr>
        <w:t>.</w:t>
      </w:r>
      <w:r>
        <w:rPr>
          <w:snapToGrid w:val="0"/>
        </w:rPr>
        <w:tab/>
        <w:t>New inquests and re</w:t>
      </w:r>
      <w:r>
        <w:rPr>
          <w:snapToGrid w:val="0"/>
        </w:rPr>
        <w:noBreakHyphen/>
        <w:t>opening of inquests</w:t>
      </w:r>
      <w:bookmarkEnd w:id="333"/>
      <w:bookmarkEnd w:id="334"/>
      <w:bookmarkEnd w:id="335"/>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ins w:id="336" w:author="svcMRProcess" w:date="2018-08-22T11:37:00Z">
        <w:r>
          <w:rPr>
            <w:snapToGrid w:val="0"/>
          </w:rPr>
          <w:t xml:space="preserve"> or</w:t>
        </w:r>
      </w:ins>
    </w:p>
    <w:p>
      <w:pPr>
        <w:pStyle w:val="Indenta"/>
        <w:rPr>
          <w:snapToGrid w:val="0"/>
        </w:rPr>
      </w:pPr>
      <w:r>
        <w:rPr>
          <w:snapToGrid w:val="0"/>
        </w:rPr>
        <w:tab/>
        <w:t>(b)</w:t>
      </w:r>
      <w:r>
        <w:rPr>
          <w:snapToGrid w:val="0"/>
        </w:rPr>
        <w:tab/>
        <w:t>there is a mistake in the record of the findings;</w:t>
      </w:r>
      <w:ins w:id="337" w:author="svcMRProcess" w:date="2018-08-22T11:37:00Z">
        <w:r>
          <w:rPr>
            <w:snapToGrid w:val="0"/>
          </w:rPr>
          <w:t xml:space="preserve"> or</w:t>
        </w:r>
      </w:ins>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338" w:name="_Toc404007762"/>
      <w:bookmarkStart w:id="339" w:name="_Toc413142786"/>
      <w:bookmarkStart w:id="340" w:name="_Toc402968558"/>
      <w:r>
        <w:rPr>
          <w:rStyle w:val="CharSectno"/>
        </w:rPr>
        <w:t>53</w:t>
      </w:r>
      <w:r>
        <w:rPr>
          <w:snapToGrid w:val="0"/>
        </w:rPr>
        <w:t>.</w:t>
      </w:r>
      <w:r>
        <w:rPr>
          <w:snapToGrid w:val="0"/>
        </w:rPr>
        <w:tab/>
        <w:t>Inquest not to proceed where criminal proceedings instituted</w:t>
      </w:r>
      <w:bookmarkEnd w:id="338"/>
      <w:bookmarkEnd w:id="339"/>
      <w:bookmarkEnd w:id="340"/>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341" w:name="_Toc400352514"/>
      <w:bookmarkStart w:id="342" w:name="_Toc400352957"/>
      <w:bookmarkStart w:id="343" w:name="_Toc403114470"/>
      <w:bookmarkStart w:id="344" w:name="_Toc403114551"/>
      <w:bookmarkStart w:id="345" w:name="_Toc403465019"/>
      <w:bookmarkStart w:id="346" w:name="_Toc404007763"/>
      <w:bookmarkStart w:id="347" w:name="_Toc413142707"/>
      <w:bookmarkStart w:id="348" w:name="_Toc413142787"/>
      <w:bookmarkStart w:id="349" w:name="_Toc402968559"/>
      <w:r>
        <w:rPr>
          <w:rStyle w:val="CharPartNo"/>
        </w:rPr>
        <w:t>Part 6</w:t>
      </w:r>
      <w:r>
        <w:rPr>
          <w:rStyle w:val="CharDivNo"/>
        </w:rPr>
        <w:t> </w:t>
      </w:r>
      <w:r>
        <w:t>—</w:t>
      </w:r>
      <w:r>
        <w:rPr>
          <w:rStyle w:val="CharDivText"/>
        </w:rPr>
        <w:t> </w:t>
      </w:r>
      <w:r>
        <w:rPr>
          <w:rStyle w:val="CharPartText"/>
        </w:rPr>
        <w:t>Miscellaneous</w:t>
      </w:r>
      <w:bookmarkEnd w:id="341"/>
      <w:bookmarkEnd w:id="342"/>
      <w:bookmarkEnd w:id="343"/>
      <w:bookmarkEnd w:id="344"/>
      <w:bookmarkEnd w:id="345"/>
      <w:bookmarkEnd w:id="346"/>
      <w:bookmarkEnd w:id="347"/>
      <w:bookmarkEnd w:id="348"/>
      <w:bookmarkEnd w:id="349"/>
      <w:r>
        <w:rPr>
          <w:rStyle w:val="CharPartText"/>
        </w:rPr>
        <w:t xml:space="preserve"> </w:t>
      </w:r>
    </w:p>
    <w:p>
      <w:pPr>
        <w:pStyle w:val="Heading5"/>
      </w:pPr>
      <w:bookmarkStart w:id="350" w:name="_Toc404007764"/>
      <w:bookmarkStart w:id="351" w:name="_Toc413142788"/>
      <w:bookmarkStart w:id="352" w:name="_Toc402968560"/>
      <w:r>
        <w:rPr>
          <w:rStyle w:val="CharSectno"/>
        </w:rPr>
        <w:t>53A</w:t>
      </w:r>
      <w:r>
        <w:t>.</w:t>
      </w:r>
      <w:r>
        <w:tab/>
        <w:t>State Coroner may provide information about deaths to human tissue donation agencies</w:t>
      </w:r>
      <w:bookmarkEnd w:id="350"/>
      <w:bookmarkEnd w:id="351"/>
      <w:bookmarkEnd w:id="352"/>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ins w:id="353" w:author="svcMRProcess" w:date="2018-08-22T11:37:00Z">
        <w:r>
          <w:t xml:space="preserve"> and</w:t>
        </w:r>
      </w:ins>
    </w:p>
    <w:p>
      <w:pPr>
        <w:pStyle w:val="Indenta"/>
      </w:pPr>
      <w:r>
        <w:tab/>
        <w:t>(b)</w:t>
      </w:r>
      <w:r>
        <w:tab/>
        <w:t>the deceased person’s age;</w:t>
      </w:r>
      <w:ins w:id="354" w:author="svcMRProcess" w:date="2018-08-22T11:37:00Z">
        <w:r>
          <w:t xml:space="preserve"> and</w:t>
        </w:r>
      </w:ins>
    </w:p>
    <w:p>
      <w:pPr>
        <w:pStyle w:val="Indenta"/>
      </w:pPr>
      <w:r>
        <w:tab/>
        <w:t>(c)</w:t>
      </w:r>
      <w:r>
        <w:tab/>
        <w:t>a brief description of the circumstances of death;</w:t>
      </w:r>
      <w:ins w:id="355" w:author="svcMRProcess" w:date="2018-08-22T11:37:00Z">
        <w:r>
          <w:t xml:space="preserve"> and</w:t>
        </w:r>
      </w:ins>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rPr>
          <w:snapToGrid w:val="0"/>
        </w:rPr>
      </w:pPr>
      <w:bookmarkStart w:id="356" w:name="_Toc404007765"/>
      <w:bookmarkStart w:id="357" w:name="_Toc413142789"/>
      <w:bookmarkStart w:id="358" w:name="_Toc402968561"/>
      <w:r>
        <w:rPr>
          <w:rStyle w:val="CharSectno"/>
        </w:rPr>
        <w:t>54</w:t>
      </w:r>
      <w:r>
        <w:rPr>
          <w:snapToGrid w:val="0"/>
        </w:rPr>
        <w:t>.</w:t>
      </w:r>
      <w:r>
        <w:rPr>
          <w:snapToGrid w:val="0"/>
        </w:rPr>
        <w:tab/>
        <w:t>Obstruction</w:t>
      </w:r>
      <w:bookmarkEnd w:id="356"/>
      <w:bookmarkEnd w:id="357"/>
      <w:bookmarkEnd w:id="358"/>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359" w:name="_Toc404007766"/>
      <w:bookmarkStart w:id="360" w:name="_Toc413142790"/>
      <w:bookmarkStart w:id="361" w:name="_Toc402968562"/>
      <w:r>
        <w:rPr>
          <w:rStyle w:val="CharSectno"/>
        </w:rPr>
        <w:t>55</w:t>
      </w:r>
      <w:r>
        <w:rPr>
          <w:snapToGrid w:val="0"/>
        </w:rPr>
        <w:t>.</w:t>
      </w:r>
      <w:r>
        <w:rPr>
          <w:snapToGrid w:val="0"/>
        </w:rPr>
        <w:tab/>
        <w:t>Protection from legal proceedings</w:t>
      </w:r>
      <w:bookmarkEnd w:id="359"/>
      <w:bookmarkEnd w:id="360"/>
      <w:bookmarkEnd w:id="361"/>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362" w:name="_Toc404007767"/>
      <w:bookmarkStart w:id="363" w:name="_Toc413142791"/>
      <w:bookmarkStart w:id="364" w:name="_Toc402968563"/>
      <w:r>
        <w:rPr>
          <w:rStyle w:val="CharSectno"/>
        </w:rPr>
        <w:t>56</w:t>
      </w:r>
      <w:r>
        <w:rPr>
          <w:snapToGrid w:val="0"/>
        </w:rPr>
        <w:t>.</w:t>
      </w:r>
      <w:r>
        <w:rPr>
          <w:snapToGrid w:val="0"/>
        </w:rPr>
        <w:tab/>
        <w:t>Coroner not to be called as witness</w:t>
      </w:r>
      <w:bookmarkEnd w:id="362"/>
      <w:bookmarkEnd w:id="363"/>
      <w:bookmarkEnd w:id="364"/>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365" w:name="_Toc404007768"/>
      <w:bookmarkStart w:id="366" w:name="_Toc413142792"/>
      <w:bookmarkStart w:id="367" w:name="_Toc402968564"/>
      <w:r>
        <w:rPr>
          <w:rStyle w:val="CharSectno"/>
        </w:rPr>
        <w:t>57</w:t>
      </w:r>
      <w:r>
        <w:rPr>
          <w:snapToGrid w:val="0"/>
        </w:rPr>
        <w:t>.</w:t>
      </w:r>
      <w:r>
        <w:rPr>
          <w:snapToGrid w:val="0"/>
        </w:rPr>
        <w:tab/>
        <w:t>Review of Act</w:t>
      </w:r>
      <w:bookmarkEnd w:id="365"/>
      <w:bookmarkEnd w:id="366"/>
      <w:bookmarkEnd w:id="367"/>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ins w:id="368" w:author="svcMRProcess" w:date="2018-08-22T11:37:00Z">
        <w:r>
          <w:rPr>
            <w:snapToGrid w:val="0"/>
          </w:rPr>
          <w:t xml:space="preserve"> and</w:t>
        </w:r>
      </w:ins>
    </w:p>
    <w:p>
      <w:pPr>
        <w:pStyle w:val="Indenta"/>
        <w:rPr>
          <w:snapToGrid w:val="0"/>
        </w:rPr>
      </w:pPr>
      <w:r>
        <w:rPr>
          <w:snapToGrid w:val="0"/>
        </w:rPr>
        <w:tab/>
        <w:t>(b)</w:t>
      </w:r>
      <w:r>
        <w:rPr>
          <w:snapToGrid w:val="0"/>
        </w:rPr>
        <w:tab/>
        <w:t>the administration of this Act;</w:t>
      </w:r>
      <w:ins w:id="369" w:author="svcMRProcess" w:date="2018-08-22T11:37:00Z">
        <w:r>
          <w:rPr>
            <w:snapToGrid w:val="0"/>
          </w:rPr>
          <w:t xml:space="preserve"> and</w:t>
        </w:r>
      </w:ins>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370" w:name="_Toc404007769"/>
      <w:bookmarkStart w:id="371" w:name="_Toc413142793"/>
      <w:bookmarkStart w:id="372" w:name="_Toc402968565"/>
      <w:r>
        <w:rPr>
          <w:rStyle w:val="CharSectno"/>
        </w:rPr>
        <w:t>58</w:t>
      </w:r>
      <w:r>
        <w:rPr>
          <w:snapToGrid w:val="0"/>
        </w:rPr>
        <w:t>.</w:t>
      </w:r>
      <w:r>
        <w:rPr>
          <w:snapToGrid w:val="0"/>
        </w:rPr>
        <w:tab/>
        <w:t>Guidelines</w:t>
      </w:r>
      <w:bookmarkEnd w:id="370"/>
      <w:bookmarkEnd w:id="371"/>
      <w:bookmarkEnd w:id="372"/>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373" w:name="_Toc404007770"/>
      <w:bookmarkStart w:id="374" w:name="_Toc413142794"/>
      <w:bookmarkStart w:id="375" w:name="_Toc402968566"/>
      <w:r>
        <w:rPr>
          <w:rStyle w:val="CharSectno"/>
        </w:rPr>
        <w:t>59</w:t>
      </w:r>
      <w:r>
        <w:rPr>
          <w:snapToGrid w:val="0"/>
        </w:rPr>
        <w:t>.</w:t>
      </w:r>
      <w:r>
        <w:rPr>
          <w:snapToGrid w:val="0"/>
        </w:rPr>
        <w:tab/>
        <w:t>Regulations</w:t>
      </w:r>
      <w:bookmarkEnd w:id="373"/>
      <w:bookmarkEnd w:id="374"/>
      <w:bookmarkEnd w:id="375"/>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376" w:name="_Toc400352522"/>
      <w:bookmarkStart w:id="377" w:name="_Toc400352965"/>
      <w:bookmarkStart w:id="378" w:name="_Toc403114478"/>
      <w:bookmarkStart w:id="379" w:name="_Toc403114559"/>
      <w:bookmarkStart w:id="380" w:name="_Toc403465027"/>
      <w:bookmarkStart w:id="381" w:name="_Toc404007771"/>
      <w:bookmarkStart w:id="382" w:name="_Toc413142715"/>
      <w:bookmarkStart w:id="383" w:name="_Toc413142795"/>
      <w:bookmarkStart w:id="384" w:name="_Toc402968567"/>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376"/>
      <w:bookmarkEnd w:id="377"/>
      <w:bookmarkEnd w:id="378"/>
      <w:bookmarkEnd w:id="379"/>
      <w:bookmarkEnd w:id="380"/>
      <w:bookmarkEnd w:id="381"/>
      <w:bookmarkEnd w:id="382"/>
      <w:bookmarkEnd w:id="383"/>
      <w:bookmarkEnd w:id="384"/>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385" w:name="_Toc404007772"/>
      <w:bookmarkStart w:id="386" w:name="_Toc413142796"/>
      <w:bookmarkStart w:id="387" w:name="_Toc402968568"/>
      <w:r>
        <w:rPr>
          <w:rStyle w:val="CharSectno"/>
        </w:rPr>
        <w:t>62</w:t>
      </w:r>
      <w:r>
        <w:t>.</w:t>
      </w:r>
      <w:r>
        <w:tab/>
        <w:t>Application of Act to deaths which occurred before Act came into operation</w:t>
      </w:r>
      <w:bookmarkEnd w:id="385"/>
      <w:bookmarkEnd w:id="386"/>
      <w:bookmarkEnd w:id="387"/>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pStyle w:val="CentredBaseLine"/>
        <w:jc w:val="center"/>
        <w:rPr>
          <w:ins w:id="388" w:author="svcMRProcess" w:date="2018-08-22T11:37:00Z"/>
        </w:rPr>
      </w:pPr>
      <w:ins w:id="389" w:author="svcMRProcess" w:date="2018-08-22T11:3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90" w:name="_Toc400352524"/>
      <w:bookmarkStart w:id="391" w:name="_Toc400352967"/>
      <w:bookmarkStart w:id="392" w:name="_Toc403114480"/>
      <w:bookmarkStart w:id="393" w:name="_Toc403114561"/>
      <w:bookmarkStart w:id="394" w:name="_Toc403465029"/>
      <w:bookmarkStart w:id="395" w:name="_Toc404007773"/>
      <w:bookmarkStart w:id="396" w:name="_Toc413142717"/>
      <w:bookmarkStart w:id="397" w:name="_Toc413142797"/>
      <w:bookmarkStart w:id="398" w:name="_Toc402968569"/>
      <w:r>
        <w:t>Notes</w:t>
      </w:r>
      <w:bookmarkEnd w:id="390"/>
      <w:bookmarkEnd w:id="391"/>
      <w:bookmarkEnd w:id="392"/>
      <w:bookmarkEnd w:id="393"/>
      <w:bookmarkEnd w:id="394"/>
      <w:bookmarkEnd w:id="395"/>
      <w:bookmarkEnd w:id="396"/>
      <w:bookmarkEnd w:id="397"/>
      <w:bookmarkEnd w:id="398"/>
    </w:p>
    <w:p>
      <w:pPr>
        <w:pStyle w:val="nSubsection"/>
        <w:rPr>
          <w:snapToGrid w:val="0"/>
        </w:rPr>
      </w:pPr>
      <w:r>
        <w:rPr>
          <w:snapToGrid w:val="0"/>
          <w:vertAlign w:val="superscript"/>
        </w:rPr>
        <w:t>1</w:t>
      </w:r>
      <w:r>
        <w:rPr>
          <w:snapToGrid w:val="0"/>
        </w:rPr>
        <w:tab/>
        <w:t xml:space="preserve">This </w:t>
      </w:r>
      <w:ins w:id="399" w:author="svcMRProcess" w:date="2018-08-22T11:37:00Z">
        <w:r>
          <w:rPr>
            <w:snapToGrid w:val="0"/>
          </w:rPr>
          <w:t xml:space="preserve">reprint </w:t>
        </w:r>
      </w:ins>
      <w:r>
        <w:rPr>
          <w:snapToGrid w:val="0"/>
        </w:rPr>
        <w:t>is a compilation</w:t>
      </w:r>
      <w:ins w:id="400" w:author="svcMRProcess" w:date="2018-08-22T11:37:00Z">
        <w:r>
          <w:rPr>
            <w:snapToGrid w:val="0"/>
          </w:rPr>
          <w:t xml:space="preserve"> as at 7 November 2014</w:t>
        </w:r>
      </w:ins>
      <w:r>
        <w:rPr>
          <w:snapToGrid w:val="0"/>
        </w:rPr>
        <w:t xml:space="preserve">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01" w:name="_Toc404007774"/>
      <w:bookmarkStart w:id="402" w:name="_Toc413142798"/>
      <w:bookmarkStart w:id="403" w:name="_Toc402968570"/>
      <w:r>
        <w:t>Compilation table</w:t>
      </w:r>
      <w:bookmarkEnd w:id="401"/>
      <w:bookmarkEnd w:id="402"/>
      <w:bookmarkEnd w:id="403"/>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ins w:id="404" w:author="svcMRProcess" w:date="2018-08-22T11:37:00Z">
              <w:r>
                <w:t>s. 1 and 2: 24 May 1996;</w:t>
              </w:r>
              <w:r>
                <w:br/>
                <w:t xml:space="preserve">Act other than s. 1 and 2: </w:t>
              </w:r>
            </w:ins>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52" w:type="dxa"/>
          </w:tcPr>
          <w:p>
            <w:pPr>
              <w:pStyle w:val="nTable"/>
              <w:spacing w:after="40"/>
            </w:pPr>
            <w:r>
              <w:t>9 Jun 2000</w:t>
            </w:r>
          </w:p>
        </w:tc>
      </w:tr>
      <w:tr>
        <w:trPr>
          <w:cantSplit/>
        </w:trPr>
        <w:tc>
          <w:tcPr>
            <w:tcW w:w="2268"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rPr>
          <w:cantSplit/>
        </w:trPr>
        <w:tc>
          <w:tcPr>
            <w:tcW w:w="7088"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rPr>
          <w:cantSplit/>
        </w:trPr>
        <w:tc>
          <w:tcPr>
            <w:tcW w:w="2268"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52" w:type="dxa"/>
          </w:tcPr>
          <w:p>
            <w:pPr>
              <w:pStyle w:val="nTable"/>
              <w:spacing w:after="40"/>
            </w:pPr>
            <w:r>
              <w:t>14 Jan 2002 (see s. 2)</w:t>
            </w:r>
          </w:p>
        </w:tc>
      </w:tr>
      <w:tr>
        <w:trPr>
          <w:cantSplit/>
        </w:trPr>
        <w:tc>
          <w:tcPr>
            <w:tcW w:w="2268" w:type="dxa"/>
          </w:tcPr>
          <w:p>
            <w:pPr>
              <w:pStyle w:val="nTable"/>
              <w:spacing w:after="40"/>
              <w:ind w:right="113"/>
              <w:rPr>
                <w:i/>
              </w:rPr>
            </w:pPr>
            <w:r>
              <w:rPr>
                <w:i/>
              </w:rPr>
              <w:t>Coroners Amendment Act 2003</w:t>
            </w:r>
            <w:r>
              <w:rPr>
                <w:vertAlign w:val="superscript"/>
              </w:rPr>
              <w:t> 5</w:t>
            </w:r>
          </w:p>
        </w:tc>
        <w:tc>
          <w:tcPr>
            <w:tcW w:w="1134" w:type="dxa"/>
          </w:tcPr>
          <w:p>
            <w:pPr>
              <w:pStyle w:val="nTable"/>
              <w:spacing w:after="40"/>
            </w:pPr>
            <w:r>
              <w:t>15 of 2003</w:t>
            </w:r>
          </w:p>
        </w:tc>
        <w:tc>
          <w:tcPr>
            <w:tcW w:w="1134" w:type="dxa"/>
          </w:tcPr>
          <w:p>
            <w:pPr>
              <w:pStyle w:val="nTable"/>
              <w:spacing w:after="40"/>
            </w:pPr>
            <w:r>
              <w:t>17 Apr 2003</w:t>
            </w:r>
          </w:p>
        </w:tc>
        <w:tc>
          <w:tcPr>
            <w:tcW w:w="2552" w:type="dxa"/>
          </w:tcPr>
          <w:p>
            <w:pPr>
              <w:pStyle w:val="nTable"/>
              <w:spacing w:after="40"/>
            </w:pPr>
            <w:ins w:id="405" w:author="svcMRProcess" w:date="2018-08-22T11:37:00Z">
              <w:r>
                <w:t>s. 1 and 2: 17 Apr 2003;</w:t>
              </w:r>
              <w:r>
                <w:br/>
                <w:t xml:space="preserve">Act other than s. 1 and 2: </w:t>
              </w:r>
            </w:ins>
            <w:r>
              <w:t xml:space="preserve">16 Jul 2003 (see s. 2 and </w:t>
            </w:r>
            <w:r>
              <w:rPr>
                <w:i/>
              </w:rPr>
              <w:t xml:space="preserve">Gazette </w:t>
            </w:r>
            <w:r>
              <w:t>15 Jul 2003 p. 2831)</w:t>
            </w:r>
          </w:p>
        </w:tc>
      </w:tr>
      <w:tr>
        <w:trPr>
          <w:cantSplit/>
        </w:trPr>
        <w:tc>
          <w:tcPr>
            <w:tcW w:w="2268"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52" w:type="dxa"/>
          </w:tcPr>
          <w:p>
            <w:pPr>
              <w:pStyle w:val="nTable"/>
              <w:spacing w:before="36" w:after="40"/>
            </w:pPr>
            <w:r>
              <w:t xml:space="preserve">1 Jul 2003 (see s. 2 and </w:t>
            </w:r>
            <w:r>
              <w:rPr>
                <w:i/>
              </w:rPr>
              <w:t xml:space="preserve">Gazette </w:t>
            </w:r>
            <w:r>
              <w:t>30 Jun 2003 p. 2579)</w:t>
            </w:r>
          </w:p>
        </w:tc>
      </w:tr>
      <w:tr>
        <w:trPr>
          <w:cantSplit/>
        </w:trPr>
        <w:tc>
          <w:tcPr>
            <w:tcW w:w="2268"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52" w:type="dxa"/>
          </w:tcPr>
          <w:p>
            <w:pPr>
              <w:pStyle w:val="nTable"/>
              <w:spacing w:before="36" w:after="40"/>
            </w:pPr>
            <w:r>
              <w:t xml:space="preserve">1 Jan 2004 (see s. 2 and </w:t>
            </w:r>
            <w:r>
              <w:rPr>
                <w:i/>
              </w:rPr>
              <w:t>Gazette</w:t>
            </w:r>
            <w:r>
              <w:t xml:space="preserve"> 30 Dec 2003 p. 5722)</w:t>
            </w:r>
          </w:p>
        </w:tc>
      </w:tr>
      <w:tr>
        <w:trPr>
          <w:cantSplit/>
        </w:trPr>
        <w:tc>
          <w:tcPr>
            <w:tcW w:w="2268"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52" w:type="dxa"/>
          </w:tcPr>
          <w:p>
            <w:pPr>
              <w:pStyle w:val="nTable"/>
              <w:spacing w:before="36" w:after="40"/>
            </w:pPr>
            <w:r>
              <w:t>21 May 2004 (see s. 2)</w:t>
            </w:r>
          </w:p>
        </w:tc>
      </w:tr>
      <w:tr>
        <w:trPr>
          <w:cantSplit/>
        </w:trPr>
        <w:tc>
          <w:tcPr>
            <w:tcW w:w="2268"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52" w:type="dxa"/>
          </w:tcPr>
          <w:p>
            <w:pPr>
              <w:pStyle w:val="nTable"/>
              <w:spacing w:before="36" w:after="40"/>
            </w:pPr>
            <w:r>
              <w:t>6 Oct 2004</w:t>
            </w:r>
          </w:p>
        </w:tc>
      </w:tr>
      <w:tr>
        <w:trPr>
          <w:cantSplit/>
        </w:trPr>
        <w:tc>
          <w:tcPr>
            <w:tcW w:w="2268" w:type="dxa"/>
          </w:tcPr>
          <w:p>
            <w:pPr>
              <w:pStyle w:val="nTable"/>
              <w:spacing w:before="36" w:after="40"/>
              <w:rPr>
                <w:snapToGrid w:val="0"/>
              </w:rPr>
            </w:pPr>
            <w:r>
              <w:rPr>
                <w:i/>
                <w:snapToGrid w:val="0"/>
              </w:rPr>
              <w:t>Children and Community Services Act 2004</w:t>
            </w:r>
            <w:r>
              <w:rPr>
                <w:snapToGrid w:val="0"/>
              </w:rPr>
              <w:t xml:space="preserve"> </w:t>
            </w:r>
            <w:del w:id="406" w:author="svcMRProcess" w:date="2018-08-22T11:37:00Z">
              <w:r>
                <w:rPr>
                  <w:snapToGrid w:val="0"/>
                </w:rPr>
                <w:delText>s. 251</w:delText>
              </w:r>
            </w:del>
            <w:ins w:id="407" w:author="svcMRProcess" w:date="2018-08-22T11:37:00Z">
              <w:r>
                <w:rPr>
                  <w:snapToGrid w:val="0"/>
                </w:rPr>
                <w:t>Sch. 2 cl. 6</w:t>
              </w:r>
            </w:ins>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52" w:type="dxa"/>
          </w:tcPr>
          <w:p>
            <w:pPr>
              <w:pStyle w:val="nTable"/>
              <w:spacing w:before="36" w:after="40"/>
            </w:pPr>
            <w:r>
              <w:t xml:space="preserve">1 Mar 2006 (see s. 2 and </w:t>
            </w:r>
            <w:r>
              <w:rPr>
                <w:i/>
              </w:rPr>
              <w:t>Gazette</w:t>
            </w:r>
            <w:r>
              <w:t xml:space="preserve"> 14 Feb 2006 p. 695)</w:t>
            </w:r>
          </w:p>
        </w:tc>
      </w:tr>
      <w:tr>
        <w:trPr>
          <w:cantSplit/>
        </w:trPr>
        <w:tc>
          <w:tcPr>
            <w:tcW w:w="2268"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6</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52" w:type="dxa"/>
          </w:tcPr>
          <w:p>
            <w:pPr>
              <w:pStyle w:val="nTable"/>
              <w:spacing w:before="36" w:after="40"/>
            </w:pPr>
            <w:r>
              <w:t xml:space="preserve">1 May 2005 (see s. 2 and </w:t>
            </w:r>
            <w:r>
              <w:rPr>
                <w:i/>
              </w:rPr>
              <w:t>Gazette</w:t>
            </w:r>
            <w:r>
              <w:t xml:space="preserve"> 31 Dec 2004 p. 7128)</w:t>
            </w:r>
          </w:p>
        </w:tc>
      </w:tr>
      <w:tr>
        <w:trPr>
          <w:cantSplit/>
        </w:trPr>
        <w:tc>
          <w:tcPr>
            <w:tcW w:w="7088"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52"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before="36" w:after="40"/>
              <w:ind w:right="113"/>
              <w:rPr>
                <w:iCs/>
              </w:rPr>
            </w:pPr>
            <w:r>
              <w:rPr>
                <w:i/>
                <w:snapToGrid w:val="0"/>
              </w:rPr>
              <w:t>Medical Practitioners Act 2008</w:t>
            </w:r>
            <w:r>
              <w:rPr>
                <w:iCs/>
                <w:snapToGrid w:val="0"/>
              </w:rPr>
              <w:t xml:space="preserve"> </w:t>
            </w:r>
            <w:del w:id="408" w:author="svcMRProcess" w:date="2018-08-22T11:37:00Z">
              <w:r>
                <w:rPr>
                  <w:iCs/>
                  <w:snapToGrid w:val="0"/>
                </w:rPr>
                <w:delText>s. 162</w:delText>
              </w:r>
            </w:del>
            <w:ins w:id="409" w:author="svcMRProcess" w:date="2018-08-22T11:37:00Z">
              <w:r>
                <w:rPr>
                  <w:iCs/>
                  <w:snapToGrid w:val="0"/>
                </w:rPr>
                <w:t>Sch. 3 cl. 10</w:t>
              </w:r>
            </w:ins>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52"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52"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ins w:id="410" w:author="svcMRProcess" w:date="2018-08-22T11:37:00Z"/>
        </w:trPr>
        <w:tc>
          <w:tcPr>
            <w:tcW w:w="7088" w:type="dxa"/>
            <w:gridSpan w:val="4"/>
            <w:tcBorders>
              <w:bottom w:val="single" w:sz="8" w:space="0" w:color="auto"/>
            </w:tcBorders>
            <w:shd w:val="clear" w:color="auto" w:fill="auto"/>
          </w:tcPr>
          <w:p>
            <w:pPr>
              <w:pStyle w:val="nTable"/>
              <w:spacing w:before="36" w:after="40"/>
              <w:rPr>
                <w:ins w:id="411" w:author="svcMRProcess" w:date="2018-08-22T11:37:00Z"/>
                <w:snapToGrid w:val="0"/>
              </w:rPr>
            </w:pPr>
            <w:ins w:id="412" w:author="svcMRProcess" w:date="2018-08-22T11:37:00Z">
              <w:r>
                <w:rPr>
                  <w:b/>
                </w:rPr>
                <w:t xml:space="preserve">Reprint 3: The </w:t>
              </w:r>
              <w:r>
                <w:rPr>
                  <w:b/>
                  <w:i/>
                </w:rPr>
                <w:t>Coroners Act 1996</w:t>
              </w:r>
              <w:r>
                <w:rPr>
                  <w:b/>
                </w:rPr>
                <w:t xml:space="preserve"> as at 7 Nov 2014 </w:t>
              </w:r>
              <w:r>
                <w:t>(includes amendments listed above)</w:t>
              </w:r>
            </w:ins>
          </w:p>
        </w:tc>
      </w:tr>
    </w:tbl>
    <w:p>
      <w:pPr>
        <w:pStyle w:val="nSubsection"/>
        <w:spacing w:before="280"/>
        <w:ind w:left="482" w:hanging="482"/>
      </w:pPr>
      <w:r>
        <w:rPr>
          <w:vertAlign w:val="superscript"/>
        </w:rPr>
        <w:t>1a</w:t>
      </w:r>
      <w:r>
        <w:tab/>
        <w:t xml:space="preserve">On the date as at which this </w:t>
      </w:r>
      <w:del w:id="413" w:author="svcMRProcess" w:date="2018-08-22T11:37:00Z">
        <w:r>
          <w:delText>compilation</w:delText>
        </w:r>
      </w:del>
      <w:ins w:id="414" w:author="svcMRProcess" w:date="2018-08-22T11:37:00Z">
        <w:r>
          <w:t>reprint</w:t>
        </w:r>
      </w:ins>
      <w:r>
        <w:t xml:space="preserve"> was prepared, provisions referred to in the following table had not come into operation and were therefore not included in </w:t>
      </w:r>
      <w:del w:id="415" w:author="svcMRProcess" w:date="2018-08-22T11:37:00Z">
        <w:r>
          <w:delText>this compilation.</w:delText>
        </w:r>
      </w:del>
      <w:ins w:id="416" w:author="svcMRProcess" w:date="2018-08-22T11:37:00Z">
        <w:r>
          <w:t>compiling the reprint.</w:t>
        </w:r>
      </w:ins>
      <w:r>
        <w:t xml:space="preserve">  For the text of the provisions see the endnotes referred to in the table.</w:t>
      </w:r>
    </w:p>
    <w:p>
      <w:pPr>
        <w:pStyle w:val="nHeading3"/>
        <w:spacing w:before="180" w:after="80"/>
      </w:pPr>
      <w:bookmarkStart w:id="417" w:name="_Toc404007775"/>
      <w:bookmarkStart w:id="418" w:name="_Toc413142799"/>
      <w:bookmarkStart w:id="419" w:name="_Toc402968571"/>
      <w:r>
        <w:t>Provisions that have not come into operation</w:t>
      </w:r>
      <w:bookmarkEnd w:id="417"/>
      <w:bookmarkEnd w:id="418"/>
      <w:bookmarkEnd w:id="41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420" w:author="svcMRProcess" w:date="2018-08-22T11:37:00Z">
              <w:r>
                <w:rPr>
                  <w:b/>
                </w:rPr>
                <w:delText> </w:delText>
              </w:r>
            </w:del>
            <w:ins w:id="421" w:author="svcMRProcess" w:date="2018-08-22T11:37:00Z">
              <w:r>
                <w:rPr>
                  <w:b/>
                </w:rPr>
                <w:t xml:space="preserve"> </w:t>
              </w:r>
            </w:ins>
            <w:r>
              <w:rPr>
                <w:b/>
              </w:rPr>
              <w:t>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rPr>
            </w:pPr>
            <w:r>
              <w:rPr>
                <w:i/>
              </w:rPr>
              <w:t>State Superannuation (Transitional and Consequential Provisions) Act 2000</w:t>
            </w:r>
            <w:r>
              <w:t xml:space="preserve"> s. 36(2) </w:t>
            </w:r>
            <w:r>
              <w:rPr>
                <w:vertAlign w:val="superscript"/>
              </w:rPr>
              <w:t>4</w:t>
            </w:r>
          </w:p>
        </w:tc>
        <w:tc>
          <w:tcPr>
            <w:tcW w:w="1134" w:type="dxa"/>
            <w:tcBorders>
              <w:top w:val="single" w:sz="8" w:space="0" w:color="auto"/>
            </w:tcBorders>
            <w:shd w:val="clear" w:color="auto" w:fill="auto"/>
          </w:tcPr>
          <w:p>
            <w:pPr>
              <w:pStyle w:val="nTable"/>
              <w:spacing w:after="40"/>
            </w:pPr>
            <w:r>
              <w:t>43 of 2000</w:t>
            </w:r>
          </w:p>
        </w:tc>
        <w:tc>
          <w:tcPr>
            <w:tcW w:w="1135" w:type="dxa"/>
            <w:tcBorders>
              <w:top w:val="single" w:sz="8" w:space="0" w:color="auto"/>
            </w:tcBorders>
            <w:shd w:val="clear" w:color="auto" w:fill="auto"/>
          </w:tcPr>
          <w:p>
            <w:pPr>
              <w:pStyle w:val="nTable"/>
              <w:spacing w:after="40"/>
            </w:pPr>
            <w:r>
              <w:t>2 Nov 2000</w:t>
            </w:r>
          </w:p>
        </w:tc>
        <w:tc>
          <w:tcPr>
            <w:tcW w:w="2551" w:type="dxa"/>
            <w:tcBorders>
              <w:top w:val="single" w:sz="8" w:space="0" w:color="auto"/>
            </w:tcBorders>
            <w:shd w:val="clear" w:color="auto" w:fill="auto"/>
          </w:tcPr>
          <w:p>
            <w:pPr>
              <w:pStyle w:val="nTable"/>
              <w:spacing w:after="40"/>
            </w:pPr>
            <w:r>
              <w:t>To be proclaimed (see s. 2(2))</w:t>
            </w:r>
          </w:p>
        </w:tc>
      </w:tr>
      <w:tr>
        <w:trPr>
          <w:cantSplit/>
        </w:trPr>
        <w:tc>
          <w:tcPr>
            <w:tcW w:w="2268" w:type="dxa"/>
            <w:tcBorders>
              <w:bottom w:val="single" w:sz="8" w:space="0" w:color="auto"/>
            </w:tcBorders>
            <w:shd w:val="clear" w:color="auto" w:fill="auto"/>
          </w:tcPr>
          <w:p>
            <w:pPr>
              <w:pStyle w:val="nTable"/>
              <w:spacing w:after="40"/>
              <w:rPr>
                <w:i/>
              </w:rPr>
            </w:pPr>
            <w:r>
              <w:rPr>
                <w:i/>
              </w:rPr>
              <w:t>Mental Health Legislation Amendment Act 2014</w:t>
            </w:r>
            <w:r>
              <w:t xml:space="preserve"> Pt.</w:t>
            </w:r>
            <w:del w:id="422" w:author="svcMRProcess" w:date="2018-08-22T11:37:00Z">
              <w:r>
                <w:delText xml:space="preserve"> </w:delText>
              </w:r>
            </w:del>
            <w:ins w:id="423" w:author="svcMRProcess" w:date="2018-08-22T11:37:00Z">
              <w:r>
                <w:t> </w:t>
              </w:r>
            </w:ins>
            <w:r>
              <w:t>4</w:t>
            </w:r>
            <w:del w:id="424" w:author="svcMRProcess" w:date="2018-08-22T11:37:00Z">
              <w:r>
                <w:delText xml:space="preserve"> </w:delText>
              </w:r>
            </w:del>
            <w:ins w:id="425" w:author="svcMRProcess" w:date="2018-08-22T11:37:00Z">
              <w:r>
                <w:t> </w:t>
              </w:r>
            </w:ins>
            <w:r>
              <w:t>Div. 4 Subdiv. 5 </w:t>
            </w:r>
            <w:r>
              <w:rPr>
                <w:vertAlign w:val="superscript"/>
              </w:rPr>
              <w:t>7</w:t>
            </w:r>
          </w:p>
        </w:tc>
        <w:tc>
          <w:tcPr>
            <w:tcW w:w="1134" w:type="dxa"/>
            <w:tcBorders>
              <w:bottom w:val="single" w:sz="8" w:space="0" w:color="auto"/>
            </w:tcBorders>
            <w:shd w:val="clear" w:color="auto" w:fill="auto"/>
          </w:tcPr>
          <w:p>
            <w:pPr>
              <w:pStyle w:val="nTable"/>
              <w:spacing w:after="40"/>
            </w:pPr>
            <w:r>
              <w:rPr>
                <w:snapToGrid w:val="0"/>
                <w:lang w:val="en-US"/>
              </w:rPr>
              <w:t>25 of 2014</w:t>
            </w:r>
          </w:p>
        </w:tc>
        <w:tc>
          <w:tcPr>
            <w:tcW w:w="1135" w:type="dxa"/>
            <w:tcBorders>
              <w:bottom w:val="single" w:sz="8" w:space="0" w:color="auto"/>
            </w:tcBorders>
            <w:shd w:val="clear" w:color="auto" w:fill="auto"/>
          </w:tcPr>
          <w:p>
            <w:pPr>
              <w:pStyle w:val="nTable"/>
              <w:spacing w:after="40"/>
            </w:pPr>
            <w:r>
              <w:t>3 Nov 2014</w:t>
            </w:r>
          </w:p>
        </w:tc>
        <w:tc>
          <w:tcPr>
            <w:tcW w:w="2551" w:type="dxa"/>
            <w:tcBorders>
              <w:bottom w:val="single" w:sz="8" w:space="0" w:color="auto"/>
            </w:tcBorders>
            <w:shd w:val="clear" w:color="auto" w:fill="auto"/>
          </w:tcPr>
          <w:p>
            <w:pPr>
              <w:pStyle w:val="nTable"/>
              <w:spacing w:after="40"/>
            </w:pPr>
            <w:r>
              <w:rPr>
                <w:snapToGrid w:val="0"/>
                <w:lang w:val="en-US"/>
              </w:rPr>
              <w:t>To be proclaimed (see s. 2(b))</w:t>
            </w:r>
          </w:p>
        </w:tc>
      </w:tr>
    </w:tbl>
    <w:p>
      <w:pPr>
        <w:pStyle w:val="nSubsection"/>
        <w:spacing w:before="120"/>
        <w:rPr>
          <w:del w:id="426" w:author="svcMRProcess" w:date="2018-08-22T11:37:00Z"/>
          <w:snapToGrid w:val="0"/>
          <w:vertAlign w:val="superscript"/>
        </w:rPr>
      </w:pPr>
    </w:p>
    <w:p>
      <w:pPr>
        <w:pStyle w:val="nSubsection"/>
        <w:spacing w:before="120"/>
        <w:rPr>
          <w:snapToGrid w:val="0"/>
        </w:rPr>
      </w:pPr>
      <w:r>
        <w:rPr>
          <w:snapToGrid w:val="0"/>
          <w:vertAlign w:val="superscript"/>
        </w:rPr>
        <w:t>2</w:t>
      </w:r>
      <w:r>
        <w:rPr>
          <w:snapToGrid w:val="0"/>
        </w:rPr>
        <w:tab/>
        <w:t xml:space="preserve">The provision </w:t>
      </w:r>
      <w:del w:id="427" w:author="svcMRProcess" w:date="2018-08-22T11:37:00Z">
        <w:r>
          <w:rPr>
            <w:snapToGrid w:val="0"/>
          </w:rPr>
          <w:delText>of</w:delText>
        </w:r>
      </w:del>
      <w:ins w:id="428" w:author="svcMRProcess" w:date="2018-08-22T11:37:00Z">
        <w:r>
          <w:rPr>
            <w:snapToGrid w:val="0"/>
          </w:rPr>
          <w:t>in</w:t>
        </w:r>
      </w:ins>
      <w:r>
        <w:rPr>
          <w:snapToGrid w:val="0"/>
        </w:rPr>
        <w:t xml:space="preserve"> this Act repealing that Act has been omitted under </w:t>
      </w:r>
      <w:del w:id="429" w:author="svcMRProcess" w:date="2018-08-22T11:37:00Z">
        <w:r>
          <w:rPr>
            <w:snapToGrid w:val="0"/>
          </w:rPr>
          <w:delText xml:space="preserve">s. 7(4)(f) of </w:delText>
        </w:r>
      </w:del>
      <w:r>
        <w:rPr>
          <w:snapToGrid w:val="0"/>
        </w:rPr>
        <w:t xml:space="preserve">the </w:t>
      </w:r>
      <w:r>
        <w:rPr>
          <w:i/>
          <w:snapToGrid w:val="0"/>
        </w:rPr>
        <w:t>Reprints Act 1984</w:t>
      </w:r>
      <w:del w:id="430" w:author="svcMRProcess" w:date="2018-08-22T11:37:00Z">
        <w:r>
          <w:rPr>
            <w:snapToGrid w:val="0"/>
          </w:rPr>
          <w:delText>.</w:delText>
        </w:r>
      </w:del>
      <w:ins w:id="431" w:author="svcMRProcess" w:date="2018-08-22T11:37:00Z">
        <w:r>
          <w:rPr>
            <w:i/>
            <w:snapToGrid w:val="0"/>
          </w:rPr>
          <w:t xml:space="preserve"> </w:t>
        </w:r>
        <w:r>
          <w:rPr>
            <w:snapToGrid w:val="0"/>
          </w:rPr>
          <w:t>s. 7(4)(f).</w:t>
        </w:r>
      </w:ins>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w:t>
      </w:r>
      <w:del w:id="432" w:author="svcMRProcess" w:date="2018-08-22T11:37:00Z">
        <w:r>
          <w:rPr>
            <w:snapToGrid w:val="0"/>
          </w:rPr>
          <w:delText>compilation</w:delText>
        </w:r>
      </w:del>
      <w:ins w:id="433" w:author="svcMRProcess" w:date="2018-08-22T11:37:00Z">
        <w:r>
          <w:rPr>
            <w:snapToGrid w:val="0"/>
          </w:rPr>
          <w:t>reprint</w:t>
        </w:r>
      </w:ins>
      <w:r>
        <w:rPr>
          <w:snapToGrid w:val="0"/>
        </w:rPr>
        <w:t xml:space="preserve">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del w:id="434" w:author="svcMRProcess" w:date="2018-08-22T11:37:00Z">
        <w:r>
          <w:rPr>
            <w:snapToGrid w:val="0"/>
          </w:rPr>
          <w:delText>“</w:delText>
        </w:r>
      </w:del>
    </w:p>
    <w:p>
      <w:pPr>
        <w:pStyle w:val="nzSubsection"/>
        <w:spacing w:before="0"/>
      </w:pPr>
      <w:r>
        <w:tab/>
        <w:t>(2)</w:t>
      </w:r>
      <w:r>
        <w:tab/>
        <w:t xml:space="preserve">Section 6(5) of the </w:t>
      </w:r>
      <w:r>
        <w:rPr>
          <w:i/>
        </w:rPr>
        <w:t>Coroners Act 1996</w:t>
      </w:r>
      <w:r>
        <w:t xml:space="preserve"> is repealed.</w:t>
      </w:r>
    </w:p>
    <w:p>
      <w:pPr>
        <w:pStyle w:val="BlankClose"/>
      </w:pPr>
      <w:del w:id="435" w:author="svcMRProcess" w:date="2018-08-22T11:37:00Z">
        <w:r>
          <w:delText>”.</w:delText>
        </w:r>
      </w:del>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del w:id="436" w:author="svcMRProcess" w:date="2018-08-22T11:37:00Z">
        <w:r>
          <w:delText>“</w:delText>
        </w:r>
      </w:del>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del w:id="437" w:author="svcMRProcess" w:date="2018-08-22T11:37:00Z">
        <w:r>
          <w:rPr>
            <w:snapToGrid w:val="0"/>
          </w:rPr>
          <w:delText>”.</w:delText>
        </w:r>
      </w:del>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del w:id="438" w:author="svcMRProcess" w:date="2018-08-22T11:37:00Z">
        <w:r>
          <w:rPr>
            <w:snapToGrid w:val="0"/>
          </w:rPr>
          <w:delText>“</w:delText>
        </w:r>
      </w:del>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del w:id="439" w:author="svcMRProcess" w:date="2018-08-22T11:37:00Z">
        <w:r>
          <w:rPr>
            <w:snapToGrid w:val="0"/>
          </w:rPr>
          <w:delText>”.</w:delText>
        </w:r>
      </w:del>
    </w:p>
    <w:p>
      <w:pPr>
        <w:pStyle w:val="nSubsection"/>
        <w:keepNext/>
        <w:keepLines/>
        <w:rPr>
          <w:snapToGrid w:val="0"/>
        </w:rPr>
      </w:pPr>
      <w:r>
        <w:rPr>
          <w:snapToGrid w:val="0"/>
          <w:vertAlign w:val="superscript"/>
        </w:rPr>
        <w:t>7</w:t>
      </w:r>
      <w:r>
        <w:rPr>
          <w:snapToGrid w:val="0"/>
        </w:rPr>
        <w:tab/>
      </w:r>
      <w:r>
        <w:t xml:space="preserve">On the date as at which this </w:t>
      </w:r>
      <w:del w:id="440" w:author="svcMRProcess" w:date="2018-08-22T11:37:00Z">
        <w:r>
          <w:delText>compilation</w:delText>
        </w:r>
      </w:del>
      <w:ins w:id="441" w:author="svcMRProcess" w:date="2018-08-22T11:37:00Z">
        <w:r>
          <w:t>reprint</w:t>
        </w:r>
      </w:ins>
      <w:r>
        <w:t xml:space="preserve"> was prepared, </w:t>
      </w:r>
      <w:r>
        <w:rPr>
          <w:snapToGrid w:val="0"/>
        </w:rPr>
        <w:t xml:space="preserve">the </w:t>
      </w:r>
      <w:r>
        <w:rPr>
          <w:i/>
        </w:rPr>
        <w:t>Mental Health Legislation Amendment Act 2014</w:t>
      </w:r>
      <w:r>
        <w:t xml:space="preserve"> Pt. 4 Div. 4 Subdiv. 5</w:t>
      </w:r>
      <w:r>
        <w:rPr>
          <w:snapToGrid w:val="0"/>
        </w:rPr>
        <w:t xml:space="preserve"> had not come into operation.  It reads as follows:</w:t>
      </w:r>
    </w:p>
    <w:p>
      <w:pPr>
        <w:pStyle w:val="BlankOpen"/>
        <w:rPr>
          <w:rStyle w:val="CharPartText"/>
        </w:rPr>
      </w:pPr>
    </w:p>
    <w:p>
      <w:pPr>
        <w:pStyle w:val="nzHeading2"/>
        <w:rPr>
          <w:del w:id="442" w:author="svcMRProcess" w:date="2018-08-22T11:37:00Z"/>
          <w:rStyle w:val="CharPartText"/>
          <w:b w:val="0"/>
          <w:sz w:val="18"/>
        </w:rPr>
      </w:pPr>
      <w:bookmarkStart w:id="443" w:name="_Toc373331812"/>
      <w:bookmarkStart w:id="444" w:name="_Toc373332059"/>
      <w:bookmarkStart w:id="445" w:name="_Toc385413042"/>
      <w:bookmarkStart w:id="446" w:name="_Toc385413290"/>
      <w:bookmarkStart w:id="447" w:name="_Toc385415631"/>
      <w:bookmarkStart w:id="448" w:name="_Toc385498823"/>
      <w:bookmarkStart w:id="449" w:name="_Toc385500219"/>
      <w:bookmarkStart w:id="450" w:name="_Toc401671244"/>
      <w:bookmarkStart w:id="451" w:name="_Toc401673109"/>
      <w:bookmarkStart w:id="452" w:name="_Toc402180222"/>
      <w:bookmarkStart w:id="453" w:name="_Toc373331855"/>
      <w:bookmarkStart w:id="454" w:name="_Toc373332102"/>
      <w:bookmarkStart w:id="455" w:name="_Toc385413086"/>
      <w:bookmarkStart w:id="456" w:name="_Toc385413334"/>
      <w:bookmarkStart w:id="457" w:name="_Toc385415675"/>
      <w:bookmarkStart w:id="458" w:name="_Toc385498867"/>
      <w:bookmarkStart w:id="459" w:name="_Toc385500263"/>
      <w:bookmarkStart w:id="460" w:name="_Toc401671288"/>
      <w:bookmarkStart w:id="461" w:name="_Toc401673153"/>
      <w:bookmarkStart w:id="462" w:name="_Toc402180266"/>
      <w:del w:id="463" w:author="svcMRProcess" w:date="2018-08-22T11:37:00Z">
        <w:r>
          <w:rPr>
            <w:rStyle w:val="CharPartNo"/>
          </w:rPr>
          <w:delText>Part 4</w:delText>
        </w:r>
        <w:r>
          <w:delText> — </w:delText>
        </w:r>
        <w:r>
          <w:rPr>
            <w:rStyle w:val="CharPartText"/>
          </w:rPr>
          <w:delText>Amendments to other Acts</w:delText>
        </w:r>
        <w:bookmarkEnd w:id="443"/>
        <w:bookmarkEnd w:id="444"/>
        <w:bookmarkEnd w:id="445"/>
        <w:bookmarkEnd w:id="446"/>
        <w:bookmarkEnd w:id="447"/>
        <w:bookmarkEnd w:id="448"/>
        <w:bookmarkEnd w:id="449"/>
        <w:bookmarkEnd w:id="450"/>
        <w:bookmarkEnd w:id="451"/>
        <w:bookmarkEnd w:id="452"/>
      </w:del>
    </w:p>
    <w:p>
      <w:pPr>
        <w:pStyle w:val="nzHeading3"/>
        <w:rPr>
          <w:del w:id="464" w:author="svcMRProcess" w:date="2018-08-22T11:37:00Z"/>
          <w:rStyle w:val="CharPartText"/>
          <w:b w:val="0"/>
          <w:sz w:val="18"/>
        </w:rPr>
      </w:pPr>
      <w:bookmarkStart w:id="465" w:name="_Toc373331841"/>
      <w:bookmarkStart w:id="466" w:name="_Toc373332088"/>
      <w:bookmarkStart w:id="467" w:name="_Toc385413072"/>
      <w:bookmarkStart w:id="468" w:name="_Toc385413320"/>
      <w:bookmarkStart w:id="469" w:name="_Toc385415661"/>
      <w:bookmarkStart w:id="470" w:name="_Toc385498853"/>
      <w:bookmarkStart w:id="471" w:name="_Toc385500249"/>
      <w:bookmarkStart w:id="472" w:name="_Toc401671274"/>
      <w:bookmarkStart w:id="473" w:name="_Toc401673139"/>
      <w:bookmarkStart w:id="474" w:name="_Toc402180252"/>
      <w:del w:id="475" w:author="svcMRProcess" w:date="2018-08-22T11:37:00Z">
        <w:r>
          <w:rPr>
            <w:rStyle w:val="CharDivNo"/>
          </w:rPr>
          <w:delText>Division 4</w:delText>
        </w:r>
        <w:r>
          <w:delText> — </w:delText>
        </w:r>
        <w:r>
          <w:rPr>
            <w:rStyle w:val="CharDivText"/>
          </w:rPr>
          <w:delText>Other Acts amended</w:delText>
        </w:r>
        <w:bookmarkEnd w:id="465"/>
        <w:bookmarkEnd w:id="466"/>
        <w:bookmarkEnd w:id="467"/>
        <w:bookmarkEnd w:id="468"/>
        <w:bookmarkEnd w:id="469"/>
        <w:bookmarkEnd w:id="470"/>
        <w:bookmarkEnd w:id="471"/>
        <w:bookmarkEnd w:id="472"/>
        <w:bookmarkEnd w:id="473"/>
        <w:bookmarkEnd w:id="474"/>
      </w:del>
    </w:p>
    <w:p>
      <w:pPr>
        <w:pStyle w:val="nzHeading4"/>
      </w:pPr>
      <w:r>
        <w:t>Subdivision 5 — </w:t>
      </w:r>
      <w:r>
        <w:rPr>
          <w:i/>
        </w:rPr>
        <w:t>Coroners Act 1996</w:t>
      </w:r>
      <w:r>
        <w:t xml:space="preserve"> amended</w:t>
      </w:r>
      <w:bookmarkEnd w:id="453"/>
      <w:bookmarkEnd w:id="454"/>
      <w:bookmarkEnd w:id="455"/>
      <w:bookmarkEnd w:id="456"/>
      <w:bookmarkEnd w:id="457"/>
      <w:bookmarkEnd w:id="458"/>
      <w:bookmarkEnd w:id="459"/>
      <w:bookmarkEnd w:id="460"/>
      <w:bookmarkEnd w:id="461"/>
      <w:bookmarkEnd w:id="462"/>
    </w:p>
    <w:p>
      <w:pPr>
        <w:pStyle w:val="nzHeading5"/>
      </w:pPr>
      <w:bookmarkStart w:id="476" w:name="_Toc402180267"/>
      <w:r>
        <w:rPr>
          <w:rStyle w:val="CharSectno"/>
        </w:rPr>
        <w:t>41</w:t>
      </w:r>
      <w:r>
        <w:t>.</w:t>
      </w:r>
      <w:r>
        <w:tab/>
        <w:t>Act amended</w:t>
      </w:r>
      <w:bookmarkEnd w:id="476"/>
    </w:p>
    <w:p>
      <w:pPr>
        <w:pStyle w:val="nzSubsection"/>
      </w:pPr>
      <w:r>
        <w:tab/>
      </w:r>
      <w:r>
        <w:tab/>
        <w:t xml:space="preserve">This Subdivision amends the </w:t>
      </w:r>
      <w:r>
        <w:rPr>
          <w:i/>
        </w:rPr>
        <w:t>Coroners Act 1996</w:t>
      </w:r>
      <w:r>
        <w:t>.</w:t>
      </w:r>
    </w:p>
    <w:p>
      <w:pPr>
        <w:pStyle w:val="nzHeading5"/>
      </w:pPr>
      <w:bookmarkStart w:id="477" w:name="_Toc402180268"/>
      <w:r>
        <w:rPr>
          <w:rStyle w:val="CharSectno"/>
        </w:rPr>
        <w:t>42</w:t>
      </w:r>
      <w:r>
        <w:t>.</w:t>
      </w:r>
      <w:r>
        <w:tab/>
        <w:t>Section 3 amended</w:t>
      </w:r>
      <w:bookmarkEnd w:id="477"/>
    </w:p>
    <w:p>
      <w:pPr>
        <w:pStyle w:val="nzSubsection"/>
      </w:pPr>
      <w:r>
        <w:tab/>
      </w:r>
      <w:r>
        <w:tab/>
        <w:t xml:space="preserve">In section 3 in the definition of </w:t>
      </w:r>
      <w:r>
        <w:rPr>
          <w:b/>
          <w:i/>
        </w:rPr>
        <w:t>person held in care</w:t>
      </w:r>
      <w:r>
        <w:t xml:space="preserve"> delete paragraph (c) and insert:</w:t>
      </w:r>
    </w:p>
    <w:p>
      <w:pPr>
        <w:pStyle w:val="BlankOpen"/>
        <w:tabs>
          <w:tab w:val="left" w:pos="2694"/>
        </w:tabs>
      </w:pPr>
    </w:p>
    <w:p>
      <w:pPr>
        <w:pStyle w:val="nzDefpara"/>
      </w:pPr>
      <w:r>
        <w:tab/>
        <w:t>(c)</w:t>
      </w:r>
      <w:r>
        <w:tab/>
        <w:t xml:space="preserve">a person — </w:t>
      </w:r>
    </w:p>
    <w:p>
      <w:pPr>
        <w:pStyle w:val="nzDefsubpara"/>
      </w:pPr>
      <w:r>
        <w:tab/>
        <w:t>(i)</w:t>
      </w:r>
      <w:r>
        <w:tab/>
        <w:t xml:space="preserve">who is an involuntary patient under the </w:t>
      </w:r>
      <w:r>
        <w:rPr>
          <w:i/>
        </w:rPr>
        <w:t>Mental Health Act 2014</w:t>
      </w:r>
      <w:r>
        <w:t>; or</w:t>
      </w:r>
    </w:p>
    <w:p>
      <w:pPr>
        <w:pStyle w:val="nzDefsubpara"/>
      </w:pPr>
      <w:r>
        <w:tab/>
        <w:t>(ii)</w:t>
      </w:r>
      <w:r>
        <w:tab/>
        <w:t>who is apprehended or detained under that Act; or</w:t>
      </w:r>
    </w:p>
    <w:p>
      <w:pPr>
        <w:pStyle w:val="nzDefsubpara"/>
      </w:pPr>
      <w:r>
        <w:tab/>
        <w:t>(iii)</w:t>
      </w:r>
      <w:r>
        <w:tab/>
        <w:t>who is absent without leave from a hospital or other place under section 97 of that Act;</w:t>
      </w:r>
    </w:p>
    <w:p>
      <w:pPr>
        <w:pStyle w:val="nzIndenta"/>
      </w:pPr>
      <w:r>
        <w:tab/>
      </w:r>
      <w:r>
        <w:tab/>
        <w:t>or</w:t>
      </w:r>
    </w:p>
    <w:p>
      <w:pPr>
        <w:pStyle w:val="BlankClose"/>
        <w:tabs>
          <w:tab w:val="left" w:pos="2694"/>
        </w:tabs>
      </w:pPr>
    </w:p>
    <w:p>
      <w:pPr>
        <w:pStyle w:val="BlankOpe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78" w:name="Compilation"/>
    <w:bookmarkEnd w:id="4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9" w:name="Coversheet"/>
    <w:bookmarkEnd w:id="4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4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10873</Words>
  <Characters>50017</Characters>
  <Application>Microsoft Office Word</Application>
  <DocSecurity>0</DocSecurity>
  <Lines>1351</Lines>
  <Paragraphs>751</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60139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02-i0-00 - 03-a0-01</dc:title>
  <dc:subject/>
  <dc:creator/>
  <cp:keywords/>
  <dc:description/>
  <cp:lastModifiedBy>svcMRProcess</cp:lastModifiedBy>
  <cp:revision>2</cp:revision>
  <cp:lastPrinted>2014-11-14T01:07:00Z</cp:lastPrinted>
  <dcterms:created xsi:type="dcterms:W3CDTF">2018-08-22T03:37:00Z</dcterms:created>
  <dcterms:modified xsi:type="dcterms:W3CDTF">2018-08-22T03:37:00Z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20141107</vt:lpwstr>
  </property>
  <property fmtid="{D5CDD505-2E9C-101B-9397-08002B2CF9AE}" pid="4" name="DocumentType">
    <vt:lpwstr>Act</vt:lpwstr>
  </property>
  <property fmtid="{D5CDD505-2E9C-101B-9397-08002B2CF9AE}" pid="5" name="OwlsUID">
    <vt:i4>185</vt:i4>
  </property>
  <property fmtid="{D5CDD505-2E9C-101B-9397-08002B2CF9AE}" pid="6" name="ReprintNo">
    <vt:lpwstr>3</vt:lpwstr>
  </property>
  <property fmtid="{D5CDD505-2E9C-101B-9397-08002B2CF9AE}" pid="7" name="ReprintedAsAt">
    <vt:filetime>2014-11-06T16:00:00Z</vt:filetime>
  </property>
  <property fmtid="{D5CDD505-2E9C-101B-9397-08002B2CF9AE}" pid="8" name="FromSuffix">
    <vt:lpwstr>02-i0-00</vt:lpwstr>
  </property>
  <property fmtid="{D5CDD505-2E9C-101B-9397-08002B2CF9AE}" pid="9" name="FromAsAtDate">
    <vt:lpwstr>03 Nov 2014</vt:lpwstr>
  </property>
  <property fmtid="{D5CDD505-2E9C-101B-9397-08002B2CF9AE}" pid="10" name="ToSuffix">
    <vt:lpwstr>03-a0-01</vt:lpwstr>
  </property>
  <property fmtid="{D5CDD505-2E9C-101B-9397-08002B2CF9AE}" pid="11" name="ToAsAtDate">
    <vt:lpwstr>07 Nov 2014</vt:lpwstr>
  </property>
</Properties>
</file>