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2014</w:t>
      </w:r>
      <w:r>
        <w:fldChar w:fldCharType="end"/>
      </w:r>
      <w:r>
        <w:t xml:space="preserve">, </w:t>
      </w:r>
      <w:r>
        <w:fldChar w:fldCharType="begin"/>
      </w:r>
      <w:r>
        <w:instrText xml:space="preserve"> DocProperty FromSuffix </w:instrText>
      </w:r>
      <w:r>
        <w:fldChar w:fldCharType="separate"/>
      </w:r>
      <w:r>
        <w:t>12-n0-02</w:t>
      </w:r>
      <w:r>
        <w:fldChar w:fldCharType="end"/>
      </w:r>
      <w:r>
        <w:t>] and [</w:t>
      </w:r>
      <w:r>
        <w:fldChar w:fldCharType="begin"/>
      </w:r>
      <w:r>
        <w:instrText xml:space="preserve"> DocProperty ToAsAtDate</w:instrText>
      </w:r>
      <w:r>
        <w:fldChar w:fldCharType="separate"/>
      </w:r>
      <w:r>
        <w:t>14 Nov 2014</w:t>
      </w:r>
      <w:r>
        <w:fldChar w:fldCharType="end"/>
      </w:r>
      <w:r>
        <w:t xml:space="preserve">, </w:t>
      </w:r>
      <w:r>
        <w:fldChar w:fldCharType="begin"/>
      </w:r>
      <w:r>
        <w:instrText xml:space="preserve"> DocProperty ToSuffix</w:instrText>
      </w:r>
      <w:r>
        <w:fldChar w:fldCharType="separate"/>
      </w:r>
      <w:r>
        <w:t>13-a0-03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8T12:00:00Z"/>
        </w:trPr>
        <w:tc>
          <w:tcPr>
            <w:tcW w:w="2434" w:type="dxa"/>
            <w:vMerge w:val="restart"/>
          </w:tcPr>
          <w:p>
            <w:pPr>
              <w:rPr>
                <w:ins w:id="1" w:author="Master Repository Process" w:date="2021-08-28T12:00:00Z"/>
              </w:rPr>
            </w:pPr>
          </w:p>
        </w:tc>
        <w:tc>
          <w:tcPr>
            <w:tcW w:w="2434" w:type="dxa"/>
            <w:vMerge w:val="restart"/>
          </w:tcPr>
          <w:p>
            <w:pPr>
              <w:jc w:val="center"/>
              <w:rPr>
                <w:ins w:id="2" w:author="Master Repository Process" w:date="2021-08-28T12:00:00Z"/>
              </w:rPr>
            </w:pPr>
            <w:ins w:id="3" w:author="Master Repository Process" w:date="2021-08-28T12:00: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8T12:00:00Z"/>
              </w:rPr>
            </w:pPr>
            <w:ins w:id="5" w:author="Master Repository Process" w:date="2021-08-28T12:00:00Z">
              <w:r>
                <w:rPr>
                  <w:b/>
                  <w:sz w:val="22"/>
                </w:rPr>
                <w:t xml:space="preserve">Reprinted under the </w:t>
              </w:r>
              <w:r>
                <w:rPr>
                  <w:b/>
                  <w:i/>
                  <w:sz w:val="22"/>
                </w:rPr>
                <w:t>Reprints Act 1984</w:t>
              </w:r>
              <w:r>
                <w:rPr>
                  <w:b/>
                  <w:sz w:val="22"/>
                </w:rPr>
                <w:t xml:space="preserve"> as</w:t>
              </w:r>
            </w:ins>
          </w:p>
        </w:tc>
      </w:tr>
      <w:tr>
        <w:trPr>
          <w:cantSplit/>
          <w:ins w:id="6" w:author="Master Repository Process" w:date="2021-08-28T12:00:00Z"/>
        </w:trPr>
        <w:tc>
          <w:tcPr>
            <w:tcW w:w="2434" w:type="dxa"/>
            <w:vMerge/>
          </w:tcPr>
          <w:p>
            <w:pPr>
              <w:rPr>
                <w:ins w:id="7" w:author="Master Repository Process" w:date="2021-08-28T12:00:00Z"/>
              </w:rPr>
            </w:pPr>
          </w:p>
        </w:tc>
        <w:tc>
          <w:tcPr>
            <w:tcW w:w="2434" w:type="dxa"/>
            <w:vMerge/>
          </w:tcPr>
          <w:p>
            <w:pPr>
              <w:jc w:val="center"/>
              <w:rPr>
                <w:ins w:id="8" w:author="Master Repository Process" w:date="2021-08-28T12:00:00Z"/>
              </w:rPr>
            </w:pPr>
          </w:p>
        </w:tc>
        <w:tc>
          <w:tcPr>
            <w:tcW w:w="2434" w:type="dxa"/>
          </w:tcPr>
          <w:p>
            <w:pPr>
              <w:keepNext/>
              <w:rPr>
                <w:ins w:id="9" w:author="Master Repository Process" w:date="2021-08-28T12:00:00Z"/>
                <w:b/>
                <w:sz w:val="22"/>
              </w:rPr>
            </w:pPr>
            <w:ins w:id="10" w:author="Master Repository Process" w:date="2021-08-28T12:00:00Z">
              <w:r>
                <w:rPr>
                  <w:b/>
                  <w:sz w:val="22"/>
                </w:rPr>
                <w:t>at 14</w:t>
              </w:r>
              <w:r>
                <w:rPr>
                  <w:b/>
                  <w:snapToGrid w:val="0"/>
                  <w:sz w:val="22"/>
                </w:rPr>
                <w:t xml:space="preserve"> November 2014</w:t>
              </w:r>
            </w:ins>
          </w:p>
        </w:tc>
      </w:tr>
    </w:tbl>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1" w:name="_Toc404246069"/>
      <w:bookmarkStart w:id="12" w:name="_Toc402878926"/>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11"/>
      <w:bookmarkEnd w:id="12"/>
    </w:p>
    <w:p>
      <w:pPr>
        <w:pStyle w:val="Heading5"/>
        <w:rPr>
          <w:snapToGrid w:val="0"/>
        </w:rPr>
      </w:pPr>
      <w:bookmarkStart w:id="14" w:name="_Toc404246070"/>
      <w:bookmarkStart w:id="15" w:name="_Toc402878927"/>
      <w:r>
        <w:rPr>
          <w:rStyle w:val="CharSectno"/>
        </w:rPr>
        <w:t>1</w:t>
      </w:r>
      <w:r>
        <w:rPr>
          <w:snapToGrid w:val="0"/>
        </w:rPr>
        <w:t>.</w:t>
      </w:r>
      <w:r>
        <w:rPr>
          <w:snapToGrid w:val="0"/>
        </w:rPr>
        <w:tab/>
        <w:t>Citation</w:t>
      </w:r>
      <w:bookmarkEnd w:id="14"/>
      <w:bookmarkEnd w:id="15"/>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6" w:name="_Toc404246071"/>
      <w:bookmarkStart w:id="17" w:name="_Toc402878928"/>
      <w:r>
        <w:rPr>
          <w:rStyle w:val="CharSectno"/>
        </w:rPr>
        <w:t>2</w:t>
      </w:r>
      <w:r>
        <w:rPr>
          <w:snapToGrid w:val="0"/>
        </w:rPr>
        <w:t>.</w:t>
      </w:r>
      <w:r>
        <w:rPr>
          <w:snapToGrid w:val="0"/>
        </w:rPr>
        <w:tab/>
        <w:t>Commencement</w:t>
      </w:r>
      <w:bookmarkEnd w:id="16"/>
      <w:bookmarkEnd w:id="17"/>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8" w:name="_Toc404246072"/>
      <w:bookmarkStart w:id="19" w:name="_Toc402878929"/>
      <w:r>
        <w:rPr>
          <w:rStyle w:val="CharSectno"/>
        </w:rPr>
        <w:t>3</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spacing w:before="60"/>
      </w:pPr>
      <w:r>
        <w:tab/>
        <w:t>(ii)</w:t>
      </w:r>
      <w:r>
        <w:tab/>
        <w:t>regulation 124A(4) on a receipt, within the meaning of that regulation, for an application for a recreational fishing licence issued to the person;</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w:t>
      </w:r>
    </w:p>
    <w:p>
      <w:pPr>
        <w:pStyle w:val="Ednotesection"/>
      </w:pPr>
      <w:r>
        <w:t>[</w:t>
      </w:r>
      <w:r>
        <w:rPr>
          <w:b/>
        </w:rPr>
        <w:t>3A.</w:t>
      </w:r>
      <w:r>
        <w:tab/>
        <w:t>Deleted in Gazette 4 Nov 2005 p. 5301.]</w:t>
      </w:r>
    </w:p>
    <w:p>
      <w:pPr>
        <w:pStyle w:val="Heading5"/>
        <w:rPr>
          <w:snapToGrid w:val="0"/>
        </w:rPr>
      </w:pPr>
      <w:bookmarkStart w:id="20" w:name="_Toc404246073"/>
      <w:bookmarkStart w:id="21" w:name="_Toc402878930"/>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20"/>
      <w:bookmarkEnd w:id="21"/>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22" w:name="_Toc404246074"/>
      <w:bookmarkStart w:id="23" w:name="_Toc402878931"/>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22"/>
      <w:bookmarkEnd w:id="23"/>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24" w:name="_Toc404246075"/>
      <w:bookmarkStart w:id="25" w:name="_Toc402878932"/>
      <w:r>
        <w:rPr>
          <w:rStyle w:val="CharSectno"/>
        </w:rPr>
        <w:t>6</w:t>
      </w:r>
      <w:r>
        <w:rPr>
          <w:snapToGrid w:val="0"/>
        </w:rPr>
        <w:t>.</w:t>
      </w:r>
      <w:r>
        <w:rPr>
          <w:snapToGrid w:val="0"/>
        </w:rPr>
        <w:tab/>
        <w:t>Fee prescribed for exemption application (Act s. 7(4))</w:t>
      </w:r>
      <w:bookmarkEnd w:id="24"/>
      <w:bookmarkEnd w:id="25"/>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6" w:name="_Toc404246076"/>
      <w:bookmarkStart w:id="27" w:name="_Toc402878933"/>
      <w:r>
        <w:rPr>
          <w:rStyle w:val="CharSectno"/>
        </w:rPr>
        <w:t>7</w:t>
      </w:r>
      <w:r>
        <w:rPr>
          <w:snapToGrid w:val="0"/>
        </w:rPr>
        <w:t>.</w:t>
      </w:r>
      <w:r>
        <w:rPr>
          <w:snapToGrid w:val="0"/>
        </w:rPr>
        <w:tab/>
        <w:t>Exemption, power to require return of</w:t>
      </w:r>
      <w:bookmarkEnd w:id="26"/>
      <w:bookmarkEnd w:id="27"/>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28" w:name="_Toc404246077"/>
      <w:bookmarkStart w:id="29" w:name="_Toc402878934"/>
      <w:r>
        <w:rPr>
          <w:rStyle w:val="CharPartNo"/>
        </w:rPr>
        <w:t>Part 2</w:t>
      </w:r>
      <w:r>
        <w:rPr>
          <w:rStyle w:val="CharDivNo"/>
        </w:rPr>
        <w:t> </w:t>
      </w:r>
      <w:r>
        <w:t>—</w:t>
      </w:r>
      <w:r>
        <w:rPr>
          <w:rStyle w:val="CharDivText"/>
        </w:rPr>
        <w:t> </w:t>
      </w:r>
      <w:r>
        <w:rPr>
          <w:rStyle w:val="CharPartText"/>
        </w:rPr>
        <w:t>Administration</w:t>
      </w:r>
      <w:bookmarkEnd w:id="28"/>
      <w:bookmarkEnd w:id="29"/>
    </w:p>
    <w:p>
      <w:pPr>
        <w:pStyle w:val="Heading5"/>
        <w:rPr>
          <w:snapToGrid w:val="0"/>
        </w:rPr>
      </w:pPr>
      <w:bookmarkStart w:id="30" w:name="_Toc404246078"/>
      <w:bookmarkStart w:id="31" w:name="_Toc402878935"/>
      <w:r>
        <w:rPr>
          <w:rStyle w:val="CharSectno"/>
        </w:rPr>
        <w:t>8</w:t>
      </w:r>
      <w:r>
        <w:rPr>
          <w:snapToGrid w:val="0"/>
        </w:rPr>
        <w:t>.</w:t>
      </w:r>
      <w:r>
        <w:rPr>
          <w:snapToGrid w:val="0"/>
        </w:rPr>
        <w:tab/>
        <w:t>Common seal of Minister for Fisheries, use of etc.</w:t>
      </w:r>
      <w:bookmarkEnd w:id="30"/>
      <w:bookmarkEnd w:id="31"/>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32" w:name="_Toc404246079"/>
      <w:bookmarkStart w:id="33" w:name="_Toc402878936"/>
      <w:r>
        <w:rPr>
          <w:rStyle w:val="CharPartNo"/>
        </w:rPr>
        <w:t>Part 3</w:t>
      </w:r>
      <w:r>
        <w:rPr>
          <w:rStyle w:val="CharDivNo"/>
        </w:rPr>
        <w:t> </w:t>
      </w:r>
      <w:r>
        <w:t>—</w:t>
      </w:r>
      <w:r>
        <w:rPr>
          <w:rStyle w:val="CharDivText"/>
        </w:rPr>
        <w:t> </w:t>
      </w:r>
      <w:r>
        <w:rPr>
          <w:rStyle w:val="CharPartText"/>
        </w:rPr>
        <w:t>Advisory committees</w:t>
      </w:r>
      <w:bookmarkEnd w:id="32"/>
      <w:bookmarkEnd w:id="33"/>
    </w:p>
    <w:p>
      <w:pPr>
        <w:pStyle w:val="Heading5"/>
        <w:rPr>
          <w:snapToGrid w:val="0"/>
        </w:rPr>
      </w:pPr>
      <w:bookmarkStart w:id="34" w:name="_Toc404246080"/>
      <w:bookmarkStart w:id="35" w:name="_Toc402878937"/>
      <w:r>
        <w:rPr>
          <w:rStyle w:val="CharSectno"/>
        </w:rPr>
        <w:t>9</w:t>
      </w:r>
      <w:r>
        <w:rPr>
          <w:snapToGrid w:val="0"/>
        </w:rPr>
        <w:t>.</w:t>
      </w:r>
      <w:r>
        <w:rPr>
          <w:snapToGrid w:val="0"/>
        </w:rPr>
        <w:tab/>
        <w:t>Procedure for appointments prescribed (Act s. 29(2), 33(2) and 37(2))</w:t>
      </w:r>
      <w:bookmarkEnd w:id="34"/>
      <w:bookmarkEnd w:id="35"/>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36" w:name="_Toc404246081"/>
      <w:bookmarkStart w:id="37" w:name="_Toc402878938"/>
      <w:r>
        <w:rPr>
          <w:rStyle w:val="CharPartNo"/>
        </w:rPr>
        <w:t>Part 4</w:t>
      </w:r>
      <w:r>
        <w:t> — </w:t>
      </w:r>
      <w:r>
        <w:rPr>
          <w:rStyle w:val="CharPartText"/>
        </w:rPr>
        <w:t>General regulation of fishing</w:t>
      </w:r>
      <w:bookmarkEnd w:id="36"/>
      <w:bookmarkEnd w:id="37"/>
    </w:p>
    <w:p>
      <w:pPr>
        <w:pStyle w:val="Heading3"/>
      </w:pPr>
      <w:bookmarkStart w:id="38" w:name="_Toc404246082"/>
      <w:bookmarkStart w:id="39" w:name="_Toc402878939"/>
      <w:r>
        <w:rPr>
          <w:rStyle w:val="CharDivNo"/>
        </w:rPr>
        <w:t>Division 1</w:t>
      </w:r>
      <w:r>
        <w:rPr>
          <w:snapToGrid w:val="0"/>
        </w:rPr>
        <w:t> — </w:t>
      </w:r>
      <w:r>
        <w:rPr>
          <w:rStyle w:val="CharDivText"/>
        </w:rPr>
        <w:t>Protected fish</w:t>
      </w:r>
      <w:bookmarkEnd w:id="38"/>
      <w:bookmarkEnd w:id="39"/>
    </w:p>
    <w:p>
      <w:pPr>
        <w:pStyle w:val="Heading5"/>
      </w:pPr>
      <w:bookmarkStart w:id="40" w:name="_Toc404246083"/>
      <w:bookmarkStart w:id="41" w:name="_Toc402878940"/>
      <w:r>
        <w:rPr>
          <w:rStyle w:val="CharSectno"/>
        </w:rPr>
        <w:t>10</w:t>
      </w:r>
      <w:r>
        <w:t>.</w:t>
      </w:r>
      <w:r>
        <w:tab/>
        <w:t>Classes of fish prescribed (Act s. 45)</w:t>
      </w:r>
      <w:bookmarkEnd w:id="40"/>
      <w:bookmarkEnd w:id="41"/>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42" w:name="_Toc404246084"/>
      <w:bookmarkStart w:id="43" w:name="_Toc402878941"/>
      <w:r>
        <w:rPr>
          <w:rStyle w:val="CharSectno"/>
        </w:rPr>
        <w:t>11</w:t>
      </w:r>
      <w:r>
        <w:t>.</w:t>
      </w:r>
      <w:r>
        <w:tab/>
        <w:t>Defences etc. prescribed (Act s. 48)</w:t>
      </w:r>
      <w:bookmarkEnd w:id="42"/>
      <w:bookmarkEnd w:id="43"/>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pPr>
      <w:r>
        <w:tab/>
        <w:t>[Regulation 11 inserted in Gazette 10 Nov 2006 p. 4704</w:t>
      </w:r>
      <w:r>
        <w:noBreakHyphen/>
        <w:t>5; amended in Gazette 13 Feb 2009 p. 298; 2 Nov 2011 p. 4620.]</w:t>
      </w:r>
    </w:p>
    <w:p>
      <w:pPr>
        <w:pStyle w:val="Heading5"/>
        <w:rPr>
          <w:snapToGrid w:val="0"/>
        </w:rPr>
      </w:pPr>
      <w:bookmarkStart w:id="44" w:name="_Toc404246085"/>
      <w:bookmarkStart w:id="45" w:name="_Toc402878942"/>
      <w:r>
        <w:rPr>
          <w:rStyle w:val="CharSectno"/>
        </w:rPr>
        <w:t>12</w:t>
      </w:r>
      <w:r>
        <w:rPr>
          <w:snapToGrid w:val="0"/>
        </w:rPr>
        <w:t>.</w:t>
      </w:r>
      <w:r>
        <w:rPr>
          <w:snapToGrid w:val="0"/>
        </w:rPr>
        <w:tab/>
        <w:t>Totally protected rock lobsters and crabs to be released</w:t>
      </w:r>
      <w:bookmarkEnd w:id="44"/>
      <w:bookmarkEnd w:id="45"/>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46" w:name="_Toc404246086"/>
      <w:bookmarkStart w:id="47" w:name="_Toc402878943"/>
      <w:r>
        <w:rPr>
          <w:rStyle w:val="CharSectno"/>
        </w:rPr>
        <w:t>13</w:t>
      </w:r>
      <w:r>
        <w:rPr>
          <w:snapToGrid w:val="0"/>
        </w:rPr>
        <w:t>.</w:t>
      </w:r>
      <w:r>
        <w:rPr>
          <w:snapToGrid w:val="0"/>
        </w:rPr>
        <w:tab/>
        <w:t>Mutilated etc. protected fish, possession of</w:t>
      </w:r>
      <w:bookmarkEnd w:id="46"/>
      <w:bookmarkEnd w:id="47"/>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48" w:name="_Toc404246087"/>
      <w:bookmarkStart w:id="49" w:name="_Toc402878944"/>
      <w:r>
        <w:rPr>
          <w:rStyle w:val="CharDivNo"/>
        </w:rPr>
        <w:t>Division 2</w:t>
      </w:r>
      <w:r>
        <w:rPr>
          <w:snapToGrid w:val="0"/>
        </w:rPr>
        <w:t> — </w:t>
      </w:r>
      <w:r>
        <w:rPr>
          <w:rStyle w:val="CharDivText"/>
        </w:rPr>
        <w:t>Requirements regarding fish trunks and fillets</w:t>
      </w:r>
      <w:bookmarkEnd w:id="48"/>
      <w:bookmarkEnd w:id="49"/>
    </w:p>
    <w:p>
      <w:pPr>
        <w:pStyle w:val="Footnoteheading"/>
        <w:tabs>
          <w:tab w:val="left" w:pos="851"/>
        </w:tabs>
      </w:pPr>
      <w:r>
        <w:tab/>
        <w:t>[Heading inserted in Gazette 4 Nov 2005 p. 5301.]</w:t>
      </w:r>
    </w:p>
    <w:p>
      <w:pPr>
        <w:pStyle w:val="Heading5"/>
      </w:pPr>
      <w:bookmarkStart w:id="50" w:name="_Toc404246088"/>
      <w:bookmarkStart w:id="51" w:name="_Toc402878945"/>
      <w:r>
        <w:rPr>
          <w:rStyle w:val="CharSectno"/>
        </w:rPr>
        <w:t>14A</w:t>
      </w:r>
      <w:r>
        <w:t>.</w:t>
      </w:r>
      <w:r>
        <w:tab/>
        <w:t>Term used: specified size</w:t>
      </w:r>
      <w:bookmarkEnd w:id="50"/>
      <w:bookmarkEnd w:id="51"/>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52" w:name="_Toc404246089"/>
      <w:bookmarkStart w:id="53" w:name="_Toc402878946"/>
      <w:r>
        <w:rPr>
          <w:rStyle w:val="CharSectno"/>
        </w:rPr>
        <w:t>14</w:t>
      </w:r>
      <w:r>
        <w:t>.</w:t>
      </w:r>
      <w:r>
        <w:tab/>
        <w:t>Certain types of finfish, how to be landed</w:t>
      </w:r>
      <w:bookmarkEnd w:id="52"/>
      <w:bookmarkEnd w:id="53"/>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spacing w:before="80"/>
            </w:pPr>
            <w:r>
              <w:rPr>
                <w:b/>
              </w:rPr>
              <w:t>Item</w:t>
            </w:r>
          </w:p>
        </w:tc>
        <w:tc>
          <w:tcPr>
            <w:tcW w:w="2163" w:type="dxa"/>
            <w:tcBorders>
              <w:top w:val="single" w:sz="4" w:space="0" w:color="auto"/>
              <w:bottom w:val="single" w:sz="4" w:space="0" w:color="auto"/>
            </w:tcBorders>
          </w:tcPr>
          <w:p>
            <w:pPr>
              <w:pStyle w:val="TableNAm"/>
              <w:spacing w:before="80"/>
            </w:pPr>
            <w:r>
              <w:rPr>
                <w:b/>
              </w:rPr>
              <w:t>Type of finfish</w:t>
            </w:r>
          </w:p>
        </w:tc>
        <w:tc>
          <w:tcPr>
            <w:tcW w:w="3118" w:type="dxa"/>
            <w:tcBorders>
              <w:top w:val="single" w:sz="4" w:space="0" w:color="auto"/>
              <w:bottom w:val="single" w:sz="4" w:space="0" w:color="auto"/>
            </w:tcBorders>
          </w:tcPr>
          <w:p>
            <w:pPr>
              <w:pStyle w:val="TableNAm"/>
              <w:spacing w:before="80"/>
            </w:pPr>
            <w:r>
              <w:rPr>
                <w:b/>
              </w:rPr>
              <w:t xml:space="preserve">Waters </w:t>
            </w:r>
          </w:p>
        </w:tc>
      </w:tr>
      <w:tr>
        <w:tc>
          <w:tcPr>
            <w:tcW w:w="992" w:type="dxa"/>
            <w:tcBorders>
              <w:top w:val="single" w:sz="4" w:space="0" w:color="auto"/>
            </w:tcBorders>
          </w:tcPr>
          <w:p>
            <w:pPr>
              <w:pStyle w:val="TableNAm"/>
              <w:spacing w:before="80"/>
            </w:pPr>
            <w:r>
              <w:t>1.</w:t>
            </w:r>
          </w:p>
        </w:tc>
        <w:tc>
          <w:tcPr>
            <w:tcW w:w="2163" w:type="dxa"/>
            <w:tcBorders>
              <w:top w:val="single" w:sz="4" w:space="0" w:color="auto"/>
            </w:tcBorders>
          </w:tcPr>
          <w:p>
            <w:pPr>
              <w:pStyle w:val="TableNAm"/>
              <w:spacing w:before="80"/>
            </w:pPr>
            <w:r>
              <w:t>barramundi</w:t>
            </w:r>
          </w:p>
        </w:tc>
        <w:tc>
          <w:tcPr>
            <w:tcW w:w="3118" w:type="dxa"/>
            <w:tcBorders>
              <w:top w:val="single" w:sz="4" w:space="0" w:color="auto"/>
            </w:tcBorders>
          </w:tcPr>
          <w:p>
            <w:pPr>
              <w:pStyle w:val="TableNAm"/>
              <w:spacing w:before="80"/>
            </w:pPr>
            <w:r>
              <w:t>WA waters</w:t>
            </w:r>
          </w:p>
        </w:tc>
      </w:tr>
      <w:tr>
        <w:trPr>
          <w:cantSplit/>
        </w:trPr>
        <w:tc>
          <w:tcPr>
            <w:tcW w:w="992" w:type="dxa"/>
          </w:tcPr>
          <w:p>
            <w:pPr>
              <w:pStyle w:val="TableNAm"/>
              <w:spacing w:before="80"/>
            </w:pPr>
            <w:r>
              <w:t>2.</w:t>
            </w:r>
          </w:p>
        </w:tc>
        <w:tc>
          <w:tcPr>
            <w:tcW w:w="2163" w:type="dxa"/>
          </w:tcPr>
          <w:p>
            <w:pPr>
              <w:pStyle w:val="TableNAm"/>
              <w:spacing w:before="80"/>
            </w:pPr>
            <w:r>
              <w:t>estuary cod</w:t>
            </w:r>
          </w:p>
        </w:tc>
        <w:tc>
          <w:tcPr>
            <w:tcW w:w="3118" w:type="dxa"/>
          </w:tcPr>
          <w:p>
            <w:pPr>
              <w:pStyle w:val="TableNAm"/>
              <w:spacing w:before="80"/>
            </w:pPr>
            <w:r>
              <w:t>WA waters</w:t>
            </w:r>
          </w:p>
        </w:tc>
      </w:tr>
      <w:tr>
        <w:trPr>
          <w:cantSplit/>
        </w:trPr>
        <w:tc>
          <w:tcPr>
            <w:tcW w:w="992" w:type="dxa"/>
          </w:tcPr>
          <w:p>
            <w:pPr>
              <w:pStyle w:val="TableNAm"/>
              <w:spacing w:before="80"/>
            </w:pPr>
            <w:r>
              <w:t>3.</w:t>
            </w:r>
          </w:p>
        </w:tc>
        <w:tc>
          <w:tcPr>
            <w:tcW w:w="2163" w:type="dxa"/>
          </w:tcPr>
          <w:p>
            <w:pPr>
              <w:pStyle w:val="TableNAm"/>
              <w:spacing w:before="80"/>
            </w:pPr>
            <w:r>
              <w:t>malabar cod</w:t>
            </w:r>
          </w:p>
        </w:tc>
        <w:tc>
          <w:tcPr>
            <w:tcW w:w="3118" w:type="dxa"/>
          </w:tcPr>
          <w:p>
            <w:pPr>
              <w:pStyle w:val="TableNAm"/>
              <w:spacing w:before="80"/>
            </w:pPr>
            <w:r>
              <w:t>WA waters</w:t>
            </w:r>
          </w:p>
        </w:tc>
      </w:tr>
      <w:tr>
        <w:trPr>
          <w:cantSplit/>
        </w:trPr>
        <w:tc>
          <w:tcPr>
            <w:tcW w:w="992" w:type="dxa"/>
            <w:tcBorders>
              <w:bottom w:val="single" w:sz="4" w:space="0" w:color="auto"/>
            </w:tcBorders>
          </w:tcPr>
          <w:p>
            <w:pPr>
              <w:pStyle w:val="TableNAm"/>
              <w:spacing w:before="80"/>
            </w:pPr>
            <w:r>
              <w:t>4.</w:t>
            </w:r>
          </w:p>
        </w:tc>
        <w:tc>
          <w:tcPr>
            <w:tcW w:w="2163" w:type="dxa"/>
            <w:tcBorders>
              <w:bottom w:val="single" w:sz="4" w:space="0" w:color="auto"/>
            </w:tcBorders>
          </w:tcPr>
          <w:p>
            <w:pPr>
              <w:pStyle w:val="TableNAm"/>
              <w:spacing w:before="80"/>
            </w:pPr>
            <w:r>
              <w:t>pink snapper</w:t>
            </w:r>
          </w:p>
        </w:tc>
        <w:tc>
          <w:tcPr>
            <w:tcW w:w="3118" w:type="dxa"/>
            <w:tcBorders>
              <w:bottom w:val="single" w:sz="4" w:space="0" w:color="auto"/>
            </w:tcBorders>
          </w:tcPr>
          <w:p>
            <w:pPr>
              <w:pStyle w:val="TableNAm"/>
              <w:spacing w:before="80"/>
            </w:pPr>
            <w:r>
              <w:t>the waters of the Shark Bay western gulf and the waters of the Shark Bay eastern gulf</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54" w:name="_Toc404246090"/>
      <w:bookmarkStart w:id="55" w:name="_Toc402878947"/>
      <w:r>
        <w:rPr>
          <w:rStyle w:val="CharSectno"/>
        </w:rPr>
        <w:t>16B</w:t>
      </w:r>
      <w:r>
        <w:t>.</w:t>
      </w:r>
      <w:r>
        <w:tab/>
        <w:t>Sharks and rays, possession of by commercial fishers</w:t>
      </w:r>
      <w:bookmarkEnd w:id="54"/>
      <w:bookmarkEnd w:id="55"/>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Lines/>
      </w:pPr>
      <w:bookmarkStart w:id="56" w:name="_Toc404246091"/>
      <w:bookmarkStart w:id="57" w:name="_Toc402878948"/>
      <w:r>
        <w:rPr>
          <w:rStyle w:val="CharDivNo"/>
        </w:rPr>
        <w:t>Division 3</w:t>
      </w:r>
      <w:r>
        <w:t> — </w:t>
      </w:r>
      <w:r>
        <w:rPr>
          <w:rStyle w:val="CharDivText"/>
        </w:rPr>
        <w:t>Possession limits</w:t>
      </w:r>
      <w:bookmarkEnd w:id="56"/>
      <w:bookmarkEnd w:id="57"/>
    </w:p>
    <w:p>
      <w:pPr>
        <w:pStyle w:val="Footnoteheading"/>
        <w:keepNext/>
        <w:keepLines/>
        <w:tabs>
          <w:tab w:val="left" w:pos="851"/>
        </w:tabs>
      </w:pPr>
      <w:r>
        <w:tab/>
        <w:t>[Heading inserted in Gazette 1 Oct 2003 p. 4289.]</w:t>
      </w:r>
    </w:p>
    <w:p>
      <w:pPr>
        <w:pStyle w:val="Heading4"/>
        <w:keepNext w:val="0"/>
      </w:pPr>
      <w:bookmarkStart w:id="58" w:name="_Toc404246092"/>
      <w:bookmarkStart w:id="59" w:name="_Toc402878949"/>
      <w:r>
        <w:t>Subdivision 1A — Preliminary</w:t>
      </w:r>
      <w:bookmarkEnd w:id="58"/>
      <w:bookmarkEnd w:id="59"/>
    </w:p>
    <w:p>
      <w:pPr>
        <w:pStyle w:val="Footnoteheading"/>
      </w:pPr>
      <w:r>
        <w:tab/>
        <w:t>[Heading inserted in Gazette 4 Nov 2005 p. 5306.]</w:t>
      </w:r>
    </w:p>
    <w:p>
      <w:pPr>
        <w:pStyle w:val="Heading5"/>
        <w:keepNext w:val="0"/>
        <w:keepLines w:val="0"/>
        <w:spacing w:before="240"/>
      </w:pPr>
      <w:bookmarkStart w:id="60" w:name="_Toc404246093"/>
      <w:bookmarkStart w:id="61" w:name="_Toc402878950"/>
      <w:r>
        <w:rPr>
          <w:rStyle w:val="CharSectno"/>
        </w:rPr>
        <w:t>16C</w:t>
      </w:r>
      <w:r>
        <w:t>.</w:t>
      </w:r>
      <w:r>
        <w:tab/>
        <w:t>Term used: finfish</w:t>
      </w:r>
      <w:bookmarkEnd w:id="60"/>
      <w:bookmarkEnd w:id="61"/>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240"/>
      </w:pPr>
      <w:bookmarkStart w:id="62" w:name="_Toc404246094"/>
      <w:bookmarkStart w:id="63" w:name="_Toc402878951"/>
      <w:r>
        <w:rPr>
          <w:rStyle w:val="CharSectno"/>
        </w:rPr>
        <w:t>16CA</w:t>
      </w:r>
      <w:r>
        <w:t>.</w:t>
      </w:r>
      <w:r>
        <w:tab/>
        <w:t>Bag limits, application and effect of</w:t>
      </w:r>
      <w:bookmarkEnd w:id="62"/>
      <w:bookmarkEnd w:id="63"/>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64" w:name="_Toc404246095"/>
      <w:bookmarkStart w:id="65" w:name="_Toc402878952"/>
      <w:r>
        <w:t>Subdivision 1 — Possession limits Statewide</w:t>
      </w:r>
      <w:bookmarkEnd w:id="64"/>
      <w:bookmarkEnd w:id="65"/>
    </w:p>
    <w:p>
      <w:pPr>
        <w:pStyle w:val="Footnoteheading"/>
        <w:tabs>
          <w:tab w:val="left" w:pos="851"/>
        </w:tabs>
      </w:pPr>
      <w:r>
        <w:tab/>
        <w:t>[Heading inserted in Gazette 1 Oct 2003 p. 4289.]</w:t>
      </w:r>
    </w:p>
    <w:p>
      <w:pPr>
        <w:pStyle w:val="Heading5"/>
        <w:spacing w:before="240"/>
        <w:rPr>
          <w:snapToGrid w:val="0"/>
        </w:rPr>
      </w:pPr>
      <w:bookmarkStart w:id="66" w:name="_Toc404246096"/>
      <w:bookmarkStart w:id="67" w:name="_Toc402878953"/>
      <w:r>
        <w:rPr>
          <w:rStyle w:val="CharSectno"/>
        </w:rPr>
        <w:t>16D</w:t>
      </w:r>
      <w:r>
        <w:rPr>
          <w:snapToGrid w:val="0"/>
        </w:rPr>
        <w:t>.</w:t>
      </w:r>
      <w:r>
        <w:rPr>
          <w:snapToGrid w:val="0"/>
        </w:rPr>
        <w:tab/>
        <w:t>Finfish, general possession limit of (Act s. 51(1))</w:t>
      </w:r>
      <w:bookmarkEnd w:id="66"/>
      <w:bookmarkEnd w:id="67"/>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w:t>
      </w:r>
      <w:r>
        <w:noBreakHyphen/>
        <w:t>90; amended in Gazette 4 Nov 2005 p. 5306; 29 May 2008 p. 2055</w:t>
      </w:r>
      <w:r>
        <w:noBreakHyphen/>
        <w:t>6.]</w:t>
      </w:r>
    </w:p>
    <w:p>
      <w:pPr>
        <w:pStyle w:val="Heading5"/>
        <w:spacing w:before="240"/>
        <w:rPr>
          <w:snapToGrid w:val="0"/>
        </w:rPr>
      </w:pPr>
      <w:bookmarkStart w:id="68" w:name="_Toc404246097"/>
      <w:bookmarkStart w:id="69" w:name="_Toc402878954"/>
      <w:r>
        <w:rPr>
          <w:rStyle w:val="CharSectno"/>
        </w:rPr>
        <w:t>16E</w:t>
      </w:r>
      <w:r>
        <w:t>.</w:t>
      </w:r>
      <w:r>
        <w:tab/>
        <w:t>Fish on boats (Act s. 51(1))</w:t>
      </w:r>
      <w:bookmarkEnd w:id="68"/>
      <w:bookmarkEnd w:id="69"/>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spacing w:before="140"/>
      </w:pPr>
      <w:r>
        <w:tab/>
        <w:t>(3D)</w:t>
      </w:r>
      <w:r>
        <w:tab/>
        <w:t>Subregulations (3A)(a)(ii) and (b)(ii), (3B)(a)(ii) and (b)(ii) and (3C)(a)(ii) and (b)(ii) are subject to regulation 17A.</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del w:id="70" w:author="Master Repository Process" w:date="2021-08-28T12:00:00Z">
        <w:r>
          <w:delText>subregulations (3a</w:delText>
        </w:r>
      </w:del>
      <w:ins w:id="71" w:author="Master Repository Process" w:date="2021-08-28T12:00:00Z">
        <w:r>
          <w:t>subregulation (3A</w:t>
        </w:r>
      </w:ins>
      <w:r>
        <w:t>) or (</w:t>
      </w:r>
      <w:del w:id="72" w:author="Master Repository Process" w:date="2021-08-28T12:00:00Z">
        <w:r>
          <w:delText>3b</w:delText>
        </w:r>
      </w:del>
      <w:ins w:id="73" w:author="Master Repository Process" w:date="2021-08-28T12:00:00Z">
        <w:r>
          <w:t>3B</w:t>
        </w:r>
      </w:ins>
      <w:r>
        <w:t xml:space="preserve">)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w:t>
      </w:r>
      <w:del w:id="74" w:author="Master Repository Process" w:date="2021-08-28T12:00:00Z">
        <w:r>
          <w:delText>3b</w:delText>
        </w:r>
      </w:del>
      <w:ins w:id="75" w:author="Master Repository Process" w:date="2021-08-28T12:00:00Z">
        <w:r>
          <w:t>3B</w:t>
        </w:r>
      </w:ins>
      <w:r>
        <w:t>),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w:t>
      </w:r>
    </w:p>
    <w:p>
      <w:pPr>
        <w:pStyle w:val="Heading5"/>
        <w:spacing w:before="200"/>
      </w:pPr>
      <w:bookmarkStart w:id="76" w:name="_Toc404246098"/>
      <w:bookmarkStart w:id="77" w:name="_Toc402878955"/>
      <w:r>
        <w:rPr>
          <w:rStyle w:val="CharSectno"/>
        </w:rPr>
        <w:t>16GA</w:t>
      </w:r>
      <w:r>
        <w:t>.</w:t>
      </w:r>
      <w:r>
        <w:tab/>
        <w:t>Rock lobster (Act s. 51(1))</w:t>
      </w:r>
      <w:bookmarkEnd w:id="76"/>
      <w:bookmarkEnd w:id="77"/>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78" w:name="_Toc404246099"/>
      <w:bookmarkStart w:id="79" w:name="_Toc402878956"/>
      <w:r>
        <w:rPr>
          <w:rStyle w:val="CharSectno"/>
        </w:rPr>
        <w:t>16GB</w:t>
      </w:r>
      <w:r>
        <w:t>.</w:t>
      </w:r>
      <w:r>
        <w:tab/>
        <w:t>Barramundi (Act s. 51(1))</w:t>
      </w:r>
      <w:bookmarkEnd w:id="78"/>
      <w:bookmarkEnd w:id="79"/>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80" w:name="_Toc404246100"/>
      <w:bookmarkStart w:id="81" w:name="_Toc402878957"/>
      <w:r>
        <w:rPr>
          <w:rStyle w:val="CharSectno"/>
        </w:rPr>
        <w:t>16GC</w:t>
      </w:r>
      <w:r>
        <w:t>.</w:t>
      </w:r>
      <w:r>
        <w:tab/>
        <w:t>Marron (Act s. 51(1), (2))</w:t>
      </w:r>
      <w:bookmarkEnd w:id="80"/>
      <w:bookmarkEnd w:id="81"/>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82" w:name="_Toc404246101"/>
      <w:bookmarkStart w:id="83" w:name="_Toc402878958"/>
      <w:r>
        <w:rPr>
          <w:rStyle w:val="CharSectno"/>
        </w:rPr>
        <w:t>16GD</w:t>
      </w:r>
      <w:r>
        <w:t>.</w:t>
      </w:r>
      <w:r>
        <w:tab/>
        <w:t>Abalone (Act s. 51(1))</w:t>
      </w:r>
      <w:bookmarkEnd w:id="82"/>
      <w:bookmarkEnd w:id="83"/>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84" w:name="_Toc404246102"/>
      <w:bookmarkStart w:id="85" w:name="_Toc402878959"/>
      <w:r>
        <w:rPr>
          <w:rStyle w:val="CharSectno"/>
        </w:rPr>
        <w:t>16GE</w:t>
      </w:r>
      <w:r>
        <w:t>.</w:t>
      </w:r>
      <w:r>
        <w:tab/>
        <w:t>Fish on fishing boats (commercial)</w:t>
      </w:r>
      <w:bookmarkEnd w:id="84"/>
      <w:bookmarkEnd w:id="85"/>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86" w:name="_Toc404246103"/>
      <w:bookmarkStart w:id="87" w:name="_Toc402878960"/>
      <w:r>
        <w:t>Subdivision 3 — Possession limits — pink snapper at Shark Bay</w:t>
      </w:r>
      <w:bookmarkEnd w:id="86"/>
      <w:bookmarkEnd w:id="87"/>
    </w:p>
    <w:p>
      <w:pPr>
        <w:pStyle w:val="Footnoteheading"/>
        <w:keepNext/>
        <w:tabs>
          <w:tab w:val="left" w:pos="851"/>
        </w:tabs>
      </w:pPr>
      <w:r>
        <w:tab/>
        <w:t>[Heading inserted in Gazette 1 Oct 2003 p. 4291.]</w:t>
      </w:r>
    </w:p>
    <w:p>
      <w:pPr>
        <w:pStyle w:val="Heading5"/>
        <w:rPr>
          <w:snapToGrid w:val="0"/>
        </w:rPr>
      </w:pPr>
      <w:bookmarkStart w:id="88" w:name="_Toc404246104"/>
      <w:bookmarkStart w:id="89" w:name="_Toc402878961"/>
      <w:r>
        <w:rPr>
          <w:rStyle w:val="CharSectno"/>
        </w:rPr>
        <w:t>16G</w:t>
      </w:r>
      <w:r>
        <w:t>.</w:t>
      </w:r>
      <w:r>
        <w:tab/>
      </w:r>
      <w:r>
        <w:rPr>
          <w:snapToGrid w:val="0"/>
        </w:rPr>
        <w:t>Terms used</w:t>
      </w:r>
      <w:bookmarkEnd w:id="88"/>
      <w:bookmarkEnd w:id="89"/>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pPr>
      <w:r>
        <w:tab/>
        <w:t>[Regulation 16G inserted in Gazette 1 Oct 2003 p. 4291</w:t>
      </w:r>
      <w:r>
        <w:noBreakHyphen/>
        <w:t>2; amended in Gazette 6 Apr 2004 p. 1133.]</w:t>
      </w:r>
    </w:p>
    <w:p>
      <w:pPr>
        <w:pStyle w:val="Heading5"/>
        <w:rPr>
          <w:snapToGrid w:val="0"/>
        </w:rPr>
      </w:pPr>
      <w:bookmarkStart w:id="90" w:name="_Toc404246105"/>
      <w:bookmarkStart w:id="91" w:name="_Toc402878962"/>
      <w:r>
        <w:rPr>
          <w:rStyle w:val="CharSectno"/>
        </w:rPr>
        <w:t>16H</w:t>
      </w:r>
      <w:r>
        <w:rPr>
          <w:snapToGrid w:val="0"/>
        </w:rPr>
        <w:t>.</w:t>
      </w:r>
      <w:r>
        <w:rPr>
          <w:snapToGrid w:val="0"/>
        </w:rPr>
        <w:tab/>
        <w:t>Pink snapper in Freycinet Estuary area</w:t>
      </w:r>
      <w:bookmarkEnd w:id="90"/>
      <w:bookmarkEnd w:id="91"/>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 xml:space="preserve">It is a defence in proceedings against a person under section 51(2) of the Act in respect of the possession of a pink snapper in or on the Freycinet Estuary area that the person had possession of not more than </w:t>
      </w:r>
      <w:r>
        <w:t>2 pink snapper and that each of those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 27 Aug 2013 p. 4053; 30 May 2014 p. 1715.]</w:t>
      </w:r>
    </w:p>
    <w:p>
      <w:pPr>
        <w:pStyle w:val="Heading5"/>
        <w:rPr>
          <w:snapToGrid w:val="0"/>
        </w:rPr>
      </w:pPr>
      <w:bookmarkStart w:id="92" w:name="_Toc404246106"/>
      <w:bookmarkStart w:id="93" w:name="_Toc402878963"/>
      <w:r>
        <w:rPr>
          <w:rStyle w:val="CharSectno"/>
        </w:rPr>
        <w:t>16I</w:t>
      </w:r>
      <w:r>
        <w:rPr>
          <w:snapToGrid w:val="0"/>
        </w:rPr>
        <w:t>.</w:t>
      </w:r>
      <w:r>
        <w:rPr>
          <w:snapToGrid w:val="0"/>
        </w:rPr>
        <w:tab/>
        <w:t>Tags authorising possession of pink snapper in Freycinet Estuary area, application for and issue of</w:t>
      </w:r>
      <w:bookmarkEnd w:id="92"/>
      <w:bookmarkEnd w:id="93"/>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spacing w:before="1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1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1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1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160"/>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94" w:name="_Toc404246107"/>
      <w:bookmarkStart w:id="95" w:name="_Toc402878964"/>
      <w:r>
        <w:rPr>
          <w:rStyle w:val="CharSectno"/>
        </w:rPr>
        <w:t>16J</w:t>
      </w:r>
      <w:r>
        <w:t>.</w:t>
      </w:r>
      <w:r>
        <w:tab/>
      </w:r>
      <w:r>
        <w:rPr>
          <w:snapToGrid w:val="0"/>
        </w:rPr>
        <w:t>Form of tag issued under r. 16I</w:t>
      </w:r>
      <w:bookmarkEnd w:id="94"/>
      <w:bookmarkEnd w:id="95"/>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96" w:name="_Toc404246108"/>
      <w:bookmarkStart w:id="97" w:name="_Toc402878965"/>
      <w:r>
        <w:t>Subdivision 4 — Possession limits in Abrolhos Islands</w:t>
      </w:r>
      <w:bookmarkEnd w:id="96"/>
      <w:bookmarkEnd w:id="97"/>
    </w:p>
    <w:p>
      <w:pPr>
        <w:pStyle w:val="Footnoteheading"/>
        <w:keepNext/>
        <w:keepLines/>
        <w:tabs>
          <w:tab w:val="left" w:pos="851"/>
        </w:tabs>
      </w:pPr>
      <w:r>
        <w:tab/>
        <w:t>[Heading inserted in Gazette 1 Oct 2003 p. 4295; amended in Gazette 29 Jan 2013 p. 308.]</w:t>
      </w:r>
    </w:p>
    <w:p>
      <w:pPr>
        <w:pStyle w:val="Heading5"/>
      </w:pPr>
      <w:bookmarkStart w:id="98" w:name="_Toc404246109"/>
      <w:bookmarkStart w:id="99" w:name="_Toc402878966"/>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98"/>
      <w:bookmarkEnd w:id="99"/>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 amended in Gazette 30 May 2014 p. 1715.]</w:t>
      </w:r>
    </w:p>
    <w:p>
      <w:pPr>
        <w:pStyle w:val="Ednotesection"/>
      </w:pPr>
      <w:r>
        <w:t>[</w:t>
      </w:r>
      <w:r>
        <w:rPr>
          <w:b/>
        </w:rPr>
        <w:t>16L</w:t>
      </w:r>
      <w:r>
        <w:rPr>
          <w:b/>
        </w:rPr>
        <w:noBreakHyphen/>
        <w:t>18.</w:t>
      </w:r>
      <w:r>
        <w:rPr>
          <w:b/>
        </w:rPr>
        <w:tab/>
      </w:r>
      <w:r>
        <w:t>Deleted in Gazette 29 Jan 2013 p. 308.]</w:t>
      </w:r>
    </w:p>
    <w:p>
      <w:pPr>
        <w:pStyle w:val="Ednotesection"/>
      </w:pPr>
      <w:r>
        <w:t>[</w:t>
      </w:r>
      <w:r>
        <w:rPr>
          <w:b/>
        </w:rPr>
        <w:t>19.</w:t>
      </w:r>
      <w:r>
        <w:tab/>
        <w:t>Deleted in Gazette 1 Oct 2003 p. 4297.]</w:t>
      </w:r>
    </w:p>
    <w:p>
      <w:pPr>
        <w:pStyle w:val="Heading4"/>
      </w:pPr>
      <w:bookmarkStart w:id="100" w:name="_Toc404246110"/>
      <w:bookmarkStart w:id="101" w:name="_Toc402878967"/>
      <w:r>
        <w:t>Subdivision 5 — Miscellaneous</w:t>
      </w:r>
      <w:bookmarkEnd w:id="100"/>
      <w:bookmarkEnd w:id="101"/>
    </w:p>
    <w:p>
      <w:pPr>
        <w:pStyle w:val="Footnoteheading"/>
      </w:pPr>
      <w:r>
        <w:tab/>
        <w:t>[Heading inserted in Gazette 29 Jan 2013 p. 308.]</w:t>
      </w:r>
    </w:p>
    <w:p>
      <w:pPr>
        <w:pStyle w:val="Heading5"/>
        <w:spacing w:before="200"/>
        <w:rPr>
          <w:snapToGrid w:val="0"/>
        </w:rPr>
      </w:pPr>
      <w:bookmarkStart w:id="102" w:name="_Toc404246111"/>
      <w:bookmarkStart w:id="103" w:name="_Toc402878968"/>
      <w:r>
        <w:rPr>
          <w:rStyle w:val="CharSectno"/>
        </w:rPr>
        <w:t>20</w:t>
      </w:r>
      <w:r>
        <w:rPr>
          <w:snapToGrid w:val="0"/>
        </w:rPr>
        <w:t>.</w:t>
      </w:r>
      <w:r>
        <w:rPr>
          <w:snapToGrid w:val="0"/>
        </w:rPr>
        <w:tab/>
        <w:t>Defence prescribed (Act s. 51(2))</w:t>
      </w:r>
      <w:bookmarkEnd w:id="102"/>
      <w:bookmarkEnd w:id="103"/>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04" w:name="_Toc404246112"/>
      <w:bookmarkStart w:id="105" w:name="_Toc402878969"/>
      <w:r>
        <w:rPr>
          <w:rStyle w:val="CharSectno"/>
        </w:rPr>
        <w:t>21</w:t>
      </w:r>
      <w:r>
        <w:t>.</w:t>
      </w:r>
      <w:r>
        <w:tab/>
        <w:t>People presumed to be in possession of fish (Act s. 51)</w:t>
      </w:r>
      <w:bookmarkEnd w:id="104"/>
      <w:bookmarkEnd w:id="105"/>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pPr>
      <w:r>
        <w:tab/>
        <w:t>[(2)</w:t>
      </w:r>
      <w:r>
        <w:tab/>
        <w:t>deleted]</w:t>
      </w:r>
    </w:p>
    <w:p>
      <w:pPr>
        <w:pStyle w:val="Footnotesection"/>
      </w:pPr>
      <w:r>
        <w:tab/>
        <w:t>[Regulation 21 inserted in Gazette 1 Oct 2003 p. 4298</w:t>
      </w:r>
      <w:r>
        <w:noBreakHyphen/>
        <w:t>9; amended in Gazette 29 Jan 2013 p. 308.]</w:t>
      </w:r>
    </w:p>
    <w:p>
      <w:pPr>
        <w:pStyle w:val="Heading3"/>
        <w:keepLines/>
      </w:pPr>
      <w:bookmarkStart w:id="106" w:name="_Toc404246113"/>
      <w:bookmarkStart w:id="107" w:name="_Toc402878970"/>
      <w:r>
        <w:rPr>
          <w:rStyle w:val="CharDivNo"/>
        </w:rPr>
        <w:t>Division 4</w:t>
      </w:r>
      <w:r>
        <w:t> — </w:t>
      </w:r>
      <w:r>
        <w:rPr>
          <w:rStyle w:val="CharDivText"/>
        </w:rPr>
        <w:t>Labelling of fish</w:t>
      </w:r>
      <w:bookmarkEnd w:id="106"/>
      <w:bookmarkEnd w:id="107"/>
    </w:p>
    <w:p>
      <w:pPr>
        <w:pStyle w:val="Footnoteheading"/>
        <w:keepNext/>
        <w:keepLines/>
      </w:pPr>
      <w:r>
        <w:tab/>
        <w:t>[Heading inserted in Gazette 1 Oct 2003 p. 4299.]</w:t>
      </w:r>
    </w:p>
    <w:p>
      <w:pPr>
        <w:pStyle w:val="Heading5"/>
        <w:keepNext w:val="0"/>
        <w:keepLines w:val="0"/>
      </w:pPr>
      <w:bookmarkStart w:id="108" w:name="_Toc404246114"/>
      <w:bookmarkStart w:id="109" w:name="_Toc402878971"/>
      <w:r>
        <w:rPr>
          <w:rStyle w:val="CharSectno"/>
        </w:rPr>
        <w:t>22</w:t>
      </w:r>
      <w:r>
        <w:t>.</w:t>
      </w:r>
      <w:r>
        <w:tab/>
        <w:t>Labelling requirements for packed or stored fish</w:t>
      </w:r>
      <w:bookmarkEnd w:id="108"/>
      <w:bookmarkEnd w:id="109"/>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spacing w:before="200"/>
      </w:pPr>
      <w:r>
        <w:t>[Division 3: Former heading and r. 23</w:t>
      </w:r>
      <w:r>
        <w:noBreakHyphen/>
        <w:t>29 deleted in Gazette 1 Oct 2003 p. 4299.]</w:t>
      </w:r>
    </w:p>
    <w:p>
      <w:pPr>
        <w:pStyle w:val="Ednotedivision"/>
        <w:spacing w:before="200"/>
      </w:pPr>
      <w:r>
        <w:t>[Division 3A: Heading and r. 29A</w:t>
      </w:r>
      <w:r>
        <w:noBreakHyphen/>
        <w:t>29C deleted in Gazette 1 Oct 2003 p. 4299.]</w:t>
      </w:r>
    </w:p>
    <w:p>
      <w:pPr>
        <w:pStyle w:val="Ednotedivision"/>
        <w:spacing w:before="200"/>
      </w:pPr>
      <w:r>
        <w:t>[Division 4: Former heading and r. 30 deleted in Gazette 1 Oct 2003 p. 4299.]</w:t>
      </w:r>
    </w:p>
    <w:p>
      <w:pPr>
        <w:pStyle w:val="Ednotedivision"/>
        <w:spacing w:before="200"/>
      </w:pPr>
      <w:r>
        <w:t>[Division 4A: Heading and r. 30A, 30B deleted in Gazette 1 Oct 2003 p. 4299.]</w:t>
      </w:r>
    </w:p>
    <w:p>
      <w:pPr>
        <w:pStyle w:val="Ednotedivision"/>
        <w:spacing w:before="200"/>
      </w:pPr>
      <w:r>
        <w:t>[Division 4B: Heading and r. 30BA, 30C, 30E</w:t>
      </w:r>
      <w:r>
        <w:noBreakHyphen/>
        <w:t>30EC deleted in Gazette 1 Oct 2003 p. 4299; r. 30D deleted in Gazette 28 Feb 2003 p. 661.]</w:t>
      </w:r>
    </w:p>
    <w:p>
      <w:pPr>
        <w:pStyle w:val="Ednotedivision"/>
        <w:spacing w:before="200"/>
      </w:pPr>
      <w:r>
        <w:t>[Division 4C</w:t>
      </w:r>
      <w:r>
        <w:noBreakHyphen/>
        <w:t>4F: Headings and r. 30F</w:t>
      </w:r>
      <w:r>
        <w:noBreakHyphen/>
        <w:t>30M deleted in Gazette 1 Oct 2003 p. 4299.]</w:t>
      </w:r>
    </w:p>
    <w:p>
      <w:pPr>
        <w:pStyle w:val="Heading3"/>
      </w:pPr>
      <w:bookmarkStart w:id="110" w:name="_Toc404246115"/>
      <w:bookmarkStart w:id="111" w:name="_Toc402878972"/>
      <w:r>
        <w:rPr>
          <w:rStyle w:val="CharDivNo"/>
        </w:rPr>
        <w:t>Division 5</w:t>
      </w:r>
      <w:r>
        <w:rPr>
          <w:snapToGrid w:val="0"/>
        </w:rPr>
        <w:t> — </w:t>
      </w:r>
      <w:r>
        <w:rPr>
          <w:rStyle w:val="CharDivText"/>
        </w:rPr>
        <w:t>Requirements regarding rock lobsters</w:t>
      </w:r>
      <w:bookmarkEnd w:id="110"/>
      <w:bookmarkEnd w:id="111"/>
    </w:p>
    <w:p>
      <w:pPr>
        <w:pStyle w:val="Heading5"/>
      </w:pPr>
      <w:bookmarkStart w:id="112" w:name="_Toc404246116"/>
      <w:bookmarkStart w:id="113" w:name="_Toc402878973"/>
      <w:r>
        <w:rPr>
          <w:rStyle w:val="CharSectno"/>
        </w:rPr>
        <w:t>31</w:t>
      </w:r>
      <w:r>
        <w:t>.</w:t>
      </w:r>
      <w:r>
        <w:tab/>
        <w:t>Rock lobster: permitted ways to fish for and tail marking</w:t>
      </w:r>
      <w:bookmarkEnd w:id="112"/>
      <w:bookmarkEnd w:id="113"/>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spacing w:before="70"/>
      </w:pPr>
      <w:r>
        <w:tab/>
        <w:t>(a)</w:t>
      </w:r>
      <w:r>
        <w:tab/>
        <w:t>by hand —</w:t>
      </w:r>
    </w:p>
    <w:p>
      <w:pPr>
        <w:pStyle w:val="Indenti"/>
        <w:spacing w:before="70"/>
      </w:pPr>
      <w:r>
        <w:tab/>
        <w:t>(i)</w:t>
      </w:r>
      <w:r>
        <w:tab/>
        <w:t>without the use of an instrument; or</w:t>
      </w:r>
    </w:p>
    <w:p>
      <w:pPr>
        <w:pStyle w:val="Indenti"/>
        <w:spacing w:before="70"/>
      </w:pPr>
      <w:r>
        <w:tab/>
        <w:t>(ii)</w:t>
      </w:r>
      <w:r>
        <w:tab/>
        <w:t>using an instrument which is not capable of piercing a rock lobster,</w:t>
      </w:r>
    </w:p>
    <w:p>
      <w:pPr>
        <w:pStyle w:val="Indenta"/>
        <w:spacing w:before="70"/>
      </w:pPr>
      <w:r>
        <w:tab/>
      </w:r>
      <w:r>
        <w:tab/>
        <w:t>and without piercing or damaging the rock lobster; or</w:t>
      </w:r>
    </w:p>
    <w:p>
      <w:pPr>
        <w:pStyle w:val="Indenta"/>
        <w:spacing w:before="70"/>
      </w:pPr>
      <w:r>
        <w:tab/>
        <w:t>(b)</w:t>
      </w:r>
      <w:r>
        <w:tab/>
        <w:t>by means of using or submerging at any one time not more than 2 rock lobster pots which —</w:t>
      </w:r>
    </w:p>
    <w:p>
      <w:pPr>
        <w:pStyle w:val="Indenti"/>
        <w:spacing w:before="70"/>
      </w:pPr>
      <w:r>
        <w:tab/>
        <w:t>(i)</w:t>
      </w:r>
      <w:r>
        <w:tab/>
        <w:t>are attached to a surface float which conforms to the requirements of regulation 32; and</w:t>
      </w:r>
    </w:p>
    <w:p>
      <w:pPr>
        <w:pStyle w:val="Indenti"/>
        <w:spacing w:before="70"/>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114" w:name="_Toc404246117"/>
      <w:bookmarkStart w:id="115" w:name="_Toc402878974"/>
      <w:r>
        <w:rPr>
          <w:rStyle w:val="CharSectno"/>
        </w:rPr>
        <w:t>31A</w:t>
      </w:r>
      <w:r>
        <w:t>.</w:t>
      </w:r>
      <w:r>
        <w:tab/>
        <w:t>Bait for rock lobster, limits on type of</w:t>
      </w:r>
      <w:bookmarkEnd w:id="114"/>
      <w:bookmarkEnd w:id="115"/>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16" w:name="_Toc404246118"/>
      <w:bookmarkStart w:id="117" w:name="_Toc402878975"/>
      <w:r>
        <w:rPr>
          <w:rStyle w:val="CharSectno"/>
        </w:rPr>
        <w:t>32</w:t>
      </w:r>
      <w:r>
        <w:rPr>
          <w:snapToGrid w:val="0"/>
        </w:rPr>
        <w:t>.</w:t>
      </w:r>
      <w:r>
        <w:rPr>
          <w:snapToGrid w:val="0"/>
        </w:rPr>
        <w:tab/>
        <w:t>Rock lobster pot floats, requirements for</w:t>
      </w:r>
      <w:bookmarkEnd w:id="116"/>
      <w:bookmarkEnd w:id="117"/>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pPr>
      <w:r>
        <w:t>[</w:t>
      </w:r>
      <w:r>
        <w:rPr>
          <w:b/>
        </w:rPr>
        <w:t>33, 34.</w:t>
      </w:r>
      <w:r>
        <w:tab/>
        <w:t>Deleted in Gazette 27 Aug 2010 p. 4106.]</w:t>
      </w:r>
    </w:p>
    <w:p>
      <w:pPr>
        <w:pStyle w:val="Heading5"/>
        <w:rPr>
          <w:snapToGrid w:val="0"/>
        </w:rPr>
      </w:pPr>
      <w:bookmarkStart w:id="118" w:name="_Toc404246119"/>
      <w:bookmarkStart w:id="119" w:name="_Toc402878976"/>
      <w:r>
        <w:rPr>
          <w:rStyle w:val="CharSectno"/>
        </w:rPr>
        <w:t>35</w:t>
      </w:r>
      <w:r>
        <w:rPr>
          <w:snapToGrid w:val="0"/>
        </w:rPr>
        <w:t>.</w:t>
      </w:r>
      <w:r>
        <w:rPr>
          <w:snapToGrid w:val="0"/>
        </w:rPr>
        <w:tab/>
        <w:t>Rock lobster flesh, possession of</w:t>
      </w:r>
      <w:bookmarkEnd w:id="118"/>
      <w:bookmarkEnd w:id="119"/>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120" w:name="_Toc404246120"/>
      <w:bookmarkStart w:id="121" w:name="_Toc402878977"/>
      <w:r>
        <w:rPr>
          <w:rStyle w:val="CharSectno"/>
        </w:rPr>
        <w:t>36</w:t>
      </w:r>
      <w:r>
        <w:rPr>
          <w:snapToGrid w:val="0"/>
        </w:rPr>
        <w:t>.</w:t>
      </w:r>
      <w:r>
        <w:rPr>
          <w:snapToGrid w:val="0"/>
        </w:rPr>
        <w:tab/>
        <w:t>Boats (not fishing boats) used to fish for rock lobsters, rules for</w:t>
      </w:r>
      <w:bookmarkEnd w:id="120"/>
      <w:bookmarkEnd w:id="121"/>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 25 Sep 2012 p. 4520.]</w:t>
      </w:r>
    </w:p>
    <w:p>
      <w:pPr>
        <w:pStyle w:val="Heading5"/>
        <w:rPr>
          <w:snapToGrid w:val="0"/>
        </w:rPr>
      </w:pPr>
      <w:bookmarkStart w:id="122" w:name="_Toc404246121"/>
      <w:bookmarkStart w:id="123" w:name="_Toc402878978"/>
      <w:r>
        <w:rPr>
          <w:rStyle w:val="CharSectno"/>
        </w:rPr>
        <w:t>37</w:t>
      </w:r>
      <w:r>
        <w:rPr>
          <w:snapToGrid w:val="0"/>
        </w:rPr>
        <w:t>.</w:t>
      </w:r>
      <w:r>
        <w:rPr>
          <w:snapToGrid w:val="0"/>
        </w:rPr>
        <w:tab/>
        <w:t>Offences against r. 36, defences for</w:t>
      </w:r>
      <w:bookmarkEnd w:id="122"/>
      <w:bookmarkEnd w:id="123"/>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in Gazette 25 Sep 2012 p. 4520.]</w:t>
      </w:r>
    </w:p>
    <w:p>
      <w:pPr>
        <w:pStyle w:val="Heading5"/>
        <w:rPr>
          <w:snapToGrid w:val="0"/>
        </w:rPr>
      </w:pPr>
      <w:bookmarkStart w:id="124" w:name="_Toc404246122"/>
      <w:bookmarkStart w:id="125" w:name="_Toc402878979"/>
      <w:r>
        <w:rPr>
          <w:rStyle w:val="CharSectno"/>
        </w:rPr>
        <w:t>38</w:t>
      </w:r>
      <w:r>
        <w:rPr>
          <w:snapToGrid w:val="0"/>
        </w:rPr>
        <w:t>.</w:t>
      </w:r>
      <w:r>
        <w:rPr>
          <w:snapToGrid w:val="0"/>
        </w:rPr>
        <w:tab/>
        <w:t>Rock lobster pots, requirements for</w:t>
      </w:r>
      <w:bookmarkEnd w:id="124"/>
      <w:bookmarkEnd w:id="125"/>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spacing w:before="720"/>
      </w:pPr>
      <w:bookmarkStart w:id="126" w:name="_Toc404246123"/>
      <w:bookmarkStart w:id="127" w:name="_Toc402878980"/>
      <w:r>
        <w:rPr>
          <w:rStyle w:val="CharDivNo"/>
        </w:rPr>
        <w:t>Division 5A</w:t>
      </w:r>
      <w:r>
        <w:t xml:space="preserve"> — </w:t>
      </w:r>
      <w:r>
        <w:rPr>
          <w:rStyle w:val="CharDivText"/>
        </w:rPr>
        <w:t>Requirements regarding deep sea crabs</w:t>
      </w:r>
      <w:bookmarkEnd w:id="126"/>
      <w:bookmarkEnd w:id="127"/>
    </w:p>
    <w:p>
      <w:pPr>
        <w:pStyle w:val="Footnoteheading"/>
        <w:keepNext/>
      </w:pPr>
      <w:r>
        <w:tab/>
        <w:t>[Heading inserted in Gazette 21 Dec 1999 p. 6407.]</w:t>
      </w:r>
    </w:p>
    <w:p>
      <w:pPr>
        <w:pStyle w:val="Heading5"/>
      </w:pPr>
      <w:bookmarkStart w:id="128" w:name="_Toc404246124"/>
      <w:bookmarkStart w:id="129" w:name="_Toc402878981"/>
      <w:r>
        <w:rPr>
          <w:rStyle w:val="CharSectno"/>
        </w:rPr>
        <w:t>38A</w:t>
      </w:r>
      <w:r>
        <w:t>.</w:t>
      </w:r>
      <w:r>
        <w:tab/>
        <w:t>Term used: deep sea crab</w:t>
      </w:r>
      <w:bookmarkEnd w:id="128"/>
      <w:bookmarkEnd w:id="129"/>
    </w:p>
    <w:p>
      <w:pPr>
        <w:pStyle w:val="Subsection"/>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30" w:name="_Toc404246125"/>
      <w:bookmarkStart w:id="131" w:name="_Toc402878982"/>
      <w:r>
        <w:rPr>
          <w:rStyle w:val="CharSectno"/>
        </w:rPr>
        <w:t>38B</w:t>
      </w:r>
      <w:r>
        <w:t>.</w:t>
      </w:r>
      <w:r>
        <w:tab/>
        <w:t>Possession and sale of parts of deep sea crabs</w:t>
      </w:r>
      <w:bookmarkEnd w:id="130"/>
      <w:bookmarkEnd w:id="131"/>
    </w:p>
    <w:p>
      <w:pPr>
        <w:pStyle w:val="Subsection"/>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32" w:name="_Toc404246126"/>
      <w:bookmarkStart w:id="133" w:name="_Toc402878983"/>
      <w:r>
        <w:rPr>
          <w:rStyle w:val="CharSectno"/>
        </w:rPr>
        <w:t>38C</w:t>
      </w:r>
      <w:r>
        <w:t>.</w:t>
      </w:r>
      <w:r>
        <w:tab/>
        <w:t>Parts of deep sea crabs not to be landed</w:t>
      </w:r>
      <w:bookmarkEnd w:id="132"/>
      <w:bookmarkEnd w:id="133"/>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34" w:name="_Toc404246127"/>
      <w:bookmarkStart w:id="135" w:name="_Toc402878984"/>
      <w:r>
        <w:rPr>
          <w:rStyle w:val="CharDivNo"/>
        </w:rPr>
        <w:t>Division 5B</w:t>
      </w:r>
      <w:r>
        <w:t> — </w:t>
      </w:r>
      <w:r>
        <w:rPr>
          <w:rStyle w:val="CharDivText"/>
        </w:rPr>
        <w:t>Requirements regarding abalone and sea urchins</w:t>
      </w:r>
      <w:bookmarkEnd w:id="134"/>
      <w:bookmarkEnd w:id="135"/>
    </w:p>
    <w:p>
      <w:pPr>
        <w:pStyle w:val="Footnoteheading"/>
        <w:keepNext/>
        <w:keepLines/>
        <w:tabs>
          <w:tab w:val="left" w:pos="851"/>
        </w:tabs>
      </w:pPr>
      <w:r>
        <w:tab/>
        <w:t>[Heading inserted in Gazette 1 Oct 2003 p. 4301; amended in Gazette 27 Aug 2013 p. 4055.]</w:t>
      </w:r>
    </w:p>
    <w:p>
      <w:pPr>
        <w:pStyle w:val="Ednotesection"/>
      </w:pPr>
      <w:r>
        <w:t>[</w:t>
      </w:r>
      <w:r>
        <w:rPr>
          <w:b/>
        </w:rPr>
        <w:t>38DA.</w:t>
      </w:r>
      <w:r>
        <w:tab/>
        <w:t>Deleted in Gazette 22 Oct 2014 p. 4087.]</w:t>
      </w:r>
    </w:p>
    <w:p>
      <w:pPr>
        <w:pStyle w:val="Heading5"/>
      </w:pPr>
      <w:bookmarkStart w:id="136" w:name="_Toc404246128"/>
      <w:bookmarkStart w:id="137" w:name="_Toc402878985"/>
      <w:r>
        <w:rPr>
          <w:rStyle w:val="CharSectno"/>
        </w:rPr>
        <w:t>38D</w:t>
      </w:r>
      <w:r>
        <w:t>.</w:t>
      </w:r>
      <w:r>
        <w:tab/>
        <w:t>When fishing for abalone and sea urchins allowed</w:t>
      </w:r>
      <w:bookmarkEnd w:id="136"/>
      <w:bookmarkEnd w:id="137"/>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pPr>
      <w:r>
        <w:tab/>
        <w:t>[Regulation 38D inserted in Gazette 27 Aug 2013 p. 4055-6.]</w:t>
      </w:r>
    </w:p>
    <w:p>
      <w:pPr>
        <w:pStyle w:val="Heading5"/>
        <w:spacing w:before="300"/>
      </w:pPr>
      <w:bookmarkStart w:id="138" w:name="_Toc404246129"/>
      <w:bookmarkStart w:id="139" w:name="_Toc402878986"/>
      <w:r>
        <w:rPr>
          <w:rStyle w:val="CharSectno"/>
        </w:rPr>
        <w:t>38E</w:t>
      </w:r>
      <w:r>
        <w:t>.</w:t>
      </w:r>
      <w:r>
        <w:tab/>
        <w:t>Diving for abalone using breathing apparatus prohibited in Abalone Zone 1</w:t>
      </w:r>
      <w:bookmarkEnd w:id="138"/>
      <w:bookmarkEnd w:id="139"/>
    </w:p>
    <w:p>
      <w:pPr>
        <w:pStyle w:val="Subsection"/>
        <w:spacing w:before="180"/>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in Gazette 28 Nov 2003 p. 4775.]</w:t>
      </w:r>
    </w:p>
    <w:p>
      <w:pPr>
        <w:pStyle w:val="Heading5"/>
        <w:spacing w:before="300"/>
      </w:pPr>
      <w:bookmarkStart w:id="140" w:name="_Toc404246130"/>
      <w:bookmarkStart w:id="141" w:name="_Toc402878987"/>
      <w:r>
        <w:rPr>
          <w:rStyle w:val="CharSectno"/>
        </w:rPr>
        <w:t>38F</w:t>
      </w:r>
      <w:r>
        <w:t>.</w:t>
      </w:r>
      <w:r>
        <w:tab/>
        <w:t>Use of abalone material as bait</w:t>
      </w:r>
      <w:bookmarkEnd w:id="140"/>
      <w:bookmarkEnd w:id="141"/>
    </w:p>
    <w:p>
      <w:pPr>
        <w:pStyle w:val="Subsection"/>
        <w:spacing w:before="180"/>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in Gazette 2 Aug 2011 p. 3166-7.]</w:t>
      </w:r>
    </w:p>
    <w:p>
      <w:pPr>
        <w:pStyle w:val="Heading5"/>
        <w:spacing w:before="300"/>
      </w:pPr>
      <w:bookmarkStart w:id="142" w:name="_Toc404246131"/>
      <w:bookmarkStart w:id="143" w:name="_Toc402878988"/>
      <w:r>
        <w:rPr>
          <w:rStyle w:val="CharSectno"/>
        </w:rPr>
        <w:t>38GA</w:t>
      </w:r>
      <w:r>
        <w:t>.</w:t>
      </w:r>
      <w:r>
        <w:tab/>
        <w:t>Possession of abalone material</w:t>
      </w:r>
      <w:bookmarkEnd w:id="142"/>
      <w:bookmarkEnd w:id="143"/>
    </w:p>
    <w:p>
      <w:pPr>
        <w:pStyle w:val="Subsection"/>
        <w:keepNext/>
        <w:spacing w:before="180"/>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144" w:name="_Toc404246132"/>
      <w:bookmarkStart w:id="145" w:name="_Toc402878989"/>
      <w:r>
        <w:rPr>
          <w:rStyle w:val="CharDivNo"/>
        </w:rPr>
        <w:t>Division 5C</w:t>
      </w:r>
      <w:r>
        <w:t> — </w:t>
      </w:r>
      <w:r>
        <w:rPr>
          <w:rStyle w:val="CharDivText"/>
        </w:rPr>
        <w:t>Requirements regarding marron</w:t>
      </w:r>
      <w:bookmarkEnd w:id="144"/>
      <w:bookmarkEnd w:id="145"/>
    </w:p>
    <w:p>
      <w:pPr>
        <w:pStyle w:val="Footnoteheading"/>
      </w:pPr>
      <w:r>
        <w:tab/>
        <w:t>[Heading inserted in Gazette 29 Dec 2000 p. 7968.]</w:t>
      </w:r>
    </w:p>
    <w:p>
      <w:pPr>
        <w:pStyle w:val="Heading4"/>
        <w:spacing w:before="200"/>
      </w:pPr>
      <w:bookmarkStart w:id="146" w:name="_Toc404246133"/>
      <w:bookmarkStart w:id="147" w:name="_Toc402878990"/>
      <w:r>
        <w:t>Subdivision 1 — Interpretation</w:t>
      </w:r>
      <w:bookmarkEnd w:id="146"/>
      <w:bookmarkEnd w:id="147"/>
    </w:p>
    <w:p>
      <w:pPr>
        <w:pStyle w:val="Footnoteheading"/>
      </w:pPr>
      <w:r>
        <w:tab/>
        <w:t>[Heading inserted in Gazette 29 Dec 2000 p. 7968.]</w:t>
      </w:r>
    </w:p>
    <w:p>
      <w:pPr>
        <w:pStyle w:val="Heading5"/>
        <w:spacing w:before="180"/>
      </w:pPr>
      <w:bookmarkStart w:id="148" w:name="_Toc404246134"/>
      <w:bookmarkStart w:id="149" w:name="_Toc402878991"/>
      <w:r>
        <w:rPr>
          <w:rStyle w:val="CharSectno"/>
        </w:rPr>
        <w:t>38G</w:t>
      </w:r>
      <w:r>
        <w:t>.</w:t>
      </w:r>
      <w:r>
        <w:tab/>
        <w:t>Terms used</w:t>
      </w:r>
      <w:bookmarkEnd w:id="148"/>
      <w:bookmarkEnd w:id="149"/>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spacing w:before="100"/>
      </w:pPr>
      <w:r>
        <w:tab/>
        <w:t>(ii)</w:t>
      </w:r>
      <w:r>
        <w:tab/>
        <w:t>reduces the size of the spaces of the mesh;</w:t>
      </w:r>
    </w:p>
    <w:p>
      <w:pPr>
        <w:pStyle w:val="Defstart"/>
        <w:spacing w:before="100"/>
      </w:pPr>
      <w:r>
        <w:tab/>
      </w:r>
      <w:r>
        <w:rPr>
          <w:rStyle w:val="CharDefText"/>
        </w:rPr>
        <w:t>marron pole snare</w:t>
      </w:r>
      <w:r>
        <w:t xml:space="preserve"> means a snare that —</w:t>
      </w:r>
    </w:p>
    <w:p>
      <w:pPr>
        <w:pStyle w:val="Defpara"/>
        <w:spacing w:before="100"/>
      </w:pPr>
      <w:r>
        <w:tab/>
        <w:t>(a)</w:t>
      </w:r>
      <w:r>
        <w:tab/>
        <w:t>is constructed of a pole to one end of which is attached a noose that, when the pole is used to take a marron, operates by closing under the weight of the marron; and</w:t>
      </w:r>
    </w:p>
    <w:p>
      <w:pPr>
        <w:pStyle w:val="Defpara"/>
        <w:keepNext/>
        <w:spacing w:before="100"/>
      </w:pPr>
      <w:r>
        <w:tab/>
        <w:t>(b)</w:t>
      </w:r>
      <w:r>
        <w:tab/>
        <w:t>does not have anything attached to the pole that enables a person to open or close the noose;</w:t>
      </w:r>
    </w:p>
    <w:p>
      <w:pPr>
        <w:pStyle w:val="Defstart"/>
        <w:spacing w:before="100"/>
      </w:pPr>
      <w:r>
        <w:tab/>
      </w:r>
      <w:r>
        <w:rPr>
          <w:rStyle w:val="CharDefText"/>
        </w:rPr>
        <w:t>marron scoop net</w:t>
      </w:r>
      <w:r>
        <w:t xml:space="preserve"> means a net that —</w:t>
      </w:r>
    </w:p>
    <w:p>
      <w:pPr>
        <w:pStyle w:val="Defpara"/>
        <w:spacing w:before="100"/>
      </w:pPr>
      <w:r>
        <w:tab/>
        <w:t>(a)</w:t>
      </w:r>
      <w:r>
        <w:tab/>
        <w:t>is generally hemispherical and has a mesh —</w:t>
      </w:r>
    </w:p>
    <w:p>
      <w:pPr>
        <w:pStyle w:val="Defsubpara"/>
        <w:spacing w:before="100"/>
      </w:pPr>
      <w:r>
        <w:tab/>
        <w:t>(i)</w:t>
      </w:r>
      <w:r>
        <w:tab/>
        <w:t>constructed of wire with a diameter of not more than 5 mm; and</w:t>
      </w:r>
    </w:p>
    <w:p>
      <w:pPr>
        <w:pStyle w:val="Defsubpara"/>
        <w:spacing w:before="100"/>
      </w:pPr>
      <w:r>
        <w:tab/>
        <w:t>(ii)</w:t>
      </w:r>
      <w:r>
        <w:tab/>
        <w:t>that does not have more than 75 spaces; and</w:t>
      </w:r>
    </w:p>
    <w:p>
      <w:pPr>
        <w:pStyle w:val="Defsubpara"/>
        <w:spacing w:before="100"/>
      </w:pPr>
      <w:r>
        <w:tab/>
        <w:t>(iii)</w:t>
      </w:r>
      <w:r>
        <w:tab/>
        <w:t>that does not have more than 6 support wires radiating from the centre of the base to the top rim;</w:t>
      </w:r>
    </w:p>
    <w:p>
      <w:pPr>
        <w:pStyle w:val="Defpara"/>
        <w:keepNext/>
        <w:keepLines/>
        <w:spacing w:before="100"/>
      </w:pPr>
      <w:r>
        <w:tab/>
      </w:r>
      <w:r>
        <w:tab/>
        <w:t>and</w:t>
      </w:r>
    </w:p>
    <w:p>
      <w:pPr>
        <w:pStyle w:val="Defpara"/>
        <w:keepNext/>
        <w:keepLines/>
        <w:spacing w:before="100"/>
      </w:pPr>
      <w:r>
        <w:tab/>
        <w:t>(b)</w:t>
      </w:r>
      <w:r>
        <w:tab/>
        <w:t>has a circular top ring with an internal diameter that does not exceed 375 mm; and</w:t>
      </w:r>
    </w:p>
    <w:p>
      <w:pPr>
        <w:pStyle w:val="Defpara"/>
        <w:spacing w:before="100"/>
      </w:pPr>
      <w:r>
        <w:tab/>
        <w:t>(c)</w:t>
      </w:r>
      <w:r>
        <w:tab/>
        <w:t>has an internal depth that, measured from the plane of the rim, is not more than 210 mm; and</w:t>
      </w:r>
    </w:p>
    <w:p>
      <w:pPr>
        <w:pStyle w:val="Defpara"/>
        <w:spacing w:before="100"/>
      </w:pPr>
      <w:r>
        <w:tab/>
        <w:t>(d)</w:t>
      </w:r>
      <w:r>
        <w:tab/>
        <w:t>does not have anything attached to it or placed in it that restricts the movement of marron through the mesh; and</w:t>
      </w:r>
    </w:p>
    <w:p>
      <w:pPr>
        <w:pStyle w:val="Defpara"/>
        <w:spacing w:before="100"/>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50" w:name="_Toc404246135"/>
      <w:bookmarkStart w:id="151" w:name="_Toc402878992"/>
      <w:r>
        <w:t>Subdivision 2 — General restrictions on fishing for marron</w:t>
      </w:r>
      <w:bookmarkEnd w:id="150"/>
      <w:bookmarkEnd w:id="151"/>
    </w:p>
    <w:p>
      <w:pPr>
        <w:pStyle w:val="Footnoteheading"/>
        <w:keepNext/>
      </w:pPr>
      <w:r>
        <w:tab/>
        <w:t>[Heading inserted in Gazette 29 Dec 2000 p. 7969.]</w:t>
      </w:r>
    </w:p>
    <w:p>
      <w:pPr>
        <w:pStyle w:val="Heading5"/>
      </w:pPr>
      <w:bookmarkStart w:id="152" w:name="_Toc404246136"/>
      <w:bookmarkStart w:id="153" w:name="_Toc402878993"/>
      <w:r>
        <w:rPr>
          <w:rStyle w:val="CharSectno"/>
        </w:rPr>
        <w:t>38H</w:t>
      </w:r>
      <w:r>
        <w:t>.</w:t>
      </w:r>
      <w:r>
        <w:tab/>
        <w:t>Marron, permitted ways to fish for</w:t>
      </w:r>
      <w:bookmarkEnd w:id="152"/>
      <w:bookmarkEnd w:id="153"/>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54" w:name="_Toc404246137"/>
      <w:bookmarkStart w:id="155" w:name="_Toc402878994"/>
      <w:r>
        <w:rPr>
          <w:rStyle w:val="CharSectno"/>
        </w:rPr>
        <w:t>38I</w:t>
      </w:r>
      <w:r>
        <w:t>.</w:t>
      </w:r>
      <w:r>
        <w:tab/>
        <w:t>Single marron pole snare only to be used in some waters</w:t>
      </w:r>
      <w:bookmarkEnd w:id="154"/>
      <w:bookmarkEnd w:id="155"/>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156" w:name="_Toc404246138"/>
      <w:bookmarkStart w:id="157" w:name="_Toc402878995"/>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56"/>
      <w:bookmarkEnd w:id="157"/>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pPr>
      <w:r>
        <w:t>[</w:t>
      </w:r>
      <w:r>
        <w:rPr>
          <w:b/>
        </w:rPr>
        <w:t>38JA.</w:t>
      </w:r>
      <w:r>
        <w:tab/>
        <w:t>Deleted in Gazette 22 Dec 2005 p. 6221.]</w:t>
      </w:r>
    </w:p>
    <w:p>
      <w:pPr>
        <w:pStyle w:val="Heading5"/>
      </w:pPr>
      <w:bookmarkStart w:id="158" w:name="_Toc404246139"/>
      <w:bookmarkStart w:id="159" w:name="_Toc402878996"/>
      <w:r>
        <w:rPr>
          <w:rStyle w:val="CharSectno"/>
        </w:rPr>
        <w:t>38K</w:t>
      </w:r>
      <w:r>
        <w:t>.</w:t>
      </w:r>
      <w:r>
        <w:tab/>
        <w:t>Marron fishing prohibited from boats or by swimming or diving</w:t>
      </w:r>
      <w:bookmarkEnd w:id="158"/>
      <w:bookmarkEnd w:id="159"/>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160" w:name="_Toc404246140"/>
      <w:bookmarkStart w:id="161" w:name="_Toc402878997"/>
      <w:r>
        <w:rPr>
          <w:rStyle w:val="CharSectno"/>
        </w:rPr>
        <w:t>38L</w:t>
      </w:r>
      <w:r>
        <w:t>.</w:t>
      </w:r>
      <w:r>
        <w:tab/>
        <w:t>Marron nets not to be transported in boats in most cases</w:t>
      </w:r>
      <w:bookmarkEnd w:id="160"/>
      <w:bookmarkEnd w:id="161"/>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62" w:name="_Toc404246141"/>
      <w:bookmarkStart w:id="163" w:name="_Toc402878998"/>
      <w:r>
        <w:t>Subdivision 3 — Closed season restrictions relating to marron</w:t>
      </w:r>
      <w:bookmarkEnd w:id="162"/>
      <w:bookmarkEnd w:id="163"/>
    </w:p>
    <w:p>
      <w:pPr>
        <w:pStyle w:val="Footnoteheading"/>
      </w:pPr>
      <w:r>
        <w:tab/>
        <w:t>[Heading inserted in Gazette 29 Dec 2000 p. 7972.]</w:t>
      </w:r>
    </w:p>
    <w:p>
      <w:pPr>
        <w:pStyle w:val="Heading5"/>
      </w:pPr>
      <w:bookmarkStart w:id="164" w:name="_Toc404246142"/>
      <w:bookmarkStart w:id="165" w:name="_Toc402878999"/>
      <w:r>
        <w:rPr>
          <w:rStyle w:val="CharSectno"/>
        </w:rPr>
        <w:t>38M</w:t>
      </w:r>
      <w:r>
        <w:t>.</w:t>
      </w:r>
      <w:r>
        <w:tab/>
        <w:t>Closed season for marron fishing</w:t>
      </w:r>
      <w:bookmarkEnd w:id="164"/>
      <w:bookmarkEnd w:id="165"/>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66" w:name="_Toc404246143"/>
      <w:bookmarkStart w:id="167" w:name="_Toc402879000"/>
      <w:r>
        <w:rPr>
          <w:rStyle w:val="CharSectno"/>
        </w:rPr>
        <w:t>38N</w:t>
      </w:r>
      <w:r>
        <w:t>.</w:t>
      </w:r>
      <w:r>
        <w:tab/>
        <w:t>Removing marron from private land in closed season</w:t>
      </w:r>
      <w:bookmarkEnd w:id="166"/>
      <w:bookmarkEnd w:id="167"/>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68" w:name="_Toc404246144"/>
      <w:bookmarkStart w:id="169" w:name="_Toc402879001"/>
      <w:r>
        <w:rPr>
          <w:rStyle w:val="CharSectno"/>
        </w:rPr>
        <w:t>38O</w:t>
      </w:r>
      <w:r>
        <w:t>.</w:t>
      </w:r>
      <w:r>
        <w:tab/>
        <w:t>Possession of marron during non</w:t>
      </w:r>
      <w:r>
        <w:noBreakHyphen/>
        <w:t>possession period</w:t>
      </w:r>
      <w:bookmarkEnd w:id="168"/>
      <w:bookmarkEnd w:id="169"/>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in Gazette 29 Dec 2000 p. 7973; amended in Gazette 29 Dec 2006 p. 5890; 13 Oct 2009 p. 4032.]</w:t>
      </w:r>
    </w:p>
    <w:p>
      <w:pPr>
        <w:pStyle w:val="Heading3"/>
      </w:pPr>
      <w:bookmarkStart w:id="170" w:name="_Toc404246145"/>
      <w:bookmarkStart w:id="171" w:name="_Toc402879002"/>
      <w:r>
        <w:rPr>
          <w:rStyle w:val="CharDivNo"/>
        </w:rPr>
        <w:t>Division 6</w:t>
      </w:r>
      <w:r>
        <w:rPr>
          <w:snapToGrid w:val="0"/>
        </w:rPr>
        <w:t> — </w:t>
      </w:r>
      <w:r>
        <w:rPr>
          <w:rStyle w:val="CharDivText"/>
        </w:rPr>
        <w:t>Requirements relating to the taking of certain fish</w:t>
      </w:r>
      <w:bookmarkEnd w:id="170"/>
      <w:bookmarkEnd w:id="171"/>
    </w:p>
    <w:p>
      <w:pPr>
        <w:pStyle w:val="Heading5"/>
        <w:rPr>
          <w:snapToGrid w:val="0"/>
        </w:rPr>
      </w:pPr>
      <w:bookmarkStart w:id="172" w:name="_Toc404246146"/>
      <w:bookmarkStart w:id="173" w:name="_Toc402879003"/>
      <w:r>
        <w:rPr>
          <w:rStyle w:val="CharSectno"/>
        </w:rPr>
        <w:t>39</w:t>
      </w:r>
      <w:r>
        <w:rPr>
          <w:snapToGrid w:val="0"/>
        </w:rPr>
        <w:t>.</w:t>
      </w:r>
      <w:r>
        <w:rPr>
          <w:snapToGrid w:val="0"/>
        </w:rPr>
        <w:tab/>
        <w:t>Prawns, permitted ways to fish for by recreational fishers</w:t>
      </w:r>
      <w:bookmarkEnd w:id="172"/>
      <w:bookmarkEnd w:id="173"/>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 22 Jun 2012 p. 2779.]</w:t>
      </w:r>
    </w:p>
    <w:p>
      <w:pPr>
        <w:pStyle w:val="Heading5"/>
        <w:keepLines w:val="0"/>
        <w:rPr>
          <w:snapToGrid w:val="0"/>
        </w:rPr>
      </w:pPr>
      <w:bookmarkStart w:id="174" w:name="_Toc404246147"/>
      <w:bookmarkStart w:id="175" w:name="_Toc402879004"/>
      <w:r>
        <w:rPr>
          <w:rStyle w:val="CharSectno"/>
        </w:rPr>
        <w:t>40</w:t>
      </w:r>
      <w:r>
        <w:rPr>
          <w:snapToGrid w:val="0"/>
        </w:rPr>
        <w:t>.</w:t>
      </w:r>
      <w:r>
        <w:rPr>
          <w:snapToGrid w:val="0"/>
        </w:rPr>
        <w:tab/>
        <w:t>Cherabin, permitted ways to fish for</w:t>
      </w:r>
      <w:bookmarkEnd w:id="174"/>
      <w:bookmarkEnd w:id="175"/>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176" w:name="_Toc404246148"/>
      <w:bookmarkStart w:id="177" w:name="_Toc402879005"/>
      <w:r>
        <w:rPr>
          <w:rStyle w:val="CharSectno"/>
        </w:rPr>
        <w:t>41</w:t>
      </w:r>
      <w:r>
        <w:rPr>
          <w:snapToGrid w:val="0"/>
        </w:rPr>
        <w:t>.</w:t>
      </w:r>
      <w:r>
        <w:rPr>
          <w:snapToGrid w:val="0"/>
        </w:rPr>
        <w:tab/>
        <w:t>Abalone, who may shuck or possess when shucked</w:t>
      </w:r>
      <w:bookmarkEnd w:id="176"/>
      <w:bookmarkEnd w:id="177"/>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78" w:name="_Toc404246149"/>
      <w:bookmarkStart w:id="179" w:name="_Toc402879006"/>
      <w:r>
        <w:rPr>
          <w:rStyle w:val="CharSectno"/>
        </w:rPr>
        <w:t>42</w:t>
      </w:r>
      <w:r>
        <w:rPr>
          <w:snapToGrid w:val="0"/>
        </w:rPr>
        <w:t>.</w:t>
      </w:r>
      <w:r>
        <w:rPr>
          <w:snapToGrid w:val="0"/>
        </w:rPr>
        <w:tab/>
        <w:t>Molluscs (not abalone or oyster), shucking of</w:t>
      </w:r>
      <w:bookmarkEnd w:id="178"/>
      <w:bookmarkEnd w:id="179"/>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80" w:name="_Toc404246150"/>
      <w:bookmarkStart w:id="181" w:name="_Toc402879007"/>
      <w:r>
        <w:rPr>
          <w:rStyle w:val="CharSectno"/>
        </w:rPr>
        <w:t>43</w:t>
      </w:r>
      <w:r>
        <w:rPr>
          <w:snapToGrid w:val="0"/>
        </w:rPr>
        <w:t>.</w:t>
      </w:r>
      <w:r>
        <w:rPr>
          <w:snapToGrid w:val="0"/>
        </w:rPr>
        <w:tab/>
        <w:t>Trout, obstructing etc.</w:t>
      </w:r>
      <w:bookmarkEnd w:id="180"/>
      <w:bookmarkEnd w:id="181"/>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82" w:name="_Toc404246151"/>
      <w:bookmarkStart w:id="183" w:name="_Toc402879008"/>
      <w:r>
        <w:rPr>
          <w:rStyle w:val="CharSectno"/>
        </w:rPr>
        <w:t>44</w:t>
      </w:r>
      <w:r>
        <w:rPr>
          <w:snapToGrid w:val="0"/>
        </w:rPr>
        <w:t>.</w:t>
      </w:r>
      <w:r>
        <w:rPr>
          <w:snapToGrid w:val="0"/>
        </w:rPr>
        <w:tab/>
        <w:t>Barramundi, trout, freshwater cobbler and redfin perch, permitted ways to fish for</w:t>
      </w:r>
      <w:bookmarkEnd w:id="182"/>
      <w:bookmarkEnd w:id="183"/>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84" w:name="_Toc404246152"/>
      <w:bookmarkStart w:id="185" w:name="_Toc402879009"/>
      <w:r>
        <w:rPr>
          <w:rStyle w:val="CharSectno"/>
        </w:rPr>
        <w:t>44A</w:t>
      </w:r>
      <w:r>
        <w:t>.</w:t>
      </w:r>
      <w:r>
        <w:tab/>
        <w:t>Freshwater fish, closed season for</w:t>
      </w:r>
      <w:bookmarkEnd w:id="184"/>
      <w:bookmarkEnd w:id="185"/>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186" w:name="_Toc404246153"/>
      <w:bookmarkStart w:id="187" w:name="_Toc402879010"/>
      <w:r>
        <w:rPr>
          <w:rStyle w:val="CharSectno"/>
        </w:rPr>
        <w:t>45</w:t>
      </w:r>
      <w:r>
        <w:t>.</w:t>
      </w:r>
      <w:r>
        <w:tab/>
        <w:t>Demersal scalefish in West Coast Region, closed season for recreational fishing for</w:t>
      </w:r>
      <w:bookmarkEnd w:id="186"/>
      <w:bookmarkEnd w:id="187"/>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88" w:name="_Toc404246154"/>
      <w:bookmarkStart w:id="189" w:name="_Toc402879011"/>
      <w:r>
        <w:rPr>
          <w:rStyle w:val="CharDivNo"/>
        </w:rPr>
        <w:t>Division 7A</w:t>
      </w:r>
      <w:r>
        <w:rPr>
          <w:snapToGrid w:val="0"/>
        </w:rPr>
        <w:t> — </w:t>
      </w:r>
      <w:r>
        <w:rPr>
          <w:rStyle w:val="CharDivText"/>
        </w:rPr>
        <w:t>Requirements relating to automatic location communicators</w:t>
      </w:r>
      <w:bookmarkEnd w:id="188"/>
      <w:bookmarkEnd w:id="189"/>
    </w:p>
    <w:p>
      <w:pPr>
        <w:pStyle w:val="Footnoteheading"/>
        <w:rPr>
          <w:snapToGrid w:val="0"/>
        </w:rPr>
      </w:pPr>
      <w:r>
        <w:rPr>
          <w:snapToGrid w:val="0"/>
        </w:rPr>
        <w:tab/>
        <w:t xml:space="preserve">[Heading </w:t>
      </w:r>
      <w:r>
        <w:t>inserted</w:t>
      </w:r>
      <w:r>
        <w:rPr>
          <w:snapToGrid w:val="0"/>
        </w:rPr>
        <w:t xml:space="preserve"> in Gazette 2 Jan 1998 p. 25.]</w:t>
      </w:r>
    </w:p>
    <w:p>
      <w:pPr>
        <w:pStyle w:val="Heading5"/>
      </w:pPr>
      <w:bookmarkStart w:id="190" w:name="_Toc404246155"/>
      <w:bookmarkStart w:id="191" w:name="_Toc402879012"/>
      <w:r>
        <w:rPr>
          <w:rStyle w:val="CharSectno"/>
        </w:rPr>
        <w:t>55A</w:t>
      </w:r>
      <w:r>
        <w:t>.</w:t>
      </w:r>
      <w:r>
        <w:tab/>
        <w:t>Terms used</w:t>
      </w:r>
      <w:bookmarkEnd w:id="190"/>
      <w:bookmarkEnd w:id="191"/>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92" w:name="_Toc404246156"/>
      <w:bookmarkStart w:id="193" w:name="_Toc402879013"/>
      <w:r>
        <w:rPr>
          <w:rStyle w:val="CharSectno"/>
        </w:rPr>
        <w:t>55AA</w:t>
      </w:r>
      <w:r>
        <w:t>.</w:t>
      </w:r>
      <w:r>
        <w:tab/>
        <w:t>ALCs, approval of; directions for use of etc.</w:t>
      </w:r>
      <w:bookmarkEnd w:id="192"/>
      <w:bookmarkEnd w:id="193"/>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94" w:name="_Toc404246157"/>
      <w:bookmarkStart w:id="195" w:name="_Toc402879014"/>
      <w:r>
        <w:rPr>
          <w:rStyle w:val="CharSectno"/>
        </w:rPr>
        <w:t>55B</w:t>
      </w:r>
      <w:r>
        <w:rPr>
          <w:snapToGrid w:val="0"/>
        </w:rPr>
        <w:t>.</w:t>
      </w:r>
      <w:r>
        <w:rPr>
          <w:snapToGrid w:val="0"/>
        </w:rPr>
        <w:tab/>
        <w:t>ALC, CEO may direct installation of etc. in fishing boat</w:t>
      </w:r>
      <w:bookmarkEnd w:id="194"/>
      <w:bookmarkEnd w:id="195"/>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in Gazette 2 Jan 1998 p. 26; amended in Gazette 23 May 2006 p. 1859; 6 Jul 2007 p. 3389; 18 Aug 2009 p. 3237</w:t>
      </w:r>
      <w:r>
        <w:noBreakHyphen/>
        <w:t>8.]</w:t>
      </w:r>
    </w:p>
    <w:p>
      <w:pPr>
        <w:pStyle w:val="Heading5"/>
        <w:spacing w:before="240"/>
        <w:rPr>
          <w:snapToGrid w:val="0"/>
        </w:rPr>
      </w:pPr>
      <w:bookmarkStart w:id="196" w:name="_Toc404246158"/>
      <w:bookmarkStart w:id="197" w:name="_Toc402879015"/>
      <w:r>
        <w:rPr>
          <w:rStyle w:val="CharSectno"/>
        </w:rPr>
        <w:t>55C</w:t>
      </w:r>
      <w:r>
        <w:rPr>
          <w:snapToGrid w:val="0"/>
        </w:rPr>
        <w:t>.</w:t>
      </w:r>
      <w:r>
        <w:rPr>
          <w:snapToGrid w:val="0"/>
        </w:rPr>
        <w:tab/>
        <w:t>Master of fishing boat, duties of as to ALC</w:t>
      </w:r>
      <w:bookmarkEnd w:id="196"/>
      <w:bookmarkEnd w:id="197"/>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198" w:name="_Toc404246159"/>
      <w:bookmarkStart w:id="199" w:name="_Toc402879016"/>
      <w:r>
        <w:rPr>
          <w:rStyle w:val="CharSectno"/>
        </w:rPr>
        <w:t>55D</w:t>
      </w:r>
      <w:r>
        <w:rPr>
          <w:snapToGrid w:val="0"/>
        </w:rPr>
        <w:t>.</w:t>
      </w:r>
      <w:r>
        <w:rPr>
          <w:snapToGrid w:val="0"/>
        </w:rPr>
        <w:tab/>
        <w:t>Interfering etc. with ALC or approved seal</w:t>
      </w:r>
      <w:bookmarkEnd w:id="198"/>
      <w:bookmarkEnd w:id="199"/>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200" w:name="_Toc404246160"/>
      <w:bookmarkStart w:id="201" w:name="_Toc402879017"/>
      <w:r>
        <w:rPr>
          <w:rStyle w:val="CharDivNo"/>
        </w:rPr>
        <w:t>Division 7B</w:t>
      </w:r>
      <w:r>
        <w:t> — </w:t>
      </w:r>
      <w:r>
        <w:rPr>
          <w:rStyle w:val="CharDivText"/>
        </w:rPr>
        <w:t>Requirements relating to bait bands</w:t>
      </w:r>
      <w:bookmarkEnd w:id="200"/>
      <w:bookmarkEnd w:id="201"/>
    </w:p>
    <w:p>
      <w:pPr>
        <w:pStyle w:val="Footnoteheading"/>
        <w:keepNext/>
        <w:keepLines/>
        <w:spacing w:before="100"/>
      </w:pPr>
      <w:r>
        <w:tab/>
        <w:t>[Heading inserted in Gazette 2 Nov 2011 p. 4622.]</w:t>
      </w:r>
    </w:p>
    <w:p>
      <w:pPr>
        <w:pStyle w:val="Heading5"/>
        <w:spacing w:before="200"/>
      </w:pPr>
      <w:bookmarkStart w:id="202" w:name="_Toc404246161"/>
      <w:bookmarkStart w:id="203" w:name="_Toc402879018"/>
      <w:r>
        <w:rPr>
          <w:rStyle w:val="CharSectno"/>
        </w:rPr>
        <w:t>55E</w:t>
      </w:r>
      <w:r>
        <w:t>.</w:t>
      </w:r>
      <w:r>
        <w:tab/>
        <w:t>Terms used</w:t>
      </w:r>
      <w:bookmarkEnd w:id="202"/>
      <w:bookmarkEnd w:id="203"/>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spacing w:before="280"/>
      </w:pPr>
      <w:bookmarkStart w:id="204" w:name="_Toc404246162"/>
      <w:bookmarkStart w:id="205" w:name="_Toc402879019"/>
      <w:r>
        <w:rPr>
          <w:rStyle w:val="CharSectno"/>
        </w:rPr>
        <w:t>55F</w:t>
      </w:r>
      <w:r>
        <w:t>.</w:t>
      </w:r>
      <w:r>
        <w:tab/>
        <w:t>Bait bands on boats prohibited</w:t>
      </w:r>
      <w:bookmarkEnd w:id="204"/>
      <w:bookmarkEnd w:id="205"/>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in Gazette 2 Nov 2011 p. 4623.]</w:t>
      </w:r>
    </w:p>
    <w:p>
      <w:pPr>
        <w:pStyle w:val="Heading3"/>
      </w:pPr>
      <w:bookmarkStart w:id="206" w:name="_Toc404246163"/>
      <w:bookmarkStart w:id="207" w:name="_Toc402879020"/>
      <w:r>
        <w:rPr>
          <w:rStyle w:val="CharDivNo"/>
        </w:rPr>
        <w:t>Division 7C</w:t>
      </w:r>
      <w:r>
        <w:t> — </w:t>
      </w:r>
      <w:r>
        <w:rPr>
          <w:rStyle w:val="CharDivText"/>
        </w:rPr>
        <w:t>Requirements relating to aquatic eco</w:t>
      </w:r>
      <w:r>
        <w:rPr>
          <w:rStyle w:val="CharDivText"/>
        </w:rPr>
        <w:noBreakHyphen/>
        <w:t>tourism</w:t>
      </w:r>
      <w:bookmarkEnd w:id="206"/>
      <w:bookmarkEnd w:id="207"/>
    </w:p>
    <w:p>
      <w:pPr>
        <w:pStyle w:val="Footnoteheading"/>
        <w:keepNext/>
      </w:pPr>
      <w:r>
        <w:tab/>
        <w:t>[Heading inserted in Gazette 30 May 2014 p. 1733.]</w:t>
      </w:r>
    </w:p>
    <w:p>
      <w:pPr>
        <w:pStyle w:val="Heading5"/>
      </w:pPr>
      <w:bookmarkStart w:id="208" w:name="_Toc404246164"/>
      <w:bookmarkStart w:id="209" w:name="_Toc402879021"/>
      <w:r>
        <w:rPr>
          <w:rStyle w:val="CharSectno"/>
        </w:rPr>
        <w:t>55G</w:t>
      </w:r>
      <w:r>
        <w:t>.</w:t>
      </w:r>
      <w:r>
        <w:tab/>
        <w:t>Activities and fish prohibited on aquatic eco</w:t>
      </w:r>
      <w:r>
        <w:noBreakHyphen/>
        <w:t>tour</w:t>
      </w:r>
      <w:bookmarkEnd w:id="208"/>
      <w:bookmarkEnd w:id="209"/>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in Gazette 30 May 2014 p. 1733.]</w:t>
      </w:r>
    </w:p>
    <w:p>
      <w:pPr>
        <w:pStyle w:val="Heading5"/>
      </w:pPr>
      <w:bookmarkStart w:id="210" w:name="_Toc404246165"/>
      <w:bookmarkStart w:id="211" w:name="_Toc402879022"/>
      <w:r>
        <w:rPr>
          <w:rStyle w:val="CharSectno"/>
        </w:rPr>
        <w:t>55H</w:t>
      </w:r>
      <w:r>
        <w:t>.</w:t>
      </w:r>
      <w:r>
        <w:tab/>
        <w:t>Shark tourism activities prohibited on aquatic eco</w:t>
      </w:r>
      <w:r>
        <w:noBreakHyphen/>
        <w:t>tour</w:t>
      </w:r>
      <w:bookmarkEnd w:id="210"/>
      <w:bookmarkEnd w:id="211"/>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in Gazette 30 May 2014 p. 1734.]</w:t>
      </w:r>
    </w:p>
    <w:p>
      <w:pPr>
        <w:pStyle w:val="Heading5"/>
      </w:pPr>
      <w:bookmarkStart w:id="212" w:name="_Toc404246166"/>
      <w:bookmarkStart w:id="213" w:name="_Toc402879023"/>
      <w:r>
        <w:rPr>
          <w:rStyle w:val="CharSectno"/>
        </w:rPr>
        <w:t>55I</w:t>
      </w:r>
      <w:r>
        <w:t>.</w:t>
      </w:r>
      <w:r>
        <w:tab/>
        <w:t>Boat not to be used for both commercial fishing and aquatic eco</w:t>
      </w:r>
      <w:r>
        <w:noBreakHyphen/>
        <w:t>tour during single trip</w:t>
      </w:r>
      <w:bookmarkEnd w:id="212"/>
      <w:bookmarkEnd w:id="213"/>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in Gazette 30 May 2014 p. 1734.]</w:t>
      </w:r>
    </w:p>
    <w:p>
      <w:pPr>
        <w:pStyle w:val="Ednotedivision"/>
      </w:pPr>
      <w:r>
        <w:t>[</w:t>
      </w:r>
      <w:r>
        <w:rPr>
          <w:b/>
        </w:rPr>
        <w:t>55J</w:t>
      </w:r>
      <w:r>
        <w:rPr>
          <w:b/>
        </w:rPr>
        <w:noBreakHyphen/>
        <w:t>55L.</w:t>
      </w:r>
      <w:r>
        <w:rPr>
          <w:b/>
        </w:rPr>
        <w:tab/>
      </w:r>
      <w:r>
        <w:t>Deleted in Gazette 1 Oct 2003 p. 4303.]</w:t>
      </w:r>
    </w:p>
    <w:p>
      <w:pPr>
        <w:pStyle w:val="Heading3"/>
        <w:spacing w:before="220"/>
      </w:pPr>
      <w:bookmarkStart w:id="214" w:name="_Toc404246167"/>
      <w:bookmarkStart w:id="215" w:name="_Toc402879024"/>
      <w:r>
        <w:rPr>
          <w:rStyle w:val="CharDivNo"/>
        </w:rPr>
        <w:t>Division 8</w:t>
      </w:r>
      <w:r>
        <w:rPr>
          <w:snapToGrid w:val="0"/>
        </w:rPr>
        <w:t> — </w:t>
      </w:r>
      <w:r>
        <w:rPr>
          <w:rStyle w:val="CharDivText"/>
        </w:rPr>
        <w:t>Miscellaneous requirements</w:t>
      </w:r>
      <w:bookmarkEnd w:id="214"/>
      <w:bookmarkEnd w:id="215"/>
    </w:p>
    <w:p>
      <w:pPr>
        <w:pStyle w:val="Heading5"/>
        <w:spacing w:before="200"/>
        <w:rPr>
          <w:snapToGrid w:val="0"/>
        </w:rPr>
      </w:pPr>
      <w:bookmarkStart w:id="216" w:name="_Toc404246168"/>
      <w:bookmarkStart w:id="217" w:name="_Toc402879025"/>
      <w:r>
        <w:rPr>
          <w:rStyle w:val="CharSectno"/>
        </w:rPr>
        <w:t>56</w:t>
      </w:r>
      <w:r>
        <w:rPr>
          <w:snapToGrid w:val="0"/>
        </w:rPr>
        <w:t>.</w:t>
      </w:r>
      <w:r>
        <w:rPr>
          <w:snapToGrid w:val="0"/>
        </w:rPr>
        <w:tab/>
        <w:t>Documents to be carried on licensed fishing boat</w:t>
      </w:r>
      <w:bookmarkEnd w:id="216"/>
      <w:bookmarkEnd w:id="217"/>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18" w:name="_Toc404246169"/>
      <w:bookmarkStart w:id="219" w:name="_Toc402879026"/>
      <w:r>
        <w:rPr>
          <w:rStyle w:val="CharSectno"/>
        </w:rPr>
        <w:t>56A</w:t>
      </w:r>
      <w:r>
        <w:t>.</w:t>
      </w:r>
      <w:r>
        <w:tab/>
        <w:t>Fish hooks attached to rock lobster pots, float lines, moorings etc. not to be used to fish</w:t>
      </w:r>
      <w:bookmarkEnd w:id="218"/>
      <w:bookmarkEnd w:id="219"/>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Ednotesection"/>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220" w:name="_Toc404246170"/>
      <w:bookmarkStart w:id="221" w:name="_Toc402879027"/>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220"/>
      <w:bookmarkEnd w:id="221"/>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22" w:name="_Toc404246171"/>
      <w:bookmarkStart w:id="223" w:name="_Toc402879028"/>
      <w:r>
        <w:rPr>
          <w:rStyle w:val="CharSectno"/>
        </w:rPr>
        <w:t>60</w:t>
      </w:r>
      <w:r>
        <w:rPr>
          <w:snapToGrid w:val="0"/>
        </w:rPr>
        <w:t>.</w:t>
      </w:r>
      <w:r>
        <w:rPr>
          <w:snapToGrid w:val="0"/>
        </w:rPr>
        <w:tab/>
        <w:t>Rock lobsters, maximum size of packages etc. of</w:t>
      </w:r>
      <w:bookmarkEnd w:id="222"/>
      <w:bookmarkEnd w:id="223"/>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24" w:name="_Toc404246172"/>
      <w:bookmarkStart w:id="225" w:name="_Toc402879029"/>
      <w:r>
        <w:rPr>
          <w:rStyle w:val="CharSectno"/>
        </w:rPr>
        <w:t>61</w:t>
      </w:r>
      <w:r>
        <w:rPr>
          <w:snapToGrid w:val="0"/>
        </w:rPr>
        <w:t>.</w:t>
      </w:r>
      <w:r>
        <w:rPr>
          <w:snapToGrid w:val="0"/>
        </w:rPr>
        <w:tab/>
        <w:t>Fish for sale etc., labelling requirements for</w:t>
      </w:r>
      <w:bookmarkEnd w:id="224"/>
      <w:bookmarkEnd w:id="225"/>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t xml:space="preserve">The label referred to in subregulation (2) must </w:t>
      </w:r>
      <w: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26" w:name="_Toc404246173"/>
      <w:bookmarkStart w:id="227" w:name="_Toc402879030"/>
      <w:r>
        <w:rPr>
          <w:rStyle w:val="CharSectno"/>
        </w:rPr>
        <w:t>62</w:t>
      </w:r>
      <w:r>
        <w:rPr>
          <w:snapToGrid w:val="0"/>
        </w:rPr>
        <w:t>.</w:t>
      </w:r>
      <w:r>
        <w:rPr>
          <w:snapToGrid w:val="0"/>
        </w:rPr>
        <w:tab/>
        <w:t>Refuse etc. not to be deposited in waters etc. where fish are</w:t>
      </w:r>
      <w:bookmarkEnd w:id="226"/>
      <w:bookmarkEnd w:id="227"/>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228" w:name="_Toc404246174"/>
      <w:bookmarkStart w:id="229" w:name="_Toc402879031"/>
      <w:r>
        <w:rPr>
          <w:rStyle w:val="CharSectno"/>
        </w:rPr>
        <w:t>63A</w:t>
      </w:r>
      <w:r>
        <w:t>.</w:t>
      </w:r>
      <w:r>
        <w:tab/>
        <w:t>Use of berley containing mammal or bird products</w:t>
      </w:r>
      <w:bookmarkEnd w:id="228"/>
      <w:bookmarkEnd w:id="229"/>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230" w:name="_Toc404246175"/>
      <w:bookmarkStart w:id="231" w:name="_Toc402879032"/>
      <w:r>
        <w:rPr>
          <w:rStyle w:val="CharSectno"/>
        </w:rPr>
        <w:t>63</w:t>
      </w:r>
      <w:r>
        <w:rPr>
          <w:snapToGrid w:val="0"/>
        </w:rPr>
        <w:t>.</w:t>
      </w:r>
      <w:r>
        <w:rPr>
          <w:snapToGrid w:val="0"/>
        </w:rPr>
        <w:tab/>
        <w:t>Fishing gear prohibited from use in waters, possession of</w:t>
      </w:r>
      <w:bookmarkEnd w:id="230"/>
      <w:bookmarkEnd w:id="231"/>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32" w:name="_Toc404246176"/>
      <w:bookmarkStart w:id="233" w:name="_Toc402879033"/>
      <w:r>
        <w:rPr>
          <w:rStyle w:val="CharSectno"/>
        </w:rPr>
        <w:t>64</w:t>
      </w:r>
      <w:r>
        <w:rPr>
          <w:snapToGrid w:val="0"/>
        </w:rPr>
        <w:t>.</w:t>
      </w:r>
      <w:r>
        <w:rPr>
          <w:snapToGrid w:val="0"/>
        </w:rPr>
        <w:tab/>
        <w:t>Commercial fishers etc., duties of as to records and returns</w:t>
      </w:r>
      <w:bookmarkEnd w:id="232"/>
      <w:bookmarkEnd w:id="233"/>
    </w:p>
    <w:p>
      <w:pPr>
        <w:pStyle w:val="Subsection"/>
      </w:pPr>
      <w:r>
        <w:tab/>
        <w:t>(1A)</w:t>
      </w:r>
      <w:r>
        <w:tab/>
        <w:t xml:space="preserve">In this regulation — </w:t>
      </w:r>
    </w:p>
    <w:p>
      <w:pPr>
        <w:pStyle w:val="Defstart"/>
      </w:pPr>
      <w:r>
        <w:tab/>
      </w:r>
      <w:r>
        <w:rPr>
          <w:rStyle w:val="CharDefText"/>
        </w:rPr>
        <w:t>person engaged for a commercial purpose in an activity</w:t>
      </w:r>
      <w:r>
        <w:t xml:space="preserve"> means — </w:t>
      </w:r>
    </w:p>
    <w:p>
      <w:pPr>
        <w:pStyle w:val="Defpara"/>
      </w:pPr>
      <w:r>
        <w:tab/>
        <w:t>(a)</w:t>
      </w:r>
      <w:r>
        <w:tab/>
        <w:t>in the case of an activity referred to in subregulation</w:t>
      </w:r>
      <w:del w:id="234" w:author="Master Repository Process" w:date="2021-08-28T12:00:00Z">
        <w:r>
          <w:delText xml:space="preserve"> </w:delText>
        </w:r>
      </w:del>
      <w:ins w:id="235" w:author="Master Repository Process" w:date="2021-08-28T12:00:00Z">
        <w:r>
          <w:t> </w:t>
        </w:r>
      </w:ins>
      <w:r>
        <w:t>(2)(a), (b) or (c) that is carried out using a boat which has a master, the master of the boat; or</w:t>
      </w:r>
    </w:p>
    <w:p>
      <w:pPr>
        <w:pStyle w:val="Defpara"/>
      </w:pPr>
      <w:r>
        <w:tab/>
        <w:t>(b)</w:t>
      </w:r>
      <w:r>
        <w:tab/>
        <w:t>in any other case, the holder of the authorisation under which the activity is carried out;</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w:t>
      </w:r>
    </w:p>
    <w:p>
      <w:pPr>
        <w:pStyle w:val="Heading5"/>
      </w:pPr>
      <w:bookmarkStart w:id="236" w:name="_Toc404246177"/>
      <w:bookmarkStart w:id="237" w:name="_Toc402879034"/>
      <w:r>
        <w:rPr>
          <w:rStyle w:val="CharSectno"/>
        </w:rPr>
        <w:t>64AA</w:t>
      </w:r>
      <w:r>
        <w:t>.</w:t>
      </w:r>
      <w:r>
        <w:tab/>
        <w:t>No fish taken for recreational purpose to be at certain premises</w:t>
      </w:r>
      <w:bookmarkEnd w:id="236"/>
      <w:bookmarkEnd w:id="237"/>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238" w:name="_Toc404246178"/>
      <w:bookmarkStart w:id="239" w:name="_Toc402879035"/>
      <w:r>
        <w:rPr>
          <w:rStyle w:val="CharPartNo"/>
        </w:rPr>
        <w:t>Part 4A</w:t>
      </w:r>
      <w:r>
        <w:rPr>
          <w:b w:val="0"/>
        </w:rPr>
        <w:t> </w:t>
      </w:r>
      <w:r>
        <w:t>—</w:t>
      </w:r>
      <w:r>
        <w:rPr>
          <w:b w:val="0"/>
        </w:rPr>
        <w:t> </w:t>
      </w:r>
      <w:r>
        <w:rPr>
          <w:rStyle w:val="CharPartText"/>
        </w:rPr>
        <w:t>Requirements regarding fishing gear</w:t>
      </w:r>
      <w:bookmarkEnd w:id="238"/>
      <w:bookmarkEnd w:id="239"/>
    </w:p>
    <w:p>
      <w:pPr>
        <w:pStyle w:val="Footnoteheading"/>
        <w:tabs>
          <w:tab w:val="left" w:pos="851"/>
        </w:tabs>
      </w:pPr>
      <w:r>
        <w:tab/>
        <w:t>[Heading inserted in Gazette 1 Oct 2003 p. 4304.]</w:t>
      </w:r>
    </w:p>
    <w:p>
      <w:pPr>
        <w:pStyle w:val="Heading3"/>
      </w:pPr>
      <w:bookmarkStart w:id="240" w:name="_Toc404246179"/>
      <w:bookmarkStart w:id="241" w:name="_Toc402879036"/>
      <w:r>
        <w:rPr>
          <w:rStyle w:val="CharDivNo"/>
        </w:rPr>
        <w:t>Division 1</w:t>
      </w:r>
      <w:r>
        <w:t> — </w:t>
      </w:r>
      <w:r>
        <w:rPr>
          <w:rStyle w:val="CharDivText"/>
        </w:rPr>
        <w:t>Preliminary</w:t>
      </w:r>
      <w:bookmarkEnd w:id="240"/>
      <w:bookmarkEnd w:id="241"/>
    </w:p>
    <w:p>
      <w:pPr>
        <w:pStyle w:val="Footnoteheading"/>
        <w:tabs>
          <w:tab w:val="left" w:pos="851"/>
        </w:tabs>
      </w:pPr>
      <w:r>
        <w:tab/>
        <w:t>[Heading inserted in Gazette 1 Oct 2003 p. 4304.]</w:t>
      </w:r>
    </w:p>
    <w:p>
      <w:pPr>
        <w:pStyle w:val="Heading5"/>
      </w:pPr>
      <w:bookmarkStart w:id="242" w:name="_Toc404246180"/>
      <w:bookmarkStart w:id="243" w:name="_Toc402879037"/>
      <w:r>
        <w:rPr>
          <w:rStyle w:val="CharSectno"/>
        </w:rPr>
        <w:t>64A</w:t>
      </w:r>
      <w:r>
        <w:t>.</w:t>
      </w:r>
      <w:r>
        <w:tab/>
        <w:t>Order of precedence of Div. 2, 3 and 4</w:t>
      </w:r>
      <w:bookmarkEnd w:id="242"/>
      <w:bookmarkEnd w:id="243"/>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44" w:name="_Toc404246181"/>
      <w:bookmarkStart w:id="245" w:name="_Toc402879038"/>
      <w:r>
        <w:rPr>
          <w:rStyle w:val="CharSectno"/>
        </w:rPr>
        <w:t>64B</w:t>
      </w:r>
      <w:r>
        <w:t>.</w:t>
      </w:r>
      <w:r>
        <w:tab/>
        <w:t>Term used: attend</w:t>
      </w:r>
      <w:bookmarkEnd w:id="244"/>
      <w:bookmarkEnd w:id="245"/>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246" w:name="_Toc404246182"/>
      <w:bookmarkStart w:id="247" w:name="_Toc402879039"/>
      <w:r>
        <w:rPr>
          <w:rStyle w:val="CharDivNo"/>
        </w:rPr>
        <w:t>Division 2</w:t>
      </w:r>
      <w:r>
        <w:t> — </w:t>
      </w:r>
      <w:r>
        <w:rPr>
          <w:rStyle w:val="CharDivText"/>
        </w:rPr>
        <w:t>Statewide requirements regarding fishing gear</w:t>
      </w:r>
      <w:bookmarkEnd w:id="246"/>
      <w:bookmarkEnd w:id="247"/>
    </w:p>
    <w:p>
      <w:pPr>
        <w:pStyle w:val="Footnoteheading"/>
        <w:tabs>
          <w:tab w:val="left" w:pos="851"/>
        </w:tabs>
      </w:pPr>
      <w:r>
        <w:tab/>
        <w:t>[Heading inserted in Gazette 1 Oct 2003 p. 4304.]</w:t>
      </w:r>
    </w:p>
    <w:p>
      <w:pPr>
        <w:pStyle w:val="Heading5"/>
      </w:pPr>
      <w:bookmarkStart w:id="248" w:name="_Toc404246183"/>
      <w:bookmarkStart w:id="249" w:name="_Toc402879040"/>
      <w:r>
        <w:rPr>
          <w:rStyle w:val="CharSectno"/>
        </w:rPr>
        <w:t>64CA</w:t>
      </w:r>
      <w:r>
        <w:t>.</w:t>
      </w:r>
      <w:r>
        <w:tab/>
        <w:t>Prohibited fishing methods</w:t>
      </w:r>
      <w:bookmarkEnd w:id="248"/>
      <w:bookmarkEnd w:id="249"/>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250" w:name="_Toc404246184"/>
      <w:bookmarkStart w:id="251" w:name="_Toc402879041"/>
      <w:r>
        <w:rPr>
          <w:rStyle w:val="CharSectno"/>
        </w:rPr>
        <w:t>64C</w:t>
      </w:r>
      <w:r>
        <w:t>.</w:t>
      </w:r>
      <w:r>
        <w:tab/>
        <w:t>Fishing lines in use for recreational fishing must be attended</w:t>
      </w:r>
      <w:bookmarkEnd w:id="250"/>
      <w:bookmarkEnd w:id="251"/>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252" w:name="_Toc404246185"/>
      <w:bookmarkStart w:id="253" w:name="_Toc402879042"/>
      <w:r>
        <w:rPr>
          <w:rStyle w:val="CharSectno"/>
        </w:rPr>
        <w:t>64D</w:t>
      </w:r>
      <w:r>
        <w:t>.</w:t>
      </w:r>
      <w:r>
        <w:tab/>
        <w:t>Nets, determining length, depth and mesh of</w:t>
      </w:r>
      <w:bookmarkEnd w:id="252"/>
      <w:bookmarkEnd w:id="253"/>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54" w:name="_Toc404246186"/>
      <w:bookmarkStart w:id="255" w:name="_Toc402879043"/>
      <w:r>
        <w:rPr>
          <w:rStyle w:val="CharSectno"/>
        </w:rPr>
        <w:t>64DA</w:t>
      </w:r>
      <w:r>
        <w:t>.</w:t>
      </w:r>
      <w:r>
        <w:tab/>
        <w:t>Hauling nets for recreational fishing, use of</w:t>
      </w:r>
      <w:bookmarkEnd w:id="254"/>
      <w:bookmarkEnd w:id="255"/>
      <w:r>
        <w:t xml:space="preserve"> </w:t>
      </w:r>
    </w:p>
    <w:p>
      <w:pPr>
        <w:pStyle w:val="Subsection"/>
        <w:spacing w:before="150"/>
      </w:pPr>
      <w:r>
        <w:tab/>
        <w:t>(1)</w:t>
      </w:r>
      <w:r>
        <w:tab/>
        <w:t>A person must not fish by using a fishing net that is a hauling net in any ocean waters outside 800 m of the low water mark of any part of the State or any island within WA waters.</w:t>
      </w:r>
    </w:p>
    <w:p>
      <w:pPr>
        <w:pStyle w:val="Subsection"/>
        <w:spacing w:before="150"/>
      </w:pPr>
      <w:r>
        <w:tab/>
        <w:t>(2)</w:t>
      </w:r>
      <w:r>
        <w:tab/>
        <w:t>Subregulation (1) does not apply to a person fishing for a commercial purpose in accordance with an authorisation.</w:t>
      </w:r>
    </w:p>
    <w:p>
      <w:pPr>
        <w:pStyle w:val="Penstart"/>
      </w:pPr>
      <w:r>
        <w:tab/>
        <w:t>Penalty: $2 000.</w:t>
      </w:r>
    </w:p>
    <w:p>
      <w:pPr>
        <w:pStyle w:val="Footnotesection"/>
        <w:spacing w:before="100"/>
      </w:pPr>
      <w:r>
        <w:tab/>
        <w:t>[Regulation 64DA inserted in Gazette 22 Dec 2005 p. 6222.]</w:t>
      </w:r>
    </w:p>
    <w:p>
      <w:pPr>
        <w:pStyle w:val="Heading5"/>
      </w:pPr>
      <w:bookmarkStart w:id="256" w:name="_Toc404246187"/>
      <w:bookmarkStart w:id="257" w:name="_Toc402879044"/>
      <w:r>
        <w:rPr>
          <w:rStyle w:val="CharSectno"/>
        </w:rPr>
        <w:t>64E</w:t>
      </w:r>
      <w:r>
        <w:t>.</w:t>
      </w:r>
      <w:r>
        <w:tab/>
        <w:t>Lines etc. used for recreational fishing, limit on number of</w:t>
      </w:r>
      <w:bookmarkEnd w:id="256"/>
      <w:bookmarkEnd w:id="257"/>
    </w:p>
    <w:p>
      <w:pPr>
        <w:pStyle w:val="Subsection"/>
        <w:spacing w:before="15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50"/>
      </w:pPr>
      <w:r>
        <w:tab/>
        <w:t>(2)</w:t>
      </w:r>
      <w:r>
        <w:tab/>
        <w:t>Subregulation (1) does not apply to —</w:t>
      </w:r>
    </w:p>
    <w:p>
      <w:pPr>
        <w:pStyle w:val="Indenta"/>
        <w:spacing w:before="60"/>
      </w:pPr>
      <w:r>
        <w:tab/>
        <w:t>(a)</w:t>
      </w:r>
      <w:r>
        <w:tab/>
        <w:t>the holder of a commercial fishing licence; or</w:t>
      </w:r>
    </w:p>
    <w:p>
      <w:pPr>
        <w:pStyle w:val="Indenta"/>
        <w:spacing w:before="60"/>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spacing w:before="100"/>
      </w:pPr>
      <w:r>
        <w:tab/>
        <w:t>[Regulation 64E inserted in Gazette 1 Oct 2003 p. 4305</w:t>
      </w:r>
      <w:r>
        <w:noBreakHyphen/>
        <w:t>6; amended in Gazette 27 Aug 2013 p. 4056.]</w:t>
      </w:r>
    </w:p>
    <w:p>
      <w:pPr>
        <w:pStyle w:val="Heading5"/>
      </w:pPr>
      <w:bookmarkStart w:id="258" w:name="_Toc404246188"/>
      <w:bookmarkStart w:id="259" w:name="_Toc402879045"/>
      <w:r>
        <w:rPr>
          <w:rStyle w:val="CharSectno"/>
        </w:rPr>
        <w:t>64F</w:t>
      </w:r>
      <w:r>
        <w:t>.</w:t>
      </w:r>
      <w:r>
        <w:tab/>
        <w:t>Fishing nets, general requirements for</w:t>
      </w:r>
      <w:bookmarkEnd w:id="258"/>
      <w:bookmarkEnd w:id="259"/>
    </w:p>
    <w:p>
      <w:pPr>
        <w:pStyle w:val="Subsection"/>
      </w:pPr>
      <w:r>
        <w:tab/>
        <w:t>(1)</w:t>
      </w:r>
      <w:r>
        <w:tab/>
        <w:t>A person must not fish by means of using a fishing net, unless the person uses only one net at any one time and —</w:t>
      </w:r>
    </w:p>
    <w:p>
      <w:pPr>
        <w:pStyle w:val="Indenta"/>
        <w:spacing w:before="60"/>
      </w:pPr>
      <w:r>
        <w:tab/>
        <w:t>(a)</w:t>
      </w:r>
      <w:r>
        <w:tab/>
        <w:t>where the net is a throw net, it —</w:t>
      </w:r>
    </w:p>
    <w:p>
      <w:pPr>
        <w:pStyle w:val="Indenti"/>
        <w:spacing w:before="60"/>
      </w:pPr>
      <w:r>
        <w:tab/>
        <w:t>(i)</w:t>
      </w:r>
      <w:r>
        <w:tab/>
        <w:t>has a length not exceeding 3 m measured from the centre retrieval line to the lead line; and</w:t>
      </w:r>
    </w:p>
    <w:p>
      <w:pPr>
        <w:pStyle w:val="Indenti"/>
        <w:spacing w:before="60"/>
      </w:pPr>
      <w:r>
        <w:tab/>
        <w:t>(ii)</w:t>
      </w:r>
      <w:r>
        <w:tab/>
        <w:t>has a mesh of not more than 25 mm;</w:t>
      </w:r>
    </w:p>
    <w:p>
      <w:pPr>
        <w:pStyle w:val="Indenta"/>
        <w:spacing w:before="60"/>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pPr>
      <w:bookmarkStart w:id="260" w:name="_Toc404246189"/>
      <w:bookmarkStart w:id="261" w:name="_Toc402879046"/>
      <w:r>
        <w:rPr>
          <w:rStyle w:val="CharSectno"/>
        </w:rPr>
        <w:t>64G</w:t>
      </w:r>
      <w:r>
        <w:t>.</w:t>
      </w:r>
      <w:r>
        <w:tab/>
        <w:t>Fishing nets, minimum distance between when set</w:t>
      </w:r>
      <w:bookmarkEnd w:id="260"/>
      <w:bookmarkEnd w:id="261"/>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pPr>
      <w:bookmarkStart w:id="262" w:name="_Toc404246190"/>
      <w:bookmarkStart w:id="263" w:name="_Toc402879047"/>
      <w:r>
        <w:rPr>
          <w:rStyle w:val="CharSectno"/>
        </w:rPr>
        <w:t>64H</w:t>
      </w:r>
      <w:r>
        <w:t>.</w:t>
      </w:r>
      <w:r>
        <w:tab/>
        <w:t>Fishing nets to be drawn so as to protect protected fish</w:t>
      </w:r>
      <w:bookmarkEnd w:id="262"/>
      <w:bookmarkEnd w:id="263"/>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264" w:name="_Toc404246191"/>
      <w:bookmarkStart w:id="265" w:name="_Toc402879048"/>
      <w:r>
        <w:rPr>
          <w:rStyle w:val="CharSectno"/>
        </w:rPr>
        <w:t>64I</w:t>
      </w:r>
      <w:r>
        <w:t>.</w:t>
      </w:r>
      <w:r>
        <w:tab/>
        <w:t>Net fishing by commercial fishers in same area, priority rights between</w:t>
      </w:r>
      <w:bookmarkEnd w:id="264"/>
      <w:bookmarkEnd w:id="265"/>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pPr>
      <w:r>
        <w:tab/>
        <w:t>(5)</w:t>
      </w:r>
      <w:r>
        <w:tab/>
        <w:t>While a person is having a turn under this regulation, another person must not —</w:t>
      </w:r>
    </w:p>
    <w:p>
      <w:pPr>
        <w:pStyle w:val="Indenta"/>
        <w:spacing w:before="7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266" w:name="_Toc404246192"/>
      <w:bookmarkStart w:id="267" w:name="_Toc402879049"/>
      <w:r>
        <w:rPr>
          <w:rStyle w:val="CharSectno"/>
        </w:rPr>
        <w:t>64J</w:t>
      </w:r>
      <w:r>
        <w:t>.</w:t>
      </w:r>
      <w:r>
        <w:tab/>
        <w:t>Fishing nets for recreational fishing, use of</w:t>
      </w:r>
      <w:bookmarkEnd w:id="266"/>
      <w:bookmarkEnd w:id="267"/>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 amended in Gazette 30 May 2014 p. 1717.]</w:t>
      </w:r>
    </w:p>
    <w:p>
      <w:pPr>
        <w:pStyle w:val="Heading5"/>
      </w:pPr>
      <w:bookmarkStart w:id="268" w:name="_Toc404246193"/>
      <w:bookmarkStart w:id="269" w:name="_Toc402879050"/>
      <w:r>
        <w:rPr>
          <w:rStyle w:val="CharSectno"/>
        </w:rPr>
        <w:t>64K</w:t>
      </w:r>
      <w:r>
        <w:t>.</w:t>
      </w:r>
      <w:r>
        <w:tab/>
        <w:t>Hauling nets not to be used for recreational fishing in estuaries etc.</w:t>
      </w:r>
      <w:bookmarkEnd w:id="268"/>
      <w:bookmarkEnd w:id="269"/>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w:t>
      </w:r>
      <w:r>
        <w:noBreakHyphen/>
        <w:t>12.]</w:t>
      </w:r>
    </w:p>
    <w:p>
      <w:pPr>
        <w:pStyle w:val="Heading5"/>
      </w:pPr>
      <w:bookmarkStart w:id="270" w:name="_Toc404246194"/>
      <w:bookmarkStart w:id="271" w:name="_Toc402879051"/>
      <w:r>
        <w:rPr>
          <w:rStyle w:val="CharSectno"/>
        </w:rPr>
        <w:t>64L</w:t>
      </w:r>
      <w:r>
        <w:t>.</w:t>
      </w:r>
      <w:r>
        <w:tab/>
        <w:t>Crabs, permitted ways to fish for by recreational fishers</w:t>
      </w:r>
      <w:bookmarkEnd w:id="270"/>
      <w:bookmarkEnd w:id="271"/>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272" w:name="_Toc404246195"/>
      <w:bookmarkStart w:id="273" w:name="_Toc402879052"/>
      <w:r>
        <w:rPr>
          <w:rStyle w:val="CharDivNo"/>
        </w:rPr>
        <w:t>Division 3</w:t>
      </w:r>
      <w:r>
        <w:t> — </w:t>
      </w:r>
      <w:r>
        <w:rPr>
          <w:rStyle w:val="CharDivText"/>
        </w:rPr>
        <w:t>Requirements regarding fishing gear in the West Coast Region</w:t>
      </w:r>
      <w:bookmarkEnd w:id="272"/>
      <w:bookmarkEnd w:id="273"/>
    </w:p>
    <w:p>
      <w:pPr>
        <w:pStyle w:val="Footnoteheading"/>
        <w:keepNext/>
        <w:keepLines/>
        <w:tabs>
          <w:tab w:val="left" w:pos="851"/>
        </w:tabs>
        <w:spacing w:before="80"/>
      </w:pPr>
      <w:r>
        <w:tab/>
        <w:t>[Heading inserted in Gazette 1 Oct 2003 p. 4313.]</w:t>
      </w:r>
    </w:p>
    <w:p>
      <w:pPr>
        <w:pStyle w:val="Heading5"/>
      </w:pPr>
      <w:bookmarkStart w:id="274" w:name="_Toc404246196"/>
      <w:bookmarkStart w:id="275" w:name="_Toc402879053"/>
      <w:r>
        <w:rPr>
          <w:rStyle w:val="CharSectno"/>
        </w:rPr>
        <w:t>64M</w:t>
      </w:r>
      <w:r>
        <w:t>.</w:t>
      </w:r>
      <w:r>
        <w:tab/>
        <w:t>Term used: attend</w:t>
      </w:r>
      <w:bookmarkEnd w:id="274"/>
      <w:bookmarkEnd w:id="275"/>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76" w:name="_Toc404246197"/>
      <w:bookmarkStart w:id="277" w:name="_Toc402879054"/>
      <w:r>
        <w:rPr>
          <w:rStyle w:val="CharSectno"/>
        </w:rPr>
        <w:t>64N</w:t>
      </w:r>
      <w:r>
        <w:t>.</w:t>
      </w:r>
      <w:r>
        <w:tab/>
        <w:t>Application of this Division</w:t>
      </w:r>
      <w:bookmarkEnd w:id="276"/>
      <w:bookmarkEnd w:id="277"/>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78" w:name="_Toc404246198"/>
      <w:bookmarkStart w:id="279" w:name="_Toc402879055"/>
      <w:r>
        <w:rPr>
          <w:rStyle w:val="CharSectno"/>
        </w:rPr>
        <w:t>64NA</w:t>
      </w:r>
      <w:r>
        <w:t>.</w:t>
      </w:r>
      <w:r>
        <w:tab/>
        <w:t>Prawn hand trawl nets not to be used in certain places</w:t>
      </w:r>
      <w:bookmarkEnd w:id="278"/>
      <w:bookmarkEnd w:id="279"/>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80" w:name="_Toc404246199"/>
      <w:bookmarkStart w:id="281" w:name="_Toc402879056"/>
      <w:r>
        <w:rPr>
          <w:rStyle w:val="CharSectno"/>
        </w:rPr>
        <w:t>64O</w:t>
      </w:r>
      <w:r>
        <w:t>.</w:t>
      </w:r>
      <w:r>
        <w:tab/>
        <w:t>Set fishing nets, use of</w:t>
      </w:r>
      <w:bookmarkEnd w:id="280"/>
      <w:bookmarkEnd w:id="281"/>
    </w:p>
    <w:p>
      <w:pPr>
        <w:pStyle w:val="Subsection"/>
        <w:spacing w:before="14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spacing w:before="140"/>
      </w:pPr>
      <w:r>
        <w:tab/>
        <w:t>(2)</w:t>
      </w:r>
      <w:r>
        <w:tab/>
        <w:t>A person who fishes using a set fishing net in the West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 and</w:t>
      </w:r>
    </w:p>
    <w:p>
      <w:pPr>
        <w:pStyle w:val="Indenta"/>
        <w:spacing w:before="60"/>
      </w:pPr>
      <w:r>
        <w:tab/>
        <w:t>(c)</w:t>
      </w:r>
      <w:r>
        <w:tab/>
        <w:t xml:space="preserve">not set the net — </w:t>
      </w:r>
    </w:p>
    <w:p>
      <w:pPr>
        <w:pStyle w:val="Indenti"/>
        <w:spacing w:before="60"/>
      </w:pPr>
      <w:r>
        <w:tab/>
        <w:t>(i)</w:t>
      </w:r>
      <w:r>
        <w:tab/>
        <w:t>in the waters referred to in subregulation (1)(a) — except within the period beginning at 4.30 p.m. and ending at midnight on any Wednesday; and</w:t>
      </w:r>
    </w:p>
    <w:p>
      <w:pPr>
        <w:pStyle w:val="Indenti"/>
        <w:spacing w:before="60"/>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in Gazette 1 Oct 2003 p. 4313; amended in Gazette 20 Dec 2011 p. 5375.]</w:t>
      </w:r>
    </w:p>
    <w:p>
      <w:pPr>
        <w:pStyle w:val="Heading5"/>
        <w:spacing w:before="200"/>
      </w:pPr>
      <w:bookmarkStart w:id="282" w:name="_Toc404246200"/>
      <w:bookmarkStart w:id="283" w:name="_Toc402879057"/>
      <w:r>
        <w:rPr>
          <w:rStyle w:val="CharSectno"/>
        </w:rPr>
        <w:t>64OAA</w:t>
      </w:r>
      <w:r>
        <w:t>.</w:t>
      </w:r>
      <w:r>
        <w:tab/>
        <w:t>Release weight to be on boat used to fish for demersal scalefish</w:t>
      </w:r>
      <w:bookmarkEnd w:id="282"/>
      <w:bookmarkEnd w:id="283"/>
    </w:p>
    <w:p>
      <w:pPr>
        <w:pStyle w:val="Subsection"/>
        <w:spacing w:before="140"/>
      </w:pPr>
      <w:r>
        <w:tab/>
        <w:t>(1)</w:t>
      </w:r>
      <w:r>
        <w:tab/>
        <w:t>In this regulation —</w:t>
      </w:r>
    </w:p>
    <w:p>
      <w:pPr>
        <w:pStyle w:val="Defstart"/>
        <w:spacing w:before="70"/>
      </w:pPr>
      <w:r>
        <w:tab/>
      </w:r>
      <w:r>
        <w:rPr>
          <w:rStyle w:val="CharDefText"/>
        </w:rPr>
        <w:t>demersal scalefish</w:t>
      </w:r>
      <w:r>
        <w:t xml:space="preserve"> has the meaning given in regulation 45(1);</w:t>
      </w:r>
    </w:p>
    <w:p>
      <w:pPr>
        <w:pStyle w:val="Defstart"/>
        <w:spacing w:before="70"/>
      </w:pPr>
      <w:r>
        <w:tab/>
      </w:r>
      <w:r>
        <w:rPr>
          <w:rStyle w:val="CharDefText"/>
        </w:rPr>
        <w:t>release weight</w:t>
      </w:r>
      <w:r>
        <w:t xml:space="preserve"> means a weight that —</w:t>
      </w:r>
    </w:p>
    <w:p>
      <w:pPr>
        <w:pStyle w:val="Defpara"/>
        <w:spacing w:before="60"/>
      </w:pPr>
      <w:r>
        <w:tab/>
        <w:t>(a)</w:t>
      </w:r>
      <w:r>
        <w:tab/>
        <w:t>for the purpose of returning to the seabed a live fish that has been taken, is able to be attached to the fish; and</w:t>
      </w:r>
    </w:p>
    <w:p>
      <w:pPr>
        <w:pStyle w:val="Defpara"/>
        <w:spacing w:before="60"/>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84" w:name="_Toc404246201"/>
      <w:bookmarkStart w:id="285" w:name="_Toc402879058"/>
      <w:r>
        <w:rPr>
          <w:rStyle w:val="CharDivNo"/>
        </w:rPr>
        <w:t>Division 3A</w:t>
      </w:r>
      <w:r>
        <w:t> — </w:t>
      </w:r>
      <w:r>
        <w:rPr>
          <w:rStyle w:val="CharDivText"/>
        </w:rPr>
        <w:t>Requirements regarding fishing gear in the Pilbara and Kimberley Region</w:t>
      </w:r>
      <w:bookmarkEnd w:id="284"/>
      <w:bookmarkEnd w:id="285"/>
    </w:p>
    <w:p>
      <w:pPr>
        <w:pStyle w:val="Footnoteheading"/>
      </w:pPr>
      <w:r>
        <w:tab/>
        <w:t>[Heading inserted in Gazette 22 Dec 2005 p. 6222.]</w:t>
      </w:r>
    </w:p>
    <w:p>
      <w:pPr>
        <w:pStyle w:val="Heading5"/>
        <w:spacing w:before="240"/>
      </w:pPr>
      <w:bookmarkStart w:id="286" w:name="_Toc404246202"/>
      <w:bookmarkStart w:id="287" w:name="_Toc402879059"/>
      <w:r>
        <w:rPr>
          <w:rStyle w:val="CharSectno"/>
        </w:rPr>
        <w:t>64OA</w:t>
      </w:r>
      <w:r>
        <w:t>.</w:t>
      </w:r>
      <w:r>
        <w:tab/>
        <w:t>Application of this Division</w:t>
      </w:r>
      <w:bookmarkEnd w:id="286"/>
      <w:bookmarkEnd w:id="287"/>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88" w:name="_Toc404246203"/>
      <w:bookmarkStart w:id="289" w:name="_Toc402879060"/>
      <w:r>
        <w:rPr>
          <w:rStyle w:val="CharSectno"/>
        </w:rPr>
        <w:t>64OB</w:t>
      </w:r>
      <w:r>
        <w:t>.</w:t>
      </w:r>
      <w:r>
        <w:tab/>
        <w:t>Haul and set nets, restrictions on use of</w:t>
      </w:r>
      <w:bookmarkEnd w:id="288"/>
      <w:bookmarkEnd w:id="289"/>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 22 Jun 2012 p. 2779.]</w:t>
      </w:r>
    </w:p>
    <w:p>
      <w:pPr>
        <w:pStyle w:val="Heading3"/>
      </w:pPr>
      <w:bookmarkStart w:id="290" w:name="_Toc404246204"/>
      <w:bookmarkStart w:id="291" w:name="_Toc402879061"/>
      <w:r>
        <w:rPr>
          <w:rStyle w:val="CharDivNo"/>
        </w:rPr>
        <w:t>Division 3B</w:t>
      </w:r>
      <w:r>
        <w:t> — </w:t>
      </w:r>
      <w:r>
        <w:rPr>
          <w:rStyle w:val="CharDivText"/>
        </w:rPr>
        <w:t>Requirements regarding fishing gear in the South Coast Region</w:t>
      </w:r>
      <w:bookmarkEnd w:id="290"/>
      <w:bookmarkEnd w:id="291"/>
    </w:p>
    <w:p>
      <w:pPr>
        <w:pStyle w:val="Footnoteheading"/>
      </w:pPr>
      <w:r>
        <w:tab/>
        <w:t>[Heading inserted in Gazette 22 Dec 2005 p. 6223.]</w:t>
      </w:r>
    </w:p>
    <w:p>
      <w:pPr>
        <w:pStyle w:val="Heading5"/>
      </w:pPr>
      <w:bookmarkStart w:id="292" w:name="_Toc404246205"/>
      <w:bookmarkStart w:id="293" w:name="_Toc402879062"/>
      <w:r>
        <w:rPr>
          <w:rStyle w:val="CharSectno"/>
        </w:rPr>
        <w:t>64OC</w:t>
      </w:r>
      <w:r>
        <w:t>.</w:t>
      </w:r>
      <w:r>
        <w:tab/>
        <w:t>Application of this Division</w:t>
      </w:r>
      <w:bookmarkEnd w:id="292"/>
      <w:bookmarkEnd w:id="293"/>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294" w:name="_Toc404246206"/>
      <w:bookmarkStart w:id="295" w:name="_Toc402879063"/>
      <w:r>
        <w:rPr>
          <w:rStyle w:val="CharSectno"/>
        </w:rPr>
        <w:t>64OD</w:t>
      </w:r>
      <w:r>
        <w:t>.</w:t>
      </w:r>
      <w:r>
        <w:tab/>
        <w:t>Set fishing nets, use of</w:t>
      </w:r>
      <w:bookmarkEnd w:id="294"/>
      <w:bookmarkEnd w:id="295"/>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96" w:name="_Toc404246207"/>
      <w:bookmarkStart w:id="297" w:name="_Toc402879064"/>
      <w:r>
        <w:rPr>
          <w:rStyle w:val="CharSectno"/>
        </w:rPr>
        <w:t>64OE</w:t>
      </w:r>
      <w:r>
        <w:t>.</w:t>
      </w:r>
      <w:r>
        <w:tab/>
        <w:t>Throw nets, use of</w:t>
      </w:r>
      <w:bookmarkEnd w:id="296"/>
      <w:bookmarkEnd w:id="297"/>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pPr>
      <w:r>
        <w:tab/>
        <w:t>[Regulation 64OE inserted in Gazette 22 Dec 2005 p. 6224</w:t>
      </w:r>
      <w:r>
        <w:noBreakHyphen/>
        <w:t>5.]</w:t>
      </w:r>
    </w:p>
    <w:p>
      <w:pPr>
        <w:pStyle w:val="Heading3"/>
        <w:keepLines/>
      </w:pPr>
      <w:bookmarkStart w:id="298" w:name="_Toc404246208"/>
      <w:bookmarkStart w:id="299" w:name="_Toc402879065"/>
      <w:r>
        <w:rPr>
          <w:rStyle w:val="CharDivNo"/>
        </w:rPr>
        <w:t>Division 4</w:t>
      </w:r>
      <w:r>
        <w:t> — </w:t>
      </w:r>
      <w:r>
        <w:rPr>
          <w:rStyle w:val="CharDivText"/>
        </w:rPr>
        <w:t>Requirements regarding fishing gear in certain other areas</w:t>
      </w:r>
      <w:bookmarkEnd w:id="298"/>
      <w:bookmarkEnd w:id="299"/>
    </w:p>
    <w:p>
      <w:pPr>
        <w:pStyle w:val="Footnoteheading"/>
        <w:keepNext/>
        <w:keepLines/>
        <w:tabs>
          <w:tab w:val="left" w:pos="851"/>
        </w:tabs>
        <w:spacing w:before="80"/>
      </w:pPr>
      <w:r>
        <w:tab/>
        <w:t>[Heading inserted in Gazette 1 Oct 2003 p. 4314.]</w:t>
      </w:r>
    </w:p>
    <w:p>
      <w:pPr>
        <w:pStyle w:val="Heading5"/>
      </w:pPr>
      <w:bookmarkStart w:id="300" w:name="_Toc404246209"/>
      <w:bookmarkStart w:id="301" w:name="_Toc402879066"/>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300"/>
      <w:bookmarkEnd w:id="301"/>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302" w:name="_Toc404246210"/>
      <w:bookmarkStart w:id="303" w:name="_Toc402879067"/>
      <w:r>
        <w:rPr>
          <w:rStyle w:val="CharSectno"/>
        </w:rPr>
        <w:t>64Q</w:t>
      </w:r>
      <w:r>
        <w:t>.</w:t>
      </w:r>
      <w:r>
        <w:tab/>
        <w:t>Fishing nets, use of etc. by commercial fishers in certain areas</w:t>
      </w:r>
      <w:bookmarkEnd w:id="302"/>
      <w:bookmarkEnd w:id="303"/>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ins w:id="304" w:author="Master Repository Process" w:date="2021-08-28T12:00:00Z">
              <w:r>
                <w:rPr>
                  <w:sz w:val="22"/>
                  <w:vertAlign w:val="superscript"/>
                </w:rPr>
                <w:t> 2</w:t>
              </w:r>
            </w:ins>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spacing w:before="720"/>
      </w:pPr>
      <w:bookmarkStart w:id="305" w:name="_Toc404246211"/>
      <w:bookmarkStart w:id="306" w:name="_Toc402879068"/>
      <w:r>
        <w:rPr>
          <w:rStyle w:val="CharSectno"/>
        </w:rPr>
        <w:t>64S</w:t>
      </w:r>
      <w:r>
        <w:t>.</w:t>
      </w:r>
      <w:r>
        <w:tab/>
        <w:t>Certain fishing gear not to be possessed near certain rivers and dams</w:t>
      </w:r>
      <w:bookmarkEnd w:id="305"/>
      <w:bookmarkEnd w:id="306"/>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307" w:name="_Toc404246212"/>
      <w:bookmarkStart w:id="308" w:name="_Toc402879069"/>
      <w:r>
        <w:rPr>
          <w:rStyle w:val="CharSectno"/>
        </w:rPr>
        <w:t>64T</w:t>
      </w:r>
      <w:r>
        <w:t>.</w:t>
      </w:r>
      <w:r>
        <w:tab/>
        <w:t>Landing nets, use of in certain rivers and dams</w:t>
      </w:r>
      <w:bookmarkEnd w:id="307"/>
      <w:bookmarkEnd w:id="308"/>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pPr>
      <w:r>
        <w:t>[</w:t>
      </w:r>
      <w:r>
        <w:rPr>
          <w:b/>
        </w:rPr>
        <w:t>64U.</w:t>
      </w:r>
      <w:r>
        <w:tab/>
        <w:t>Deleted in Gazette 29 Dec 2006 p. 5891.]</w:t>
      </w:r>
    </w:p>
    <w:p>
      <w:pPr>
        <w:pStyle w:val="Heading2"/>
      </w:pPr>
      <w:bookmarkStart w:id="309" w:name="_Toc404246213"/>
      <w:bookmarkStart w:id="310" w:name="_Toc402879070"/>
      <w:r>
        <w:rPr>
          <w:rStyle w:val="CharPartNo"/>
        </w:rPr>
        <w:t>Part 4B</w:t>
      </w:r>
      <w:r>
        <w:rPr>
          <w:b w:val="0"/>
        </w:rPr>
        <w:t> </w:t>
      </w:r>
      <w:r>
        <w:t>—</w:t>
      </w:r>
      <w:r>
        <w:rPr>
          <w:b w:val="0"/>
        </w:rPr>
        <w:t> </w:t>
      </w:r>
      <w:r>
        <w:rPr>
          <w:rStyle w:val="CharPartText"/>
        </w:rPr>
        <w:t>Bag limits</w:t>
      </w:r>
      <w:bookmarkEnd w:id="309"/>
      <w:bookmarkEnd w:id="310"/>
    </w:p>
    <w:p>
      <w:pPr>
        <w:pStyle w:val="Footnoteheading"/>
        <w:tabs>
          <w:tab w:val="left" w:pos="851"/>
        </w:tabs>
      </w:pPr>
      <w:r>
        <w:tab/>
        <w:t>[Heading inserted in Gazette 1 Oct 2003 p. 4319.]</w:t>
      </w:r>
    </w:p>
    <w:p>
      <w:pPr>
        <w:pStyle w:val="Heading3"/>
      </w:pPr>
      <w:bookmarkStart w:id="311" w:name="_Toc404246214"/>
      <w:bookmarkStart w:id="312" w:name="_Toc402879071"/>
      <w:r>
        <w:rPr>
          <w:rStyle w:val="CharDivNo"/>
        </w:rPr>
        <w:t>Division 1</w:t>
      </w:r>
      <w:r>
        <w:t> — </w:t>
      </w:r>
      <w:r>
        <w:rPr>
          <w:rStyle w:val="CharDivText"/>
        </w:rPr>
        <w:t>Preliminary</w:t>
      </w:r>
      <w:bookmarkEnd w:id="311"/>
      <w:bookmarkEnd w:id="312"/>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313" w:name="_Toc404246215"/>
      <w:bookmarkStart w:id="314" w:name="_Toc402879072"/>
      <w:r>
        <w:rPr>
          <w:rStyle w:val="CharSectno"/>
        </w:rPr>
        <w:t>64W</w:t>
      </w:r>
      <w:r>
        <w:t>.</w:t>
      </w:r>
      <w:r>
        <w:tab/>
        <w:t>Defences prescribed (Act s. 50(3))</w:t>
      </w:r>
      <w:bookmarkEnd w:id="313"/>
      <w:bookmarkEnd w:id="314"/>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315" w:name="_Toc404246216"/>
      <w:bookmarkStart w:id="316" w:name="_Toc402879073"/>
      <w:r>
        <w:rPr>
          <w:rStyle w:val="CharSectno"/>
        </w:rPr>
        <w:t>64X</w:t>
      </w:r>
      <w:r>
        <w:t>.</w:t>
      </w:r>
      <w:r>
        <w:tab/>
        <w:t>Bag limits, application of</w:t>
      </w:r>
      <w:bookmarkEnd w:id="315"/>
      <w:bookmarkEnd w:id="316"/>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317" w:name="_Toc404246217"/>
      <w:bookmarkStart w:id="318" w:name="_Toc402879074"/>
      <w:r>
        <w:rPr>
          <w:rStyle w:val="CharDivNo"/>
        </w:rPr>
        <w:t>Division 2</w:t>
      </w:r>
      <w:r>
        <w:t> — </w:t>
      </w:r>
      <w:r>
        <w:rPr>
          <w:rStyle w:val="CharDivText"/>
        </w:rPr>
        <w:t>Bag limits</w:t>
      </w:r>
      <w:bookmarkEnd w:id="317"/>
      <w:bookmarkEnd w:id="318"/>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319" w:name="_Toc404246218"/>
      <w:bookmarkStart w:id="320" w:name="_Toc402879075"/>
      <w:r>
        <w:rPr>
          <w:rStyle w:val="CharSectno"/>
        </w:rPr>
        <w:t>65A</w:t>
      </w:r>
      <w:r>
        <w:t>.</w:t>
      </w:r>
      <w:r>
        <w:tab/>
        <w:t>Bag limits for demersal finfish (regions other than West Coast region)</w:t>
      </w:r>
      <w:bookmarkEnd w:id="319"/>
      <w:bookmarkEnd w:id="320"/>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321" w:name="_Toc404246219"/>
      <w:bookmarkStart w:id="322" w:name="_Toc402879076"/>
      <w:r>
        <w:rPr>
          <w:rStyle w:val="CharSectno"/>
        </w:rPr>
        <w:t>65B</w:t>
      </w:r>
      <w:r>
        <w:t>.</w:t>
      </w:r>
      <w:r>
        <w:tab/>
        <w:t>Bag limits for demersal finfish (West Coast region)</w:t>
      </w:r>
      <w:bookmarkEnd w:id="321"/>
      <w:bookmarkEnd w:id="322"/>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323" w:name="_Toc404246220"/>
      <w:bookmarkStart w:id="324" w:name="_Toc402879077"/>
      <w:r>
        <w:rPr>
          <w:rStyle w:val="CharSectno"/>
        </w:rPr>
        <w:t>65C</w:t>
      </w:r>
      <w:r>
        <w:t>.</w:t>
      </w:r>
      <w:r>
        <w:tab/>
        <w:t>Bag limits for large pelagic finfish</w:t>
      </w:r>
      <w:bookmarkEnd w:id="323"/>
      <w:bookmarkEnd w:id="324"/>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325" w:name="_Toc404246221"/>
      <w:bookmarkStart w:id="326" w:name="_Toc402879078"/>
      <w:r>
        <w:rPr>
          <w:rStyle w:val="CharSectno"/>
        </w:rPr>
        <w:t>65D</w:t>
      </w:r>
      <w:r>
        <w:t>.</w:t>
      </w:r>
      <w:r>
        <w:tab/>
        <w:t>Bag limits for nearshore or estuarine finfish</w:t>
      </w:r>
      <w:bookmarkEnd w:id="325"/>
      <w:bookmarkEnd w:id="326"/>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327" w:name="_Toc404246222"/>
      <w:bookmarkStart w:id="328" w:name="_Toc402879079"/>
      <w:r>
        <w:rPr>
          <w:rStyle w:val="CharSectno"/>
        </w:rPr>
        <w:t>65E</w:t>
      </w:r>
      <w:r>
        <w:t>.</w:t>
      </w:r>
      <w:r>
        <w:tab/>
        <w:t>Bag limit for freshwater finfish</w:t>
      </w:r>
      <w:bookmarkEnd w:id="327"/>
      <w:bookmarkEnd w:id="328"/>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329" w:name="_Toc404246223"/>
      <w:bookmarkStart w:id="330" w:name="_Toc402879080"/>
      <w:r>
        <w:rPr>
          <w:rStyle w:val="CharSectno"/>
        </w:rPr>
        <w:t>65F</w:t>
      </w:r>
      <w:r>
        <w:t>.</w:t>
      </w:r>
      <w:r>
        <w:tab/>
        <w:t>Bag limits for other finfish</w:t>
      </w:r>
      <w:bookmarkEnd w:id="329"/>
      <w:bookmarkEnd w:id="330"/>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spacing w:before="280"/>
      </w:pPr>
      <w:bookmarkStart w:id="331" w:name="_Toc404246224"/>
      <w:bookmarkStart w:id="332" w:name="_Toc402879081"/>
      <w:r>
        <w:rPr>
          <w:rStyle w:val="CharSectno"/>
        </w:rPr>
        <w:t>65G</w:t>
      </w:r>
      <w:r>
        <w:t>.</w:t>
      </w:r>
      <w:r>
        <w:tab/>
        <w:t>Bag limits for crustaceans</w:t>
      </w:r>
      <w:bookmarkEnd w:id="331"/>
      <w:bookmarkEnd w:id="332"/>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333" w:name="_Toc404246225"/>
      <w:bookmarkStart w:id="334" w:name="_Toc402879082"/>
      <w:r>
        <w:rPr>
          <w:rStyle w:val="CharSectno"/>
        </w:rPr>
        <w:t>65H</w:t>
      </w:r>
      <w:r>
        <w:t>.</w:t>
      </w:r>
      <w:r>
        <w:tab/>
        <w:t>Bag limits for molluscs and other invertebrates</w:t>
      </w:r>
      <w:bookmarkEnd w:id="333"/>
      <w:bookmarkEnd w:id="334"/>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335" w:name="_Toc404246226"/>
      <w:bookmarkStart w:id="336" w:name="_Toc402879083"/>
      <w:r>
        <w:rPr>
          <w:rStyle w:val="CharPartNo"/>
        </w:rPr>
        <w:t>Part 5</w:t>
      </w:r>
      <w:r>
        <w:rPr>
          <w:rStyle w:val="CharDivNo"/>
        </w:rPr>
        <w:t> </w:t>
      </w:r>
      <w:r>
        <w:t>—</w:t>
      </w:r>
      <w:r>
        <w:rPr>
          <w:rStyle w:val="CharDivText"/>
        </w:rPr>
        <w:t> </w:t>
      </w:r>
      <w:r>
        <w:rPr>
          <w:rStyle w:val="CharPartText"/>
        </w:rPr>
        <w:t>Fish processing</w:t>
      </w:r>
      <w:bookmarkEnd w:id="335"/>
      <w:bookmarkEnd w:id="336"/>
    </w:p>
    <w:p>
      <w:pPr>
        <w:pStyle w:val="Heading5"/>
        <w:rPr>
          <w:snapToGrid w:val="0"/>
        </w:rPr>
      </w:pPr>
      <w:bookmarkStart w:id="337" w:name="_Toc404246227"/>
      <w:bookmarkStart w:id="338" w:name="_Toc402879084"/>
      <w:r>
        <w:rPr>
          <w:rStyle w:val="CharSectno"/>
        </w:rPr>
        <w:t>65</w:t>
      </w:r>
      <w:r>
        <w:rPr>
          <w:snapToGrid w:val="0"/>
        </w:rPr>
        <w:t>.</w:t>
      </w:r>
      <w:r>
        <w:rPr>
          <w:snapToGrid w:val="0"/>
        </w:rPr>
        <w:tab/>
        <w:t>Classes of fish prescribed (Act s. 82(2)(a))</w:t>
      </w:r>
      <w:bookmarkEnd w:id="337"/>
      <w:bookmarkEnd w:id="338"/>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39" w:name="_Toc404246228"/>
      <w:bookmarkStart w:id="340" w:name="_Toc402879085"/>
      <w:r>
        <w:rPr>
          <w:rStyle w:val="CharSectno"/>
        </w:rPr>
        <w:t>66</w:t>
      </w:r>
      <w:r>
        <w:t>.</w:t>
      </w:r>
      <w:r>
        <w:tab/>
        <w:t>Fish processor’s licences, conditions of</w:t>
      </w:r>
      <w:bookmarkEnd w:id="339"/>
      <w:bookmarkEnd w:id="340"/>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in Gazette 6 Jul 2007 p. 3389; 24 Sep 2013 p. 4438.]</w:t>
      </w:r>
    </w:p>
    <w:p>
      <w:pPr>
        <w:pStyle w:val="Heading2"/>
      </w:pPr>
      <w:bookmarkStart w:id="341" w:name="_Toc404246229"/>
      <w:bookmarkStart w:id="342" w:name="_Toc402879086"/>
      <w:r>
        <w:rPr>
          <w:rStyle w:val="CharPartNo"/>
        </w:rPr>
        <w:t>Part 6</w:t>
      </w:r>
      <w:r>
        <w:rPr>
          <w:rStyle w:val="CharDivNo"/>
        </w:rPr>
        <w:t> </w:t>
      </w:r>
      <w:r>
        <w:t>—</w:t>
      </w:r>
      <w:r>
        <w:rPr>
          <w:rStyle w:val="CharDivText"/>
        </w:rPr>
        <w:t> </w:t>
      </w:r>
      <w:r>
        <w:rPr>
          <w:rStyle w:val="CharPartText"/>
        </w:rPr>
        <w:t>Aquaculture</w:t>
      </w:r>
      <w:bookmarkEnd w:id="341"/>
      <w:bookmarkEnd w:id="342"/>
    </w:p>
    <w:p>
      <w:pPr>
        <w:pStyle w:val="Heading5"/>
        <w:rPr>
          <w:snapToGrid w:val="0"/>
        </w:rPr>
      </w:pPr>
      <w:bookmarkStart w:id="343" w:name="_Toc404246230"/>
      <w:bookmarkStart w:id="344" w:name="_Toc402879087"/>
      <w:r>
        <w:rPr>
          <w:rStyle w:val="CharSectno"/>
        </w:rPr>
        <w:t>67</w:t>
      </w:r>
      <w:r>
        <w:rPr>
          <w:snapToGrid w:val="0"/>
        </w:rPr>
        <w:t>.</w:t>
      </w:r>
      <w:r>
        <w:rPr>
          <w:snapToGrid w:val="0"/>
        </w:rPr>
        <w:tab/>
        <w:t>Aquaculture leases, application for</w:t>
      </w:r>
      <w:bookmarkEnd w:id="343"/>
      <w:bookmarkEnd w:id="344"/>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345" w:name="_Toc404246231"/>
      <w:bookmarkStart w:id="346" w:name="_Toc402879088"/>
      <w:r>
        <w:rPr>
          <w:rStyle w:val="CharSectno"/>
        </w:rPr>
        <w:t>68</w:t>
      </w:r>
      <w:r>
        <w:rPr>
          <w:snapToGrid w:val="0"/>
        </w:rPr>
        <w:t>.</w:t>
      </w:r>
      <w:r>
        <w:rPr>
          <w:snapToGrid w:val="0"/>
        </w:rPr>
        <w:tab/>
        <w:t>Classes of fish etc. prescribed (Act s. 91(a) and (d))</w:t>
      </w:r>
      <w:bookmarkEnd w:id="345"/>
      <w:bookmarkEnd w:id="346"/>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347" w:name="_Toc404246232"/>
      <w:bookmarkStart w:id="348" w:name="_Toc402879089"/>
      <w:r>
        <w:rPr>
          <w:rStyle w:val="CharSectno"/>
        </w:rPr>
        <w:t>69A</w:t>
      </w:r>
      <w:r>
        <w:t>.</w:t>
      </w:r>
      <w:r>
        <w:tab/>
        <w:t>Classes of fish prescribed (Act s. 92A(4))</w:t>
      </w:r>
      <w:bookmarkEnd w:id="347"/>
      <w:bookmarkEnd w:id="348"/>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 Common</w:t>
            </w:r>
          </w:p>
        </w:tc>
      </w:tr>
      <w:tr>
        <w:tc>
          <w:tcPr>
            <w:tcW w:w="5245" w:type="dxa"/>
          </w:tcPr>
          <w:p>
            <w:pPr>
              <w:pStyle w:val="TableNAm"/>
              <w:spacing w:before="100"/>
            </w:pPr>
            <w:r>
              <w:t>Yabbie, White</w:t>
            </w:r>
          </w:p>
        </w:tc>
      </w:tr>
    </w:tbl>
    <w:p>
      <w:pPr>
        <w:pStyle w:val="Footnotesection"/>
      </w:pPr>
      <w:r>
        <w:tab/>
        <w:t>[Regulation 69A inserted in Gazette 30 May 2014 p. 1717-18.]</w:t>
      </w:r>
    </w:p>
    <w:p>
      <w:pPr>
        <w:pStyle w:val="Heading5"/>
        <w:rPr>
          <w:snapToGrid w:val="0"/>
        </w:rPr>
      </w:pPr>
      <w:bookmarkStart w:id="349" w:name="_Toc404246233"/>
      <w:bookmarkStart w:id="350" w:name="_Toc402879090"/>
      <w:r>
        <w:rPr>
          <w:rStyle w:val="CharSectno"/>
        </w:rPr>
        <w:t>69</w:t>
      </w:r>
      <w:r>
        <w:rPr>
          <w:snapToGrid w:val="0"/>
        </w:rPr>
        <w:t>.</w:t>
      </w:r>
      <w:r>
        <w:rPr>
          <w:snapToGrid w:val="0"/>
        </w:rPr>
        <w:tab/>
        <w:t>Aquaculture licences, conditions of</w:t>
      </w:r>
      <w:bookmarkEnd w:id="349"/>
      <w:bookmarkEnd w:id="350"/>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351" w:name="_Toc404246234"/>
      <w:bookmarkStart w:id="352" w:name="_Toc402879091"/>
      <w:r>
        <w:rPr>
          <w:rStyle w:val="CharPartNo"/>
        </w:rPr>
        <w:t>Part 7</w:t>
      </w:r>
      <w:r>
        <w:rPr>
          <w:rStyle w:val="CharDivNo"/>
        </w:rPr>
        <w:t> </w:t>
      </w:r>
      <w:r>
        <w:t>—</w:t>
      </w:r>
      <w:r>
        <w:rPr>
          <w:rStyle w:val="CharDivText"/>
        </w:rPr>
        <w:t> </w:t>
      </w:r>
      <w:r>
        <w:rPr>
          <w:rStyle w:val="CharPartText"/>
        </w:rPr>
        <w:t>Noxious fish</w:t>
      </w:r>
      <w:bookmarkEnd w:id="351"/>
      <w:bookmarkEnd w:id="352"/>
    </w:p>
    <w:p>
      <w:pPr>
        <w:pStyle w:val="Heading5"/>
      </w:pPr>
      <w:bookmarkStart w:id="353" w:name="_Toc404246235"/>
      <w:bookmarkStart w:id="354" w:name="_Toc402879092"/>
      <w:r>
        <w:rPr>
          <w:rStyle w:val="CharSectno"/>
        </w:rPr>
        <w:t>70</w:t>
      </w:r>
      <w:r>
        <w:t>.</w:t>
      </w:r>
      <w:r>
        <w:tab/>
        <w:t>Species prescribed (Sch. 5 and Act s. 103)</w:t>
      </w:r>
      <w:bookmarkEnd w:id="353"/>
      <w:bookmarkEnd w:id="354"/>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355" w:name="_Toc404246236"/>
      <w:bookmarkStart w:id="356" w:name="_Toc402879093"/>
      <w:r>
        <w:rPr>
          <w:rStyle w:val="CharPartNo"/>
        </w:rPr>
        <w:t>Part 8</w:t>
      </w:r>
      <w:r>
        <w:rPr>
          <w:rStyle w:val="CharDivNo"/>
        </w:rPr>
        <w:t> </w:t>
      </w:r>
      <w:r>
        <w:t>—</w:t>
      </w:r>
      <w:r>
        <w:rPr>
          <w:rStyle w:val="CharDivText"/>
        </w:rPr>
        <w:t> </w:t>
      </w:r>
      <w:r>
        <w:rPr>
          <w:rStyle w:val="CharPartText"/>
        </w:rPr>
        <w:t>Designated fishing zones</w:t>
      </w:r>
      <w:bookmarkEnd w:id="355"/>
      <w:bookmarkEnd w:id="356"/>
    </w:p>
    <w:p>
      <w:pPr>
        <w:pStyle w:val="Heading5"/>
        <w:rPr>
          <w:snapToGrid w:val="0"/>
        </w:rPr>
      </w:pPr>
      <w:bookmarkStart w:id="357" w:name="_Toc404246237"/>
      <w:bookmarkStart w:id="358" w:name="_Toc402879094"/>
      <w:r>
        <w:rPr>
          <w:rStyle w:val="CharSectno"/>
        </w:rPr>
        <w:t>71</w:t>
      </w:r>
      <w:r>
        <w:rPr>
          <w:snapToGrid w:val="0"/>
        </w:rPr>
        <w:t>.</w:t>
      </w:r>
      <w:r>
        <w:rPr>
          <w:snapToGrid w:val="0"/>
        </w:rPr>
        <w:tab/>
        <w:t>Fisheries officer may restrict activities etc. in zones</w:t>
      </w:r>
      <w:bookmarkEnd w:id="357"/>
      <w:bookmarkEnd w:id="358"/>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59" w:name="_Toc404246238"/>
      <w:bookmarkStart w:id="360" w:name="_Toc402879095"/>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59"/>
      <w:bookmarkEnd w:id="360"/>
    </w:p>
    <w:p>
      <w:pPr>
        <w:pStyle w:val="Heading3"/>
      </w:pPr>
      <w:bookmarkStart w:id="361" w:name="_Toc404246239"/>
      <w:bookmarkStart w:id="362" w:name="_Toc402879096"/>
      <w:r>
        <w:rPr>
          <w:rStyle w:val="CharDivNo"/>
        </w:rPr>
        <w:t>Division 1</w:t>
      </w:r>
      <w:r>
        <w:rPr>
          <w:snapToGrid w:val="0"/>
        </w:rPr>
        <w:t> — </w:t>
      </w:r>
      <w:r>
        <w:rPr>
          <w:rStyle w:val="CharDivText"/>
        </w:rPr>
        <w:t>Interpretation and application of Part</w:t>
      </w:r>
      <w:bookmarkEnd w:id="361"/>
      <w:bookmarkEnd w:id="362"/>
    </w:p>
    <w:p>
      <w:pPr>
        <w:pStyle w:val="Heading5"/>
        <w:rPr>
          <w:snapToGrid w:val="0"/>
        </w:rPr>
      </w:pPr>
      <w:bookmarkStart w:id="363" w:name="_Toc404246240"/>
      <w:bookmarkStart w:id="364" w:name="_Toc402879097"/>
      <w:r>
        <w:rPr>
          <w:rStyle w:val="CharSectno"/>
        </w:rPr>
        <w:t>72</w:t>
      </w:r>
      <w:r>
        <w:rPr>
          <w:snapToGrid w:val="0"/>
        </w:rPr>
        <w:t>.</w:t>
      </w:r>
      <w:r>
        <w:rPr>
          <w:snapToGrid w:val="0"/>
        </w:rPr>
        <w:tab/>
        <w:t>Terms used</w:t>
      </w:r>
      <w:bookmarkEnd w:id="363"/>
      <w:bookmarkEnd w:id="36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365" w:name="_Toc404246241"/>
      <w:bookmarkStart w:id="366" w:name="_Toc402879098"/>
      <w:r>
        <w:rPr>
          <w:rStyle w:val="CharSectno"/>
        </w:rPr>
        <w:t>73</w:t>
      </w:r>
      <w:r>
        <w:rPr>
          <w:snapToGrid w:val="0"/>
        </w:rPr>
        <w:t>.</w:t>
      </w:r>
      <w:r>
        <w:rPr>
          <w:snapToGrid w:val="0"/>
        </w:rPr>
        <w:tab/>
        <w:t>Application of this Part</w:t>
      </w:r>
      <w:bookmarkEnd w:id="365"/>
      <w:bookmarkEnd w:id="366"/>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367" w:name="_Toc404246242"/>
      <w:bookmarkStart w:id="368" w:name="_Toc402879099"/>
      <w:r>
        <w:rPr>
          <w:rStyle w:val="CharDivNo"/>
        </w:rPr>
        <w:t>Division 2</w:t>
      </w:r>
      <w:r>
        <w:rPr>
          <w:snapToGrid w:val="0"/>
        </w:rPr>
        <w:t> — </w:t>
      </w:r>
      <w:r>
        <w:rPr>
          <w:rStyle w:val="CharDivText"/>
        </w:rPr>
        <w:t>Jetties</w:t>
      </w:r>
      <w:bookmarkEnd w:id="367"/>
      <w:bookmarkEnd w:id="368"/>
    </w:p>
    <w:p>
      <w:pPr>
        <w:pStyle w:val="Heading5"/>
        <w:spacing w:before="180"/>
        <w:rPr>
          <w:snapToGrid w:val="0"/>
        </w:rPr>
      </w:pPr>
      <w:bookmarkStart w:id="369" w:name="_Toc404246243"/>
      <w:bookmarkStart w:id="370" w:name="_Toc402879100"/>
      <w:r>
        <w:rPr>
          <w:rStyle w:val="CharSectno"/>
        </w:rPr>
        <w:t>74</w:t>
      </w:r>
      <w:r>
        <w:rPr>
          <w:snapToGrid w:val="0"/>
        </w:rPr>
        <w:t>.</w:t>
      </w:r>
      <w:r>
        <w:rPr>
          <w:snapToGrid w:val="0"/>
        </w:rPr>
        <w:tab/>
        <w:t>Construction and modification of jetties and moorings</w:t>
      </w:r>
      <w:bookmarkEnd w:id="369"/>
      <w:bookmarkEnd w:id="370"/>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371" w:name="_Toc404246244"/>
      <w:bookmarkStart w:id="372" w:name="_Toc402879101"/>
      <w:r>
        <w:rPr>
          <w:rStyle w:val="CharSectno"/>
        </w:rPr>
        <w:t>75</w:t>
      </w:r>
      <w:r>
        <w:rPr>
          <w:snapToGrid w:val="0"/>
        </w:rPr>
        <w:t>.</w:t>
      </w:r>
      <w:r>
        <w:rPr>
          <w:snapToGrid w:val="0"/>
        </w:rPr>
        <w:tab/>
        <w:t>Unauthorised use of jetties and moorings</w:t>
      </w:r>
      <w:bookmarkEnd w:id="371"/>
      <w:bookmarkEnd w:id="372"/>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373" w:name="_Toc404246245"/>
      <w:bookmarkStart w:id="374" w:name="_Toc402879102"/>
      <w:r>
        <w:rPr>
          <w:rStyle w:val="CharDivNo"/>
        </w:rPr>
        <w:t>Division 3</w:t>
      </w:r>
      <w:r>
        <w:rPr>
          <w:snapToGrid w:val="0"/>
        </w:rPr>
        <w:t> — </w:t>
      </w:r>
      <w:r>
        <w:rPr>
          <w:rStyle w:val="CharDivText"/>
        </w:rPr>
        <w:t>Buildings and facilities</w:t>
      </w:r>
      <w:bookmarkEnd w:id="373"/>
      <w:bookmarkEnd w:id="374"/>
    </w:p>
    <w:p>
      <w:pPr>
        <w:pStyle w:val="Heading5"/>
        <w:keepNext w:val="0"/>
        <w:rPr>
          <w:snapToGrid w:val="0"/>
        </w:rPr>
      </w:pPr>
      <w:bookmarkStart w:id="375" w:name="_Toc404246246"/>
      <w:bookmarkStart w:id="376" w:name="_Toc402879103"/>
      <w:r>
        <w:rPr>
          <w:rStyle w:val="CharSectno"/>
        </w:rPr>
        <w:t>76</w:t>
      </w:r>
      <w:r>
        <w:rPr>
          <w:snapToGrid w:val="0"/>
        </w:rPr>
        <w:t>.</w:t>
      </w:r>
      <w:r>
        <w:rPr>
          <w:snapToGrid w:val="0"/>
        </w:rPr>
        <w:tab/>
        <w:t>CEO may waive requirements of this Division</w:t>
      </w:r>
      <w:bookmarkEnd w:id="375"/>
      <w:bookmarkEnd w:id="376"/>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377" w:name="_Toc404246247"/>
      <w:bookmarkStart w:id="378" w:name="_Toc402879104"/>
      <w:r>
        <w:rPr>
          <w:rStyle w:val="CharSectno"/>
        </w:rPr>
        <w:t>77</w:t>
      </w:r>
      <w:r>
        <w:rPr>
          <w:snapToGrid w:val="0"/>
        </w:rPr>
        <w:t>.</w:t>
      </w:r>
      <w:r>
        <w:rPr>
          <w:snapToGrid w:val="0"/>
        </w:rPr>
        <w:tab/>
        <w:t>Camps associated with rock lobster licences, transfer of etc.</w:t>
      </w:r>
      <w:bookmarkEnd w:id="377"/>
      <w:bookmarkEnd w:id="378"/>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79" w:name="_Toc404246248"/>
      <w:bookmarkStart w:id="380" w:name="_Toc402879105"/>
      <w:r>
        <w:rPr>
          <w:rStyle w:val="CharSectno"/>
        </w:rPr>
        <w:t>78</w:t>
      </w:r>
      <w:r>
        <w:rPr>
          <w:snapToGrid w:val="0"/>
        </w:rPr>
        <w:t>.</w:t>
      </w:r>
      <w:r>
        <w:rPr>
          <w:snapToGrid w:val="0"/>
        </w:rPr>
        <w:tab/>
        <w:t>Camp not transferred etc. under r. 77 becomes unauthorised structure</w:t>
      </w:r>
      <w:bookmarkEnd w:id="379"/>
      <w:bookmarkEnd w:id="380"/>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81" w:name="_Toc404246249"/>
      <w:bookmarkStart w:id="382" w:name="_Toc402879106"/>
      <w:r>
        <w:rPr>
          <w:rStyle w:val="CharSectno"/>
        </w:rPr>
        <w:t>79</w:t>
      </w:r>
      <w:r>
        <w:rPr>
          <w:snapToGrid w:val="0"/>
        </w:rPr>
        <w:t>.</w:t>
      </w:r>
      <w:r>
        <w:rPr>
          <w:snapToGrid w:val="0"/>
        </w:rPr>
        <w:tab/>
        <w:t>Building standards, owners’ duties as to</w:t>
      </w:r>
      <w:bookmarkEnd w:id="381"/>
      <w:bookmarkEnd w:id="382"/>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83" w:name="_Toc404246250"/>
      <w:bookmarkStart w:id="384" w:name="_Toc402879107"/>
      <w:r>
        <w:rPr>
          <w:rStyle w:val="CharSectno"/>
        </w:rPr>
        <w:t>80</w:t>
      </w:r>
      <w:r>
        <w:rPr>
          <w:snapToGrid w:val="0"/>
        </w:rPr>
        <w:t>.</w:t>
      </w:r>
      <w:r>
        <w:rPr>
          <w:snapToGrid w:val="0"/>
        </w:rPr>
        <w:tab/>
        <w:t>Minor structural changes to buildings, requirements for</w:t>
      </w:r>
      <w:bookmarkEnd w:id="383"/>
      <w:bookmarkEnd w:id="384"/>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385" w:name="_Toc404246251"/>
      <w:bookmarkStart w:id="386" w:name="_Toc402879108"/>
      <w:r>
        <w:rPr>
          <w:rStyle w:val="CharSectno"/>
        </w:rPr>
        <w:t>81</w:t>
      </w:r>
      <w:r>
        <w:rPr>
          <w:snapToGrid w:val="0"/>
        </w:rPr>
        <w:t>.</w:t>
      </w:r>
      <w:r>
        <w:rPr>
          <w:snapToGrid w:val="0"/>
        </w:rPr>
        <w:tab/>
        <w:t>New buildings and major structural changes to buildings, requirements for</w:t>
      </w:r>
      <w:bookmarkEnd w:id="385"/>
      <w:bookmarkEnd w:id="386"/>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387" w:name="_Toc404246252"/>
      <w:bookmarkStart w:id="388" w:name="_Toc402879109"/>
      <w:r>
        <w:rPr>
          <w:rStyle w:val="CharDivNo"/>
        </w:rPr>
        <w:t>Division 4</w:t>
      </w:r>
      <w:r>
        <w:rPr>
          <w:snapToGrid w:val="0"/>
        </w:rPr>
        <w:t> — </w:t>
      </w:r>
      <w:r>
        <w:rPr>
          <w:rStyle w:val="CharDivText"/>
        </w:rPr>
        <w:t>Power and maintenance</w:t>
      </w:r>
      <w:bookmarkEnd w:id="387"/>
      <w:bookmarkEnd w:id="388"/>
    </w:p>
    <w:p>
      <w:pPr>
        <w:pStyle w:val="Ednotesection"/>
      </w:pPr>
      <w:r>
        <w:t>[</w:t>
      </w:r>
      <w:r>
        <w:rPr>
          <w:b/>
        </w:rPr>
        <w:t>82, 83.</w:t>
      </w:r>
      <w:r>
        <w:tab/>
        <w:t>Deleted in Gazette 23 May 2006 p. 1860.]</w:t>
      </w:r>
    </w:p>
    <w:p>
      <w:pPr>
        <w:pStyle w:val="Heading5"/>
        <w:rPr>
          <w:snapToGrid w:val="0"/>
        </w:rPr>
      </w:pPr>
      <w:bookmarkStart w:id="389" w:name="_Toc404246253"/>
      <w:bookmarkStart w:id="390" w:name="_Toc402879110"/>
      <w:r>
        <w:rPr>
          <w:rStyle w:val="CharSectno"/>
        </w:rPr>
        <w:t>84</w:t>
      </w:r>
      <w:r>
        <w:rPr>
          <w:snapToGrid w:val="0"/>
        </w:rPr>
        <w:t>.</w:t>
      </w:r>
      <w:r>
        <w:rPr>
          <w:snapToGrid w:val="0"/>
        </w:rPr>
        <w:tab/>
        <w:t>Water tanks etc., occupiers’ duties as to</w:t>
      </w:r>
      <w:bookmarkEnd w:id="389"/>
      <w:bookmarkEnd w:id="390"/>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391" w:name="_Toc404246254"/>
      <w:bookmarkStart w:id="392" w:name="_Toc402879111"/>
      <w:r>
        <w:rPr>
          <w:rStyle w:val="CharSectno"/>
        </w:rPr>
        <w:t>85</w:t>
      </w:r>
      <w:r>
        <w:rPr>
          <w:snapToGrid w:val="0"/>
        </w:rPr>
        <w:t>.</w:t>
      </w:r>
      <w:r>
        <w:rPr>
          <w:snapToGrid w:val="0"/>
        </w:rPr>
        <w:tab/>
        <w:t>Generators, installation and use of</w:t>
      </w:r>
      <w:bookmarkEnd w:id="391"/>
      <w:bookmarkEnd w:id="392"/>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393" w:name="_Toc404246255"/>
      <w:bookmarkStart w:id="394" w:name="_Toc402879112"/>
      <w:r>
        <w:rPr>
          <w:rStyle w:val="CharSectno"/>
        </w:rPr>
        <w:t>86</w:t>
      </w:r>
      <w:r>
        <w:rPr>
          <w:snapToGrid w:val="0"/>
        </w:rPr>
        <w:t>.</w:t>
      </w:r>
      <w:r>
        <w:rPr>
          <w:snapToGrid w:val="0"/>
        </w:rPr>
        <w:tab/>
        <w:t>Machinery noise, fisheries officer’s powers as to</w:t>
      </w:r>
      <w:bookmarkEnd w:id="393"/>
      <w:bookmarkEnd w:id="394"/>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395" w:name="_Toc404246256"/>
      <w:bookmarkStart w:id="396" w:name="_Toc402879113"/>
      <w:r>
        <w:rPr>
          <w:rStyle w:val="CharDivNo"/>
        </w:rPr>
        <w:t>Division 5</w:t>
      </w:r>
      <w:r>
        <w:rPr>
          <w:snapToGrid w:val="0"/>
        </w:rPr>
        <w:t> — </w:t>
      </w:r>
      <w:r>
        <w:rPr>
          <w:rStyle w:val="CharDivText"/>
        </w:rPr>
        <w:t>Unauthorised structures and termination of tenancy</w:t>
      </w:r>
      <w:bookmarkEnd w:id="395"/>
      <w:bookmarkEnd w:id="396"/>
    </w:p>
    <w:p>
      <w:pPr>
        <w:pStyle w:val="Heading5"/>
        <w:rPr>
          <w:snapToGrid w:val="0"/>
        </w:rPr>
      </w:pPr>
      <w:bookmarkStart w:id="397" w:name="_Toc404246257"/>
      <w:bookmarkStart w:id="398" w:name="_Toc402879114"/>
      <w:r>
        <w:rPr>
          <w:rStyle w:val="CharSectno"/>
        </w:rPr>
        <w:t>87</w:t>
      </w:r>
      <w:r>
        <w:rPr>
          <w:snapToGrid w:val="0"/>
        </w:rPr>
        <w:t>.</w:t>
      </w:r>
      <w:r>
        <w:rPr>
          <w:snapToGrid w:val="0"/>
        </w:rPr>
        <w:tab/>
        <w:t>Terms used</w:t>
      </w:r>
      <w:bookmarkEnd w:id="397"/>
      <w:bookmarkEnd w:id="398"/>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99" w:name="_Toc404246258"/>
      <w:bookmarkStart w:id="400" w:name="_Toc402879115"/>
      <w:r>
        <w:rPr>
          <w:rStyle w:val="CharSectno"/>
        </w:rPr>
        <w:t>88</w:t>
      </w:r>
      <w:r>
        <w:rPr>
          <w:snapToGrid w:val="0"/>
        </w:rPr>
        <w:t>.</w:t>
      </w:r>
      <w:r>
        <w:rPr>
          <w:snapToGrid w:val="0"/>
        </w:rPr>
        <w:tab/>
        <w:t>Unauthorised structures, CEO may direct removal of</w:t>
      </w:r>
      <w:bookmarkEnd w:id="399"/>
      <w:bookmarkEnd w:id="400"/>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401" w:name="_Toc404246259"/>
      <w:bookmarkStart w:id="402" w:name="_Toc402879116"/>
      <w:r>
        <w:rPr>
          <w:rStyle w:val="CharSectno"/>
        </w:rPr>
        <w:t>89</w:t>
      </w:r>
      <w:r>
        <w:rPr>
          <w:snapToGrid w:val="0"/>
        </w:rPr>
        <w:t>.</w:t>
      </w:r>
      <w:r>
        <w:rPr>
          <w:snapToGrid w:val="0"/>
        </w:rPr>
        <w:tab/>
        <w:t>Service of r. 88 notice</w:t>
      </w:r>
      <w:bookmarkEnd w:id="401"/>
      <w:bookmarkEnd w:id="402"/>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403" w:name="_Toc404246260"/>
      <w:bookmarkStart w:id="404" w:name="_Toc402879117"/>
      <w:r>
        <w:rPr>
          <w:rStyle w:val="CharSectno"/>
        </w:rPr>
        <w:t>90</w:t>
      </w:r>
      <w:r>
        <w:rPr>
          <w:snapToGrid w:val="0"/>
        </w:rPr>
        <w:t>.</w:t>
      </w:r>
      <w:r>
        <w:rPr>
          <w:snapToGrid w:val="0"/>
        </w:rPr>
        <w:tab/>
        <w:t>Non</w:t>
      </w:r>
      <w:del w:id="405" w:author="Master Repository Process" w:date="2021-08-28T12:00:00Z">
        <w:r>
          <w:rPr>
            <w:snapToGrid w:val="0"/>
          </w:rPr>
          <w:noBreakHyphen/>
        </w:r>
        <w:r>
          <w:rPr>
            <w:snapToGrid w:val="0"/>
          </w:rPr>
          <w:softHyphen/>
          <w:delText>compliance</w:delText>
        </w:r>
      </w:del>
      <w:ins w:id="406" w:author="Master Repository Process" w:date="2021-08-28T12:00:00Z">
        <w:r>
          <w:rPr>
            <w:snapToGrid w:val="0"/>
          </w:rPr>
          <w:t>-compliance</w:t>
        </w:r>
      </w:ins>
      <w:r>
        <w:rPr>
          <w:snapToGrid w:val="0"/>
        </w:rPr>
        <w:t xml:space="preserve"> with r. 88 notice</w:t>
      </w:r>
      <w:bookmarkEnd w:id="403"/>
      <w:bookmarkEnd w:id="404"/>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spacing w:before="240"/>
        <w:rPr>
          <w:snapToGrid w:val="0"/>
        </w:rPr>
      </w:pPr>
      <w:bookmarkStart w:id="407" w:name="_Toc404246261"/>
      <w:bookmarkStart w:id="408" w:name="_Toc402879118"/>
      <w:r>
        <w:rPr>
          <w:rStyle w:val="CharSectno"/>
        </w:rPr>
        <w:t>91</w:t>
      </w:r>
      <w:r>
        <w:rPr>
          <w:snapToGrid w:val="0"/>
        </w:rPr>
        <w:t>.</w:t>
      </w:r>
      <w:r>
        <w:rPr>
          <w:snapToGrid w:val="0"/>
        </w:rPr>
        <w:tab/>
        <w:t>Site of unauthorised structure to be cleared completely</w:t>
      </w:r>
      <w:bookmarkEnd w:id="407"/>
      <w:bookmarkEnd w:id="408"/>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409" w:name="_Toc404246262"/>
      <w:bookmarkStart w:id="410" w:name="_Toc402879119"/>
      <w:r>
        <w:rPr>
          <w:rStyle w:val="CharDivNo"/>
        </w:rPr>
        <w:t>Division 6</w:t>
      </w:r>
      <w:r>
        <w:rPr>
          <w:snapToGrid w:val="0"/>
        </w:rPr>
        <w:t> — </w:t>
      </w:r>
      <w:r>
        <w:rPr>
          <w:rStyle w:val="CharDivText"/>
        </w:rPr>
        <w:t>Share arrangements and dispute procedure</w:t>
      </w:r>
      <w:bookmarkEnd w:id="409"/>
      <w:bookmarkEnd w:id="410"/>
    </w:p>
    <w:p>
      <w:pPr>
        <w:pStyle w:val="Heading5"/>
        <w:rPr>
          <w:snapToGrid w:val="0"/>
        </w:rPr>
      </w:pPr>
      <w:bookmarkStart w:id="411" w:name="_Toc404246263"/>
      <w:bookmarkStart w:id="412" w:name="_Toc402879120"/>
      <w:r>
        <w:rPr>
          <w:rStyle w:val="CharSectno"/>
        </w:rPr>
        <w:t>92</w:t>
      </w:r>
      <w:r>
        <w:rPr>
          <w:snapToGrid w:val="0"/>
        </w:rPr>
        <w:t>.</w:t>
      </w:r>
      <w:r>
        <w:rPr>
          <w:snapToGrid w:val="0"/>
        </w:rPr>
        <w:tab/>
        <w:t>Share arrangement to be subject of written agreement</w:t>
      </w:r>
      <w:bookmarkEnd w:id="411"/>
      <w:bookmarkEnd w:id="412"/>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413" w:name="_Toc404246264"/>
      <w:bookmarkStart w:id="414" w:name="_Toc402879121"/>
      <w:r>
        <w:rPr>
          <w:rStyle w:val="CharSectno"/>
        </w:rPr>
        <w:t>93</w:t>
      </w:r>
      <w:r>
        <w:rPr>
          <w:snapToGrid w:val="0"/>
        </w:rPr>
        <w:t>.</w:t>
      </w:r>
      <w:r>
        <w:rPr>
          <w:snapToGrid w:val="0"/>
        </w:rPr>
        <w:tab/>
        <w:t>Disputes over use of shared buildings etc., resolution procedure for</w:t>
      </w:r>
      <w:bookmarkEnd w:id="413"/>
      <w:bookmarkEnd w:id="414"/>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90.]</w:t>
      </w:r>
    </w:p>
    <w:p>
      <w:pPr>
        <w:pStyle w:val="Heading5"/>
        <w:rPr>
          <w:snapToGrid w:val="0"/>
        </w:rPr>
      </w:pPr>
      <w:bookmarkStart w:id="415" w:name="_Toc404246265"/>
      <w:bookmarkStart w:id="416" w:name="_Toc402879122"/>
      <w:r>
        <w:rPr>
          <w:rStyle w:val="CharSectno"/>
        </w:rPr>
        <w:t>94</w:t>
      </w:r>
      <w:r>
        <w:rPr>
          <w:snapToGrid w:val="0"/>
        </w:rPr>
        <w:t>.</w:t>
      </w:r>
      <w:r>
        <w:rPr>
          <w:snapToGrid w:val="0"/>
        </w:rPr>
        <w:tab/>
        <w:t>Independent arbitrators, duties of</w:t>
      </w:r>
      <w:bookmarkEnd w:id="415"/>
      <w:bookmarkEnd w:id="416"/>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417" w:name="_Toc404246266"/>
      <w:bookmarkStart w:id="418" w:name="_Toc402879123"/>
      <w:r>
        <w:rPr>
          <w:rStyle w:val="CharSectno"/>
        </w:rPr>
        <w:t>95</w:t>
      </w:r>
      <w:r>
        <w:rPr>
          <w:snapToGrid w:val="0"/>
        </w:rPr>
        <w:t>.</w:t>
      </w:r>
      <w:r>
        <w:rPr>
          <w:snapToGrid w:val="0"/>
        </w:rPr>
        <w:tab/>
        <w:t>Arbitrator’s determination to be decided by Minister</w:t>
      </w:r>
      <w:bookmarkEnd w:id="417"/>
      <w:bookmarkEnd w:id="418"/>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419" w:name="_Toc404246267"/>
      <w:bookmarkStart w:id="420" w:name="_Toc402879124"/>
      <w:r>
        <w:rPr>
          <w:rStyle w:val="CharDivNo"/>
        </w:rPr>
        <w:t>Division 7</w:t>
      </w:r>
      <w:r>
        <w:rPr>
          <w:snapToGrid w:val="0"/>
        </w:rPr>
        <w:t> — </w:t>
      </w:r>
      <w:r>
        <w:rPr>
          <w:rStyle w:val="CharDivText"/>
        </w:rPr>
        <w:t>Disposal of waste</w:t>
      </w:r>
      <w:bookmarkEnd w:id="419"/>
      <w:bookmarkEnd w:id="420"/>
    </w:p>
    <w:p>
      <w:pPr>
        <w:pStyle w:val="Heading5"/>
        <w:rPr>
          <w:snapToGrid w:val="0"/>
        </w:rPr>
      </w:pPr>
      <w:bookmarkStart w:id="421" w:name="_Toc404246268"/>
      <w:bookmarkStart w:id="422" w:name="_Toc402879125"/>
      <w:r>
        <w:rPr>
          <w:rStyle w:val="CharSectno"/>
        </w:rPr>
        <w:t>96</w:t>
      </w:r>
      <w:r>
        <w:rPr>
          <w:snapToGrid w:val="0"/>
        </w:rPr>
        <w:t>.</w:t>
      </w:r>
      <w:r>
        <w:rPr>
          <w:snapToGrid w:val="0"/>
        </w:rPr>
        <w:tab/>
        <w:t>Waste disposal to be in accordance with this Division</w:t>
      </w:r>
      <w:bookmarkEnd w:id="421"/>
      <w:bookmarkEnd w:id="422"/>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423" w:name="_Toc404246269"/>
      <w:bookmarkStart w:id="424" w:name="_Toc402879126"/>
      <w:r>
        <w:rPr>
          <w:rStyle w:val="CharSectno"/>
        </w:rPr>
        <w:t>97</w:t>
      </w:r>
      <w:r>
        <w:rPr>
          <w:snapToGrid w:val="0"/>
        </w:rPr>
        <w:t>.</w:t>
      </w:r>
      <w:r>
        <w:rPr>
          <w:snapToGrid w:val="0"/>
        </w:rPr>
        <w:tab/>
        <w:t>Food waste</w:t>
      </w:r>
      <w:bookmarkEnd w:id="423"/>
      <w:bookmarkEnd w:id="424"/>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425" w:name="_Toc404246270"/>
      <w:bookmarkStart w:id="426" w:name="_Toc402879127"/>
      <w:r>
        <w:rPr>
          <w:rStyle w:val="CharSectno"/>
        </w:rPr>
        <w:t>98</w:t>
      </w:r>
      <w:r>
        <w:rPr>
          <w:snapToGrid w:val="0"/>
        </w:rPr>
        <w:t>.</w:t>
      </w:r>
      <w:r>
        <w:rPr>
          <w:snapToGrid w:val="0"/>
        </w:rPr>
        <w:tab/>
        <w:t>Paper, plastic, cardboard, bait bags etc.</w:t>
      </w:r>
      <w:bookmarkEnd w:id="425"/>
      <w:bookmarkEnd w:id="426"/>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427" w:name="_Toc404246271"/>
      <w:bookmarkStart w:id="428" w:name="_Toc402879128"/>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427"/>
      <w:bookmarkEnd w:id="428"/>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429" w:name="_Toc404246272"/>
      <w:bookmarkStart w:id="430" w:name="_Toc402879129"/>
      <w:r>
        <w:rPr>
          <w:rStyle w:val="CharSectno"/>
        </w:rPr>
        <w:t>100</w:t>
      </w:r>
      <w:r>
        <w:rPr>
          <w:snapToGrid w:val="0"/>
        </w:rPr>
        <w:t>.</w:t>
      </w:r>
      <w:r>
        <w:rPr>
          <w:snapToGrid w:val="0"/>
        </w:rPr>
        <w:tab/>
        <w:t>Oil, fuel, engine filters and batteries</w:t>
      </w:r>
      <w:bookmarkEnd w:id="429"/>
      <w:bookmarkEnd w:id="430"/>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431" w:name="_Toc404246273"/>
      <w:bookmarkStart w:id="432" w:name="_Toc402879130"/>
      <w:r>
        <w:rPr>
          <w:rStyle w:val="CharSectno"/>
        </w:rPr>
        <w:t>101</w:t>
      </w:r>
      <w:r>
        <w:rPr>
          <w:snapToGrid w:val="0"/>
        </w:rPr>
        <w:t>.</w:t>
      </w:r>
      <w:r>
        <w:rPr>
          <w:snapToGrid w:val="0"/>
        </w:rPr>
        <w:tab/>
        <w:t>Campsite waste</w:t>
      </w:r>
      <w:bookmarkEnd w:id="431"/>
      <w:bookmarkEnd w:id="432"/>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433" w:name="_Toc404246274"/>
      <w:bookmarkStart w:id="434" w:name="_Toc402879131"/>
      <w:r>
        <w:rPr>
          <w:rStyle w:val="CharSectno"/>
        </w:rPr>
        <w:t>102</w:t>
      </w:r>
      <w:r>
        <w:rPr>
          <w:snapToGrid w:val="0"/>
        </w:rPr>
        <w:t>.</w:t>
      </w:r>
      <w:r>
        <w:rPr>
          <w:snapToGrid w:val="0"/>
        </w:rPr>
        <w:tab/>
        <w:t>Sewage</w:t>
      </w:r>
      <w:bookmarkEnd w:id="433"/>
      <w:bookmarkEnd w:id="434"/>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435" w:name="_Toc404246275"/>
      <w:bookmarkStart w:id="436" w:name="_Toc402879132"/>
      <w:r>
        <w:rPr>
          <w:rStyle w:val="CharSectno"/>
        </w:rPr>
        <w:t>103</w:t>
      </w:r>
      <w:r>
        <w:rPr>
          <w:snapToGrid w:val="0"/>
        </w:rPr>
        <w:t>.</w:t>
      </w:r>
      <w:r>
        <w:rPr>
          <w:snapToGrid w:val="0"/>
        </w:rPr>
        <w:tab/>
        <w:t>Incinerators, construction and use of</w:t>
      </w:r>
      <w:bookmarkEnd w:id="435"/>
      <w:bookmarkEnd w:id="436"/>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437" w:name="_Toc404246276"/>
      <w:bookmarkStart w:id="438" w:name="_Toc402879133"/>
      <w:r>
        <w:rPr>
          <w:rStyle w:val="CharDivNo"/>
        </w:rPr>
        <w:t>Division 8</w:t>
      </w:r>
      <w:r>
        <w:rPr>
          <w:snapToGrid w:val="0"/>
        </w:rPr>
        <w:t> — </w:t>
      </w:r>
      <w:r>
        <w:rPr>
          <w:rStyle w:val="CharDivText"/>
        </w:rPr>
        <w:t>Miscellaneous</w:t>
      </w:r>
      <w:bookmarkEnd w:id="437"/>
      <w:bookmarkEnd w:id="438"/>
    </w:p>
    <w:p>
      <w:pPr>
        <w:pStyle w:val="Heading5"/>
        <w:rPr>
          <w:snapToGrid w:val="0"/>
        </w:rPr>
      </w:pPr>
      <w:bookmarkStart w:id="439" w:name="_Toc404246277"/>
      <w:bookmarkStart w:id="440" w:name="_Toc402879134"/>
      <w:r>
        <w:rPr>
          <w:rStyle w:val="CharSectno"/>
        </w:rPr>
        <w:t>104</w:t>
      </w:r>
      <w:r>
        <w:rPr>
          <w:snapToGrid w:val="0"/>
        </w:rPr>
        <w:t>.</w:t>
      </w:r>
      <w:r>
        <w:rPr>
          <w:snapToGrid w:val="0"/>
        </w:rPr>
        <w:tab/>
        <w:t>Noise to be kept below certain levels</w:t>
      </w:r>
      <w:bookmarkEnd w:id="439"/>
      <w:bookmarkEnd w:id="440"/>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441" w:name="_Toc404246278"/>
      <w:bookmarkStart w:id="442" w:name="_Toc402879135"/>
      <w:r>
        <w:rPr>
          <w:rStyle w:val="CharSectno"/>
        </w:rPr>
        <w:t>105</w:t>
      </w:r>
      <w:r>
        <w:rPr>
          <w:snapToGrid w:val="0"/>
        </w:rPr>
        <w:t>.</w:t>
      </w:r>
      <w:r>
        <w:rPr>
          <w:snapToGrid w:val="0"/>
        </w:rPr>
        <w:tab/>
        <w:t>Vehicles not to be used without CEO’s approval</w:t>
      </w:r>
      <w:bookmarkEnd w:id="441"/>
      <w:bookmarkEnd w:id="442"/>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443" w:name="_Toc404246279"/>
      <w:bookmarkStart w:id="444" w:name="_Toc402879136"/>
      <w:r>
        <w:rPr>
          <w:rStyle w:val="CharSectno"/>
        </w:rPr>
        <w:t>106</w:t>
      </w:r>
      <w:r>
        <w:rPr>
          <w:snapToGrid w:val="0"/>
        </w:rPr>
        <w:t>.</w:t>
      </w:r>
      <w:r>
        <w:rPr>
          <w:snapToGrid w:val="0"/>
        </w:rPr>
        <w:tab/>
        <w:t>Domestic pets prohibited on reserve and boats at jetties</w:t>
      </w:r>
      <w:bookmarkEnd w:id="443"/>
      <w:bookmarkEnd w:id="444"/>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445" w:name="_Toc404246280"/>
      <w:bookmarkStart w:id="446" w:name="_Toc402879137"/>
      <w:r>
        <w:rPr>
          <w:rStyle w:val="CharSectno"/>
        </w:rPr>
        <w:t>107</w:t>
      </w:r>
      <w:r>
        <w:rPr>
          <w:snapToGrid w:val="0"/>
        </w:rPr>
        <w:t>.</w:t>
      </w:r>
      <w:r>
        <w:rPr>
          <w:snapToGrid w:val="0"/>
        </w:rPr>
        <w:tab/>
        <w:t>Flora and fauna not to be introduced without approval</w:t>
      </w:r>
      <w:bookmarkEnd w:id="445"/>
      <w:bookmarkEnd w:id="446"/>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447" w:name="_Toc404246281"/>
      <w:bookmarkStart w:id="448" w:name="_Toc402879138"/>
      <w:r>
        <w:rPr>
          <w:rStyle w:val="CharSectno"/>
        </w:rPr>
        <w:t>108</w:t>
      </w:r>
      <w:r>
        <w:rPr>
          <w:snapToGrid w:val="0"/>
        </w:rPr>
        <w:t>.</w:t>
      </w:r>
      <w:r>
        <w:rPr>
          <w:snapToGrid w:val="0"/>
        </w:rPr>
        <w:tab/>
        <w:t>Noxious etc. plants, pests etc., control of to be by approved methods</w:t>
      </w:r>
      <w:bookmarkEnd w:id="447"/>
      <w:bookmarkEnd w:id="448"/>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in Gazette 6 Jul 2007 p. 3389</w:t>
      </w:r>
      <w:r>
        <w:noBreakHyphen/>
        <w:t>90.]</w:t>
      </w:r>
    </w:p>
    <w:p>
      <w:pPr>
        <w:pStyle w:val="Heading5"/>
        <w:spacing w:before="240"/>
        <w:rPr>
          <w:snapToGrid w:val="0"/>
        </w:rPr>
      </w:pPr>
      <w:bookmarkStart w:id="449" w:name="_Toc404246282"/>
      <w:bookmarkStart w:id="450" w:name="_Toc402879139"/>
      <w:r>
        <w:rPr>
          <w:rStyle w:val="CharSectno"/>
        </w:rPr>
        <w:t>109</w:t>
      </w:r>
      <w:r>
        <w:rPr>
          <w:snapToGrid w:val="0"/>
        </w:rPr>
        <w:t>.</w:t>
      </w:r>
      <w:r>
        <w:rPr>
          <w:snapToGrid w:val="0"/>
        </w:rPr>
        <w:tab/>
        <w:t>Behaviour standards for people; power to direct person to leave</w:t>
      </w:r>
      <w:bookmarkEnd w:id="449"/>
      <w:bookmarkEnd w:id="450"/>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451" w:name="_Toc404246283"/>
      <w:bookmarkStart w:id="452" w:name="_Toc402879140"/>
      <w:r>
        <w:rPr>
          <w:rStyle w:val="CharSectno"/>
        </w:rPr>
        <w:t>110</w:t>
      </w:r>
      <w:r>
        <w:rPr>
          <w:snapToGrid w:val="0"/>
        </w:rPr>
        <w:t>.</w:t>
      </w:r>
      <w:r>
        <w:rPr>
          <w:snapToGrid w:val="0"/>
        </w:rPr>
        <w:tab/>
        <w:t>Chlorine tarping of boats, restrictions on</w:t>
      </w:r>
      <w:bookmarkEnd w:id="451"/>
      <w:bookmarkEnd w:id="452"/>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453" w:name="_Toc404246284"/>
      <w:bookmarkStart w:id="454" w:name="_Toc402879141"/>
      <w:r>
        <w:rPr>
          <w:rStyle w:val="CharSectno"/>
        </w:rPr>
        <w:t>112</w:t>
      </w:r>
      <w:r>
        <w:rPr>
          <w:snapToGrid w:val="0"/>
        </w:rPr>
        <w:t>.</w:t>
      </w:r>
      <w:r>
        <w:rPr>
          <w:snapToGrid w:val="0"/>
        </w:rPr>
        <w:tab/>
        <w:t>Weapons prohibited</w:t>
      </w:r>
      <w:bookmarkEnd w:id="453"/>
      <w:bookmarkEnd w:id="454"/>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455" w:name="_Toc404246285"/>
      <w:bookmarkStart w:id="456" w:name="_Toc402879142"/>
      <w:r>
        <w:rPr>
          <w:rStyle w:val="CharSectno"/>
        </w:rPr>
        <w:t>113</w:t>
      </w:r>
      <w:r>
        <w:rPr>
          <w:snapToGrid w:val="0"/>
        </w:rPr>
        <w:t>.</w:t>
      </w:r>
      <w:r>
        <w:rPr>
          <w:snapToGrid w:val="0"/>
        </w:rPr>
        <w:tab/>
        <w:t>Open fires prohibited</w:t>
      </w:r>
      <w:bookmarkEnd w:id="455"/>
      <w:bookmarkEnd w:id="456"/>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457" w:name="_Toc404246286"/>
      <w:bookmarkStart w:id="458" w:name="_Toc402879143"/>
      <w:r>
        <w:rPr>
          <w:rStyle w:val="CharPartNo"/>
        </w:rPr>
        <w:t>Part 9A</w:t>
      </w:r>
      <w:r>
        <w:rPr>
          <w:b w:val="0"/>
        </w:rPr>
        <w:t> </w:t>
      </w:r>
      <w:r>
        <w:t>—</w:t>
      </w:r>
      <w:r>
        <w:rPr>
          <w:b w:val="0"/>
        </w:rPr>
        <w:t> </w:t>
      </w:r>
      <w:r>
        <w:rPr>
          <w:rStyle w:val="CharPartText"/>
        </w:rPr>
        <w:t>Fish Habitat Protection Areas</w:t>
      </w:r>
      <w:bookmarkEnd w:id="457"/>
      <w:bookmarkEnd w:id="458"/>
    </w:p>
    <w:p>
      <w:pPr>
        <w:pStyle w:val="Footnoteheading"/>
        <w:tabs>
          <w:tab w:val="left" w:pos="851"/>
        </w:tabs>
      </w:pPr>
      <w:r>
        <w:tab/>
        <w:t>[Heading inserted in Gazette 23 Dec 2003 p. 5205.]</w:t>
      </w:r>
    </w:p>
    <w:p>
      <w:pPr>
        <w:pStyle w:val="Heading3"/>
      </w:pPr>
      <w:bookmarkStart w:id="459" w:name="_Toc404246287"/>
      <w:bookmarkStart w:id="460" w:name="_Toc402879144"/>
      <w:r>
        <w:rPr>
          <w:rStyle w:val="CharDivNo"/>
        </w:rPr>
        <w:t>Division 1A</w:t>
      </w:r>
      <w:r>
        <w:t> — </w:t>
      </w:r>
      <w:r>
        <w:rPr>
          <w:rStyle w:val="CharDivText"/>
        </w:rPr>
        <w:t>Abrolhos Islands Fish Habitat Protection Area</w:t>
      </w:r>
      <w:bookmarkEnd w:id="459"/>
      <w:bookmarkEnd w:id="460"/>
    </w:p>
    <w:p>
      <w:pPr>
        <w:pStyle w:val="Footnoteheading"/>
        <w:tabs>
          <w:tab w:val="left" w:pos="851"/>
        </w:tabs>
      </w:pPr>
      <w:r>
        <w:tab/>
        <w:t>[Heading inserted in Gazette 30 May 2014 p. 1719.]</w:t>
      </w:r>
    </w:p>
    <w:p>
      <w:pPr>
        <w:pStyle w:val="Heading5"/>
        <w:spacing w:before="260"/>
      </w:pPr>
      <w:bookmarkStart w:id="461" w:name="_Toc404246288"/>
      <w:bookmarkStart w:id="462" w:name="_Toc402879145"/>
      <w:r>
        <w:rPr>
          <w:rStyle w:val="CharSectno"/>
        </w:rPr>
        <w:t>113AA</w:t>
      </w:r>
      <w:r>
        <w:t>.</w:t>
      </w:r>
      <w:r>
        <w:tab/>
        <w:t>Notice of travel to Abrolhos Islands Fish Habitat Protection Area</w:t>
      </w:r>
      <w:bookmarkEnd w:id="461"/>
      <w:bookmarkEnd w:id="462"/>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463" w:name="_Toc404246289"/>
      <w:bookmarkStart w:id="464" w:name="_Toc402879146"/>
      <w:r>
        <w:rPr>
          <w:rStyle w:val="CharSectno"/>
        </w:rPr>
        <w:t>113AB</w:t>
      </w:r>
      <w:r>
        <w:t>.</w:t>
      </w:r>
      <w:r>
        <w:tab/>
        <w:t>Notice of stay in Abrolhos Islands Fish Habitat Protection Area</w:t>
      </w:r>
      <w:bookmarkEnd w:id="463"/>
      <w:bookmarkEnd w:id="464"/>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465" w:name="_Toc404246290"/>
      <w:bookmarkStart w:id="466" w:name="_Toc402879147"/>
      <w:r>
        <w:rPr>
          <w:rStyle w:val="CharDivNo"/>
        </w:rPr>
        <w:t>Division 1</w:t>
      </w:r>
      <w:r>
        <w:t> — </w:t>
      </w:r>
      <w:r>
        <w:rPr>
          <w:rStyle w:val="CharDivText"/>
        </w:rPr>
        <w:t>Cottesloe Reef Fish Habitat Protection Area</w:t>
      </w:r>
      <w:bookmarkEnd w:id="465"/>
      <w:bookmarkEnd w:id="466"/>
    </w:p>
    <w:p>
      <w:pPr>
        <w:pStyle w:val="Footnoteheading"/>
        <w:tabs>
          <w:tab w:val="left" w:pos="851"/>
        </w:tabs>
      </w:pPr>
      <w:r>
        <w:tab/>
        <w:t>[Heading inserted in Gazette 23 Dec 2003 p. 5205.]</w:t>
      </w:r>
    </w:p>
    <w:p>
      <w:pPr>
        <w:pStyle w:val="Heading5"/>
      </w:pPr>
      <w:bookmarkStart w:id="467" w:name="_Toc404246291"/>
      <w:bookmarkStart w:id="468" w:name="_Toc402879148"/>
      <w:r>
        <w:rPr>
          <w:rStyle w:val="CharSectno"/>
        </w:rPr>
        <w:t>113A</w:t>
      </w:r>
      <w:r>
        <w:t>.</w:t>
      </w:r>
      <w:r>
        <w:tab/>
        <w:t>Prohibited activities</w:t>
      </w:r>
      <w:bookmarkEnd w:id="467"/>
      <w:bookmarkEnd w:id="468"/>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69" w:name="_Toc404246292"/>
      <w:bookmarkStart w:id="470" w:name="_Toc402879149"/>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469"/>
      <w:bookmarkEnd w:id="470"/>
    </w:p>
    <w:p>
      <w:pPr>
        <w:pStyle w:val="Footnoteheading"/>
        <w:tabs>
          <w:tab w:val="left" w:pos="851"/>
        </w:tabs>
      </w:pPr>
      <w:r>
        <w:tab/>
        <w:t>[Heading inserted in Gazette 23 Dec 2003 p. 5205.]</w:t>
      </w:r>
    </w:p>
    <w:p>
      <w:pPr>
        <w:pStyle w:val="Heading5"/>
        <w:spacing w:before="240"/>
      </w:pPr>
      <w:bookmarkStart w:id="471" w:name="_Toc404246293"/>
      <w:bookmarkStart w:id="472" w:name="_Toc402879150"/>
      <w:r>
        <w:rPr>
          <w:rStyle w:val="CharSectno"/>
        </w:rPr>
        <w:t>113B</w:t>
      </w:r>
      <w:r>
        <w:t>.</w:t>
      </w:r>
      <w:r>
        <w:tab/>
        <w:t>Prohibited activities</w:t>
      </w:r>
      <w:bookmarkEnd w:id="471"/>
      <w:bookmarkEnd w:id="472"/>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473" w:name="_Toc404246294"/>
      <w:bookmarkStart w:id="474" w:name="_Toc402879151"/>
      <w:r>
        <w:rPr>
          <w:rStyle w:val="CharDivNo"/>
        </w:rPr>
        <w:t>Division 3</w:t>
      </w:r>
      <w:r>
        <w:t> — </w:t>
      </w:r>
      <w:r>
        <w:rPr>
          <w:rStyle w:val="CharDivText"/>
        </w:rPr>
        <w:t>Kalbarri Blue Holes Fish Habitat Protection Area</w:t>
      </w:r>
      <w:bookmarkEnd w:id="473"/>
      <w:bookmarkEnd w:id="474"/>
    </w:p>
    <w:p>
      <w:pPr>
        <w:pStyle w:val="Footnoteheading"/>
        <w:tabs>
          <w:tab w:val="left" w:pos="851"/>
        </w:tabs>
      </w:pPr>
      <w:r>
        <w:tab/>
        <w:t>[Heading inserted in Gazette 21 Dec 2007 p. 6326.]</w:t>
      </w:r>
    </w:p>
    <w:p>
      <w:pPr>
        <w:pStyle w:val="Heading5"/>
        <w:spacing w:before="240"/>
      </w:pPr>
      <w:bookmarkStart w:id="475" w:name="_Toc404246295"/>
      <w:bookmarkStart w:id="476" w:name="_Toc402879152"/>
      <w:r>
        <w:rPr>
          <w:rStyle w:val="CharSectno"/>
        </w:rPr>
        <w:t>113C</w:t>
      </w:r>
      <w:r>
        <w:t>.</w:t>
      </w:r>
      <w:r>
        <w:tab/>
        <w:t>Prohibited activities</w:t>
      </w:r>
      <w:bookmarkEnd w:id="475"/>
      <w:bookmarkEnd w:id="476"/>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477" w:name="_Toc404246296"/>
      <w:bookmarkStart w:id="478" w:name="_Toc402879153"/>
      <w:r>
        <w:rPr>
          <w:rStyle w:val="CharDivNo"/>
        </w:rPr>
        <w:t>Division 4</w:t>
      </w:r>
      <w:r>
        <w:t> — </w:t>
      </w:r>
      <w:r>
        <w:rPr>
          <w:rStyle w:val="CharDivText"/>
        </w:rPr>
        <w:t>Point Quobba Fish Habitat Protection Area</w:t>
      </w:r>
      <w:bookmarkEnd w:id="477"/>
      <w:bookmarkEnd w:id="478"/>
    </w:p>
    <w:p>
      <w:pPr>
        <w:pStyle w:val="Footnoteheading"/>
        <w:keepNext/>
        <w:keepLines/>
        <w:tabs>
          <w:tab w:val="left" w:pos="851"/>
        </w:tabs>
      </w:pPr>
      <w:r>
        <w:tab/>
        <w:t>[Heading inserted in Gazette 3 Jul 2009 p. 2679.]</w:t>
      </w:r>
    </w:p>
    <w:p>
      <w:pPr>
        <w:pStyle w:val="Heading5"/>
      </w:pPr>
      <w:bookmarkStart w:id="479" w:name="_Toc404246297"/>
      <w:bookmarkStart w:id="480" w:name="_Toc402879154"/>
      <w:r>
        <w:rPr>
          <w:rStyle w:val="CharSectno"/>
        </w:rPr>
        <w:t>113D</w:t>
      </w:r>
      <w:r>
        <w:t>.</w:t>
      </w:r>
      <w:r>
        <w:tab/>
        <w:t>Terms used</w:t>
      </w:r>
      <w:bookmarkEnd w:id="479"/>
      <w:bookmarkEnd w:id="480"/>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481" w:name="_Toc404246298"/>
      <w:bookmarkStart w:id="482" w:name="_Toc402879155"/>
      <w:r>
        <w:rPr>
          <w:rStyle w:val="CharSectno"/>
        </w:rPr>
        <w:t>113E</w:t>
      </w:r>
      <w:r>
        <w:t>.</w:t>
      </w:r>
      <w:r>
        <w:tab/>
        <w:t>Prohibited activities</w:t>
      </w:r>
      <w:bookmarkEnd w:id="481"/>
      <w:bookmarkEnd w:id="482"/>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483" w:name="_Toc404246299"/>
      <w:bookmarkStart w:id="484" w:name="_Toc402879156"/>
      <w:r>
        <w:rPr>
          <w:rStyle w:val="CharPartNo"/>
        </w:rPr>
        <w:t>Part 10</w:t>
      </w:r>
      <w:r>
        <w:rPr>
          <w:rStyle w:val="CharDivNo"/>
        </w:rPr>
        <w:t> </w:t>
      </w:r>
      <w:r>
        <w:t>—</w:t>
      </w:r>
      <w:r>
        <w:rPr>
          <w:rStyle w:val="CharDivText"/>
        </w:rPr>
        <w:t> </w:t>
      </w:r>
      <w:r>
        <w:rPr>
          <w:rStyle w:val="CharPartText"/>
        </w:rPr>
        <w:t>Register</w:t>
      </w:r>
      <w:bookmarkEnd w:id="483"/>
      <w:bookmarkEnd w:id="484"/>
    </w:p>
    <w:p>
      <w:pPr>
        <w:pStyle w:val="Heading5"/>
        <w:rPr>
          <w:snapToGrid w:val="0"/>
        </w:rPr>
      </w:pPr>
      <w:bookmarkStart w:id="485" w:name="_Toc404246300"/>
      <w:bookmarkStart w:id="486" w:name="_Toc402879157"/>
      <w:r>
        <w:rPr>
          <w:rStyle w:val="CharSectno"/>
        </w:rPr>
        <w:t>114</w:t>
      </w:r>
      <w:r>
        <w:rPr>
          <w:snapToGrid w:val="0"/>
        </w:rPr>
        <w:t>.</w:t>
      </w:r>
      <w:r>
        <w:rPr>
          <w:snapToGrid w:val="0"/>
        </w:rPr>
        <w:tab/>
        <w:t>Hours, place and fees prescribed (Act s. 124)</w:t>
      </w:r>
      <w:bookmarkEnd w:id="485"/>
      <w:bookmarkEnd w:id="486"/>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87" w:name="_Toc404246301"/>
      <w:bookmarkStart w:id="488" w:name="_Toc402879158"/>
      <w:r>
        <w:rPr>
          <w:rStyle w:val="CharSectno"/>
        </w:rPr>
        <w:t>115</w:t>
      </w:r>
      <w:r>
        <w:rPr>
          <w:snapToGrid w:val="0"/>
        </w:rPr>
        <w:t>.</w:t>
      </w:r>
      <w:r>
        <w:rPr>
          <w:snapToGrid w:val="0"/>
        </w:rPr>
        <w:tab/>
        <w:t>Details prescribed (Act s. 126(e))</w:t>
      </w:r>
      <w:bookmarkEnd w:id="487"/>
      <w:bookmarkEnd w:id="488"/>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489" w:name="_Toc404246302"/>
      <w:bookmarkStart w:id="490" w:name="_Toc402879159"/>
      <w:r>
        <w:rPr>
          <w:rStyle w:val="CharSectno"/>
        </w:rPr>
        <w:t>116</w:t>
      </w:r>
      <w:r>
        <w:rPr>
          <w:snapToGrid w:val="0"/>
        </w:rPr>
        <w:t>.</w:t>
      </w:r>
      <w:r>
        <w:rPr>
          <w:snapToGrid w:val="0"/>
        </w:rPr>
        <w:tab/>
        <w:t>Details of security interest prescribed (Act s. 128(2)(c))</w:t>
      </w:r>
      <w:bookmarkEnd w:id="489"/>
      <w:bookmarkEnd w:id="490"/>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91" w:name="_Toc404246303"/>
      <w:bookmarkStart w:id="492" w:name="_Toc402879160"/>
      <w:r>
        <w:rPr>
          <w:rStyle w:val="CharPartNo"/>
        </w:rPr>
        <w:t>Part 11</w:t>
      </w:r>
      <w:r>
        <w:t> — </w:t>
      </w:r>
      <w:r>
        <w:rPr>
          <w:rStyle w:val="CharPartText"/>
        </w:rPr>
        <w:t>Authorisations</w:t>
      </w:r>
      <w:bookmarkEnd w:id="491"/>
      <w:bookmarkEnd w:id="492"/>
    </w:p>
    <w:p>
      <w:pPr>
        <w:pStyle w:val="Heading3"/>
        <w:spacing w:before="200"/>
      </w:pPr>
      <w:bookmarkStart w:id="493" w:name="_Toc404246304"/>
      <w:bookmarkStart w:id="494" w:name="_Toc402879161"/>
      <w:r>
        <w:rPr>
          <w:rStyle w:val="CharDivNo"/>
        </w:rPr>
        <w:t>Division 1</w:t>
      </w:r>
      <w:r>
        <w:t xml:space="preserve"> — </w:t>
      </w:r>
      <w:r>
        <w:rPr>
          <w:rStyle w:val="CharDivText"/>
        </w:rPr>
        <w:t>Commercial fishing</w:t>
      </w:r>
      <w:bookmarkEnd w:id="493"/>
      <w:bookmarkEnd w:id="494"/>
    </w:p>
    <w:p>
      <w:pPr>
        <w:pStyle w:val="Footnoteheading"/>
        <w:spacing w:before="100"/>
      </w:pPr>
      <w:r>
        <w:tab/>
        <w:t>[Heading inserted in Gazette 29 Jun 2001 p. 3164.]</w:t>
      </w:r>
    </w:p>
    <w:p>
      <w:pPr>
        <w:pStyle w:val="Heading5"/>
        <w:spacing w:before="180"/>
        <w:rPr>
          <w:snapToGrid w:val="0"/>
        </w:rPr>
      </w:pPr>
      <w:bookmarkStart w:id="495" w:name="_Toc404246305"/>
      <w:bookmarkStart w:id="496" w:name="_Toc402879162"/>
      <w:r>
        <w:rPr>
          <w:rStyle w:val="CharSectno"/>
        </w:rPr>
        <w:t>117</w:t>
      </w:r>
      <w:r>
        <w:rPr>
          <w:snapToGrid w:val="0"/>
        </w:rPr>
        <w:t>.</w:t>
      </w:r>
      <w:r>
        <w:rPr>
          <w:snapToGrid w:val="0"/>
        </w:rPr>
        <w:tab/>
        <w:t>Fishing boats, duties of masters etc. as to licences, LFB numbers etc.</w:t>
      </w:r>
      <w:bookmarkEnd w:id="495"/>
      <w:bookmarkEnd w:id="496"/>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497" w:name="_Toc404246306"/>
      <w:bookmarkStart w:id="498" w:name="_Toc402879163"/>
      <w:r>
        <w:rPr>
          <w:rStyle w:val="CharSectno"/>
        </w:rPr>
        <w:t>118</w:t>
      </w:r>
      <w:r>
        <w:rPr>
          <w:snapToGrid w:val="0"/>
        </w:rPr>
        <w:t>.</w:t>
      </w:r>
      <w:r>
        <w:rPr>
          <w:snapToGrid w:val="0"/>
        </w:rPr>
        <w:tab/>
        <w:t>Fishing boat licences, grant of</w:t>
      </w:r>
      <w:bookmarkEnd w:id="497"/>
      <w:bookmarkEnd w:id="498"/>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499" w:name="_Toc404246307"/>
      <w:bookmarkStart w:id="500" w:name="_Toc402879164"/>
      <w:r>
        <w:rPr>
          <w:rStyle w:val="CharSectno"/>
        </w:rPr>
        <w:t>118A</w:t>
      </w:r>
      <w:r>
        <w:t>.</w:t>
      </w:r>
      <w:r>
        <w:tab/>
        <w:t>Fishing boat licence of no effect in some circumstances</w:t>
      </w:r>
      <w:bookmarkEnd w:id="499"/>
      <w:bookmarkEnd w:id="500"/>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ins w:id="501" w:author="Master Repository Process" w:date="2021-08-28T12:00:00Z">
        <w:r>
          <w:rPr>
            <w:vertAlign w:val="superscript"/>
          </w:rPr>
          <w:t> 4</w:t>
        </w:r>
      </w:ins>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 18 Nov 2011 p. 4810.]</w:t>
      </w:r>
    </w:p>
    <w:p>
      <w:pPr>
        <w:pStyle w:val="Heading5"/>
        <w:rPr>
          <w:snapToGrid w:val="0"/>
        </w:rPr>
      </w:pPr>
      <w:bookmarkStart w:id="502" w:name="_Toc404246308"/>
      <w:bookmarkStart w:id="503" w:name="_Toc402879165"/>
      <w:r>
        <w:rPr>
          <w:rStyle w:val="CharSectno"/>
        </w:rPr>
        <w:t>119</w:t>
      </w:r>
      <w:r>
        <w:rPr>
          <w:snapToGrid w:val="0"/>
        </w:rPr>
        <w:t>.</w:t>
      </w:r>
      <w:r>
        <w:rPr>
          <w:snapToGrid w:val="0"/>
        </w:rPr>
        <w:tab/>
        <w:t>Carrier boats, duties of masters etc. as to licences, LCB numbers etc.</w:t>
      </w:r>
      <w:bookmarkEnd w:id="502"/>
      <w:bookmarkEnd w:id="503"/>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504" w:name="_Toc404246309"/>
      <w:bookmarkStart w:id="505" w:name="_Toc402879166"/>
      <w:r>
        <w:rPr>
          <w:rStyle w:val="CharSectno"/>
        </w:rPr>
        <w:t>120</w:t>
      </w:r>
      <w:r>
        <w:rPr>
          <w:snapToGrid w:val="0"/>
        </w:rPr>
        <w:t>.</w:t>
      </w:r>
      <w:r>
        <w:rPr>
          <w:snapToGrid w:val="0"/>
        </w:rPr>
        <w:tab/>
        <w:t>Carrier boat licences, grant of</w:t>
      </w:r>
      <w:bookmarkEnd w:id="504"/>
      <w:bookmarkEnd w:id="505"/>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506" w:name="_Toc404246310"/>
      <w:bookmarkStart w:id="507" w:name="_Toc402879167"/>
      <w:r>
        <w:rPr>
          <w:rStyle w:val="CharSectno"/>
        </w:rPr>
        <w:t>121</w:t>
      </w:r>
      <w:r>
        <w:rPr>
          <w:snapToGrid w:val="0"/>
        </w:rPr>
        <w:t>.</w:t>
      </w:r>
      <w:r>
        <w:rPr>
          <w:snapToGrid w:val="0"/>
        </w:rPr>
        <w:tab/>
        <w:t>Commercial fishing licence, when required</w:t>
      </w:r>
      <w:bookmarkEnd w:id="506"/>
      <w:bookmarkEnd w:id="507"/>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508" w:name="_Toc404246311"/>
      <w:bookmarkStart w:id="509" w:name="_Toc402879168"/>
      <w:r>
        <w:rPr>
          <w:rStyle w:val="CharSectno"/>
        </w:rPr>
        <w:t>122</w:t>
      </w:r>
      <w:r>
        <w:rPr>
          <w:snapToGrid w:val="0"/>
        </w:rPr>
        <w:t>.</w:t>
      </w:r>
      <w:r>
        <w:rPr>
          <w:snapToGrid w:val="0"/>
        </w:rPr>
        <w:tab/>
        <w:t>Commercial fishing licences, grant of</w:t>
      </w:r>
      <w:bookmarkEnd w:id="508"/>
      <w:bookmarkEnd w:id="509"/>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510" w:name="_Toc404246312"/>
      <w:bookmarkStart w:id="511" w:name="_Toc402879169"/>
      <w:r>
        <w:rPr>
          <w:rStyle w:val="CharSectno"/>
        </w:rPr>
        <w:t>123A</w:t>
      </w:r>
      <w:r>
        <w:t>.</w:t>
      </w:r>
      <w:r>
        <w:tab/>
        <w:t>Commercial fishing licence receipt may have effect as commercial fishing licence</w:t>
      </w:r>
      <w:bookmarkEnd w:id="510"/>
      <w:bookmarkEnd w:id="511"/>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w:t>
      </w:r>
    </w:p>
    <w:p>
      <w:pPr>
        <w:pStyle w:val="Heading3"/>
      </w:pPr>
      <w:bookmarkStart w:id="512" w:name="_Toc404246313"/>
      <w:bookmarkStart w:id="513" w:name="_Toc402879170"/>
      <w:r>
        <w:rPr>
          <w:rStyle w:val="CharDivNo"/>
        </w:rPr>
        <w:t>Division 2</w:t>
      </w:r>
      <w:r>
        <w:t> — </w:t>
      </w:r>
      <w:r>
        <w:rPr>
          <w:rStyle w:val="CharDivText"/>
        </w:rPr>
        <w:t>Recreational fishing</w:t>
      </w:r>
      <w:bookmarkEnd w:id="512"/>
      <w:bookmarkEnd w:id="513"/>
    </w:p>
    <w:p>
      <w:pPr>
        <w:pStyle w:val="Footnoteheading"/>
      </w:pPr>
      <w:r>
        <w:tab/>
        <w:t>[Heading inserted in Gazette 29 Jun 2001 p. 3164.]</w:t>
      </w:r>
    </w:p>
    <w:p>
      <w:pPr>
        <w:pStyle w:val="Heading4"/>
      </w:pPr>
      <w:bookmarkStart w:id="514" w:name="_Toc404246314"/>
      <w:bookmarkStart w:id="515" w:name="_Toc402879171"/>
      <w:r>
        <w:t>Subdivision 1 — Recreational fishing licence</w:t>
      </w:r>
      <w:bookmarkEnd w:id="514"/>
      <w:bookmarkEnd w:id="515"/>
    </w:p>
    <w:p>
      <w:pPr>
        <w:pStyle w:val="Footnoteheading"/>
      </w:pPr>
      <w:r>
        <w:tab/>
        <w:t>[Heading inserted in Gazette 12 Feb 2010 p. 584.]</w:t>
      </w:r>
    </w:p>
    <w:p>
      <w:pPr>
        <w:pStyle w:val="Heading5"/>
        <w:rPr>
          <w:snapToGrid w:val="0"/>
        </w:rPr>
      </w:pPr>
      <w:bookmarkStart w:id="516" w:name="_Toc404246315"/>
      <w:bookmarkStart w:id="517" w:name="_Toc402879172"/>
      <w:r>
        <w:rPr>
          <w:rStyle w:val="CharSectno"/>
        </w:rPr>
        <w:t>123</w:t>
      </w:r>
      <w:r>
        <w:rPr>
          <w:snapToGrid w:val="0"/>
        </w:rPr>
        <w:t>.</w:t>
      </w:r>
      <w:r>
        <w:rPr>
          <w:snapToGrid w:val="0"/>
        </w:rPr>
        <w:tab/>
        <w:t>Recreational fishing licence, when required</w:t>
      </w:r>
      <w:bookmarkEnd w:id="516"/>
      <w:bookmarkEnd w:id="517"/>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518" w:name="_Toc404246316"/>
      <w:bookmarkStart w:id="519" w:name="_Toc402879173"/>
      <w:r>
        <w:rPr>
          <w:rStyle w:val="CharSectno"/>
        </w:rPr>
        <w:t>124</w:t>
      </w:r>
      <w:r>
        <w:rPr>
          <w:snapToGrid w:val="0"/>
        </w:rPr>
        <w:t>.</w:t>
      </w:r>
      <w:r>
        <w:rPr>
          <w:snapToGrid w:val="0"/>
        </w:rPr>
        <w:tab/>
        <w:t>Recreational fishing licences, grant of</w:t>
      </w:r>
      <w:bookmarkEnd w:id="518"/>
      <w:bookmarkEnd w:id="519"/>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in Gazette 6 Jul 2007 p. 3389; 14 Sep 2012 p. 4373.]</w:t>
      </w:r>
    </w:p>
    <w:p>
      <w:pPr>
        <w:pStyle w:val="Heading5"/>
      </w:pPr>
      <w:bookmarkStart w:id="520" w:name="_Toc404246317"/>
      <w:bookmarkStart w:id="521" w:name="_Toc402879174"/>
      <w:r>
        <w:rPr>
          <w:rStyle w:val="CharSectno"/>
        </w:rPr>
        <w:t>124A</w:t>
      </w:r>
      <w:r>
        <w:t>.</w:t>
      </w:r>
      <w:r>
        <w:tab/>
        <w:t>Recreational fishing licence receipt may have effect as a recreational fishing licence</w:t>
      </w:r>
      <w:bookmarkEnd w:id="520"/>
      <w:bookmarkEnd w:id="521"/>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in Gazette 14 Sep 2012 p. 4373</w:t>
      </w:r>
      <w:r>
        <w:noBreakHyphen/>
        <w:t>4.]</w:t>
      </w:r>
    </w:p>
    <w:p>
      <w:pPr>
        <w:pStyle w:val="Heading4"/>
      </w:pPr>
      <w:bookmarkStart w:id="522" w:name="_Toc404246318"/>
      <w:bookmarkStart w:id="523" w:name="_Toc402879175"/>
      <w:r>
        <w:t>Subdivision 2 — Recreational (boat) fishing licence</w:t>
      </w:r>
      <w:bookmarkEnd w:id="522"/>
      <w:bookmarkEnd w:id="523"/>
    </w:p>
    <w:p>
      <w:pPr>
        <w:pStyle w:val="Footnoteheading"/>
      </w:pPr>
      <w:r>
        <w:tab/>
        <w:t>[Heading inserted in Gazette 12 Feb 2010 p. 584.]</w:t>
      </w:r>
    </w:p>
    <w:p>
      <w:pPr>
        <w:pStyle w:val="Heading5"/>
      </w:pPr>
      <w:bookmarkStart w:id="524" w:name="_Toc404246319"/>
      <w:bookmarkStart w:id="525" w:name="_Toc402879176"/>
      <w:r>
        <w:rPr>
          <w:rStyle w:val="CharSectno"/>
        </w:rPr>
        <w:t>124B</w:t>
      </w:r>
      <w:r>
        <w:t>.</w:t>
      </w:r>
      <w:r>
        <w:tab/>
        <w:t>Recreational (boat) fishing licence, when required</w:t>
      </w:r>
      <w:bookmarkEnd w:id="524"/>
      <w:bookmarkEnd w:id="525"/>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w:t>
      </w:r>
    </w:p>
    <w:p>
      <w:pPr>
        <w:pStyle w:val="Heading5"/>
      </w:pPr>
      <w:bookmarkStart w:id="526" w:name="_Toc404246320"/>
      <w:bookmarkStart w:id="527" w:name="_Toc402879177"/>
      <w:r>
        <w:rPr>
          <w:rStyle w:val="CharSectno"/>
        </w:rPr>
        <w:t>124C</w:t>
      </w:r>
      <w:r>
        <w:t>.</w:t>
      </w:r>
      <w:r>
        <w:tab/>
        <w:t>Recreational (boat) fishing licences, grant of</w:t>
      </w:r>
      <w:bookmarkEnd w:id="526"/>
      <w:bookmarkEnd w:id="527"/>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528" w:name="_Toc404246321"/>
      <w:bookmarkStart w:id="529" w:name="_Toc402879178"/>
      <w:r>
        <w:rPr>
          <w:rStyle w:val="CharSectno"/>
        </w:rPr>
        <w:t>124D</w:t>
      </w:r>
      <w:r>
        <w:t>.</w:t>
      </w:r>
      <w:r>
        <w:tab/>
        <w:t>Recreational (boat) fishing licence receipt may have effect as a recreational (boat) fishing licence</w:t>
      </w:r>
      <w:bookmarkEnd w:id="528"/>
      <w:bookmarkEnd w:id="529"/>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530" w:name="_Toc404246322"/>
      <w:bookmarkStart w:id="531" w:name="_Toc402879179"/>
      <w:r>
        <w:rPr>
          <w:rStyle w:val="CharDivNo"/>
        </w:rPr>
        <w:t>Division 3</w:t>
      </w:r>
      <w:r>
        <w:t xml:space="preserve"> — </w:t>
      </w:r>
      <w:r>
        <w:rPr>
          <w:rStyle w:val="CharDivText"/>
        </w:rPr>
        <w:t>Specific fish or specific methods of fishing</w:t>
      </w:r>
      <w:bookmarkEnd w:id="530"/>
      <w:bookmarkEnd w:id="531"/>
    </w:p>
    <w:p>
      <w:pPr>
        <w:pStyle w:val="Footnoteheading"/>
      </w:pPr>
      <w:r>
        <w:tab/>
        <w:t>[Heading inserted in Gazette 29 Jun 2001 p. 3164.]</w:t>
      </w:r>
    </w:p>
    <w:p>
      <w:pPr>
        <w:pStyle w:val="Heading5"/>
        <w:spacing w:before="180"/>
        <w:rPr>
          <w:snapToGrid w:val="0"/>
        </w:rPr>
      </w:pPr>
      <w:bookmarkStart w:id="532" w:name="_Toc404246323"/>
      <w:bookmarkStart w:id="533" w:name="_Toc402879180"/>
      <w:r>
        <w:rPr>
          <w:rStyle w:val="CharSectno"/>
        </w:rPr>
        <w:t>125</w:t>
      </w:r>
      <w:r>
        <w:rPr>
          <w:snapToGrid w:val="0"/>
        </w:rPr>
        <w:t>.</w:t>
      </w:r>
      <w:r>
        <w:rPr>
          <w:snapToGrid w:val="0"/>
        </w:rPr>
        <w:tab/>
        <w:t>Rock lobster pot licence, when required</w:t>
      </w:r>
      <w:bookmarkEnd w:id="532"/>
      <w:bookmarkEnd w:id="533"/>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534" w:name="_Toc404246324"/>
      <w:bookmarkStart w:id="535" w:name="_Toc402879181"/>
      <w:r>
        <w:rPr>
          <w:rStyle w:val="CharSectno"/>
        </w:rPr>
        <w:t>126</w:t>
      </w:r>
      <w:r>
        <w:rPr>
          <w:snapToGrid w:val="0"/>
        </w:rPr>
        <w:t>.</w:t>
      </w:r>
      <w:r>
        <w:rPr>
          <w:snapToGrid w:val="0"/>
        </w:rPr>
        <w:tab/>
        <w:t>Rock lobster pot licence, grant of</w:t>
      </w:r>
      <w:bookmarkEnd w:id="534"/>
      <w:bookmarkEnd w:id="535"/>
    </w:p>
    <w:p>
      <w:pPr>
        <w:pStyle w:val="Subsection"/>
        <w:spacing w:before="140"/>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spacing w:before="60"/>
        <w:rPr>
          <w:snapToGrid w:val="0"/>
        </w:rPr>
      </w:pPr>
      <w:r>
        <w:rPr>
          <w:snapToGrid w:val="0"/>
        </w:rPr>
        <w:tab/>
        <w:t>(a)</w:t>
      </w:r>
      <w:r>
        <w:rPr>
          <w:snapToGrid w:val="0"/>
        </w:rPr>
        <w:tab/>
        <w:t>the person is a fit and proper person to hold the licence; and</w:t>
      </w:r>
    </w:p>
    <w:p>
      <w:pPr>
        <w:pStyle w:val="Indenta"/>
        <w:spacing w:before="60"/>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rock lobster pot licence.</w:t>
      </w:r>
    </w:p>
    <w:p>
      <w:pPr>
        <w:pStyle w:val="Footnotesection"/>
        <w:spacing w:before="100"/>
      </w:pPr>
      <w:r>
        <w:tab/>
        <w:t>[Regulation 126 amended in Gazette 6 Jul 2007 p. 3389.]</w:t>
      </w:r>
    </w:p>
    <w:p>
      <w:pPr>
        <w:pStyle w:val="Ednotesection"/>
        <w:spacing w:before="200"/>
      </w:pPr>
      <w:r>
        <w:t>[</w:t>
      </w:r>
      <w:r>
        <w:rPr>
          <w:b/>
        </w:rPr>
        <w:t>127, 128.</w:t>
      </w:r>
      <w:r>
        <w:rPr>
          <w:b/>
        </w:rPr>
        <w:tab/>
      </w:r>
      <w:r>
        <w:t>Deleted in Gazette 4 Sep 2007 p. 4520.]</w:t>
      </w:r>
    </w:p>
    <w:p>
      <w:pPr>
        <w:pStyle w:val="Ednotedivision"/>
        <w:spacing w:before="200"/>
        <w:ind w:left="1440" w:hanging="1440"/>
      </w:pPr>
      <w:r>
        <w:t xml:space="preserve">[Division 4: </w:t>
      </w:r>
      <w:r>
        <w:tab/>
      </w:r>
      <w:del w:id="536" w:author="Master Repository Process" w:date="2021-08-28T12:00:00Z">
        <w:r>
          <w:delText>(</w:delText>
        </w:r>
      </w:del>
      <w:r>
        <w:t>r. 128A, 128B, 128D, 128E, 128G</w:t>
      </w:r>
      <w:r>
        <w:noBreakHyphen/>
        <w:t>128H deleted in Gazette 30 May 2014 p. 1735;</w:t>
      </w:r>
      <w:r>
        <w:br/>
      </w:r>
      <w:ins w:id="537" w:author="Master Repository Process" w:date="2021-08-28T12:00:00Z">
        <w:r>
          <w:t>r. </w:t>
        </w:r>
      </w:ins>
      <w:r>
        <w:t>128C, 128F deleted in Gazette 27 Jun 2003 p. 2390.]</w:t>
      </w:r>
    </w:p>
    <w:p>
      <w:pPr>
        <w:pStyle w:val="Heading3"/>
        <w:keepLines/>
      </w:pPr>
      <w:bookmarkStart w:id="538" w:name="_Toc404246325"/>
      <w:bookmarkStart w:id="539" w:name="_Toc402879182"/>
      <w:r>
        <w:rPr>
          <w:rStyle w:val="CharDivNo"/>
        </w:rPr>
        <w:t>Division 5</w:t>
      </w:r>
      <w:r>
        <w:t> — </w:t>
      </w:r>
      <w:r>
        <w:rPr>
          <w:rStyle w:val="CharDivText"/>
        </w:rPr>
        <w:t>Fishing tour operators</w:t>
      </w:r>
      <w:bookmarkEnd w:id="538"/>
      <w:bookmarkEnd w:id="539"/>
    </w:p>
    <w:p>
      <w:pPr>
        <w:pStyle w:val="Footnoteheading"/>
        <w:spacing w:before="80"/>
      </w:pPr>
      <w:r>
        <w:tab/>
        <w:t>[Heading inserted in Gazette 29 Jun 2001 p. 3171.]</w:t>
      </w:r>
    </w:p>
    <w:p>
      <w:pPr>
        <w:pStyle w:val="Heading5"/>
        <w:spacing w:before="200"/>
      </w:pPr>
      <w:bookmarkStart w:id="540" w:name="_Toc404246326"/>
      <w:bookmarkStart w:id="541" w:name="_Toc402879183"/>
      <w:r>
        <w:rPr>
          <w:rStyle w:val="CharSectno"/>
        </w:rPr>
        <w:t>128IA</w:t>
      </w:r>
      <w:r>
        <w:t>.</w:t>
      </w:r>
      <w:r>
        <w:tab/>
        <w:t>Term used: boat</w:t>
      </w:r>
      <w:bookmarkEnd w:id="540"/>
      <w:bookmarkEnd w:id="541"/>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in Gazette 30 May 2014 p. 1726.]</w:t>
      </w:r>
    </w:p>
    <w:p>
      <w:pPr>
        <w:pStyle w:val="Heading5"/>
        <w:spacing w:before="200"/>
      </w:pPr>
      <w:bookmarkStart w:id="542" w:name="_Toc404246327"/>
      <w:bookmarkStart w:id="543" w:name="_Toc402879184"/>
      <w:r>
        <w:rPr>
          <w:rStyle w:val="CharSectno"/>
        </w:rPr>
        <w:t>128I</w:t>
      </w:r>
      <w:r>
        <w:t>.</w:t>
      </w:r>
      <w:r>
        <w:tab/>
        <w:t>Requirements for person conducting fishing tour using boat</w:t>
      </w:r>
      <w:bookmarkEnd w:id="542"/>
      <w:bookmarkEnd w:id="543"/>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in Gazette 30 May 2014 p. 1726.]</w:t>
      </w:r>
    </w:p>
    <w:p>
      <w:pPr>
        <w:pStyle w:val="Heading5"/>
        <w:spacing w:before="180"/>
      </w:pPr>
      <w:bookmarkStart w:id="544" w:name="_Toc404246328"/>
      <w:bookmarkStart w:id="545" w:name="_Toc402879185"/>
      <w:r>
        <w:rPr>
          <w:rStyle w:val="CharSectno"/>
        </w:rPr>
        <w:t>128J</w:t>
      </w:r>
      <w:r>
        <w:t>.</w:t>
      </w:r>
      <w:r>
        <w:tab/>
        <w:t>Fishing tour operator’s licence, grant of</w:t>
      </w:r>
      <w:bookmarkEnd w:id="544"/>
      <w:bookmarkEnd w:id="545"/>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546" w:name="_Toc404246329"/>
      <w:bookmarkStart w:id="547" w:name="_Toc402879186"/>
      <w:r>
        <w:rPr>
          <w:rStyle w:val="CharSectno"/>
        </w:rPr>
        <w:t>128K</w:t>
      </w:r>
      <w:r>
        <w:t>.</w:t>
      </w:r>
      <w:r>
        <w:tab/>
        <w:t>Master of fishing boat used for fishing tours to notify Department of commercial fishing trip</w:t>
      </w:r>
      <w:bookmarkEnd w:id="546"/>
      <w:bookmarkEnd w:id="54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548" w:name="_Toc404246330"/>
      <w:bookmarkStart w:id="549" w:name="_Toc402879187"/>
      <w:r>
        <w:rPr>
          <w:rStyle w:val="CharSectno"/>
        </w:rPr>
        <w:t>128L</w:t>
      </w:r>
      <w:r>
        <w:t>.</w:t>
      </w:r>
      <w:r>
        <w:tab/>
        <w:t>Documents to be carried on boat etc. connected with fishing tour</w:t>
      </w:r>
      <w:bookmarkEnd w:id="548"/>
      <w:bookmarkEnd w:id="549"/>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pPr>
      <w:r>
        <w:tab/>
        <w:t>[Regulation 128L inserted in Gazette 29 Jun 2001 p. 3172</w:t>
      </w:r>
      <w:r>
        <w:noBreakHyphen/>
        <w:t>3; amended in Gazette 27 Jun 2003 p. 2392; 6 Jul 2007 p. 3389; 30 May 2014 p. 1728-9.]</w:t>
      </w:r>
    </w:p>
    <w:p>
      <w:pPr>
        <w:pStyle w:val="Heading5"/>
      </w:pPr>
      <w:bookmarkStart w:id="550" w:name="_Toc404246331"/>
      <w:bookmarkStart w:id="551" w:name="_Toc402879188"/>
      <w:r>
        <w:rPr>
          <w:rStyle w:val="CharSectno"/>
        </w:rPr>
        <w:t>128MA</w:t>
      </w:r>
      <w:r>
        <w:t>.</w:t>
      </w:r>
      <w:r>
        <w:tab/>
        <w:t>Boats used in connection with fishing tour</w:t>
      </w:r>
      <w:bookmarkEnd w:id="550"/>
      <w:bookmarkEnd w:id="551"/>
    </w:p>
    <w:p>
      <w:pPr>
        <w:pStyle w:val="Subsection"/>
      </w:pPr>
      <w:r>
        <w:tab/>
        <w:t>(1)</w:t>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w:t>
      </w:r>
      <w:del w:id="552" w:author="Master Repository Process" w:date="2021-08-28T12:00:00Z">
        <w:r>
          <w:delText>metres</w:delText>
        </w:r>
      </w:del>
      <w:ins w:id="553" w:author="Master Repository Process" w:date="2021-08-28T12:00:00Z">
        <w:r>
          <w:t>m</w:t>
        </w:r>
      </w:ins>
      <w:r>
        <w:t xml:space="preserve">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pPr>
      <w:r>
        <w:tab/>
        <w:t>(2)</w:t>
      </w:r>
      <w:r>
        <w:tab/>
        <w:t>The holder of a fishing tour operator’s licence or a restricted fishing tour operator’s licence must ensure that a boat used in connection with a fishing tour conducted under the licence is identified in such manner as the CEO specifies in a written notice given to the holder of the licence.</w:t>
      </w:r>
    </w:p>
    <w:p>
      <w:pPr>
        <w:pStyle w:val="Penstart"/>
      </w:pPr>
      <w:r>
        <w:tab/>
        <w:t>Penalty for an offence under this subregulation: a fine of $2 000.</w:t>
      </w:r>
    </w:p>
    <w:p>
      <w:pPr>
        <w:pStyle w:val="Footnotesection"/>
      </w:pPr>
      <w:r>
        <w:tab/>
        <w:t>[Regulation 128MA inserted in Gazette 30 May 2014 p. 1729; amended in Gazette 30 May 2014 p. 1735.]</w:t>
      </w:r>
    </w:p>
    <w:p>
      <w:pPr>
        <w:pStyle w:val="Heading5"/>
        <w:spacing w:before="240"/>
      </w:pPr>
      <w:bookmarkStart w:id="554" w:name="_Toc404246332"/>
      <w:bookmarkStart w:id="555" w:name="_Toc402879189"/>
      <w:r>
        <w:rPr>
          <w:rStyle w:val="CharSectno"/>
        </w:rPr>
        <w:t>128M</w:t>
      </w:r>
      <w:r>
        <w:t>.</w:t>
      </w:r>
      <w:r>
        <w:tab/>
        <w:t>Operators etc. to ensure participants in fishing tour comply with recreational fishing laws</w:t>
      </w:r>
      <w:bookmarkEnd w:id="554"/>
      <w:bookmarkEnd w:id="555"/>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556" w:name="_Toc404246333"/>
      <w:bookmarkStart w:id="557" w:name="_Toc402879190"/>
      <w:r>
        <w:rPr>
          <w:rStyle w:val="CharSectno"/>
        </w:rPr>
        <w:t>128OA</w:t>
      </w:r>
      <w:r>
        <w:t>.</w:t>
      </w:r>
      <w:r>
        <w:tab/>
        <w:t>Shark tourism activities prohibited on fishing tour</w:t>
      </w:r>
      <w:bookmarkEnd w:id="556"/>
      <w:bookmarkEnd w:id="557"/>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in Gazette 4 Dec 2012 p. 5920; amended in Gazette 30 May 2014 p. 1730.]</w:t>
      </w:r>
    </w:p>
    <w:p>
      <w:pPr>
        <w:pStyle w:val="Heading5"/>
      </w:pPr>
      <w:bookmarkStart w:id="558" w:name="_Toc404246334"/>
      <w:bookmarkStart w:id="559" w:name="_Toc402879191"/>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558"/>
      <w:bookmarkEnd w:id="559"/>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in Gazette 29 Jun 2001 p. 3174; amended in Gazette 27 Jun 2003 p. 2392.]</w:t>
      </w:r>
    </w:p>
    <w:p>
      <w:pPr>
        <w:pStyle w:val="Heading5"/>
      </w:pPr>
      <w:bookmarkStart w:id="560" w:name="_Toc404246335"/>
      <w:bookmarkStart w:id="561" w:name="_Toc402879192"/>
      <w:r>
        <w:rPr>
          <w:rStyle w:val="CharSectno"/>
        </w:rPr>
        <w:t>128P</w:t>
      </w:r>
      <w:r>
        <w:t>.</w:t>
      </w:r>
      <w:r>
        <w:tab/>
        <w:t>Boat not to be used for both commercial fishing and fishing tour during single trip</w:t>
      </w:r>
      <w:bookmarkEnd w:id="560"/>
      <w:bookmarkEnd w:id="561"/>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in Gazette 27 Jun 2003 p. 2393.]</w:t>
      </w:r>
    </w:p>
    <w:p>
      <w:pPr>
        <w:pStyle w:val="Ednotesection"/>
      </w:pPr>
      <w:r>
        <w:t>[</w:t>
      </w:r>
      <w:r>
        <w:rPr>
          <w:b/>
        </w:rPr>
        <w:t>128Q.</w:t>
      </w:r>
      <w:r>
        <w:tab/>
        <w:t>Deleted in Gazette 1 Mar 2011 p. 672]</w:t>
      </w:r>
    </w:p>
    <w:p>
      <w:pPr>
        <w:pStyle w:val="Heading5"/>
      </w:pPr>
      <w:bookmarkStart w:id="562" w:name="_Toc404246336"/>
      <w:bookmarkStart w:id="563" w:name="_Toc402879193"/>
      <w:r>
        <w:rPr>
          <w:rStyle w:val="CharSectno"/>
        </w:rPr>
        <w:t>128R</w:t>
      </w:r>
      <w:r>
        <w:t>.</w:t>
      </w:r>
      <w:r>
        <w:tab/>
        <w:t>Person in charge of restricted fishing tour not to permit rod on boat</w:t>
      </w:r>
      <w:bookmarkEnd w:id="562"/>
      <w:bookmarkEnd w:id="563"/>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564" w:name="_Toc404246337"/>
      <w:bookmarkStart w:id="565" w:name="_Toc402879194"/>
      <w:r>
        <w:rPr>
          <w:rStyle w:val="CharSectno"/>
        </w:rPr>
        <w:t>128S</w:t>
      </w:r>
      <w:r>
        <w:t>.</w:t>
      </w:r>
      <w:r>
        <w:tab/>
        <w:t>Restricted fishing tours, limits on fishing etc. by participants etc.</w:t>
      </w:r>
      <w:bookmarkEnd w:id="564"/>
      <w:bookmarkEnd w:id="565"/>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566" w:name="_Toc404246338"/>
      <w:bookmarkStart w:id="567" w:name="_Toc402879195"/>
      <w:r>
        <w:rPr>
          <w:rStyle w:val="CharDivNo"/>
        </w:rPr>
        <w:t>Division 6A</w:t>
      </w:r>
      <w:r>
        <w:t> — </w:t>
      </w:r>
      <w:r>
        <w:rPr>
          <w:rStyle w:val="CharDivText"/>
        </w:rPr>
        <w:t>Replacement of cancelled authorisations</w:t>
      </w:r>
      <w:bookmarkEnd w:id="566"/>
      <w:bookmarkEnd w:id="567"/>
    </w:p>
    <w:p>
      <w:pPr>
        <w:pStyle w:val="Footnoteheading"/>
      </w:pPr>
      <w:r>
        <w:tab/>
        <w:t>[Heading inserted in Gazette 1 Jul 2011 p. 2722.]</w:t>
      </w:r>
    </w:p>
    <w:p>
      <w:pPr>
        <w:pStyle w:val="Heading5"/>
      </w:pPr>
      <w:bookmarkStart w:id="568" w:name="_Toc404246339"/>
      <w:bookmarkStart w:id="569" w:name="_Toc402879196"/>
      <w:r>
        <w:rPr>
          <w:rStyle w:val="CharSectno"/>
        </w:rPr>
        <w:t>129A</w:t>
      </w:r>
      <w:r>
        <w:t>.</w:t>
      </w:r>
      <w:r>
        <w:tab/>
        <w:t>Terms used</w:t>
      </w:r>
      <w:bookmarkEnd w:id="568"/>
      <w:bookmarkEnd w:id="569"/>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570" w:name="_Toc404246340"/>
      <w:bookmarkStart w:id="571" w:name="_Toc402879197"/>
      <w:r>
        <w:rPr>
          <w:rStyle w:val="CharSectno"/>
        </w:rPr>
        <w:t>129B</w:t>
      </w:r>
      <w:r>
        <w:t>.</w:t>
      </w:r>
      <w:r>
        <w:tab/>
        <w:t>CEO may grant certain replacement authorisations</w:t>
      </w:r>
      <w:bookmarkEnd w:id="570"/>
      <w:bookmarkEnd w:id="571"/>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in Gazette 1 Jul 2011 p. 2722</w:t>
      </w:r>
      <w:r>
        <w:noBreakHyphen/>
        <w:t>3.]</w:t>
      </w:r>
    </w:p>
    <w:p>
      <w:pPr>
        <w:pStyle w:val="Heading3"/>
        <w:spacing w:before="190"/>
      </w:pPr>
      <w:bookmarkStart w:id="572" w:name="_Toc404246341"/>
      <w:bookmarkStart w:id="573" w:name="_Toc402879198"/>
      <w:r>
        <w:rPr>
          <w:rStyle w:val="CharDivNo"/>
        </w:rPr>
        <w:t>Division 6</w:t>
      </w:r>
      <w:r>
        <w:t> — </w:t>
      </w:r>
      <w:r>
        <w:rPr>
          <w:rStyle w:val="CharDivText"/>
        </w:rPr>
        <w:t>General</w:t>
      </w:r>
      <w:bookmarkEnd w:id="572"/>
      <w:bookmarkEnd w:id="573"/>
    </w:p>
    <w:p>
      <w:pPr>
        <w:pStyle w:val="Footnoteheading"/>
        <w:spacing w:before="60"/>
      </w:pPr>
      <w:r>
        <w:tab/>
        <w:t>[Heading inserted in Gazette 29 Jun 2001 p. 3174.]</w:t>
      </w:r>
    </w:p>
    <w:p>
      <w:pPr>
        <w:pStyle w:val="Heading5"/>
        <w:spacing w:before="180"/>
        <w:rPr>
          <w:snapToGrid w:val="0"/>
        </w:rPr>
      </w:pPr>
      <w:bookmarkStart w:id="574" w:name="_Toc404246342"/>
      <w:bookmarkStart w:id="575" w:name="_Toc402879199"/>
      <w:r>
        <w:rPr>
          <w:rStyle w:val="CharSectno"/>
        </w:rPr>
        <w:t>129</w:t>
      </w:r>
      <w:r>
        <w:rPr>
          <w:snapToGrid w:val="0"/>
        </w:rPr>
        <w:t>.</w:t>
      </w:r>
      <w:r>
        <w:rPr>
          <w:snapToGrid w:val="0"/>
        </w:rPr>
        <w:tab/>
        <w:t>Lost etc. authorisations, replacement of</w:t>
      </w:r>
      <w:bookmarkEnd w:id="574"/>
      <w:bookmarkEnd w:id="575"/>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576" w:name="_Toc404246343"/>
      <w:bookmarkStart w:id="577" w:name="_Toc402879200"/>
      <w:r>
        <w:rPr>
          <w:rStyle w:val="CharSectno"/>
        </w:rPr>
        <w:t>130</w:t>
      </w:r>
      <w:r>
        <w:rPr>
          <w:snapToGrid w:val="0"/>
        </w:rPr>
        <w:t>.</w:t>
      </w:r>
      <w:r>
        <w:rPr>
          <w:snapToGrid w:val="0"/>
        </w:rPr>
        <w:tab/>
        <w:t>Conditions of licences, imposition of etc.</w:t>
      </w:r>
      <w:bookmarkEnd w:id="576"/>
      <w:bookmarkEnd w:id="577"/>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578" w:name="_Toc404246344"/>
      <w:bookmarkStart w:id="579" w:name="_Toc402879201"/>
      <w:r>
        <w:rPr>
          <w:rStyle w:val="CharSectno"/>
        </w:rPr>
        <w:t>131</w:t>
      </w:r>
      <w:r>
        <w:rPr>
          <w:snapToGrid w:val="0"/>
        </w:rPr>
        <w:t>.</w:t>
      </w:r>
      <w:r>
        <w:rPr>
          <w:snapToGrid w:val="0"/>
        </w:rPr>
        <w:tab/>
        <w:t>Grounds for refusal of transfer of authorisations etc. prescribed (Act s. 140(2)(b))</w:t>
      </w:r>
      <w:bookmarkEnd w:id="578"/>
      <w:bookmarkEnd w:id="579"/>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spacing w:before="70"/>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in Gazette 29 Jun 2001 p. 3175; 6 Jul 2007 p. 3389; 9 Sep 2014 p. 3239-40.]</w:t>
      </w:r>
    </w:p>
    <w:p>
      <w:pPr>
        <w:pStyle w:val="Heading5"/>
        <w:rPr>
          <w:snapToGrid w:val="0"/>
        </w:rPr>
      </w:pPr>
      <w:bookmarkStart w:id="580" w:name="_Toc404246345"/>
      <w:bookmarkStart w:id="581" w:name="_Toc402879202"/>
      <w:r>
        <w:rPr>
          <w:rStyle w:val="CharSectno"/>
        </w:rPr>
        <w:t>132</w:t>
      </w:r>
      <w:r>
        <w:rPr>
          <w:snapToGrid w:val="0"/>
        </w:rPr>
        <w:t>.</w:t>
      </w:r>
      <w:r>
        <w:rPr>
          <w:snapToGrid w:val="0"/>
        </w:rPr>
        <w:tab/>
        <w:t>Short term use of boat instead of lost etc. licensed fishing boat etc., authorisation of</w:t>
      </w:r>
      <w:bookmarkEnd w:id="580"/>
      <w:bookmarkEnd w:id="581"/>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spacing w:before="70"/>
        <w:rPr>
          <w:snapToGrid w:val="0"/>
        </w:rPr>
      </w:pPr>
      <w:r>
        <w:rPr>
          <w:snapToGrid w:val="0"/>
        </w:rPr>
        <w:tab/>
        <w:t>(a)</w:t>
      </w:r>
      <w:r>
        <w:rPr>
          <w:snapToGrid w:val="0"/>
        </w:rPr>
        <w:tab/>
        <w:t>the boat is unseaworthy, lost or destroyed; or</w:t>
      </w:r>
    </w:p>
    <w:p>
      <w:pPr>
        <w:pStyle w:val="Indenta"/>
        <w:spacing w:before="70"/>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582" w:name="_Toc404246346"/>
      <w:bookmarkStart w:id="583" w:name="_Toc402879203"/>
      <w:r>
        <w:rPr>
          <w:rStyle w:val="CharSectno"/>
        </w:rPr>
        <w:t>133</w:t>
      </w:r>
      <w:r>
        <w:rPr>
          <w:snapToGrid w:val="0"/>
        </w:rPr>
        <w:t>.</w:t>
      </w:r>
      <w:r>
        <w:rPr>
          <w:snapToGrid w:val="0"/>
        </w:rPr>
        <w:tab/>
        <w:t>Duration of licences</w:t>
      </w:r>
      <w:bookmarkEnd w:id="582"/>
      <w:bookmarkEnd w:id="583"/>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584" w:name="_Toc404246347"/>
      <w:bookmarkStart w:id="585" w:name="_Toc402879204"/>
      <w:r>
        <w:rPr>
          <w:rStyle w:val="CharSectno"/>
        </w:rPr>
        <w:t>134</w:t>
      </w:r>
      <w:r>
        <w:rPr>
          <w:snapToGrid w:val="0"/>
        </w:rPr>
        <w:t>.</w:t>
      </w:r>
      <w:r>
        <w:rPr>
          <w:snapToGrid w:val="0"/>
        </w:rPr>
        <w:tab/>
        <w:t>Renewal of licences</w:t>
      </w:r>
      <w:bookmarkEnd w:id="584"/>
      <w:bookmarkEnd w:id="585"/>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586" w:name="_Toc404246348"/>
      <w:bookmarkStart w:id="587" w:name="_Toc402879205"/>
      <w:r>
        <w:rPr>
          <w:rStyle w:val="CharSectno"/>
        </w:rPr>
        <w:t>135</w:t>
      </w:r>
      <w:r>
        <w:rPr>
          <w:snapToGrid w:val="0"/>
        </w:rPr>
        <w:t>.</w:t>
      </w:r>
      <w:r>
        <w:rPr>
          <w:snapToGrid w:val="0"/>
        </w:rPr>
        <w:tab/>
        <w:t>Application fees</w:t>
      </w:r>
      <w:bookmarkEnd w:id="586"/>
      <w:bookmarkEnd w:id="587"/>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588" w:name="_Toc404246349"/>
      <w:bookmarkStart w:id="589" w:name="_Toc402879206"/>
      <w:r>
        <w:rPr>
          <w:rStyle w:val="CharSectno"/>
        </w:rPr>
        <w:t>136</w:t>
      </w:r>
      <w:r>
        <w:rPr>
          <w:snapToGrid w:val="0"/>
        </w:rPr>
        <w:t>.</w:t>
      </w:r>
      <w:r>
        <w:rPr>
          <w:snapToGrid w:val="0"/>
        </w:rPr>
        <w:tab/>
        <w:t>Recreational fishing licence fee halved for pensioners etc.</w:t>
      </w:r>
      <w:bookmarkEnd w:id="588"/>
      <w:bookmarkEnd w:id="589"/>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70"/>
        <w:rPr>
          <w:snapToGrid w:val="0"/>
        </w:rPr>
      </w:pPr>
      <w:r>
        <w:rPr>
          <w:snapToGrid w:val="0"/>
        </w:rPr>
        <w:tab/>
        <w:t>(a)</w:t>
      </w:r>
      <w:r>
        <w:rPr>
          <w:snapToGrid w:val="0"/>
        </w:rPr>
        <w:tab/>
        <w:t>a person under the age of 16 years; or</w:t>
      </w:r>
    </w:p>
    <w:p>
      <w:pPr>
        <w:pStyle w:val="Indenta"/>
        <w:spacing w:before="70"/>
        <w:rPr>
          <w:snapToGrid w:val="0"/>
        </w:rPr>
      </w:pPr>
      <w:r>
        <w:rPr>
          <w:snapToGrid w:val="0"/>
        </w:rPr>
        <w:tab/>
        <w:t>(b)</w:t>
      </w:r>
      <w:r>
        <w:rPr>
          <w:snapToGrid w:val="0"/>
        </w:rPr>
        <w:tab/>
        <w:t>a person receiving —</w:t>
      </w:r>
    </w:p>
    <w:p>
      <w:pPr>
        <w:pStyle w:val="Indenti"/>
        <w:spacing w:before="7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7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7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a person who is the spouse, widow or widower of a person referred to in paragraph (b); or</w:t>
      </w:r>
    </w:p>
    <w:p>
      <w:pPr>
        <w:pStyle w:val="Indenta"/>
        <w:keepNext/>
        <w:spacing w:before="70"/>
      </w:pPr>
      <w:r>
        <w:tab/>
        <w:t>(ca)</w:t>
      </w:r>
      <w:r>
        <w:tab/>
        <w:t>a person who —</w:t>
      </w:r>
    </w:p>
    <w:p>
      <w:pPr>
        <w:pStyle w:val="Indenti"/>
        <w:spacing w:before="70"/>
      </w:pPr>
      <w:r>
        <w:tab/>
        <w:t>(i)</w:t>
      </w:r>
      <w:r>
        <w:tab/>
        <w:t>is the de facto partner of a person referred to in paragraph (b); or</w:t>
      </w:r>
    </w:p>
    <w:p>
      <w:pPr>
        <w:pStyle w:val="Indenti"/>
        <w:spacing w:before="70"/>
      </w:pPr>
      <w:r>
        <w:tab/>
        <w:t>(ii)</w:t>
      </w:r>
      <w:r>
        <w:tab/>
        <w:t>if the person referred to in paragraph (b) has died, was the de facto partner of that person immediately before the death of that person;</w:t>
      </w:r>
    </w:p>
    <w:p>
      <w:pPr>
        <w:pStyle w:val="Indenta"/>
        <w:spacing w:before="70"/>
      </w:pPr>
      <w:r>
        <w:tab/>
      </w:r>
      <w:r>
        <w:tab/>
        <w:t>or</w:t>
      </w:r>
    </w:p>
    <w:p>
      <w:pPr>
        <w:pStyle w:val="Indenta"/>
        <w:spacing w:before="7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590" w:name="_Toc404246350"/>
      <w:bookmarkStart w:id="591" w:name="_Toc402879207"/>
      <w:r>
        <w:rPr>
          <w:rStyle w:val="CharSectno"/>
        </w:rPr>
        <w:t>137</w:t>
      </w:r>
      <w:r>
        <w:rPr>
          <w:snapToGrid w:val="0"/>
        </w:rPr>
        <w:t>.</w:t>
      </w:r>
      <w:r>
        <w:rPr>
          <w:snapToGrid w:val="0"/>
        </w:rPr>
        <w:tab/>
        <w:t>Fees for grant or renewal of authorisation</w:t>
      </w:r>
      <w:bookmarkEnd w:id="590"/>
      <w:bookmarkEnd w:id="591"/>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592" w:name="_Toc404246351"/>
      <w:bookmarkStart w:id="593" w:name="_Toc402879208"/>
      <w:r>
        <w:rPr>
          <w:rStyle w:val="CharSectno"/>
        </w:rPr>
        <w:t>138</w:t>
      </w:r>
      <w:r>
        <w:rPr>
          <w:snapToGrid w:val="0"/>
        </w:rPr>
        <w:t>.</w:t>
      </w:r>
      <w:r>
        <w:rPr>
          <w:snapToGrid w:val="0"/>
        </w:rPr>
        <w:tab/>
        <w:t>Transfer of part of entitlement not permitted in some cases</w:t>
      </w:r>
      <w:bookmarkEnd w:id="592"/>
      <w:bookmarkEnd w:id="593"/>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594" w:name="_Toc404246352"/>
      <w:bookmarkStart w:id="595" w:name="_Toc402879209"/>
      <w:r>
        <w:rPr>
          <w:rStyle w:val="CharSectno"/>
        </w:rPr>
        <w:t>139</w:t>
      </w:r>
      <w:r>
        <w:rPr>
          <w:snapToGrid w:val="0"/>
        </w:rPr>
        <w:t>.</w:t>
      </w:r>
      <w:r>
        <w:rPr>
          <w:snapToGrid w:val="0"/>
        </w:rPr>
        <w:tab/>
        <w:t>Change of name or address, duty to notify CEO</w:t>
      </w:r>
      <w:bookmarkEnd w:id="594"/>
      <w:bookmarkEnd w:id="595"/>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596" w:name="_Toc404246353"/>
      <w:bookmarkStart w:id="597" w:name="_Toc402879210"/>
      <w:r>
        <w:rPr>
          <w:rStyle w:val="CharPartNo"/>
        </w:rPr>
        <w:t>Part 12</w:t>
      </w:r>
      <w:r>
        <w:rPr>
          <w:rStyle w:val="CharDivNo"/>
        </w:rPr>
        <w:t> </w:t>
      </w:r>
      <w:r>
        <w:t>—</w:t>
      </w:r>
      <w:r>
        <w:rPr>
          <w:rStyle w:val="CharDivText"/>
        </w:rPr>
        <w:t> </w:t>
      </w:r>
      <w:r>
        <w:rPr>
          <w:rStyle w:val="CharPartText"/>
        </w:rPr>
        <w:t>Fish trafficking</w:t>
      </w:r>
      <w:bookmarkEnd w:id="596"/>
      <w:bookmarkEnd w:id="597"/>
    </w:p>
    <w:p>
      <w:pPr>
        <w:pStyle w:val="Footnoteheading"/>
      </w:pPr>
      <w:r>
        <w:tab/>
        <w:t>[Heading inserted in Gazette 18 Jun 2013 p. 2296.]</w:t>
      </w:r>
    </w:p>
    <w:p>
      <w:pPr>
        <w:pStyle w:val="Heading5"/>
      </w:pPr>
      <w:bookmarkStart w:id="598" w:name="_Toc404246354"/>
      <w:bookmarkStart w:id="599" w:name="_Toc402879211"/>
      <w:r>
        <w:rPr>
          <w:rStyle w:val="CharSectno"/>
        </w:rPr>
        <w:t>140</w:t>
      </w:r>
      <w:r>
        <w:t>.</w:t>
      </w:r>
      <w:r>
        <w:tab/>
        <w:t>Priority fish</w:t>
      </w:r>
      <w:bookmarkEnd w:id="598"/>
      <w:bookmarkEnd w:id="599"/>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600" w:name="_Toc404246355"/>
      <w:bookmarkStart w:id="601" w:name="_Toc402879212"/>
      <w:r>
        <w:rPr>
          <w:rStyle w:val="CharSectno"/>
        </w:rPr>
        <w:t>141</w:t>
      </w:r>
      <w:r>
        <w:t>.</w:t>
      </w:r>
      <w:r>
        <w:tab/>
        <w:t>Commercial quantity</w:t>
      </w:r>
      <w:bookmarkEnd w:id="600"/>
      <w:bookmarkEnd w:id="601"/>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602" w:name="_Toc404246356"/>
      <w:bookmarkStart w:id="603" w:name="_Toc402879213"/>
      <w:r>
        <w:rPr>
          <w:rStyle w:val="CharPartNo"/>
        </w:rPr>
        <w:t>Part 13A</w:t>
      </w:r>
      <w:r>
        <w:rPr>
          <w:rStyle w:val="CharDivNo"/>
        </w:rPr>
        <w:t> </w:t>
      </w:r>
      <w:r>
        <w:t>—</w:t>
      </w:r>
      <w:r>
        <w:rPr>
          <w:rStyle w:val="CharDivText"/>
        </w:rPr>
        <w:t> </w:t>
      </w:r>
      <w:r>
        <w:rPr>
          <w:rStyle w:val="CharPartText"/>
        </w:rPr>
        <w:t>Control of disease in pearl oysters</w:t>
      </w:r>
      <w:bookmarkEnd w:id="602"/>
      <w:bookmarkEnd w:id="603"/>
    </w:p>
    <w:p>
      <w:pPr>
        <w:pStyle w:val="Footnoteheading"/>
      </w:pPr>
      <w:r>
        <w:tab/>
        <w:t>[Heading inserted in Gazette 24 Sep 2013 p. 4438.]</w:t>
      </w:r>
    </w:p>
    <w:p>
      <w:pPr>
        <w:pStyle w:val="Heading5"/>
      </w:pPr>
      <w:bookmarkStart w:id="604" w:name="_Toc404246357"/>
      <w:bookmarkStart w:id="605" w:name="_Toc402879214"/>
      <w:r>
        <w:rPr>
          <w:rStyle w:val="CharSectno"/>
        </w:rPr>
        <w:t>144A</w:t>
      </w:r>
      <w:r>
        <w:t>.</w:t>
      </w:r>
      <w:r>
        <w:tab/>
        <w:t>Terms used</w:t>
      </w:r>
      <w:bookmarkEnd w:id="604"/>
      <w:bookmarkEnd w:id="605"/>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606" w:name="_Toc404246358"/>
      <w:bookmarkStart w:id="607" w:name="_Toc402879215"/>
      <w:r>
        <w:rPr>
          <w:rStyle w:val="CharSectno"/>
        </w:rPr>
        <w:t>144B</w:t>
      </w:r>
      <w:r>
        <w:t>.</w:t>
      </w:r>
      <w:r>
        <w:tab/>
        <w:t xml:space="preserve">Transport of pearl oysters into </w:t>
      </w:r>
      <w:del w:id="608" w:author="Master Repository Process" w:date="2021-08-28T12:00:00Z">
        <w:r>
          <w:delText xml:space="preserve">the </w:delText>
        </w:r>
      </w:del>
      <w:r>
        <w:t>State</w:t>
      </w:r>
      <w:bookmarkEnd w:id="606"/>
      <w:bookmarkEnd w:id="607"/>
    </w:p>
    <w:p>
      <w:pPr>
        <w:pStyle w:val="Subsection"/>
      </w:pPr>
      <w:r>
        <w:tab/>
        <w:t>(1)</w:t>
      </w:r>
      <w:r>
        <w:tab/>
        <w:t>A person shall not transport live pearl oysters in the State unless</w:t>
      </w:r>
      <w:del w:id="609" w:author="Master Repository Process" w:date="2021-08-28T12:00:00Z">
        <w:r>
          <w:delText xml:space="preserve"> </w:delText>
        </w:r>
      </w:del>
      <w:ins w:id="610" w:author="Master Repository Process" w:date="2021-08-28T12:00:00Z">
        <w:r>
          <w:t> </w:t>
        </w:r>
      </w:ins>
      <w:r>
        <w:t>—</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spacing w:before="260"/>
      </w:pPr>
      <w:bookmarkStart w:id="611" w:name="_Toc404246359"/>
      <w:bookmarkStart w:id="612" w:name="_Toc402879216"/>
      <w:r>
        <w:rPr>
          <w:rStyle w:val="CharSectno"/>
        </w:rPr>
        <w:t>144C</w:t>
      </w:r>
      <w:r>
        <w:t>.</w:t>
      </w:r>
      <w:r>
        <w:tab/>
        <w:t>Spat samples to be taken, preserved etc.</w:t>
      </w:r>
      <w:bookmarkEnd w:id="611"/>
      <w:bookmarkEnd w:id="612"/>
    </w:p>
    <w:p>
      <w:pPr>
        <w:pStyle w:val="Subsection"/>
      </w:pPr>
      <w:r>
        <w:tab/>
        <w:t>(1)</w:t>
      </w:r>
      <w:r>
        <w:tab/>
        <w:t>The holder of a hatchery licence or a hatchery permit shall take a sample from each batch of spat that is settled in the hatchery</w:t>
      </w:r>
      <w:del w:id="613" w:author="Master Repository Process" w:date="2021-08-28T12:00:00Z">
        <w:r>
          <w:delText xml:space="preserve"> </w:delText>
        </w:r>
      </w:del>
      <w:ins w:id="614" w:author="Master Repository Process" w:date="2021-08-28T12:00:00Z">
        <w:r>
          <w:t> </w:t>
        </w:r>
      </w:ins>
      <w:r>
        <w:t>—</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615" w:name="_Toc404246360"/>
      <w:bookmarkStart w:id="616" w:name="_Toc402879217"/>
      <w:r>
        <w:rPr>
          <w:rStyle w:val="CharSectno"/>
        </w:rPr>
        <w:t>144D</w:t>
      </w:r>
      <w:r>
        <w:t>.</w:t>
      </w:r>
      <w:r>
        <w:tab/>
        <w:t>Transport of pearl oysters restricted</w:t>
      </w:r>
      <w:bookmarkEnd w:id="615"/>
      <w:bookmarkEnd w:id="616"/>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617" w:name="_Toc404246361"/>
      <w:bookmarkStart w:id="618" w:name="_Toc402879218"/>
      <w:r>
        <w:rPr>
          <w:rStyle w:val="CharSectno"/>
        </w:rPr>
        <w:t>144E</w:t>
      </w:r>
      <w:r>
        <w:t>.</w:t>
      </w:r>
      <w:r>
        <w:tab/>
        <w:t>Sampling for disease testing</w:t>
      </w:r>
      <w:bookmarkEnd w:id="617"/>
      <w:bookmarkEnd w:id="618"/>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in Gazette 24 Sep 2013 p. 4442-4.]</w:t>
      </w:r>
    </w:p>
    <w:p>
      <w:pPr>
        <w:pStyle w:val="Heading5"/>
        <w:spacing w:before="200"/>
      </w:pPr>
      <w:bookmarkStart w:id="619" w:name="_Toc404246362"/>
      <w:bookmarkStart w:id="620" w:name="_Toc402879219"/>
      <w:r>
        <w:rPr>
          <w:rStyle w:val="CharSectno"/>
        </w:rPr>
        <w:t>144F</w:t>
      </w:r>
      <w:r>
        <w:t>.</w:t>
      </w:r>
      <w:r>
        <w:tab/>
        <w:t>Certificates of health for pearl oysters</w:t>
      </w:r>
      <w:bookmarkEnd w:id="619"/>
      <w:bookmarkEnd w:id="620"/>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in Gazette 24 Sep 2013 p. 4444-6.]</w:t>
      </w:r>
    </w:p>
    <w:p>
      <w:pPr>
        <w:pStyle w:val="Heading5"/>
      </w:pPr>
      <w:bookmarkStart w:id="621" w:name="_Toc404246363"/>
      <w:bookmarkStart w:id="622" w:name="_Toc402879220"/>
      <w:r>
        <w:rPr>
          <w:rStyle w:val="CharSectno"/>
        </w:rPr>
        <w:t>144G</w:t>
      </w:r>
      <w:r>
        <w:t>.</w:t>
      </w:r>
      <w:r>
        <w:tab/>
        <w:t>Approval for transport of pearl oysters</w:t>
      </w:r>
      <w:bookmarkEnd w:id="621"/>
      <w:bookmarkEnd w:id="622"/>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623" w:name="_Toc404246364"/>
      <w:bookmarkStart w:id="624" w:name="_Toc402879221"/>
      <w:r>
        <w:rPr>
          <w:rStyle w:val="CharSectno"/>
        </w:rPr>
        <w:t>144H</w:t>
      </w:r>
      <w:r>
        <w:t>.</w:t>
      </w:r>
      <w:r>
        <w:tab/>
        <w:t>Consequences if certificate of health not issued</w:t>
      </w:r>
      <w:bookmarkEnd w:id="623"/>
      <w:bookmarkEnd w:id="624"/>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in Gazette 24 Sep 2013 p. 4446-7.]</w:t>
      </w:r>
    </w:p>
    <w:p>
      <w:pPr>
        <w:pStyle w:val="Heading5"/>
      </w:pPr>
      <w:bookmarkStart w:id="625" w:name="_Toc404246365"/>
      <w:bookmarkStart w:id="626" w:name="_Toc402879222"/>
      <w:r>
        <w:rPr>
          <w:rStyle w:val="CharSectno"/>
        </w:rPr>
        <w:t>144I</w:t>
      </w:r>
      <w:r>
        <w:t>.</w:t>
      </w:r>
      <w:r>
        <w:tab/>
        <w:t>Pathologist to notify inspector as to certificate of health</w:t>
      </w:r>
      <w:bookmarkEnd w:id="625"/>
      <w:bookmarkEnd w:id="626"/>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in Gazette 24 Sep 2013 p. 4448.]</w:t>
      </w:r>
    </w:p>
    <w:p>
      <w:pPr>
        <w:pStyle w:val="Heading5"/>
      </w:pPr>
      <w:bookmarkStart w:id="627" w:name="_Toc404246366"/>
      <w:bookmarkStart w:id="628" w:name="_Toc402879223"/>
      <w:r>
        <w:rPr>
          <w:rStyle w:val="CharSectno"/>
        </w:rPr>
        <w:t>144J</w:t>
      </w:r>
      <w:r>
        <w:t>.</w:t>
      </w:r>
      <w:r>
        <w:tab/>
        <w:t>CEO to notify approval to transport</w:t>
      </w:r>
      <w:bookmarkEnd w:id="627"/>
      <w:bookmarkEnd w:id="628"/>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629" w:name="_Toc404246367"/>
      <w:bookmarkStart w:id="630" w:name="_Toc402879224"/>
      <w:r>
        <w:rPr>
          <w:rStyle w:val="CharSectno"/>
        </w:rPr>
        <w:t>144K</w:t>
      </w:r>
      <w:r>
        <w:t>.</w:t>
      </w:r>
      <w:r>
        <w:tab/>
        <w:t>Consequences of more than one batch of spat at quarantine site</w:t>
      </w:r>
      <w:bookmarkEnd w:id="629"/>
      <w:bookmarkEnd w:id="630"/>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631" w:name="_Toc404246368"/>
      <w:bookmarkStart w:id="632" w:name="_Toc402879225"/>
      <w:r>
        <w:rPr>
          <w:rStyle w:val="CharSectno"/>
        </w:rPr>
        <w:t>144L</w:t>
      </w:r>
      <w:r>
        <w:t>.</w:t>
      </w:r>
      <w:r>
        <w:tab/>
        <w:t>Removal of spat from quarantine site</w:t>
      </w:r>
      <w:bookmarkEnd w:id="631"/>
      <w:bookmarkEnd w:id="632"/>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633" w:name="_Toc404246369"/>
      <w:bookmarkStart w:id="634" w:name="_Toc402879226"/>
      <w:r>
        <w:rPr>
          <w:rStyle w:val="CharPartNo"/>
        </w:rPr>
        <w:t>Part 13B</w:t>
      </w:r>
      <w:r>
        <w:rPr>
          <w:rStyle w:val="CharDivNo"/>
        </w:rPr>
        <w:t> </w:t>
      </w:r>
      <w:r>
        <w:t>—</w:t>
      </w:r>
      <w:r>
        <w:rPr>
          <w:rStyle w:val="CharDivText"/>
        </w:rPr>
        <w:t> </w:t>
      </w:r>
      <w:r>
        <w:rPr>
          <w:rStyle w:val="CharPartText"/>
        </w:rPr>
        <w:t>Control of disease in abalone</w:t>
      </w:r>
      <w:bookmarkEnd w:id="633"/>
      <w:bookmarkEnd w:id="634"/>
    </w:p>
    <w:p>
      <w:pPr>
        <w:pStyle w:val="Footnoteheading"/>
      </w:pPr>
      <w:r>
        <w:tab/>
        <w:t>[Heading inserted in Gazette 24 Sep 2013 p. 4449.]</w:t>
      </w:r>
    </w:p>
    <w:p>
      <w:pPr>
        <w:pStyle w:val="Heading5"/>
      </w:pPr>
      <w:bookmarkStart w:id="635" w:name="_Toc404246370"/>
      <w:bookmarkStart w:id="636" w:name="_Toc402879227"/>
      <w:r>
        <w:rPr>
          <w:rStyle w:val="CharSectno"/>
        </w:rPr>
        <w:t>144M</w:t>
      </w:r>
      <w:r>
        <w:t>.</w:t>
      </w:r>
      <w:r>
        <w:tab/>
        <w:t>Restriction on moving live abalone into the State</w:t>
      </w:r>
      <w:bookmarkEnd w:id="635"/>
      <w:bookmarkEnd w:id="636"/>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637" w:name="_Toc404246371"/>
      <w:bookmarkStart w:id="638" w:name="_Toc402879228"/>
      <w:r>
        <w:rPr>
          <w:rStyle w:val="CharPartNo"/>
        </w:rPr>
        <w:t>Part 13</w:t>
      </w:r>
      <w:r>
        <w:rPr>
          <w:rStyle w:val="CharDivNo"/>
        </w:rPr>
        <w:t> </w:t>
      </w:r>
      <w:r>
        <w:t>—</w:t>
      </w:r>
      <w:r>
        <w:rPr>
          <w:rStyle w:val="CharDivText"/>
        </w:rPr>
        <w:t> </w:t>
      </w:r>
      <w:r>
        <w:rPr>
          <w:rStyle w:val="CharPartText"/>
        </w:rPr>
        <w:t>Miscellaneous offences</w:t>
      </w:r>
      <w:bookmarkEnd w:id="637"/>
      <w:bookmarkEnd w:id="638"/>
    </w:p>
    <w:p>
      <w:pPr>
        <w:pStyle w:val="Heading5"/>
        <w:rPr>
          <w:snapToGrid w:val="0"/>
        </w:rPr>
      </w:pPr>
      <w:bookmarkStart w:id="639" w:name="_Toc404246372"/>
      <w:bookmarkStart w:id="640" w:name="_Toc402879229"/>
      <w:r>
        <w:rPr>
          <w:rStyle w:val="CharSectno"/>
        </w:rPr>
        <w:t>144</w:t>
      </w:r>
      <w:r>
        <w:rPr>
          <w:snapToGrid w:val="0"/>
        </w:rPr>
        <w:t>.</w:t>
      </w:r>
      <w:r>
        <w:rPr>
          <w:snapToGrid w:val="0"/>
        </w:rPr>
        <w:tab/>
        <w:t>Certain activities in bays etc. and as to use of traps prohibited</w:t>
      </w:r>
      <w:bookmarkEnd w:id="639"/>
      <w:bookmarkEnd w:id="640"/>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641" w:name="_Toc404246373"/>
      <w:bookmarkStart w:id="642" w:name="_Toc402879230"/>
      <w:r>
        <w:rPr>
          <w:rStyle w:val="CharSectno"/>
        </w:rPr>
        <w:t>145</w:t>
      </w:r>
      <w:r>
        <w:rPr>
          <w:snapToGrid w:val="0"/>
        </w:rPr>
        <w:t>.</w:t>
      </w:r>
      <w:r>
        <w:rPr>
          <w:snapToGrid w:val="0"/>
        </w:rPr>
        <w:tab/>
        <w:t>Explosives or noxious substances, carriage of on boats</w:t>
      </w:r>
      <w:bookmarkEnd w:id="641"/>
      <w:bookmarkEnd w:id="642"/>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643" w:name="_Toc404246374"/>
      <w:bookmarkStart w:id="644" w:name="_Toc402879231"/>
      <w:r>
        <w:rPr>
          <w:rStyle w:val="CharSectno"/>
        </w:rPr>
        <w:t>146</w:t>
      </w:r>
      <w:r>
        <w:rPr>
          <w:snapToGrid w:val="0"/>
        </w:rPr>
        <w:t>.</w:t>
      </w:r>
      <w:r>
        <w:rPr>
          <w:snapToGrid w:val="0"/>
        </w:rPr>
        <w:tab/>
        <w:t>Explosive or noxious substance used to take fish, presumptions as to possession of</w:t>
      </w:r>
      <w:bookmarkEnd w:id="643"/>
      <w:bookmarkEnd w:id="644"/>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645" w:name="_Toc404246375"/>
      <w:bookmarkStart w:id="646" w:name="_Toc402879232"/>
      <w:r>
        <w:rPr>
          <w:rStyle w:val="CharSectno"/>
        </w:rPr>
        <w:t>147A</w:t>
      </w:r>
      <w:r>
        <w:t>.</w:t>
      </w:r>
      <w:r>
        <w:tab/>
        <w:t>Arranging for transport by courier business of fish taken recreationally</w:t>
      </w:r>
      <w:bookmarkEnd w:id="645"/>
      <w:bookmarkEnd w:id="646"/>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647" w:name="_Toc404246376"/>
      <w:bookmarkStart w:id="648" w:name="_Toc402879233"/>
      <w:r>
        <w:rPr>
          <w:rStyle w:val="CharSectno"/>
        </w:rPr>
        <w:t>147B</w:t>
      </w:r>
      <w:r>
        <w:t>.</w:t>
      </w:r>
      <w:r>
        <w:tab/>
        <w:t>Installation of fish aggregating device without approval of CEO</w:t>
      </w:r>
      <w:bookmarkEnd w:id="647"/>
      <w:bookmarkEnd w:id="648"/>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649" w:name="_Toc404246377"/>
      <w:bookmarkStart w:id="650" w:name="_Toc402879234"/>
      <w:r>
        <w:rPr>
          <w:rStyle w:val="CharPartNo"/>
        </w:rPr>
        <w:t>Part 14</w:t>
      </w:r>
      <w:r>
        <w:rPr>
          <w:rStyle w:val="CharDivNo"/>
        </w:rPr>
        <w:t> </w:t>
      </w:r>
      <w:r>
        <w:t>—</w:t>
      </w:r>
      <w:r>
        <w:rPr>
          <w:rStyle w:val="CharDivText"/>
        </w:rPr>
        <w:t> </w:t>
      </w:r>
      <w:r>
        <w:rPr>
          <w:rStyle w:val="CharPartText"/>
        </w:rPr>
        <w:t>Fisheries officers</w:t>
      </w:r>
      <w:bookmarkEnd w:id="649"/>
      <w:bookmarkEnd w:id="650"/>
    </w:p>
    <w:p>
      <w:pPr>
        <w:pStyle w:val="Heading5"/>
        <w:rPr>
          <w:snapToGrid w:val="0"/>
        </w:rPr>
      </w:pPr>
      <w:bookmarkStart w:id="651" w:name="_Toc404246378"/>
      <w:bookmarkStart w:id="652" w:name="_Toc402879235"/>
      <w:r>
        <w:rPr>
          <w:rStyle w:val="CharSectno"/>
        </w:rPr>
        <w:t>147</w:t>
      </w:r>
      <w:r>
        <w:rPr>
          <w:snapToGrid w:val="0"/>
        </w:rPr>
        <w:t>.</w:t>
      </w:r>
      <w:r>
        <w:rPr>
          <w:snapToGrid w:val="0"/>
        </w:rPr>
        <w:tab/>
        <w:t>Warrant form prescribed (Act s. 187)</w:t>
      </w:r>
      <w:bookmarkEnd w:id="651"/>
      <w:bookmarkEnd w:id="652"/>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653" w:name="_Toc404246379"/>
      <w:bookmarkStart w:id="654" w:name="_Toc402879236"/>
      <w:r>
        <w:rPr>
          <w:rStyle w:val="CharSectno"/>
        </w:rPr>
        <w:t>148</w:t>
      </w:r>
      <w:r>
        <w:rPr>
          <w:snapToGrid w:val="0"/>
        </w:rPr>
        <w:t>.</w:t>
      </w:r>
      <w:r>
        <w:rPr>
          <w:snapToGrid w:val="0"/>
        </w:rPr>
        <w:tab/>
        <w:t>Ways of disposing of fish prescribed (Act s. 194)</w:t>
      </w:r>
      <w:bookmarkEnd w:id="653"/>
      <w:bookmarkEnd w:id="654"/>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655" w:name="_Toc404246380"/>
      <w:bookmarkStart w:id="656" w:name="_Toc402879237"/>
      <w:r>
        <w:rPr>
          <w:rStyle w:val="CharSectno"/>
        </w:rPr>
        <w:t>149</w:t>
      </w:r>
      <w:r>
        <w:rPr>
          <w:snapToGrid w:val="0"/>
        </w:rPr>
        <w:t>.</w:t>
      </w:r>
      <w:r>
        <w:rPr>
          <w:snapToGrid w:val="0"/>
        </w:rPr>
        <w:tab/>
        <w:t>Accounts prescribed (Act s. 194)</w:t>
      </w:r>
      <w:bookmarkEnd w:id="655"/>
      <w:bookmarkEnd w:id="656"/>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 xml:space="preserve">the Fisheries Research and Development </w:t>
      </w:r>
      <w:del w:id="657" w:author="Master Repository Process" w:date="2021-08-28T12:00:00Z">
        <w:r>
          <w:rPr>
            <w:snapToGrid w:val="0"/>
          </w:rPr>
          <w:delText>Fund</w:delText>
        </w:r>
        <w:r>
          <w:rPr>
            <w:snapToGrid w:val="0"/>
            <w:vertAlign w:val="superscript"/>
          </w:rPr>
          <w:delText> 4</w:delText>
        </w:r>
      </w:del>
      <w:ins w:id="658" w:author="Master Repository Process" w:date="2021-08-28T12:00:00Z">
        <w:r>
          <w:rPr>
            <w:snapToGrid w:val="0"/>
          </w:rPr>
          <w:t>Account</w:t>
        </w:r>
        <w:r>
          <w:rPr>
            <w:snapToGrid w:val="0"/>
            <w:vertAlign w:val="superscript"/>
          </w:rPr>
          <w:t> 5</w:t>
        </w:r>
      </w:ins>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 xml:space="preserve">the Recreational Fishing </w:t>
      </w:r>
      <w:del w:id="659" w:author="Master Repository Process" w:date="2021-08-28T12:00:00Z">
        <w:r>
          <w:rPr>
            <w:snapToGrid w:val="0"/>
          </w:rPr>
          <w:delText>Fund</w:delText>
        </w:r>
        <w:r>
          <w:rPr>
            <w:snapToGrid w:val="0"/>
            <w:vertAlign w:val="superscript"/>
          </w:rPr>
          <w:delText> 5</w:delText>
        </w:r>
      </w:del>
      <w:ins w:id="660" w:author="Master Repository Process" w:date="2021-08-28T12:00:00Z">
        <w:r>
          <w:rPr>
            <w:snapToGrid w:val="0"/>
          </w:rPr>
          <w:t>Account</w:t>
        </w:r>
        <w:r>
          <w:rPr>
            <w:snapToGrid w:val="0"/>
            <w:vertAlign w:val="superscript"/>
          </w:rPr>
          <w:t> 6</w:t>
        </w:r>
      </w:ins>
      <w:r>
        <w:rPr>
          <w:snapToGrid w:val="0"/>
        </w:rPr>
        <w:t xml:space="preserve"> established under section 239 of the Act in all other cases.</w:t>
      </w:r>
    </w:p>
    <w:p>
      <w:pPr>
        <w:pStyle w:val="Footnotesection"/>
      </w:pPr>
      <w:r>
        <w:tab/>
        <w:t>[Regulation 149 amended in Gazette 30 May 2014 p. 1735.]</w:t>
      </w:r>
    </w:p>
    <w:p>
      <w:pPr>
        <w:pStyle w:val="Heading5"/>
        <w:rPr>
          <w:snapToGrid w:val="0"/>
        </w:rPr>
      </w:pPr>
      <w:bookmarkStart w:id="661" w:name="_Toc404246381"/>
      <w:bookmarkStart w:id="662" w:name="_Toc402879238"/>
      <w:r>
        <w:rPr>
          <w:rStyle w:val="CharSectno"/>
        </w:rPr>
        <w:t>150</w:t>
      </w:r>
      <w:r>
        <w:rPr>
          <w:snapToGrid w:val="0"/>
        </w:rPr>
        <w:t>.</w:t>
      </w:r>
      <w:r>
        <w:rPr>
          <w:snapToGrid w:val="0"/>
        </w:rPr>
        <w:tab/>
        <w:t>Applying for compensation (Act s. 197(3))</w:t>
      </w:r>
      <w:bookmarkEnd w:id="661"/>
      <w:bookmarkEnd w:id="662"/>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663" w:name="_Toc404246382"/>
      <w:bookmarkStart w:id="664" w:name="_Toc402879239"/>
      <w:r>
        <w:rPr>
          <w:rStyle w:val="CharPartNo"/>
        </w:rPr>
        <w:t>Part 15</w:t>
      </w:r>
      <w:r>
        <w:rPr>
          <w:rStyle w:val="CharDivNo"/>
        </w:rPr>
        <w:t> </w:t>
      </w:r>
      <w:r>
        <w:t>—</w:t>
      </w:r>
      <w:r>
        <w:rPr>
          <w:rStyle w:val="CharDivText"/>
        </w:rPr>
        <w:t> </w:t>
      </w:r>
      <w:r>
        <w:rPr>
          <w:rStyle w:val="CharPartText"/>
        </w:rPr>
        <w:t>Legal proceedings</w:t>
      </w:r>
      <w:bookmarkEnd w:id="663"/>
      <w:bookmarkEnd w:id="664"/>
    </w:p>
    <w:p>
      <w:pPr>
        <w:pStyle w:val="Heading5"/>
        <w:spacing w:before="260"/>
        <w:rPr>
          <w:snapToGrid w:val="0"/>
        </w:rPr>
      </w:pPr>
      <w:bookmarkStart w:id="665" w:name="_Toc404246383"/>
      <w:bookmarkStart w:id="666" w:name="_Toc402879240"/>
      <w:r>
        <w:rPr>
          <w:rStyle w:val="CharSectno"/>
        </w:rPr>
        <w:t>151</w:t>
      </w:r>
      <w:r>
        <w:rPr>
          <w:snapToGrid w:val="0"/>
        </w:rPr>
        <w:t>.</w:t>
      </w:r>
      <w:r>
        <w:rPr>
          <w:snapToGrid w:val="0"/>
        </w:rPr>
        <w:tab/>
        <w:t>Method for determining size etc. of fish prescribed (Act s. 214)</w:t>
      </w:r>
      <w:bookmarkEnd w:id="665"/>
      <w:bookmarkEnd w:id="666"/>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667" w:name="_Toc404246384"/>
      <w:bookmarkStart w:id="668" w:name="_Toc402879241"/>
      <w:r>
        <w:rPr>
          <w:rStyle w:val="CharSectno"/>
        </w:rPr>
        <w:t>152</w:t>
      </w:r>
      <w:r>
        <w:t>.</w:t>
      </w:r>
      <w:r>
        <w:tab/>
        <w:t>Australian datum prescribed (Act s. 216)</w:t>
      </w:r>
      <w:bookmarkEnd w:id="667"/>
      <w:bookmarkEnd w:id="668"/>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669" w:name="_Toc404246385"/>
      <w:bookmarkStart w:id="670" w:name="_Toc402879242"/>
      <w:r>
        <w:rPr>
          <w:rStyle w:val="CharSectno"/>
        </w:rPr>
        <w:t>153</w:t>
      </w:r>
      <w:r>
        <w:rPr>
          <w:snapToGrid w:val="0"/>
        </w:rPr>
        <w:t>.</w:t>
      </w:r>
      <w:r>
        <w:rPr>
          <w:snapToGrid w:val="0"/>
        </w:rPr>
        <w:tab/>
        <w:t>Way of giving notice prescribed (Act s. 219(1))</w:t>
      </w:r>
      <w:bookmarkEnd w:id="669"/>
      <w:bookmarkEnd w:id="670"/>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671" w:name="_Toc404246386"/>
      <w:bookmarkStart w:id="672" w:name="_Toc402879243"/>
      <w:r>
        <w:rPr>
          <w:rStyle w:val="CharSectno"/>
        </w:rPr>
        <w:t>154</w:t>
      </w:r>
      <w:r>
        <w:rPr>
          <w:snapToGrid w:val="0"/>
        </w:rPr>
        <w:t>.</w:t>
      </w:r>
      <w:r>
        <w:rPr>
          <w:snapToGrid w:val="0"/>
        </w:rPr>
        <w:tab/>
        <w:t>Things forfeited to Crown, disposal of</w:t>
      </w:r>
      <w:bookmarkEnd w:id="671"/>
      <w:bookmarkEnd w:id="672"/>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673" w:name="_Toc404246387"/>
      <w:bookmarkStart w:id="674" w:name="_Toc402879244"/>
      <w:r>
        <w:rPr>
          <w:rStyle w:val="CharSectno"/>
        </w:rPr>
        <w:t>155</w:t>
      </w:r>
      <w:r>
        <w:rPr>
          <w:snapToGrid w:val="0"/>
        </w:rPr>
        <w:t>.</w:t>
      </w:r>
      <w:r>
        <w:rPr>
          <w:snapToGrid w:val="0"/>
        </w:rPr>
        <w:tab/>
        <w:t>Accounts prescribed (Act s. 221(2))</w:t>
      </w:r>
      <w:bookmarkEnd w:id="673"/>
      <w:bookmarkEnd w:id="674"/>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 xml:space="preserve">the Fisheries Research and Development </w:t>
      </w:r>
      <w:del w:id="675" w:author="Master Repository Process" w:date="2021-08-28T12:00:00Z">
        <w:r>
          <w:rPr>
            <w:snapToGrid w:val="0"/>
          </w:rPr>
          <w:delText>Fund</w:delText>
        </w:r>
        <w:r>
          <w:rPr>
            <w:snapToGrid w:val="0"/>
            <w:vertAlign w:val="superscript"/>
          </w:rPr>
          <w:delText> 4</w:delText>
        </w:r>
      </w:del>
      <w:ins w:id="676" w:author="Master Repository Process" w:date="2021-08-28T12:00:00Z">
        <w:r>
          <w:rPr>
            <w:snapToGrid w:val="0"/>
          </w:rPr>
          <w:t>Account</w:t>
        </w:r>
        <w:r>
          <w:rPr>
            <w:snapToGrid w:val="0"/>
            <w:vertAlign w:val="superscript"/>
          </w:rPr>
          <w:t> 5</w:t>
        </w:r>
      </w:ins>
      <w:r>
        <w:rPr>
          <w:snapToGrid w:val="0"/>
          <w:vertAlign w:val="superscript"/>
        </w:rPr>
        <w:t xml:space="preserve"> </w:t>
      </w:r>
      <w:r>
        <w:rPr>
          <w:snapToGrid w:val="0"/>
        </w:rPr>
        <w:t>continued under section 238 of the Act, where the thing was forfeited in respect of an offence relating to aquaculture, commercial fishing, or processing; or</w:t>
      </w:r>
    </w:p>
    <w:p>
      <w:pPr>
        <w:pStyle w:val="Indenta"/>
        <w:rPr>
          <w:snapToGrid w:val="0"/>
        </w:rPr>
      </w:pPr>
      <w:r>
        <w:rPr>
          <w:snapToGrid w:val="0"/>
        </w:rPr>
        <w:tab/>
        <w:t>(b)</w:t>
      </w:r>
      <w:r>
        <w:rPr>
          <w:snapToGrid w:val="0"/>
        </w:rPr>
        <w:tab/>
        <w:t xml:space="preserve">the Recreational Fishing </w:t>
      </w:r>
      <w:del w:id="677" w:author="Master Repository Process" w:date="2021-08-28T12:00:00Z">
        <w:r>
          <w:rPr>
            <w:snapToGrid w:val="0"/>
          </w:rPr>
          <w:delText>Fund</w:delText>
        </w:r>
        <w:r>
          <w:rPr>
            <w:snapToGrid w:val="0"/>
            <w:vertAlign w:val="superscript"/>
          </w:rPr>
          <w:delText> 5</w:delText>
        </w:r>
      </w:del>
      <w:ins w:id="678" w:author="Master Repository Process" w:date="2021-08-28T12:00:00Z">
        <w:r>
          <w:rPr>
            <w:snapToGrid w:val="0"/>
          </w:rPr>
          <w:t>Account</w:t>
        </w:r>
        <w:r>
          <w:rPr>
            <w:snapToGrid w:val="0"/>
            <w:vertAlign w:val="superscript"/>
          </w:rPr>
          <w:t> 6</w:t>
        </w:r>
      </w:ins>
      <w:r>
        <w:rPr>
          <w:snapToGrid w:val="0"/>
        </w:rPr>
        <w:t xml:space="preserve"> established under section 239 of the Act in all other cases.</w:t>
      </w:r>
    </w:p>
    <w:p>
      <w:pPr>
        <w:pStyle w:val="Footnotesection"/>
      </w:pPr>
      <w:r>
        <w:tab/>
        <w:t>[Regulation 155 amended in Gazette 30 May 2014 p. 1735.]</w:t>
      </w:r>
    </w:p>
    <w:p>
      <w:pPr>
        <w:pStyle w:val="Heading5"/>
        <w:rPr>
          <w:snapToGrid w:val="0"/>
        </w:rPr>
      </w:pPr>
      <w:bookmarkStart w:id="679" w:name="_Toc404246388"/>
      <w:bookmarkStart w:id="680" w:name="_Toc402879245"/>
      <w:r>
        <w:rPr>
          <w:rStyle w:val="CharSectno"/>
        </w:rPr>
        <w:t>156</w:t>
      </w:r>
      <w:r>
        <w:rPr>
          <w:snapToGrid w:val="0"/>
        </w:rPr>
        <w:t>.</w:t>
      </w:r>
      <w:r>
        <w:rPr>
          <w:snapToGrid w:val="0"/>
        </w:rPr>
        <w:tab/>
        <w:t>Provisions of regulations prescribed (Act s. 222(1))</w:t>
      </w:r>
      <w:bookmarkEnd w:id="679"/>
      <w:bookmarkEnd w:id="680"/>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113A(1), 113A(2), 113B(1), 121,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w:t>
      </w:r>
    </w:p>
    <w:p>
      <w:pPr>
        <w:pStyle w:val="Heading5"/>
      </w:pPr>
      <w:bookmarkStart w:id="681" w:name="_Toc404246389"/>
      <w:bookmarkStart w:id="682" w:name="_Toc402879246"/>
      <w:r>
        <w:rPr>
          <w:rStyle w:val="CharSectno"/>
        </w:rPr>
        <w:t>157</w:t>
      </w:r>
      <w:r>
        <w:t>.</w:t>
      </w:r>
      <w:r>
        <w:tab/>
        <w:t>Values prescribed (Act s. 222(4)(a), (b))</w:t>
      </w:r>
      <w:bookmarkEnd w:id="681"/>
      <w:bookmarkEnd w:id="682"/>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683" w:name="_Toc404246390"/>
      <w:bookmarkStart w:id="684" w:name="_Toc402879247"/>
      <w:r>
        <w:rPr>
          <w:rStyle w:val="CharSectno"/>
        </w:rPr>
        <w:t>158</w:t>
      </w:r>
      <w:r>
        <w:rPr>
          <w:snapToGrid w:val="0"/>
        </w:rPr>
        <w:t>.</w:t>
      </w:r>
      <w:r>
        <w:rPr>
          <w:snapToGrid w:val="0"/>
        </w:rPr>
        <w:tab/>
        <w:t>Offences prescribed (Act s. 224(1)(a))</w:t>
      </w:r>
      <w:bookmarkEnd w:id="683"/>
      <w:bookmarkEnd w:id="684"/>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Regulations 13, 16B, 18, 31A(1), 31A(2), 32(1), 35, 38, 55G(1), 55G(2), 55H(2), 63, 64, 64Q, 71(3), 117(1), 119(2), 125(2), 128MA(2), 128OA(2), 128O, 128P, 130(4), 145(1) and 176.</w:t>
            </w:r>
          </w:p>
        </w:tc>
      </w:tr>
    </w:tbl>
    <w:p>
      <w:pPr>
        <w:pStyle w:val="Footnotesection"/>
        <w:keepLines w:val="0"/>
        <w:spacing w:before="100"/>
      </w:pPr>
      <w:r>
        <w:tab/>
        <w:t>[Regulation 158 amended in Gazette 29 Jun 2001 p. 3175; 14 Nov 2001 p. 5979; 29 Nov 2002 p. 5655; 11 Feb 2003 p. 412; 1 Oct 2003 p. 4328; 31 Oct 2003 p. 4562; 10 Nov 2006 p. 4709; 27 Aug 2010 p. 4106; 4 Dec 2012 p. 5920; 4 Sep 2013 p. 4179; 30 May 2014 p. 1736; 26 Aug 2014 p. 3084.]</w:t>
      </w:r>
    </w:p>
    <w:p>
      <w:pPr>
        <w:pStyle w:val="Heading5"/>
        <w:rPr>
          <w:snapToGrid w:val="0"/>
        </w:rPr>
      </w:pPr>
      <w:bookmarkStart w:id="685" w:name="_Toc404246391"/>
      <w:bookmarkStart w:id="686" w:name="_Toc402879248"/>
      <w:r>
        <w:rPr>
          <w:rStyle w:val="CharSectno"/>
        </w:rPr>
        <w:t>159</w:t>
      </w:r>
      <w:r>
        <w:rPr>
          <w:snapToGrid w:val="0"/>
        </w:rPr>
        <w:t>.</w:t>
      </w:r>
      <w:r>
        <w:rPr>
          <w:snapToGrid w:val="0"/>
        </w:rPr>
        <w:tab/>
        <w:t>Offences prescribed (Act s. 228(1))</w:t>
      </w:r>
      <w:bookmarkEnd w:id="685"/>
      <w:bookmarkEnd w:id="686"/>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687" w:name="_Toc404246392"/>
      <w:bookmarkStart w:id="688" w:name="_Toc402879249"/>
      <w:r>
        <w:rPr>
          <w:rStyle w:val="CharSectno"/>
        </w:rPr>
        <w:t>160</w:t>
      </w:r>
      <w:r>
        <w:rPr>
          <w:snapToGrid w:val="0"/>
        </w:rPr>
        <w:t>.</w:t>
      </w:r>
      <w:r>
        <w:rPr>
          <w:snapToGrid w:val="0"/>
        </w:rPr>
        <w:tab/>
        <w:t>Infringement notice form prescribed (Act s. 229(1))</w:t>
      </w:r>
      <w:bookmarkEnd w:id="687"/>
      <w:bookmarkEnd w:id="688"/>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689" w:name="_Toc404246393"/>
      <w:bookmarkStart w:id="690" w:name="_Toc402879250"/>
      <w:r>
        <w:rPr>
          <w:rStyle w:val="CharSectno"/>
        </w:rPr>
        <w:t>161</w:t>
      </w:r>
      <w:r>
        <w:rPr>
          <w:snapToGrid w:val="0"/>
        </w:rPr>
        <w:t>.</w:t>
      </w:r>
      <w:r>
        <w:rPr>
          <w:snapToGrid w:val="0"/>
        </w:rPr>
        <w:tab/>
        <w:t>Withdrawal of infringement notice form prescribed (Act s. 231(1))</w:t>
      </w:r>
      <w:bookmarkEnd w:id="689"/>
      <w:bookmarkEnd w:id="690"/>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691" w:name="_Toc404246394"/>
      <w:bookmarkStart w:id="692" w:name="_Toc402879251"/>
      <w:r>
        <w:rPr>
          <w:rStyle w:val="CharSectno"/>
        </w:rPr>
        <w:t>162</w:t>
      </w:r>
      <w:r>
        <w:rPr>
          <w:snapToGrid w:val="0"/>
        </w:rPr>
        <w:t>.</w:t>
      </w:r>
      <w:r>
        <w:rPr>
          <w:snapToGrid w:val="0"/>
        </w:rPr>
        <w:tab/>
        <w:t>Modified penalties prescribed (Act s. 229(2))</w:t>
      </w:r>
      <w:bookmarkEnd w:id="691"/>
      <w:bookmarkEnd w:id="692"/>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in Gazette 18 Jun 2013 p. 2297.]</w:t>
      </w:r>
    </w:p>
    <w:p>
      <w:pPr>
        <w:pStyle w:val="Heading2"/>
      </w:pPr>
      <w:bookmarkStart w:id="693" w:name="_Toc404246395"/>
      <w:bookmarkStart w:id="694" w:name="_Toc402879252"/>
      <w:r>
        <w:rPr>
          <w:rStyle w:val="CharPartNo"/>
        </w:rPr>
        <w:t>Part 16</w:t>
      </w:r>
      <w:r>
        <w:rPr>
          <w:rStyle w:val="CharDivNo"/>
        </w:rPr>
        <w:t> </w:t>
      </w:r>
      <w:r>
        <w:t>—</w:t>
      </w:r>
      <w:r>
        <w:rPr>
          <w:rStyle w:val="CharDivText"/>
        </w:rPr>
        <w:t> </w:t>
      </w:r>
      <w:r>
        <w:rPr>
          <w:rStyle w:val="CharPartText"/>
        </w:rPr>
        <w:t>Financial provisions</w:t>
      </w:r>
      <w:bookmarkEnd w:id="693"/>
      <w:bookmarkEnd w:id="694"/>
    </w:p>
    <w:p>
      <w:pPr>
        <w:pStyle w:val="Heading5"/>
        <w:rPr>
          <w:snapToGrid w:val="0"/>
        </w:rPr>
      </w:pPr>
      <w:bookmarkStart w:id="695" w:name="_Toc404246396"/>
      <w:bookmarkStart w:id="696" w:name="_Toc402879253"/>
      <w:r>
        <w:rPr>
          <w:rStyle w:val="CharSectno"/>
        </w:rPr>
        <w:t>163</w:t>
      </w:r>
      <w:r>
        <w:rPr>
          <w:snapToGrid w:val="0"/>
        </w:rPr>
        <w:t>.</w:t>
      </w:r>
      <w:r>
        <w:rPr>
          <w:snapToGrid w:val="0"/>
        </w:rPr>
        <w:tab/>
        <w:t>Times prescribed for special purpose audits (Act s. 240)</w:t>
      </w:r>
      <w:bookmarkEnd w:id="695"/>
      <w:bookmarkEnd w:id="696"/>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697" w:name="_Toc404246397"/>
      <w:bookmarkStart w:id="698" w:name="_Toc402879254"/>
      <w:r>
        <w:rPr>
          <w:rStyle w:val="CharPartNo"/>
        </w:rPr>
        <w:t>Part 17</w:t>
      </w:r>
      <w:r>
        <w:t> — </w:t>
      </w:r>
      <w:r>
        <w:rPr>
          <w:rStyle w:val="CharPartText"/>
        </w:rPr>
        <w:t>Miscellaneous</w:t>
      </w:r>
      <w:bookmarkEnd w:id="697"/>
      <w:bookmarkEnd w:id="698"/>
    </w:p>
    <w:p>
      <w:pPr>
        <w:pStyle w:val="Heading3"/>
      </w:pPr>
      <w:bookmarkStart w:id="699" w:name="_Toc404246398"/>
      <w:bookmarkStart w:id="700" w:name="_Toc402879255"/>
      <w:r>
        <w:rPr>
          <w:rStyle w:val="CharDivNo"/>
        </w:rPr>
        <w:t>Division 1</w:t>
      </w:r>
      <w:r>
        <w:rPr>
          <w:snapToGrid w:val="0"/>
        </w:rPr>
        <w:t> — </w:t>
      </w:r>
      <w:r>
        <w:rPr>
          <w:rStyle w:val="CharDivText"/>
        </w:rPr>
        <w:t>Guidelines</w:t>
      </w:r>
      <w:bookmarkEnd w:id="699"/>
      <w:bookmarkEnd w:id="700"/>
    </w:p>
    <w:p>
      <w:pPr>
        <w:pStyle w:val="Heading5"/>
        <w:rPr>
          <w:snapToGrid w:val="0"/>
        </w:rPr>
      </w:pPr>
      <w:bookmarkStart w:id="701" w:name="_Toc404246399"/>
      <w:bookmarkStart w:id="702" w:name="_Toc402879256"/>
      <w:r>
        <w:rPr>
          <w:rStyle w:val="CharSectno"/>
        </w:rPr>
        <w:t>164</w:t>
      </w:r>
      <w:r>
        <w:rPr>
          <w:snapToGrid w:val="0"/>
        </w:rPr>
        <w:t>.</w:t>
      </w:r>
      <w:r>
        <w:rPr>
          <w:snapToGrid w:val="0"/>
        </w:rPr>
        <w:tab/>
        <w:t>Ways of publishing guidelines prescribed (Act s. 246 and 247)</w:t>
      </w:r>
      <w:bookmarkEnd w:id="701"/>
      <w:bookmarkEnd w:id="702"/>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703" w:name="_Toc404246400"/>
      <w:bookmarkStart w:id="704" w:name="_Toc402879257"/>
      <w:r>
        <w:rPr>
          <w:rStyle w:val="CharSectno"/>
        </w:rPr>
        <w:t>165</w:t>
      </w:r>
      <w:r>
        <w:rPr>
          <w:snapToGrid w:val="0"/>
        </w:rPr>
        <w:t>.</w:t>
      </w:r>
      <w:r>
        <w:rPr>
          <w:snapToGrid w:val="0"/>
        </w:rPr>
        <w:tab/>
        <w:t>Form of notice to attend inquiry etc. (Act s. 249(3))</w:t>
      </w:r>
      <w:bookmarkEnd w:id="703"/>
      <w:bookmarkEnd w:id="704"/>
    </w:p>
    <w:p>
      <w:pPr>
        <w:pStyle w:val="Subsection"/>
        <w:rPr>
          <w:snapToGrid w:val="0"/>
        </w:rPr>
      </w:pPr>
      <w:r>
        <w:rPr>
          <w:snapToGrid w:val="0"/>
        </w:rPr>
        <w:tab/>
      </w:r>
      <w:r>
        <w:rPr>
          <w:snapToGrid w:val="0"/>
        </w:rPr>
        <w:tab/>
        <w:t>A notice under section 249(3)(a) of the Act is to be in the form of Form 5.</w:t>
      </w:r>
    </w:p>
    <w:p>
      <w:pPr>
        <w:pStyle w:val="Heading3"/>
      </w:pPr>
      <w:bookmarkStart w:id="705" w:name="_Toc404246401"/>
      <w:bookmarkStart w:id="706" w:name="_Toc402879258"/>
      <w:r>
        <w:rPr>
          <w:rStyle w:val="CharDivNo"/>
        </w:rPr>
        <w:t>Division 2</w:t>
      </w:r>
      <w:r>
        <w:rPr>
          <w:snapToGrid w:val="0"/>
        </w:rPr>
        <w:t> — </w:t>
      </w:r>
      <w:r>
        <w:rPr>
          <w:rStyle w:val="CharDivText"/>
        </w:rPr>
        <w:t>Exclusive licences</w:t>
      </w:r>
      <w:bookmarkEnd w:id="705"/>
      <w:bookmarkEnd w:id="706"/>
    </w:p>
    <w:p>
      <w:pPr>
        <w:pStyle w:val="Heading5"/>
        <w:rPr>
          <w:snapToGrid w:val="0"/>
        </w:rPr>
      </w:pPr>
      <w:bookmarkStart w:id="707" w:name="_Toc404246402"/>
      <w:bookmarkStart w:id="708" w:name="_Toc402879259"/>
      <w:r>
        <w:rPr>
          <w:rStyle w:val="CharSectno"/>
        </w:rPr>
        <w:t>166</w:t>
      </w:r>
      <w:r>
        <w:rPr>
          <w:snapToGrid w:val="0"/>
        </w:rPr>
        <w:t>.</w:t>
      </w:r>
      <w:r>
        <w:rPr>
          <w:snapToGrid w:val="0"/>
        </w:rPr>
        <w:tab/>
        <w:t>Applications for exclusive licences</w:t>
      </w:r>
      <w:bookmarkEnd w:id="707"/>
      <w:bookmarkEnd w:id="708"/>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709" w:name="_Toc404246403"/>
      <w:bookmarkStart w:id="710" w:name="_Toc402879260"/>
      <w:r>
        <w:rPr>
          <w:rStyle w:val="CharSectno"/>
        </w:rPr>
        <w:t>167</w:t>
      </w:r>
      <w:r>
        <w:rPr>
          <w:snapToGrid w:val="0"/>
        </w:rPr>
        <w:t>.</w:t>
      </w:r>
      <w:r>
        <w:rPr>
          <w:snapToGrid w:val="0"/>
        </w:rPr>
        <w:tab/>
        <w:t>Effect of exclusive licences</w:t>
      </w:r>
      <w:bookmarkEnd w:id="709"/>
      <w:bookmarkEnd w:id="710"/>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711" w:name="_Toc404246404"/>
      <w:bookmarkStart w:id="712" w:name="_Toc402879261"/>
      <w:r>
        <w:rPr>
          <w:rStyle w:val="CharSectno"/>
        </w:rPr>
        <w:t>168</w:t>
      </w:r>
      <w:r>
        <w:rPr>
          <w:snapToGrid w:val="0"/>
        </w:rPr>
        <w:t>.</w:t>
      </w:r>
      <w:r>
        <w:rPr>
          <w:snapToGrid w:val="0"/>
        </w:rPr>
        <w:tab/>
        <w:t>Form of exclusive licences</w:t>
      </w:r>
      <w:bookmarkEnd w:id="711"/>
      <w:bookmarkEnd w:id="712"/>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713" w:name="_Toc404246405"/>
      <w:bookmarkStart w:id="714" w:name="_Toc402879262"/>
      <w:r>
        <w:rPr>
          <w:rStyle w:val="CharSectno"/>
        </w:rPr>
        <w:t>169</w:t>
      </w:r>
      <w:r>
        <w:rPr>
          <w:snapToGrid w:val="0"/>
        </w:rPr>
        <w:t>.</w:t>
      </w:r>
      <w:r>
        <w:rPr>
          <w:snapToGrid w:val="0"/>
        </w:rPr>
        <w:tab/>
        <w:t>Renewal after expiry of exclusive licences (Act s. 139)</w:t>
      </w:r>
      <w:bookmarkEnd w:id="713"/>
      <w:bookmarkEnd w:id="714"/>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715" w:name="_Toc404246406"/>
      <w:bookmarkStart w:id="716" w:name="_Toc402879263"/>
      <w:r>
        <w:rPr>
          <w:rStyle w:val="CharSectno"/>
        </w:rPr>
        <w:t>170</w:t>
      </w:r>
      <w:r>
        <w:rPr>
          <w:snapToGrid w:val="0"/>
        </w:rPr>
        <w:t>.</w:t>
      </w:r>
      <w:r>
        <w:rPr>
          <w:snapToGrid w:val="0"/>
        </w:rPr>
        <w:tab/>
        <w:t>Some draft exclusive licences to go before Parliament</w:t>
      </w:r>
      <w:bookmarkEnd w:id="715"/>
      <w:bookmarkEnd w:id="716"/>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717" w:name="_Toc404246407"/>
      <w:bookmarkStart w:id="718" w:name="_Toc402879264"/>
      <w:r>
        <w:rPr>
          <w:rStyle w:val="CharSectno"/>
        </w:rPr>
        <w:t>171</w:t>
      </w:r>
      <w:r>
        <w:rPr>
          <w:snapToGrid w:val="0"/>
        </w:rPr>
        <w:t>.</w:t>
      </w:r>
      <w:r>
        <w:rPr>
          <w:snapToGrid w:val="0"/>
        </w:rPr>
        <w:tab/>
        <w:t>Conditions of exclusive licences</w:t>
      </w:r>
      <w:bookmarkEnd w:id="717"/>
      <w:bookmarkEnd w:id="71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719" w:name="_Toc404246408"/>
      <w:bookmarkStart w:id="720" w:name="_Toc402879265"/>
      <w:r>
        <w:rPr>
          <w:rStyle w:val="CharSectno"/>
        </w:rPr>
        <w:t>172</w:t>
      </w:r>
      <w:r>
        <w:rPr>
          <w:snapToGrid w:val="0"/>
        </w:rPr>
        <w:t>.</w:t>
      </w:r>
      <w:r>
        <w:rPr>
          <w:snapToGrid w:val="0"/>
        </w:rPr>
        <w:tab/>
        <w:t>Who can fish in areas the subject of exclusive licences</w:t>
      </w:r>
      <w:bookmarkEnd w:id="719"/>
      <w:bookmarkEnd w:id="72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721" w:name="_Toc404246409"/>
      <w:bookmarkStart w:id="722" w:name="_Toc402879266"/>
      <w:r>
        <w:rPr>
          <w:rStyle w:val="CharDivNo"/>
        </w:rPr>
        <w:t>Division 3</w:t>
      </w:r>
      <w:r>
        <w:rPr>
          <w:snapToGrid w:val="0"/>
        </w:rPr>
        <w:t> — </w:t>
      </w:r>
      <w:r>
        <w:rPr>
          <w:rStyle w:val="CharDivText"/>
        </w:rPr>
        <w:t>Prohibition of activities that pollute waters</w:t>
      </w:r>
      <w:bookmarkEnd w:id="721"/>
      <w:bookmarkEnd w:id="722"/>
    </w:p>
    <w:p>
      <w:pPr>
        <w:pStyle w:val="Heading5"/>
        <w:rPr>
          <w:snapToGrid w:val="0"/>
        </w:rPr>
      </w:pPr>
      <w:bookmarkStart w:id="723" w:name="_Toc404246410"/>
      <w:bookmarkStart w:id="724" w:name="_Toc402879267"/>
      <w:r>
        <w:rPr>
          <w:rStyle w:val="CharSectno"/>
        </w:rPr>
        <w:t>173</w:t>
      </w:r>
      <w:r>
        <w:rPr>
          <w:snapToGrid w:val="0"/>
        </w:rPr>
        <w:t>.</w:t>
      </w:r>
      <w:r>
        <w:rPr>
          <w:snapToGrid w:val="0"/>
        </w:rPr>
        <w:tab/>
        <w:t>Notice prohibiting activities, form of (Act s. 255(1))</w:t>
      </w:r>
      <w:bookmarkEnd w:id="723"/>
      <w:bookmarkEnd w:id="724"/>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725" w:name="_Toc404246411"/>
      <w:bookmarkStart w:id="726" w:name="_Toc402879268"/>
      <w:r>
        <w:rPr>
          <w:rStyle w:val="CharSectno"/>
        </w:rPr>
        <w:t>174</w:t>
      </w:r>
      <w:r>
        <w:rPr>
          <w:snapToGrid w:val="0"/>
        </w:rPr>
        <w:t>.</w:t>
      </w:r>
      <w:r>
        <w:rPr>
          <w:snapToGrid w:val="0"/>
        </w:rPr>
        <w:tab/>
        <w:t>Notice of variation or revocation, form of (Act s. 255(2)(c))</w:t>
      </w:r>
      <w:bookmarkEnd w:id="725"/>
      <w:bookmarkEnd w:id="726"/>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727" w:name="_Toc404246412"/>
      <w:bookmarkStart w:id="728" w:name="_Toc402879269"/>
      <w:r>
        <w:rPr>
          <w:rStyle w:val="CharDivNo"/>
        </w:rPr>
        <w:t>Division 4</w:t>
      </w:r>
      <w:r>
        <w:rPr>
          <w:snapToGrid w:val="0"/>
        </w:rPr>
        <w:t> — </w:t>
      </w:r>
      <w:r>
        <w:rPr>
          <w:rStyle w:val="CharDivText"/>
        </w:rPr>
        <w:t>General</w:t>
      </w:r>
      <w:bookmarkEnd w:id="727"/>
      <w:bookmarkEnd w:id="728"/>
    </w:p>
    <w:p>
      <w:pPr>
        <w:pStyle w:val="Heading5"/>
        <w:rPr>
          <w:snapToGrid w:val="0"/>
        </w:rPr>
      </w:pPr>
      <w:bookmarkStart w:id="729" w:name="_Toc404246413"/>
      <w:bookmarkStart w:id="730" w:name="_Toc402879270"/>
      <w:r>
        <w:rPr>
          <w:rStyle w:val="CharSectno"/>
        </w:rPr>
        <w:t>176</w:t>
      </w:r>
      <w:r>
        <w:rPr>
          <w:snapToGrid w:val="0"/>
        </w:rPr>
        <w:t>.</w:t>
      </w:r>
      <w:r>
        <w:rPr>
          <w:snapToGrid w:val="0"/>
        </w:rPr>
        <w:tab/>
        <w:t>Non</w:t>
      </w:r>
      <w:r>
        <w:rPr>
          <w:snapToGrid w:val="0"/>
        </w:rPr>
        <w:noBreakHyphen/>
        <w:t>endemic fish, approval to import into WA etc.</w:t>
      </w:r>
      <w:bookmarkEnd w:id="729"/>
      <w:bookmarkEnd w:id="730"/>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731" w:name="_Toc404246414"/>
      <w:bookmarkStart w:id="732" w:name="_Toc402879271"/>
      <w:r>
        <w:rPr>
          <w:rStyle w:val="CharSectno"/>
        </w:rPr>
        <w:t>177</w:t>
      </w:r>
      <w:r>
        <w:rPr>
          <w:snapToGrid w:val="0"/>
        </w:rPr>
        <w:t>.</w:t>
      </w:r>
      <w:r>
        <w:rPr>
          <w:snapToGrid w:val="0"/>
        </w:rPr>
        <w:tab/>
        <w:t>Disease control at fish processing or aquaculture places</w:t>
      </w:r>
      <w:bookmarkEnd w:id="731"/>
      <w:bookmarkEnd w:id="732"/>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733" w:name="_Toc404246415"/>
      <w:bookmarkStart w:id="734" w:name="_Toc402879272"/>
      <w:r>
        <w:rPr>
          <w:rStyle w:val="CharSectno"/>
        </w:rPr>
        <w:t>178</w:t>
      </w:r>
      <w:r>
        <w:rPr>
          <w:snapToGrid w:val="0"/>
        </w:rPr>
        <w:t>.</w:t>
      </w:r>
      <w:r>
        <w:rPr>
          <w:snapToGrid w:val="0"/>
        </w:rPr>
        <w:tab/>
        <w:t>Fish for scientific purposes, authority to fish for</w:t>
      </w:r>
      <w:bookmarkEnd w:id="733"/>
      <w:bookmarkEnd w:id="734"/>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735" w:name="_Toc404246416"/>
      <w:bookmarkStart w:id="736" w:name="_Toc402879273"/>
      <w:r>
        <w:rPr>
          <w:rStyle w:val="CharSectno"/>
        </w:rPr>
        <w:t>179</w:t>
      </w:r>
      <w:r>
        <w:rPr>
          <w:snapToGrid w:val="0"/>
        </w:rPr>
        <w:t>.</w:t>
      </w:r>
      <w:r>
        <w:rPr>
          <w:snapToGrid w:val="0"/>
        </w:rPr>
        <w:tab/>
        <w:t>Fish for genetic etc. analysis, approval to take etc.</w:t>
      </w:r>
      <w:bookmarkEnd w:id="735"/>
      <w:bookmarkEnd w:id="736"/>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737" w:name="_Toc404246417"/>
      <w:bookmarkStart w:id="738" w:name="_Toc402879274"/>
      <w:r>
        <w:rPr>
          <w:rStyle w:val="CharSectno"/>
        </w:rPr>
        <w:t>180</w:t>
      </w:r>
      <w:r>
        <w:rPr>
          <w:snapToGrid w:val="0"/>
        </w:rPr>
        <w:t>.</w:t>
      </w:r>
      <w:r>
        <w:rPr>
          <w:snapToGrid w:val="0"/>
        </w:rPr>
        <w:tab/>
        <w:t>Categories of fish (Sch. 4)</w:t>
      </w:r>
      <w:bookmarkEnd w:id="737"/>
      <w:bookmarkEnd w:id="738"/>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739" w:name="_Toc404246418"/>
      <w:bookmarkStart w:id="740" w:name="_Toc402879275"/>
      <w:r>
        <w:rPr>
          <w:rStyle w:val="CharSectno"/>
        </w:rPr>
        <w:t>181A</w:t>
      </w:r>
      <w:r>
        <w:t>.</w:t>
      </w:r>
      <w:r>
        <w:tab/>
        <w:t xml:space="preserve">Certain things are not personal property for purposes of </w:t>
      </w:r>
      <w:r>
        <w:rPr>
          <w:i/>
        </w:rPr>
        <w:t xml:space="preserve">Personal Property Securities Act 2009 </w:t>
      </w:r>
      <w:r>
        <w:t>(Cwlth)</w:t>
      </w:r>
      <w:bookmarkEnd w:id="739"/>
      <w:bookmarkEnd w:id="740"/>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Ednotepara"/>
        <w:spacing w:before="80"/>
      </w:pPr>
      <w:r>
        <w:rPr>
          <w:snapToGrid w:val="0"/>
        </w:rPr>
        <w:tab/>
      </w:r>
      <w:r>
        <w:t>[(g)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w:t>
      </w:r>
    </w:p>
    <w:p>
      <w:pPr>
        <w:pStyle w:val="Heading5"/>
        <w:rPr>
          <w:snapToGrid w:val="0"/>
        </w:rPr>
      </w:pPr>
      <w:bookmarkStart w:id="741" w:name="_Toc404246419"/>
      <w:bookmarkStart w:id="742" w:name="_Toc402879276"/>
      <w:r>
        <w:rPr>
          <w:rStyle w:val="CharSectno"/>
        </w:rPr>
        <w:t>181</w:t>
      </w:r>
      <w:r>
        <w:rPr>
          <w:snapToGrid w:val="0"/>
        </w:rPr>
        <w:t>.</w:t>
      </w:r>
      <w:r>
        <w:rPr>
          <w:snapToGrid w:val="0"/>
        </w:rPr>
        <w:tab/>
        <w:t>Fees and charges, reduction and waiver of</w:t>
      </w:r>
      <w:bookmarkEnd w:id="741"/>
      <w:bookmarkEnd w:id="742"/>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743" w:name="_Toc404246420"/>
      <w:bookmarkStart w:id="744" w:name="_Toc402879277"/>
      <w:r>
        <w:rPr>
          <w:rStyle w:val="CharPartNo"/>
        </w:rPr>
        <w:t>Part 18</w:t>
      </w:r>
      <w:r>
        <w:rPr>
          <w:rStyle w:val="CharDivNo"/>
        </w:rPr>
        <w:t> </w:t>
      </w:r>
      <w:r>
        <w:t>—</w:t>
      </w:r>
      <w:r>
        <w:rPr>
          <w:rStyle w:val="CharDivText"/>
        </w:rPr>
        <w:t> </w:t>
      </w:r>
      <w:r>
        <w:rPr>
          <w:rStyle w:val="CharPartText"/>
        </w:rPr>
        <w:t>Savings and transitional provisions</w:t>
      </w:r>
      <w:bookmarkEnd w:id="743"/>
      <w:bookmarkEnd w:id="744"/>
    </w:p>
    <w:p>
      <w:pPr>
        <w:pStyle w:val="Heading5"/>
        <w:rPr>
          <w:snapToGrid w:val="0"/>
        </w:rPr>
      </w:pPr>
      <w:bookmarkStart w:id="745" w:name="_Toc404246421"/>
      <w:bookmarkStart w:id="746" w:name="_Toc402879278"/>
      <w:r>
        <w:rPr>
          <w:rStyle w:val="CharSectno"/>
        </w:rPr>
        <w:t>182</w:t>
      </w:r>
      <w:r>
        <w:rPr>
          <w:snapToGrid w:val="0"/>
        </w:rPr>
        <w:t>.</w:t>
      </w:r>
      <w:r>
        <w:rPr>
          <w:snapToGrid w:val="0"/>
        </w:rPr>
        <w:tab/>
        <w:t>Limited entry fisheries under repealed Act (Act s. 74)</w:t>
      </w:r>
      <w:bookmarkEnd w:id="745"/>
      <w:bookmarkEnd w:id="746"/>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747" w:name="_Toc404246422"/>
      <w:bookmarkStart w:id="748" w:name="_Toc402879279"/>
      <w:r>
        <w:rPr>
          <w:rStyle w:val="CharSectno"/>
        </w:rPr>
        <w:t>183</w:t>
      </w:r>
      <w:r>
        <w:rPr>
          <w:snapToGrid w:val="0"/>
        </w:rPr>
        <w:t>.</w:t>
      </w:r>
      <w:r>
        <w:rPr>
          <w:snapToGrid w:val="0"/>
        </w:rPr>
        <w:tab/>
        <w:t>Citation of notices</w:t>
      </w:r>
      <w:bookmarkEnd w:id="747"/>
      <w:bookmarkEnd w:id="748"/>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749" w:name="_Toc404246423"/>
      <w:bookmarkStart w:id="750" w:name="_Toc402879280"/>
      <w:r>
        <w:rPr>
          <w:rStyle w:val="CharSectno"/>
        </w:rPr>
        <w:t>186</w:t>
      </w:r>
      <w:r>
        <w:rPr>
          <w:snapToGrid w:val="0"/>
        </w:rPr>
        <w:t>.</w:t>
      </w:r>
      <w:r>
        <w:rPr>
          <w:snapToGrid w:val="0"/>
        </w:rPr>
        <w:tab/>
        <w:t>Certain notices under repealed Act continued as orders (Act s. 43)</w:t>
      </w:r>
      <w:bookmarkEnd w:id="749"/>
      <w:bookmarkEnd w:id="750"/>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751" w:name="_Toc404246424"/>
      <w:bookmarkStart w:id="752" w:name="_Toc402879281"/>
      <w:r>
        <w:rPr>
          <w:rStyle w:val="CharSchNo"/>
        </w:rPr>
        <w:t>Schedule 1</w:t>
      </w:r>
      <w:r>
        <w:t> — </w:t>
      </w:r>
      <w:r>
        <w:rPr>
          <w:rStyle w:val="CharSchText"/>
        </w:rPr>
        <w:t>Fees</w:t>
      </w:r>
      <w:bookmarkEnd w:id="751"/>
      <w:bookmarkEnd w:id="752"/>
    </w:p>
    <w:p>
      <w:pPr>
        <w:pStyle w:val="yFootnoteheading"/>
      </w:pPr>
      <w:r>
        <w:tab/>
        <w:t>[Heading inserted in Gazette 9 Jun 2009 p. 1912.]</w:t>
      </w:r>
    </w:p>
    <w:p>
      <w:pPr>
        <w:pStyle w:val="yHeading2"/>
      </w:pPr>
      <w:bookmarkStart w:id="753" w:name="_Toc404246425"/>
      <w:bookmarkStart w:id="754" w:name="_Toc402879282"/>
      <w:r>
        <w:rPr>
          <w:rStyle w:val="CharSDivNo"/>
          <w:sz w:val="28"/>
        </w:rPr>
        <w:t>Part 1</w:t>
      </w:r>
      <w:r>
        <w:t> — </w:t>
      </w:r>
      <w:r>
        <w:rPr>
          <w:rStyle w:val="CharSDivText"/>
          <w:sz w:val="28"/>
        </w:rPr>
        <w:t>General fees</w:t>
      </w:r>
      <w:bookmarkEnd w:id="753"/>
      <w:bookmarkEnd w:id="754"/>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755" w:name="_Toc404246426"/>
      <w:bookmarkStart w:id="756" w:name="_Toc402879283"/>
      <w:r>
        <w:rPr>
          <w:rStyle w:val="CharSDivNo"/>
          <w:sz w:val="28"/>
        </w:rPr>
        <w:t>Part 2</w:t>
      </w:r>
      <w:r>
        <w:t> — </w:t>
      </w:r>
      <w:r>
        <w:rPr>
          <w:rStyle w:val="CharSDivText"/>
          <w:sz w:val="28"/>
        </w:rPr>
        <w:t>Application fees</w:t>
      </w:r>
      <w:bookmarkEnd w:id="755"/>
      <w:bookmarkEnd w:id="756"/>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 30 May 2014 p. 1736.]</w:t>
      </w:r>
    </w:p>
    <w:p>
      <w:pPr>
        <w:pStyle w:val="yHeading2"/>
        <w:keepLines/>
      </w:pPr>
      <w:bookmarkStart w:id="757" w:name="_Toc404246427"/>
      <w:bookmarkStart w:id="758" w:name="_Toc402879284"/>
      <w:r>
        <w:rPr>
          <w:rStyle w:val="CharSDivNo"/>
          <w:sz w:val="28"/>
        </w:rPr>
        <w:t>Part 3</w:t>
      </w:r>
      <w:r>
        <w:t> — </w:t>
      </w:r>
      <w:r>
        <w:rPr>
          <w:rStyle w:val="CharSDivText"/>
          <w:sz w:val="28"/>
        </w:rPr>
        <w:t>Fees for the grant or renewal of authorisations</w:t>
      </w:r>
      <w:bookmarkEnd w:id="757"/>
      <w:bookmarkEnd w:id="758"/>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 w:val="left" w:pos="1220"/>
                <w:tab w:val="left" w:pos="1700"/>
              </w:tabs>
              <w:ind w:left="1700" w:hanging="1700"/>
            </w:pPr>
            <w:r>
              <w:t>2.</w:t>
            </w:r>
            <w:r>
              <w:tab/>
              <w:t>Aquaculture licence</w:t>
            </w:r>
          </w:p>
        </w:tc>
        <w:tc>
          <w:tcPr>
            <w:tcW w:w="1320" w:type="dxa"/>
          </w:tcPr>
          <w:p>
            <w:pPr>
              <w:pStyle w:val="yTableNAm"/>
              <w:ind w:right="118"/>
              <w:jc w:val="right"/>
            </w:pPr>
          </w:p>
        </w:tc>
      </w:tr>
      <w:tr>
        <w:tc>
          <w:tcPr>
            <w:tcW w:w="5760" w:type="dxa"/>
          </w:tcPr>
          <w:p>
            <w:pPr>
              <w:pStyle w:val="yTableNAm"/>
              <w:tabs>
                <w:tab w:val="left" w:pos="1168"/>
                <w:tab w:val="left" w:pos="2019"/>
              </w:tabs>
              <w:ind w:left="1168" w:hanging="1700"/>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ins w:id="759" w:author="Master Repository Process" w:date="2021-08-28T12:00:00Z">
              <w:r>
                <w:tab/>
              </w:r>
            </w:ins>
            <w:r>
              <w:tab/>
              <w:t>(i)</w:t>
            </w:r>
            <w:r>
              <w:tab/>
              <w:t>the marron are of a length not less than 76 mm; and</w:t>
            </w:r>
          </w:p>
        </w:tc>
        <w:tc>
          <w:tcPr>
            <w:tcW w:w="1320" w:type="dxa"/>
            <w:tcBorders>
              <w:bottom w:val="nil"/>
            </w:tcBorders>
          </w:tcPr>
          <w:p>
            <w:pPr>
              <w:pStyle w:val="yTableNAm"/>
              <w:ind w:right="118"/>
              <w:jc w:val="right"/>
            </w:pPr>
          </w:p>
        </w:tc>
      </w:tr>
      <w:tr>
        <w:tc>
          <w:tcPr>
            <w:tcW w:w="5760" w:type="dxa"/>
            <w:tcBorders>
              <w:top w:val="nil"/>
            </w:tcBorders>
          </w:tcPr>
          <w:p>
            <w:pPr>
              <w:pStyle w:val="yTableNAm"/>
              <w:tabs>
                <w:tab w:val="clear" w:pos="567"/>
                <w:tab w:val="left" w:pos="587"/>
                <w:tab w:val="left" w:pos="1168"/>
                <w:tab w:val="left" w:pos="1700"/>
              </w:tabs>
              <w:ind w:left="1700" w:hanging="1700"/>
            </w:pPr>
            <w:ins w:id="760" w:author="Master Repository Process" w:date="2021-08-28T12:00:00Z">
              <w:r>
                <w:tab/>
              </w:r>
            </w:ins>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ins w:id="761" w:author="Master Repository Process" w:date="2021-08-28T12:00:00Z">
              <w:r>
                <w:tab/>
              </w:r>
            </w:ins>
            <w:r>
              <w:tab/>
              <w:t>(iii)</w:t>
            </w:r>
            <w:r>
              <w:tab/>
              <w:t>no more than 100 kg of marron in total is sold to persons who do not hold an aquaculture licence or a fish processor’s licence during the period for which the licence remains in force</w:t>
            </w:r>
          </w:p>
        </w:tc>
        <w:tc>
          <w:tcPr>
            <w:tcW w:w="1320"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w:t>
            </w:r>
            <w:r>
              <w:tab/>
              <w:t>Abrolhos Islands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26.34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(8)</w:t>
            </w:r>
            <w:r>
              <w:tab/>
              <w:t>Esperance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104.67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(9)</w:t>
            </w:r>
            <w:r>
              <w:tab/>
              <w:t>Exmouth Gulf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27 031.00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31.55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4 905.00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Kimberley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(13A)</w:t>
            </w:r>
            <w:r>
              <w:tab/>
              <w:t>Mackerel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(a)</w:t>
            </w:r>
            <w:r>
              <w:tab/>
              <w:t>for class 1A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17.56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(b)</w:t>
            </w:r>
            <w:r>
              <w:tab/>
              <w:t>for class 1B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0.03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(c)</w:t>
            </w:r>
            <w:r>
              <w:tab/>
              <w:t>for class 2A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10.80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(d)</w:t>
            </w:r>
            <w:r>
              <w:tab/>
              <w:t>for class 2B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(e)</w:t>
            </w:r>
            <w:r>
              <w:tab/>
              <w:t>for class 3A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12.76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(f)</w:t>
            </w:r>
            <w:r>
              <w:tab/>
              <w:t>for class 3B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2.80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3 575.00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 xml:space="preserve">for an Area 2 licence, per unit of entitlement, in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42.87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1700"/>
              </w:tabs>
              <w:ind w:left="1700" w:hanging="1700"/>
            </w:pPr>
            <w:r>
              <w:tab/>
            </w:r>
            <w:r>
              <w:tab/>
              <w:t>(c)</w:t>
            </w:r>
            <w:r>
              <w:tab/>
              <w:t>for an Area 2 licence, per unit of entitlement, in zone B</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219.72</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an Area 2 licence, per unit of entitlement, in zone C</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5.36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1 860.00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11.26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26.78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Shark Bay Beach Seine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5 370.00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 xml:space="preserve">Shark Bay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70 720.00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785.00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South Coast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2 667.00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189.37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176.86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241.00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302.00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(26)</w:t>
            </w:r>
            <w:r>
              <w:tab/>
              <w:t>South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4 963.00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654.00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(30)</w:t>
            </w:r>
            <w:r>
              <w:tab/>
              <w:t xml:space="preserve">West Coast Deep Sea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19.19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4.21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2.27</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(32)</w:t>
            </w:r>
            <w:r>
              <w:tab/>
              <w:t>West Coast Purse Seine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673.00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10.40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17.45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16.24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(34)</w:t>
            </w:r>
            <w:r>
              <w:tab/>
              <w:t>Windy Harbour</w:t>
            </w:r>
            <w:r>
              <w:noBreakHyphen/>
              <w:t>Augusta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2.53</w:t>
            </w:r>
          </w:p>
        </w:tc>
      </w:tr>
      <w:tr>
        <w:tc>
          <w:tcPr>
            <w:tcW w:w="5760" w:type="dxa"/>
          </w:tcPr>
          <w:p>
            <w:pPr>
              <w:pStyle w:val="yEdnotesection"/>
              <w:tabs>
                <w:tab w:val="clear" w:pos="893"/>
                <w:tab w:val="left" w:pos="601"/>
              </w:tabs>
              <w:spacing w:before="120"/>
              <w:ind w:left="743" w:hanging="743"/>
            </w:pPr>
            <w:del w:id="762" w:author="Master Repository Process" w:date="2021-08-28T12:00:00Z">
              <w:r>
                <w:delText>[(</w:delText>
              </w:r>
            </w:del>
            <w:ins w:id="763" w:author="Master Repository Process" w:date="2021-08-28T12:00:00Z">
              <w:r>
                <w:t>[</w:t>
              </w:r>
            </w:ins>
            <w:r>
              <w:t>4</w:t>
            </w:r>
            <w:del w:id="764" w:author="Master Repository Process" w:date="2021-08-28T12:00:00Z">
              <w:r>
                <w:delText>)</w:delText>
              </w:r>
            </w:del>
            <w:ins w:id="765" w:author="Master Repository Process" w:date="2021-08-28T12:00:00Z">
              <w:r>
                <w:t>.</w:t>
              </w:r>
            </w:ins>
            <w:r>
              <w:tab/>
              <w:t>deleted]</w:t>
            </w:r>
          </w:p>
        </w:tc>
        <w:tc>
          <w:tcPr>
            <w:tcW w:w="1320" w:type="dxa"/>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ins w:id="766" w:author="Master Repository Process" w:date="2021-08-28T12:00:00Z">
              <w:r>
                <w:tab/>
              </w:r>
            </w:ins>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ins w:id="767" w:author="Master Repository Process" w:date="2021-08-28T12:00:00Z">
              <w:r>
                <w:tab/>
              </w:r>
            </w:ins>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ins w:id="768" w:author="Master Repository Process" w:date="2021-08-28T12:00:00Z">
              <w:r>
                <w:tab/>
              </w:r>
            </w:ins>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ins w:id="769" w:author="Master Repository Process" w:date="2021-08-28T12:00:00Z">
              <w:r>
                <w:tab/>
              </w:r>
            </w:ins>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ins w:id="770" w:author="Master Repository Process" w:date="2021-08-28T12:00:00Z">
              <w:r>
                <w:tab/>
              </w:r>
            </w:ins>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ins w:id="771" w:author="Master Repository Process" w:date="2021-08-28T12:00:00Z">
              <w:r>
                <w:tab/>
              </w:r>
            </w:ins>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98"/>
              </w:tabs>
              <w:ind w:left="612" w:hanging="612"/>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w:t>
      </w:r>
    </w:p>
    <w:p>
      <w:pPr>
        <w:pStyle w:val="yScheduleHeading"/>
      </w:pPr>
      <w:bookmarkStart w:id="772" w:name="_Toc404246428"/>
      <w:bookmarkStart w:id="773" w:name="_Toc402879285"/>
      <w:r>
        <w:rPr>
          <w:rStyle w:val="CharSchNo"/>
        </w:rPr>
        <w:t>Schedule 2</w:t>
      </w:r>
      <w:r>
        <w:t> — </w:t>
      </w:r>
      <w:r>
        <w:rPr>
          <w:rStyle w:val="CharSchText"/>
        </w:rPr>
        <w:t>Protected fish</w:t>
      </w:r>
      <w:bookmarkEnd w:id="772"/>
      <w:bookmarkEnd w:id="773"/>
    </w:p>
    <w:p>
      <w:pPr>
        <w:pStyle w:val="yShoulderClause"/>
      </w:pPr>
      <w:r>
        <w:t>[s. 46, 47 and 48A and r. 10]</w:t>
      </w:r>
    </w:p>
    <w:p>
      <w:pPr>
        <w:pStyle w:val="yFootnoteheading"/>
      </w:pPr>
      <w:r>
        <w:tab/>
        <w:t>[Heading inserted in Gazette 14 Sep 2012 p. 4375.]</w:t>
      </w:r>
    </w:p>
    <w:p>
      <w:pPr>
        <w:pStyle w:val="yHeading2"/>
      </w:pPr>
      <w:bookmarkStart w:id="774" w:name="_Toc404246429"/>
      <w:bookmarkStart w:id="775" w:name="_Toc402879286"/>
      <w:r>
        <w:rPr>
          <w:rStyle w:val="CharSDivNo"/>
          <w:sz w:val="28"/>
        </w:rPr>
        <w:t>Part 1</w:t>
      </w:r>
      <w:r>
        <w:t> — </w:t>
      </w:r>
      <w:r>
        <w:rPr>
          <w:rStyle w:val="CharSDivText"/>
          <w:sz w:val="28"/>
        </w:rPr>
        <w:t>Commercially protected fish</w:t>
      </w:r>
      <w:bookmarkEnd w:id="774"/>
      <w:bookmarkEnd w:id="775"/>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776" w:name="_Toc404246430"/>
      <w:bookmarkStart w:id="777" w:name="_Toc402879287"/>
      <w:r>
        <w:rPr>
          <w:rStyle w:val="CharSDivNo"/>
          <w:sz w:val="28"/>
        </w:rPr>
        <w:t>Part 2</w:t>
      </w:r>
      <w:r>
        <w:t> — </w:t>
      </w:r>
      <w:r>
        <w:rPr>
          <w:rStyle w:val="CharSDivText"/>
          <w:sz w:val="28"/>
        </w:rPr>
        <w:t>Totally protected fish</w:t>
      </w:r>
      <w:bookmarkEnd w:id="776"/>
      <w:bookmarkEnd w:id="777"/>
    </w:p>
    <w:p>
      <w:pPr>
        <w:pStyle w:val="yHeading3"/>
      </w:pPr>
      <w:bookmarkStart w:id="778" w:name="_Toc404246431"/>
      <w:bookmarkStart w:id="779" w:name="_Toc402879288"/>
      <w:r>
        <w:t>Division 1 — Certain reproducing crustaceans</w:t>
      </w:r>
      <w:bookmarkEnd w:id="778"/>
      <w:bookmarkEnd w:id="779"/>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780" w:name="_Toc404246432"/>
      <w:bookmarkStart w:id="781" w:name="_Toc402879289"/>
      <w:r>
        <w:t>Division 2 — Miscellaneous</w:t>
      </w:r>
      <w:bookmarkEnd w:id="780"/>
      <w:bookmarkEnd w:id="781"/>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782" w:name="_Toc404246433"/>
      <w:bookmarkStart w:id="783" w:name="_Toc402879290"/>
      <w:r>
        <w:t>Division 3 — Marine or fluvio</w:t>
      </w:r>
      <w:r>
        <w:noBreakHyphen/>
        <w:t>marine fish</w:t>
      </w:r>
      <w:bookmarkEnd w:id="782"/>
      <w:bookmarkEnd w:id="783"/>
    </w:p>
    <w:p>
      <w:pPr>
        <w:pStyle w:val="yHeading4"/>
      </w:pPr>
      <w:bookmarkStart w:id="784" w:name="_Toc404246434"/>
      <w:bookmarkStart w:id="785" w:name="_Toc402879291"/>
      <w:r>
        <w:t>Subdivision 1 — Protected by reference to species, area and period</w:t>
      </w:r>
      <w:bookmarkEnd w:id="784"/>
      <w:bookmarkEnd w:id="785"/>
    </w:p>
    <w:p>
      <w:pPr>
        <w:pStyle w:val="yFootnoteheading"/>
      </w:pPr>
      <w:r>
        <w:tab/>
        <w:t>[Heading inserted in Gazette 28 Feb 2003 p. 662.]</w:t>
      </w:r>
    </w:p>
    <w:p>
      <w:pPr>
        <w:pStyle w:val="yHeading5"/>
      </w:pPr>
      <w:bookmarkStart w:id="786" w:name="_Toc404246435"/>
      <w:bookmarkStart w:id="787" w:name="_Toc402879292"/>
      <w:r>
        <w:t>1.</w:t>
      </w:r>
      <w:r>
        <w:tab/>
        <w:t>Pink Snapper</w:t>
      </w:r>
      <w:bookmarkEnd w:id="786"/>
      <w:bookmarkEnd w:id="787"/>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788" w:name="_Toc404246436"/>
      <w:bookmarkStart w:id="789" w:name="_Toc402879293"/>
      <w:r>
        <w:rPr>
          <w:rStyle w:val="CharSClsNo"/>
        </w:rPr>
        <w:t>2</w:t>
      </w:r>
      <w:r>
        <w:t>.</w:t>
      </w:r>
      <w:r>
        <w:tab/>
        <w:t>Baldchin Groper</w:t>
      </w:r>
      <w:bookmarkEnd w:id="788"/>
      <w:bookmarkEnd w:id="789"/>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pPr>
      <w:bookmarkStart w:id="790" w:name="_Toc404246437"/>
      <w:bookmarkStart w:id="791" w:name="_Toc402879294"/>
      <w:r>
        <w:t>3.</w:t>
      </w:r>
      <w:r>
        <w:tab/>
        <w:t>Cobbler</w:t>
      </w:r>
      <w:bookmarkEnd w:id="790"/>
      <w:bookmarkEnd w:id="791"/>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792" w:name="_Toc404246438"/>
      <w:bookmarkStart w:id="793" w:name="_Toc402879295"/>
      <w:r>
        <w:t>4.</w:t>
      </w:r>
      <w:r>
        <w:tab/>
        <w:t>Blue Groper</w:t>
      </w:r>
      <w:bookmarkEnd w:id="792"/>
      <w:bookmarkEnd w:id="793"/>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794" w:name="_Toc404246439"/>
      <w:bookmarkStart w:id="795" w:name="_Toc402879296"/>
      <w:r>
        <w:t>Subdivision 2 — Protected by reference to species length or other factors</w:t>
      </w:r>
      <w:bookmarkEnd w:id="794"/>
      <w:bookmarkEnd w:id="795"/>
    </w:p>
    <w:p>
      <w:pPr>
        <w:pStyle w:val="yFootnoteheading"/>
        <w:keepNext/>
        <w:keepLines/>
        <w:spacing w:before="80" w:after="8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 xml:space="preserve">Cobbler (Estuary Catfish) when taken or brought onto land other than from waters, and before the date, referred to in Subdivision 1 </w:t>
            </w:r>
            <w:del w:id="796" w:author="Master Repository Process" w:date="2021-08-28T12:00:00Z">
              <w:r>
                <w:delText>item</w:delText>
              </w:r>
            </w:del>
            <w:ins w:id="797" w:author="Master Repository Process" w:date="2021-08-28T12:00:00Z">
              <w:r>
                <w:t>clause</w:t>
              </w:r>
            </w:ins>
            <w:r>
              <w:t>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w:t>
            </w:r>
            <w:del w:id="798" w:author="Master Repository Process" w:date="2021-08-28T12:00:00Z">
              <w:r>
                <w:delText>item</w:delText>
              </w:r>
            </w:del>
            <w:ins w:id="799" w:author="Master Repository Process" w:date="2021-08-28T12:00:00Z">
              <w:r>
                <w:t>clause</w:t>
              </w:r>
            </w:ins>
            <w:r>
              <w:t xml:space="preserve">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tabs>
                <w:tab w:val="clear" w:pos="567"/>
                <w:tab w:val="right" w:leader="dot" w:pos="5047"/>
              </w:tabs>
              <w:spacing w:before="0"/>
              <w:rPr>
                <w:bCs/>
              </w:rPr>
            </w:pPr>
            <w:r>
              <w:rPr>
                <w:bCs/>
              </w:rPr>
              <w:t>Snapper, Pink, when taken or brought onto land from</w:t>
            </w:r>
            <w:r>
              <w:rPr>
                <w:szCs w:val="22"/>
              </w:rPr>
              <w:t xml:space="preserve"> the waters of the Shark Bay western gulf or from the waters of the Shark Bay eastern gulf (other than during a relevant period referred to in Subdivision 1 </w:t>
            </w:r>
            <w:del w:id="800" w:author="Master Repository Process" w:date="2021-08-28T12:00:00Z">
              <w:r>
                <w:rPr>
                  <w:szCs w:val="22"/>
                </w:rPr>
                <w:delText>item</w:delText>
              </w:r>
            </w:del>
            <w:ins w:id="801" w:author="Master Repository Process" w:date="2021-08-28T12:00:00Z">
              <w:r>
                <w:t>clause</w:t>
              </w:r>
            </w:ins>
            <w:r>
              <w:rPr>
                <w:szCs w:val="22"/>
              </w:rPr>
              <w:t> 1)</w:t>
            </w:r>
            <w:ins w:id="802" w:author="Master Repository Process" w:date="2021-08-28T12:00:00Z">
              <w:r>
                <w:rPr>
                  <w:szCs w:val="22"/>
                </w:rPr>
                <w:tab/>
              </w:r>
            </w:ins>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w:t>
      </w:r>
    </w:p>
    <w:p>
      <w:pPr>
        <w:pStyle w:val="yHeading3"/>
        <w:spacing w:before="300" w:after="120"/>
      </w:pPr>
      <w:bookmarkStart w:id="803" w:name="_Toc404246440"/>
      <w:bookmarkStart w:id="804" w:name="_Toc402879297"/>
      <w:r>
        <w:t>Division 4 — Freshwater fish</w:t>
      </w:r>
      <w:bookmarkEnd w:id="803"/>
      <w:bookmarkEnd w:id="804"/>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805" w:name="_Toc404246441"/>
      <w:bookmarkStart w:id="806" w:name="_Toc402879298"/>
      <w:r>
        <w:t>Division 5 — Crustaceans, other than those listed in Division 1</w:t>
      </w:r>
      <w:bookmarkEnd w:id="805"/>
      <w:bookmarkEnd w:id="806"/>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217" w:type="dxa"/>
            <w:tcMar>
              <w:left w:w="85" w:type="dxa"/>
              <w:right w:w="113" w:type="dxa"/>
            </w:tcMar>
          </w:tcPr>
          <w:p>
            <w:pPr>
              <w:pStyle w:val="yTableNAm"/>
              <w:tabs>
                <w:tab w:val="left" w:pos="1058"/>
                <w:tab w:val="left" w:pos="1418"/>
              </w:tabs>
              <w:spacing w:before="0"/>
              <w:ind w:left="1058" w:hanging="1058"/>
            </w:pPr>
            <w:r>
              <w:t>Rock Lobster, Western, female — </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clear" w:pos="567"/>
                <w:tab w:val="left" w:pos="227"/>
                <w:tab w:val="right" w:leader="dot" w:pos="4990"/>
              </w:tabs>
              <w:spacing w:before="0"/>
              <w:ind w:left="236" w:right="237" w:hanging="236"/>
            </w:pPr>
            <w:r>
              <w:tab/>
              <w:t xml:space="preserve">the waters between 30° and 34° 24′ south latitude but excluding all waters on the south coast which are east of 115° 08.091′ east longitude </w:t>
            </w:r>
            <w:r>
              <w:tab/>
            </w:r>
          </w:p>
        </w:tc>
        <w:tc>
          <w:tcPr>
            <w:tcW w:w="1863"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217"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835"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835"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4990"/>
              </w:tabs>
              <w:spacing w:before="0"/>
              <w:ind w:left="578" w:right="237" w:hanging="578"/>
            </w:pPr>
            <w:r>
              <w:tab/>
              <w:t xml:space="preserve">the waters between 21° 44′ and 30° south latitude </w:t>
            </w:r>
            <w:r>
              <w:tab/>
            </w:r>
          </w:p>
        </w:tc>
        <w:tc>
          <w:tcPr>
            <w:tcW w:w="1835"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217"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Next/>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 18 Nov 2011 p. 4810; 24 Feb 2012 p. 802.]</w:t>
      </w:r>
    </w:p>
    <w:p>
      <w:pPr>
        <w:pStyle w:val="yHeading3"/>
        <w:spacing w:before="160" w:after="120"/>
      </w:pPr>
      <w:bookmarkStart w:id="807" w:name="_Toc404246442"/>
      <w:bookmarkStart w:id="808" w:name="_Toc402879299"/>
      <w:r>
        <w:t>Division 6 — Molluscs</w:t>
      </w:r>
      <w:bookmarkEnd w:id="807"/>
      <w:bookmarkEnd w:id="808"/>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spacing w:before="1000"/>
      </w:pPr>
      <w:bookmarkStart w:id="809" w:name="_Toc404246443"/>
      <w:bookmarkStart w:id="810" w:name="_Toc402879300"/>
      <w:r>
        <w:rPr>
          <w:rStyle w:val="CharSDivNo"/>
          <w:sz w:val="28"/>
          <w:szCs w:val="28"/>
        </w:rPr>
        <w:t>Part 3</w:t>
      </w:r>
      <w:r>
        <w:t> — </w:t>
      </w:r>
      <w:r>
        <w:rPr>
          <w:rStyle w:val="CharSDivText"/>
          <w:sz w:val="28"/>
          <w:szCs w:val="28"/>
        </w:rPr>
        <w:t>Recreationally protected fish</w:t>
      </w:r>
      <w:bookmarkEnd w:id="809"/>
      <w:bookmarkEnd w:id="810"/>
    </w:p>
    <w:p>
      <w:pPr>
        <w:pStyle w:val="yFootnoteheading"/>
      </w:pPr>
      <w:r>
        <w:tab/>
        <w:t>[Heading inserted in Gazette 14 Sep 2012 p. 4375.]</w:t>
      </w:r>
    </w:p>
    <w:p>
      <w:pPr>
        <w:pStyle w:val="yMiscellaneousBody"/>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811" w:name="_Toc404246444"/>
      <w:bookmarkStart w:id="812" w:name="_Toc402879301"/>
      <w:r>
        <w:rPr>
          <w:rStyle w:val="CharSchNo"/>
        </w:rPr>
        <w:t>Schedule 3</w:t>
      </w:r>
      <w:bookmarkEnd w:id="811"/>
      <w:bookmarkEnd w:id="812"/>
    </w:p>
    <w:p>
      <w:pPr>
        <w:pStyle w:val="yShoulderClause"/>
      </w:pPr>
      <w:r>
        <w:t>[Pt. 4B]</w:t>
      </w:r>
    </w:p>
    <w:p>
      <w:pPr>
        <w:pStyle w:val="yFootnoteheading"/>
        <w:spacing w:after="60"/>
      </w:pPr>
      <w:r>
        <w:tab/>
        <w:t>[Heading inserted in Gazette 29 Jan 2013 p. 313.]</w:t>
      </w:r>
    </w:p>
    <w:p>
      <w:pPr>
        <w:pStyle w:val="yHeading2"/>
      </w:pPr>
      <w:bookmarkStart w:id="813" w:name="_Toc404246445"/>
      <w:bookmarkStart w:id="814" w:name="_Toc402879302"/>
      <w:r>
        <w:rPr>
          <w:rStyle w:val="CharSchText"/>
        </w:rPr>
        <w:t>Bag limits</w:t>
      </w:r>
      <w:bookmarkEnd w:id="813"/>
      <w:bookmarkEnd w:id="814"/>
    </w:p>
    <w:p>
      <w:pPr>
        <w:pStyle w:val="yFootnoteheading"/>
        <w:spacing w:after="60"/>
      </w:pPr>
      <w:r>
        <w:tab/>
        <w:t>[Heading inserted in Gazette 29 Jan 2013 p. 313.]</w:t>
      </w:r>
    </w:p>
    <w:p>
      <w:pPr>
        <w:pStyle w:val="yHeading2"/>
      </w:pPr>
      <w:bookmarkStart w:id="815" w:name="_Toc404246446"/>
      <w:bookmarkStart w:id="816" w:name="_Toc402879303"/>
      <w:r>
        <w:rPr>
          <w:rStyle w:val="CharSDivNo"/>
          <w:bCs/>
          <w:sz w:val="28"/>
        </w:rPr>
        <w:t>Part 1</w:t>
      </w:r>
      <w:r>
        <w:t> — </w:t>
      </w:r>
      <w:r>
        <w:rPr>
          <w:rStyle w:val="CharSDivText"/>
          <w:bCs/>
          <w:sz w:val="28"/>
        </w:rPr>
        <w:t>Bag limits — demersal finfish</w:t>
      </w:r>
      <w:bookmarkEnd w:id="815"/>
      <w:bookmarkEnd w:id="816"/>
    </w:p>
    <w:p>
      <w:pPr>
        <w:pStyle w:val="yFootnoteheading"/>
        <w:spacing w:after="60"/>
      </w:pPr>
      <w:r>
        <w:tab/>
        <w:t>[Heading inserted in Gazette 29 Jan 2013 p. 313.]</w:t>
      </w:r>
    </w:p>
    <w:p>
      <w:pPr>
        <w:pStyle w:val="yHeading3"/>
      </w:pPr>
      <w:bookmarkStart w:id="817" w:name="_Toc404246447"/>
      <w:bookmarkStart w:id="818" w:name="_Toc402879304"/>
      <w:r>
        <w:t>Division 1 — Regions other than West Coast region</w:t>
      </w:r>
      <w:bookmarkEnd w:id="817"/>
      <w:bookmarkEnd w:id="818"/>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819" w:name="_Toc404246448"/>
      <w:bookmarkStart w:id="820" w:name="_Toc402879305"/>
      <w:r>
        <w:t>Division 2 — West Coast region</w:t>
      </w:r>
      <w:bookmarkEnd w:id="819"/>
      <w:bookmarkEnd w:id="820"/>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ins w:id="821" w:author="Master Repository Process" w:date="2021-08-28T12:00:00Z">
              <w:r>
                <w:tab/>
              </w:r>
            </w:ins>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822" w:name="_Toc404246449"/>
      <w:bookmarkStart w:id="823" w:name="_Toc402879306"/>
      <w:r>
        <w:rPr>
          <w:rStyle w:val="CharSDivNo"/>
          <w:bCs/>
          <w:sz w:val="28"/>
        </w:rPr>
        <w:t>Part 2</w:t>
      </w:r>
      <w:r>
        <w:t> — </w:t>
      </w:r>
      <w:r>
        <w:rPr>
          <w:rStyle w:val="CharSDivText"/>
          <w:bCs/>
          <w:sz w:val="28"/>
        </w:rPr>
        <w:t>Bag limits — large pelagic fish</w:t>
      </w:r>
      <w:bookmarkEnd w:id="822"/>
      <w:bookmarkEnd w:id="823"/>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w:t>
      </w:r>
    </w:p>
    <w:p>
      <w:pPr>
        <w:pStyle w:val="yHeading2"/>
        <w:pageBreakBefore/>
        <w:spacing w:before="0"/>
      </w:pPr>
      <w:bookmarkStart w:id="824" w:name="_Toc404246450"/>
      <w:bookmarkStart w:id="825" w:name="_Toc402879307"/>
      <w:r>
        <w:rPr>
          <w:rStyle w:val="CharSDivNo"/>
          <w:bCs/>
          <w:sz w:val="28"/>
        </w:rPr>
        <w:t>Part 3</w:t>
      </w:r>
      <w:r>
        <w:t> — </w:t>
      </w:r>
      <w:r>
        <w:rPr>
          <w:rStyle w:val="CharSDivText"/>
          <w:bCs/>
          <w:sz w:val="28"/>
        </w:rPr>
        <w:t>Bag limits — nearshore or estuarine finfish</w:t>
      </w:r>
      <w:bookmarkEnd w:id="824"/>
      <w:bookmarkEnd w:id="825"/>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826" w:name="_Toc404246451"/>
      <w:bookmarkStart w:id="827" w:name="_Toc402879308"/>
      <w:r>
        <w:rPr>
          <w:rStyle w:val="CharSDivNo"/>
          <w:sz w:val="28"/>
          <w:szCs w:val="28"/>
        </w:rPr>
        <w:t>Part 4</w:t>
      </w:r>
      <w:r>
        <w:t> — </w:t>
      </w:r>
      <w:r>
        <w:rPr>
          <w:rStyle w:val="CharSDivText"/>
          <w:bCs/>
          <w:sz w:val="28"/>
        </w:rPr>
        <w:t>Bag limits — freshwater finfish</w:t>
      </w:r>
      <w:bookmarkEnd w:id="826"/>
      <w:bookmarkEnd w:id="827"/>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ageBreakBefore/>
        <w:spacing w:before="0"/>
      </w:pPr>
      <w:bookmarkStart w:id="828" w:name="_Toc404246452"/>
      <w:bookmarkStart w:id="829" w:name="_Toc402879309"/>
      <w:r>
        <w:rPr>
          <w:rStyle w:val="CharSDivNo"/>
          <w:bCs/>
          <w:sz w:val="28"/>
        </w:rPr>
        <w:t>Part 5</w:t>
      </w:r>
      <w:r>
        <w:t> — </w:t>
      </w:r>
      <w:r>
        <w:rPr>
          <w:rStyle w:val="CharSDivText"/>
          <w:bCs/>
          <w:sz w:val="28"/>
        </w:rPr>
        <w:t>Bag limits — crustaceans</w:t>
      </w:r>
      <w:bookmarkEnd w:id="828"/>
      <w:bookmarkEnd w:id="829"/>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830" w:name="_Toc404246453"/>
      <w:bookmarkStart w:id="831" w:name="_Toc402879310"/>
      <w:r>
        <w:rPr>
          <w:rStyle w:val="CharSDivNo"/>
          <w:bCs/>
          <w:sz w:val="28"/>
        </w:rPr>
        <w:t>Part 6</w:t>
      </w:r>
      <w:r>
        <w:t> — </w:t>
      </w:r>
      <w:r>
        <w:rPr>
          <w:rStyle w:val="CharSDivText"/>
          <w:bCs/>
          <w:sz w:val="28"/>
        </w:rPr>
        <w:t>Bag limits — molluscs and other invertebrates</w:t>
      </w:r>
      <w:bookmarkEnd w:id="830"/>
      <w:bookmarkEnd w:id="831"/>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832" w:name="_Toc404246454"/>
      <w:bookmarkStart w:id="833" w:name="_Toc402879311"/>
      <w:r>
        <w:rPr>
          <w:rStyle w:val="CharSchNo"/>
        </w:rPr>
        <w:t>Schedule 4</w:t>
      </w:r>
      <w:r>
        <w:rPr>
          <w:rStyle w:val="CharSDivNo"/>
        </w:rPr>
        <w:t> </w:t>
      </w:r>
      <w:r>
        <w:t>—</w:t>
      </w:r>
      <w:r>
        <w:rPr>
          <w:rStyle w:val="CharSDivText"/>
        </w:rPr>
        <w:t> </w:t>
      </w:r>
      <w:r>
        <w:rPr>
          <w:rStyle w:val="CharSchText"/>
        </w:rPr>
        <w:t>Categories of fish</w:t>
      </w:r>
      <w:bookmarkEnd w:id="832"/>
      <w:bookmarkEnd w:id="833"/>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834" w:name="_Toc404246455"/>
      <w:bookmarkStart w:id="835" w:name="_Toc402879312"/>
      <w:r>
        <w:rPr>
          <w:rStyle w:val="CharSchNo"/>
        </w:rPr>
        <w:t>Schedule 5</w:t>
      </w:r>
      <w:r>
        <w:rPr>
          <w:rStyle w:val="CharSDivNo"/>
        </w:rPr>
        <w:t> </w:t>
      </w:r>
      <w:r>
        <w:t>—</w:t>
      </w:r>
      <w:r>
        <w:rPr>
          <w:rStyle w:val="CharSDivText"/>
        </w:rPr>
        <w:t> </w:t>
      </w:r>
      <w:r>
        <w:rPr>
          <w:rStyle w:val="CharSchText"/>
        </w:rPr>
        <w:t>Noxious fish</w:t>
      </w:r>
      <w:bookmarkEnd w:id="834"/>
      <w:bookmarkEnd w:id="835"/>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rStyle w:val="CharDefText"/>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spacing w:before="50"/>
            </w:pPr>
            <w:r>
              <w:rPr>
                <w:b/>
              </w:rPr>
              <w:t>Scientific name</w:t>
            </w:r>
          </w:p>
        </w:tc>
        <w:tc>
          <w:tcPr>
            <w:tcW w:w="2410" w:type="dxa"/>
          </w:tcPr>
          <w:p>
            <w:pPr>
              <w:pStyle w:val="yTableNAm"/>
              <w:spacing w:before="50"/>
            </w:pPr>
            <w:r>
              <w:rPr>
                <w:b/>
              </w:rPr>
              <w:t>Examples of common names used</w:t>
            </w:r>
          </w:p>
        </w:tc>
        <w:tc>
          <w:tcPr>
            <w:tcW w:w="2268" w:type="dxa"/>
          </w:tcPr>
          <w:p>
            <w:pPr>
              <w:pStyle w:val="yTableNAm"/>
              <w:spacing w:before="50"/>
            </w:pPr>
            <w:r>
              <w:rPr>
                <w:b/>
              </w:rPr>
              <w:t>Area or areas where fish is prescribed to be noxious</w:t>
            </w:r>
          </w:p>
        </w:tc>
      </w:tr>
      <w:tr>
        <w:trPr>
          <w:cantSplit/>
        </w:trPr>
        <w:tc>
          <w:tcPr>
            <w:tcW w:w="2410" w:type="dxa"/>
          </w:tcPr>
          <w:p>
            <w:pPr>
              <w:pStyle w:val="yTableNAm"/>
              <w:spacing w:before="50"/>
            </w:pPr>
            <w:r>
              <w:rPr>
                <w:i/>
              </w:rPr>
              <w:t>Acanthogobius flavimanus</w:t>
            </w:r>
          </w:p>
        </w:tc>
        <w:tc>
          <w:tcPr>
            <w:tcW w:w="2410" w:type="dxa"/>
          </w:tcPr>
          <w:p>
            <w:pPr>
              <w:pStyle w:val="yTableNAm"/>
              <w:spacing w:before="50"/>
            </w:pPr>
            <w:r>
              <w:t>Yellow Fin Goby</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Acartia (Acanthacartia) tonsa</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Acestrorhynchus microlepis</w:t>
            </w:r>
          </w:p>
        </w:tc>
        <w:tc>
          <w:tcPr>
            <w:tcW w:w="2410" w:type="dxa"/>
          </w:tcPr>
          <w:p>
            <w:pPr>
              <w:pStyle w:val="yTableNAm"/>
              <w:spacing w:before="50"/>
            </w:pPr>
            <w:r>
              <w:t>Pike Characin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baerii</w:t>
            </w:r>
          </w:p>
        </w:tc>
        <w:tc>
          <w:tcPr>
            <w:tcW w:w="2410" w:type="dxa"/>
          </w:tcPr>
          <w:p>
            <w:pPr>
              <w:pStyle w:val="yTableNAm"/>
              <w:spacing w:before="50"/>
            </w:pPr>
            <w:r>
              <w:t>Siberian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baicalensis</w:t>
            </w:r>
          </w:p>
        </w:tc>
        <w:tc>
          <w:tcPr>
            <w:tcW w:w="2410" w:type="dxa"/>
          </w:tcPr>
          <w:p>
            <w:pPr>
              <w:pStyle w:val="yTableNAm"/>
              <w:spacing w:before="50"/>
            </w:pPr>
            <w:r>
              <w:t>Baikal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brevirostrum</w:t>
            </w:r>
          </w:p>
        </w:tc>
        <w:tc>
          <w:tcPr>
            <w:tcW w:w="2410" w:type="dxa"/>
          </w:tcPr>
          <w:p>
            <w:pPr>
              <w:pStyle w:val="yTableNAm"/>
              <w:spacing w:before="50"/>
            </w:pPr>
            <w:r>
              <w:t xml:space="preserve">Shortnose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dabryanus</w:t>
            </w:r>
          </w:p>
        </w:tc>
        <w:tc>
          <w:tcPr>
            <w:tcW w:w="2410" w:type="dxa"/>
          </w:tcPr>
          <w:p>
            <w:pPr>
              <w:pStyle w:val="yTableNAm"/>
              <w:spacing w:before="50"/>
            </w:pPr>
            <w:r>
              <w:t xml:space="preserve">Yangtze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fulvescens</w:t>
            </w:r>
          </w:p>
        </w:tc>
        <w:tc>
          <w:tcPr>
            <w:tcW w:w="2410" w:type="dxa"/>
          </w:tcPr>
          <w:p>
            <w:pPr>
              <w:pStyle w:val="yTableNAm"/>
              <w:spacing w:before="50"/>
            </w:pPr>
            <w:r>
              <w:t>Lake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gueldenstaedtii</w:t>
            </w:r>
          </w:p>
        </w:tc>
        <w:tc>
          <w:tcPr>
            <w:tcW w:w="2410" w:type="dxa"/>
          </w:tcPr>
          <w:p>
            <w:pPr>
              <w:pStyle w:val="yTableNAm"/>
              <w:spacing w:before="50"/>
            </w:pPr>
            <w:r>
              <w:t>Russian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medirostris</w:t>
            </w:r>
          </w:p>
        </w:tc>
        <w:tc>
          <w:tcPr>
            <w:tcW w:w="2410" w:type="dxa"/>
          </w:tcPr>
          <w:p>
            <w:pPr>
              <w:pStyle w:val="yTableNAm"/>
              <w:spacing w:before="50"/>
            </w:pPr>
            <w:r>
              <w:t>Green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mikadoi</w:t>
            </w:r>
          </w:p>
        </w:tc>
        <w:tc>
          <w:tcPr>
            <w:tcW w:w="2410" w:type="dxa"/>
          </w:tcPr>
          <w:p>
            <w:pPr>
              <w:pStyle w:val="yTableNAm"/>
              <w:spacing w:before="50"/>
            </w:pPr>
            <w:r>
              <w:t>Sakhalin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multiscutatus</w:t>
            </w:r>
          </w:p>
        </w:tc>
        <w:tc>
          <w:tcPr>
            <w:tcW w:w="2410" w:type="dxa"/>
          </w:tcPr>
          <w:p>
            <w:pPr>
              <w:pStyle w:val="yTableNAm"/>
              <w:spacing w:before="50"/>
            </w:pPr>
            <w:r>
              <w:t>Japanese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naccarii</w:t>
            </w:r>
          </w:p>
        </w:tc>
        <w:tc>
          <w:tcPr>
            <w:tcW w:w="2410" w:type="dxa"/>
          </w:tcPr>
          <w:p>
            <w:pPr>
              <w:pStyle w:val="yTableNAm"/>
              <w:spacing w:before="50"/>
            </w:pPr>
            <w:r>
              <w:t>Adriatic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nudiventris</w:t>
            </w:r>
          </w:p>
        </w:tc>
        <w:tc>
          <w:tcPr>
            <w:tcW w:w="2410" w:type="dxa"/>
          </w:tcPr>
          <w:p>
            <w:pPr>
              <w:pStyle w:val="yTableNAm"/>
              <w:spacing w:before="50"/>
            </w:pPr>
            <w:r>
              <w:t>Fringebarbel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destotoi</w:t>
            </w:r>
          </w:p>
        </w:tc>
        <w:tc>
          <w:tcPr>
            <w:tcW w:w="2410" w:type="dxa"/>
          </w:tcPr>
          <w:p>
            <w:pPr>
              <w:pStyle w:val="yTableNAm"/>
              <w:spacing w:before="50"/>
            </w:pPr>
            <w:r>
              <w:t>Gulf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oxyrinchus</w:t>
            </w:r>
          </w:p>
        </w:tc>
        <w:tc>
          <w:tcPr>
            <w:tcW w:w="2410" w:type="dxa"/>
          </w:tcPr>
          <w:p>
            <w:pPr>
              <w:pStyle w:val="yTableNAm"/>
              <w:spacing w:before="50"/>
            </w:pPr>
            <w:r>
              <w:t>Atlantic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persicus</w:t>
            </w:r>
          </w:p>
        </w:tc>
        <w:tc>
          <w:tcPr>
            <w:tcW w:w="2410" w:type="dxa"/>
          </w:tcPr>
          <w:p>
            <w:pPr>
              <w:pStyle w:val="yTableNAm"/>
              <w:spacing w:before="50"/>
            </w:pPr>
            <w:r>
              <w:t>Persian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ruthenus</w:t>
            </w:r>
          </w:p>
        </w:tc>
        <w:tc>
          <w:tcPr>
            <w:tcW w:w="2410" w:type="dxa"/>
          </w:tcPr>
          <w:p>
            <w:pPr>
              <w:pStyle w:val="yTableNAm"/>
              <w:spacing w:before="50"/>
            </w:pPr>
            <w:r>
              <w:t>Sterlet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schrenckii</w:t>
            </w:r>
          </w:p>
        </w:tc>
        <w:tc>
          <w:tcPr>
            <w:tcW w:w="2410" w:type="dxa"/>
          </w:tcPr>
          <w:p>
            <w:pPr>
              <w:pStyle w:val="yTableNAm"/>
              <w:spacing w:before="50"/>
            </w:pPr>
            <w:r>
              <w:t>Amur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sinensis</w:t>
            </w:r>
          </w:p>
        </w:tc>
        <w:tc>
          <w:tcPr>
            <w:tcW w:w="2410" w:type="dxa"/>
          </w:tcPr>
          <w:p>
            <w:pPr>
              <w:pStyle w:val="yTableNAm"/>
              <w:spacing w:before="50"/>
            </w:pPr>
            <w:r>
              <w:t>Chinese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stellatus</w:t>
            </w:r>
          </w:p>
        </w:tc>
        <w:tc>
          <w:tcPr>
            <w:tcW w:w="2410" w:type="dxa"/>
          </w:tcPr>
          <w:p>
            <w:pPr>
              <w:pStyle w:val="yTableNAm"/>
              <w:spacing w:before="50"/>
            </w:pPr>
            <w:r>
              <w:t>Starry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sturio</w:t>
            </w:r>
          </w:p>
        </w:tc>
        <w:tc>
          <w:tcPr>
            <w:tcW w:w="2410" w:type="dxa"/>
          </w:tcPr>
          <w:p>
            <w:pPr>
              <w:pStyle w:val="yTableNAm"/>
              <w:spacing w:before="50"/>
            </w:pPr>
            <w:r>
              <w:t>European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transmontanus</w:t>
            </w:r>
          </w:p>
        </w:tc>
        <w:tc>
          <w:tcPr>
            <w:tcW w:w="2410" w:type="dxa"/>
          </w:tcPr>
          <w:p>
            <w:pPr>
              <w:pStyle w:val="yTableNAm"/>
              <w:spacing w:before="50"/>
            </w:pPr>
            <w:r>
              <w:t>White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Alexandrium catenella</w:t>
            </w:r>
          </w:p>
        </w:tc>
        <w:tc>
          <w:tcPr>
            <w:tcW w:w="2410" w:type="dxa"/>
          </w:tcPr>
          <w:p>
            <w:pPr>
              <w:pStyle w:val="yTableNAm"/>
              <w:spacing w:before="50"/>
            </w:pPr>
            <w:r>
              <w:t>Toxic Dinoflagellate</w:t>
            </w:r>
          </w:p>
        </w:tc>
        <w:tc>
          <w:tcPr>
            <w:tcW w:w="2268" w:type="dxa"/>
          </w:tcPr>
          <w:p>
            <w:pPr>
              <w:pStyle w:val="yTableNAm"/>
              <w:spacing w:before="50"/>
            </w:pPr>
            <w:r>
              <w:t>Any area of the State except in the Port of Fremantle</w:t>
            </w:r>
          </w:p>
        </w:tc>
      </w:tr>
      <w:tr>
        <w:trPr>
          <w:cantSplit/>
        </w:trPr>
        <w:tc>
          <w:tcPr>
            <w:tcW w:w="2410" w:type="dxa"/>
          </w:tcPr>
          <w:p>
            <w:pPr>
              <w:pStyle w:val="yTableNAm"/>
              <w:spacing w:before="50"/>
              <w:rPr>
                <w:rFonts w:eastAsia="Calibri"/>
              </w:rPr>
            </w:pPr>
            <w:r>
              <w:rPr>
                <w:rFonts w:eastAsia="Calibri"/>
                <w:i/>
              </w:rPr>
              <w:t>Alexandrium minutum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monilatum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tamarense</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cultratus</w:t>
            </w:r>
          </w:p>
        </w:tc>
        <w:tc>
          <w:tcPr>
            <w:tcW w:w="2410" w:type="dxa"/>
          </w:tcPr>
          <w:p>
            <w:pPr>
              <w:pStyle w:val="yTableNAm"/>
              <w:spacing w:before="50"/>
            </w:pPr>
            <w:r>
              <w:t>Knife</w:t>
            </w:r>
            <w:r>
              <w:noBreakHyphen/>
              <w:t>edged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huberi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Allomogurnda nesolepis</w:t>
            </w:r>
          </w:p>
        </w:tc>
        <w:tc>
          <w:tcPr>
            <w:tcW w:w="2410" w:type="dxa"/>
          </w:tcPr>
          <w:p>
            <w:pPr>
              <w:pStyle w:val="yTableNAm"/>
              <w:spacing w:before="50"/>
            </w:pPr>
            <w:r>
              <w:t>Yellowbelly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brunneus</w:t>
            </w:r>
          </w:p>
        </w:tc>
        <w:tc>
          <w:tcPr>
            <w:tcW w:w="2410" w:type="dxa"/>
          </w:tcPr>
          <w:p>
            <w:pPr>
              <w:pStyle w:val="yTableNAm"/>
              <w:spacing w:before="50"/>
            </w:pPr>
            <w:r>
              <w:t>Snail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catus</w:t>
            </w:r>
          </w:p>
        </w:tc>
        <w:tc>
          <w:tcPr>
            <w:tcW w:w="2410" w:type="dxa"/>
          </w:tcPr>
          <w:p>
            <w:pPr>
              <w:pStyle w:val="yTableNAm"/>
              <w:spacing w:before="50"/>
            </w:pPr>
            <w:r>
              <w:t>White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melas</w:t>
            </w:r>
          </w:p>
        </w:tc>
        <w:tc>
          <w:tcPr>
            <w:tcW w:w="2410" w:type="dxa"/>
          </w:tcPr>
          <w:p>
            <w:pPr>
              <w:pStyle w:val="yTableNAm"/>
              <w:spacing w:before="50"/>
            </w:pPr>
            <w:r>
              <w:t>Black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natalis</w:t>
            </w:r>
          </w:p>
        </w:tc>
        <w:tc>
          <w:tcPr>
            <w:tcW w:w="2410" w:type="dxa"/>
          </w:tcPr>
          <w:p>
            <w:pPr>
              <w:pStyle w:val="yTableNAm"/>
              <w:spacing w:before="50"/>
            </w:pPr>
            <w:r>
              <w:t>Yellow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nebulosus</w:t>
            </w:r>
          </w:p>
        </w:tc>
        <w:tc>
          <w:tcPr>
            <w:tcW w:w="2410" w:type="dxa"/>
          </w:tcPr>
          <w:p>
            <w:pPr>
              <w:pStyle w:val="yTableNAm"/>
              <w:spacing w:before="50"/>
            </w:pPr>
            <w:r>
              <w:t>Brown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platycephalus</w:t>
            </w:r>
          </w:p>
        </w:tc>
        <w:tc>
          <w:tcPr>
            <w:tcW w:w="2410" w:type="dxa"/>
          </w:tcPr>
          <w:p>
            <w:pPr>
              <w:pStyle w:val="yTableNAm"/>
              <w:spacing w:before="50"/>
            </w:pPr>
            <w:r>
              <w:t>Flat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serracanthus</w:t>
            </w:r>
          </w:p>
        </w:tc>
        <w:tc>
          <w:tcPr>
            <w:tcW w:w="2410" w:type="dxa"/>
          </w:tcPr>
          <w:p>
            <w:pPr>
              <w:pStyle w:val="yTableNAm"/>
              <w:spacing w:before="50"/>
            </w:pPr>
            <w:r>
              <w:t>Spotted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Amia calva</w:t>
            </w:r>
          </w:p>
        </w:tc>
        <w:tc>
          <w:tcPr>
            <w:tcW w:w="2410" w:type="dxa"/>
          </w:tcPr>
          <w:p>
            <w:pPr>
              <w:pStyle w:val="yTableNAm"/>
              <w:spacing w:before="50"/>
            </w:pPr>
            <w:r>
              <w:t>Bowfin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Amphibalanus eburneus (syn. Balanus eburneus</w:t>
            </w:r>
          </w:p>
        </w:tc>
        <w:tc>
          <w:tcPr>
            <w:tcW w:w="2410" w:type="dxa"/>
          </w:tcPr>
          <w:p>
            <w:pPr>
              <w:pStyle w:val="yTableNAm"/>
              <w:spacing w:before="50"/>
            </w:pPr>
            <w:r>
              <w:t>Ivory Barnacle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Amphibalanus improvisus (syn. Balanus improvisus)</w:t>
            </w:r>
          </w:p>
        </w:tc>
        <w:tc>
          <w:tcPr>
            <w:tcW w:w="2410" w:type="dxa"/>
          </w:tcPr>
          <w:p>
            <w:pPr>
              <w:pStyle w:val="yTableNAm"/>
              <w:spacing w:before="50"/>
            </w:pPr>
            <w:r>
              <w:t>Bay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cobojius</w:t>
            </w:r>
          </w:p>
        </w:tc>
        <w:tc>
          <w:tcPr>
            <w:tcW w:w="2410" w:type="dxa"/>
          </w:tcPr>
          <w:p>
            <w:pPr>
              <w:pStyle w:val="yTableNAm"/>
              <w:spacing w:before="50"/>
            </w:pPr>
            <w:r>
              <w:t>Gangetic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testudineus</w:t>
            </w:r>
          </w:p>
        </w:tc>
        <w:tc>
          <w:tcPr>
            <w:tcW w:w="2410" w:type="dxa"/>
          </w:tcPr>
          <w:p>
            <w:pPr>
              <w:pStyle w:val="yTableNAm"/>
              <w:spacing w:before="50"/>
            </w:pPr>
            <w:r>
              <w:t>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 xml:space="preserve">Anadara transversa </w:t>
            </w:r>
            <w:r>
              <w:rPr>
                <w:rFonts w:eastAsia="Calibri"/>
                <w:i/>
              </w:rPr>
              <w:br/>
              <w:t>(syn. A. demiri)</w:t>
            </w:r>
          </w:p>
        </w:tc>
        <w:tc>
          <w:tcPr>
            <w:tcW w:w="2410" w:type="dxa"/>
          </w:tcPr>
          <w:p>
            <w:pPr>
              <w:pStyle w:val="yTableNAm"/>
              <w:spacing w:before="50"/>
            </w:pPr>
            <w:r>
              <w:t>Transverse Arc Clam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Anaspidoglanis macrostoma</w:t>
            </w:r>
          </w:p>
        </w:tc>
        <w:tc>
          <w:tcPr>
            <w:tcW w:w="2410" w:type="dxa"/>
          </w:tcPr>
          <w:p>
            <w:pPr>
              <w:pStyle w:val="yTableNAm"/>
              <w:spacing w:before="50"/>
            </w:pPr>
            <w:r>
              <w:t>Flatnose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Apeltes quadracus</w:t>
            </w:r>
          </w:p>
        </w:tc>
        <w:tc>
          <w:tcPr>
            <w:tcW w:w="2410" w:type="dxa"/>
          </w:tcPr>
          <w:p>
            <w:pPr>
              <w:pStyle w:val="yTableNAm"/>
              <w:spacing w:before="50"/>
            </w:pPr>
            <w:r>
              <w:t>Four</w:t>
            </w:r>
            <w:r>
              <w:noBreakHyphen/>
              <w:t>spined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Arcuatula senhousia (syn. Musculista senhousia)</w:t>
            </w:r>
          </w:p>
        </w:tc>
        <w:tc>
          <w:tcPr>
            <w:tcW w:w="2410" w:type="dxa"/>
          </w:tcPr>
          <w:p>
            <w:pPr>
              <w:pStyle w:val="yTableNAm"/>
              <w:spacing w:before="50"/>
            </w:pPr>
            <w:r>
              <w:t>Asian Bag Mussel, Asian Date Mussel</w:t>
            </w:r>
          </w:p>
        </w:tc>
        <w:tc>
          <w:tcPr>
            <w:tcW w:w="2268" w:type="dxa"/>
          </w:tcPr>
          <w:p>
            <w:pPr>
              <w:pStyle w:val="yTableNAm"/>
              <w:spacing w:before="50"/>
            </w:pPr>
            <w:r>
              <w:t>Any area of the State except in the Swan River and Port of Fremantle</w:t>
            </w:r>
          </w:p>
        </w:tc>
      </w:tr>
      <w:tr>
        <w:trPr>
          <w:cantSplit/>
        </w:trPr>
        <w:tc>
          <w:tcPr>
            <w:tcW w:w="2410" w:type="dxa"/>
          </w:tcPr>
          <w:p>
            <w:pPr>
              <w:pStyle w:val="yTableNAm"/>
              <w:spacing w:before="50"/>
            </w:pPr>
            <w:r>
              <w:rPr>
                <w:i/>
              </w:rPr>
              <w:t>Aristichthys noblis</w:t>
            </w:r>
          </w:p>
        </w:tc>
        <w:tc>
          <w:tcPr>
            <w:tcW w:w="2410" w:type="dxa"/>
          </w:tcPr>
          <w:p>
            <w:pPr>
              <w:pStyle w:val="yTableNAm"/>
              <w:spacing w:before="50"/>
            </w:pPr>
            <w:r>
              <w:t>Bighead Carp</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Asterias amurensis</w:t>
            </w:r>
          </w:p>
        </w:tc>
        <w:tc>
          <w:tcPr>
            <w:tcW w:w="2410" w:type="dxa"/>
          </w:tcPr>
          <w:p>
            <w:pPr>
              <w:pStyle w:val="yTableNAm"/>
              <w:spacing w:before="50"/>
            </w:pPr>
            <w:r>
              <w:t>Northern Pacific Seastar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aeneus</w:t>
            </w:r>
          </w:p>
        </w:tc>
        <w:tc>
          <w:tcPr>
            <w:tcW w:w="2410" w:type="dxa"/>
          </w:tcPr>
          <w:p>
            <w:pPr>
              <w:pStyle w:val="yTableNAm"/>
              <w:spacing w:before="50"/>
            </w:pPr>
            <w:r>
              <w:t>Banded Tetra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fasciatus</w:t>
            </w:r>
          </w:p>
        </w:tc>
        <w:tc>
          <w:tcPr>
            <w:tcW w:w="2410" w:type="dxa"/>
          </w:tcPr>
          <w:p>
            <w:pPr>
              <w:pStyle w:val="yTableNAm"/>
              <w:spacing w:before="50"/>
            </w:pPr>
            <w:r>
              <w:t>Banded Astyanax</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Bagrus ubangensis</w:t>
            </w:r>
          </w:p>
        </w:tc>
        <w:tc>
          <w:tcPr>
            <w:tcW w:w="2410" w:type="dxa"/>
          </w:tcPr>
          <w:p>
            <w:pPr>
              <w:pStyle w:val="yTableNAm"/>
              <w:spacing w:before="50"/>
            </w:pPr>
            <w:r>
              <w:t>Ubangi Shovelnose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Balanus glandula</w:t>
            </w:r>
          </w:p>
        </w:tc>
        <w:tc>
          <w:tcPr>
            <w:tcW w:w="2410" w:type="dxa"/>
          </w:tcPr>
          <w:p>
            <w:pPr>
              <w:pStyle w:val="yTableNAm"/>
              <w:spacing w:before="50"/>
            </w:pPr>
            <w:r>
              <w:t>Common Acorn Barnacle, White Buckshot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Barbodes hexagonolepis</w:t>
            </w:r>
          </w:p>
        </w:tc>
        <w:tc>
          <w:tcPr>
            <w:tcW w:w="2410" w:type="dxa"/>
          </w:tcPr>
          <w:p>
            <w:pPr>
              <w:pStyle w:val="yTableNAm"/>
              <w:spacing w:before="50"/>
            </w:pPr>
            <w:r>
              <w:t>Copper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Belonesox belizanus</w:t>
            </w:r>
          </w:p>
        </w:tc>
        <w:tc>
          <w:tcPr>
            <w:tcW w:w="2410" w:type="dxa"/>
          </w:tcPr>
          <w:p>
            <w:pPr>
              <w:pStyle w:val="yTableNAm"/>
              <w:spacing w:before="50"/>
            </w:pPr>
            <w:r>
              <w:t>Pike Minnow, Pike Killifish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Beroe ovata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Blackfordia virginica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Bonnemaisonia hamifera</w:t>
            </w:r>
          </w:p>
        </w:tc>
        <w:tc>
          <w:tcPr>
            <w:tcW w:w="2410" w:type="dxa"/>
          </w:tcPr>
          <w:p>
            <w:pPr>
              <w:pStyle w:val="yTableNAm"/>
              <w:spacing w:before="50"/>
            </w:pPr>
            <w:r>
              <w:t>Bonnemaison’s Hook Weed, Pink Cotton Wool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Boulengerochromis microlepis</w:t>
            </w:r>
          </w:p>
        </w:tc>
        <w:tc>
          <w:tcPr>
            <w:tcW w:w="2410" w:type="dxa"/>
          </w:tcPr>
          <w:p>
            <w:pPr>
              <w:pStyle w:val="yTableNAm"/>
              <w:spacing w:before="50"/>
            </w:pPr>
            <w:r>
              <w:t>Giant Cichlid, Yellow</w:t>
            </w:r>
            <w:r>
              <w:noBreakHyphen/>
              <w:t>belly Cichlid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Brachidontes pharaonis</w:t>
            </w:r>
          </w:p>
        </w:tc>
        <w:tc>
          <w:tcPr>
            <w:tcW w:w="2410" w:type="dxa"/>
          </w:tcPr>
          <w:p>
            <w:pPr>
              <w:pStyle w:val="yTableNAm"/>
              <w:spacing w:before="50"/>
            </w:pPr>
            <w:r>
              <w:t>Variable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Callinectes sapidus</w:t>
            </w:r>
          </w:p>
        </w:tc>
        <w:tc>
          <w:tcPr>
            <w:tcW w:w="2410" w:type="dxa"/>
          </w:tcPr>
          <w:p>
            <w:pPr>
              <w:pStyle w:val="yTableNAm"/>
              <w:spacing w:before="50"/>
            </w:pPr>
            <w:r>
              <w:t>Chesapeake Blue Crab, Atlantic Blue Crab, Blue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Carcinoscorpius rotundicauda</w:t>
            </w:r>
          </w:p>
        </w:tc>
        <w:tc>
          <w:tcPr>
            <w:tcW w:w="2410" w:type="dxa"/>
          </w:tcPr>
          <w:p>
            <w:pPr>
              <w:pStyle w:val="yTableNAm"/>
              <w:spacing w:before="50"/>
            </w:pPr>
            <w:r>
              <w:t>Mangrove Horseshoe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Carcinus maenas</w:t>
            </w:r>
          </w:p>
        </w:tc>
        <w:tc>
          <w:tcPr>
            <w:tcW w:w="2410" w:type="dxa"/>
          </w:tcPr>
          <w:p>
            <w:pPr>
              <w:pStyle w:val="yTableNAm"/>
              <w:spacing w:before="50"/>
            </w:pPr>
            <w:r>
              <w:t>European Green Crab, European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Catla catla</w:t>
            </w:r>
          </w:p>
        </w:tc>
        <w:tc>
          <w:tcPr>
            <w:tcW w:w="2410" w:type="dxa"/>
          </w:tcPr>
          <w:p>
            <w:pPr>
              <w:pStyle w:val="yTableNAm"/>
              <w:spacing w:before="50"/>
            </w:pPr>
            <w:r>
              <w:t>Catla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Catlocarpio siamensis</w:t>
            </w:r>
          </w:p>
        </w:tc>
        <w:tc>
          <w:tcPr>
            <w:tcW w:w="2410" w:type="dxa"/>
          </w:tcPr>
          <w:p>
            <w:pPr>
              <w:pStyle w:val="yTableNAm"/>
              <w:spacing w:before="50"/>
            </w:pPr>
            <w:r>
              <w:t>Giant Barb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410" w:type="dxa"/>
          </w:tcPr>
          <w:p>
            <w:pPr>
              <w:pStyle w:val="yTableNAm"/>
              <w:spacing w:before="50"/>
            </w:pPr>
            <w:r>
              <w:t>Aquarium Weed, Feather Alga, Killer Alga</w:t>
            </w:r>
          </w:p>
        </w:tc>
        <w:tc>
          <w:tcPr>
            <w:tcW w:w="2268" w:type="dxa"/>
          </w:tcPr>
          <w:p>
            <w:pPr>
              <w:pStyle w:val="yTableNAm"/>
              <w:spacing w:before="50"/>
            </w:pPr>
            <w:r>
              <w:t>Any area of the State except in the Pilbara and Kimberley Region</w:t>
            </w:r>
          </w:p>
        </w:tc>
      </w:tr>
      <w:tr>
        <w:trPr>
          <w:cantSplit/>
        </w:trPr>
        <w:tc>
          <w:tcPr>
            <w:tcW w:w="2410" w:type="dxa"/>
          </w:tcPr>
          <w:p>
            <w:pPr>
              <w:pStyle w:val="yTableNAm"/>
              <w:spacing w:before="50"/>
            </w:pPr>
            <w:r>
              <w:rPr>
                <w:i/>
              </w:rPr>
              <w:t>Centrarchidae</w:t>
            </w:r>
            <w:r>
              <w:t xml:space="preserve"> (entire family)</w:t>
            </w:r>
          </w:p>
        </w:tc>
        <w:tc>
          <w:tcPr>
            <w:tcW w:w="2410" w:type="dxa"/>
          </w:tcPr>
          <w:p>
            <w:pPr>
              <w:pStyle w:val="yTableNAm"/>
              <w:spacing w:before="50"/>
            </w:pPr>
            <w:r>
              <w:t>Banded Sunfish, Spotted Sunfish, Largemouth Bass, Bluegill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Centropomus</w:t>
            </w:r>
            <w:r>
              <w:t xml:space="preserve"> </w:t>
            </w:r>
            <w:r>
              <w:br/>
              <w:t>(entire genus)</w:t>
            </w:r>
          </w:p>
        </w:tc>
        <w:tc>
          <w:tcPr>
            <w:tcW w:w="2410" w:type="dxa"/>
          </w:tcPr>
          <w:p>
            <w:pPr>
              <w:pStyle w:val="yTableNAm"/>
              <w:spacing w:before="50"/>
            </w:pPr>
            <w:r>
              <w:t>Snooks (American)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bankanensis</w:t>
            </w:r>
          </w:p>
        </w:tc>
        <w:tc>
          <w:tcPr>
            <w:tcW w:w="2410" w:type="dxa"/>
          </w:tcPr>
          <w:p>
            <w:pPr>
              <w:pStyle w:val="yTableNAm"/>
              <w:spacing w:before="50"/>
            </w:pPr>
            <w:r>
              <w:t>Angler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burmensis</w:t>
            </w:r>
          </w:p>
        </w:tc>
        <w:tc>
          <w:tcPr>
            <w:tcW w:w="2410" w:type="dxa"/>
          </w:tcPr>
          <w:p>
            <w:pPr>
              <w:pStyle w:val="yTableNAm"/>
              <w:spacing w:before="50"/>
            </w:pPr>
            <w:r>
              <w:t>Burmensis Frogmouth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chaca</w:t>
            </w:r>
          </w:p>
        </w:tc>
        <w:tc>
          <w:tcPr>
            <w:tcW w:w="2410" w:type="dxa"/>
          </w:tcPr>
          <w:p>
            <w:pPr>
              <w:pStyle w:val="yTableNAm"/>
              <w:spacing w:before="50"/>
            </w:pPr>
            <w:r>
              <w:t>Angler, Frogmouth and Squarehead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Chaetoceros concavicornis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Chaetoceros convolutus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Channa spp</w:t>
            </w:r>
            <w:r>
              <w:t xml:space="preserve">. </w:t>
            </w:r>
            <w:r>
              <w:br/>
              <w:t>(entire genus)</w:t>
            </w:r>
          </w:p>
        </w:tc>
        <w:tc>
          <w:tcPr>
            <w:tcW w:w="2410" w:type="dxa"/>
          </w:tcPr>
          <w:p>
            <w:pPr>
              <w:pStyle w:val="yTableNAm"/>
              <w:spacing w:before="50"/>
            </w:pPr>
            <w:r>
              <w:t>Snakehead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Charybdis (Charybdis) japonica</w:t>
            </w:r>
          </w:p>
        </w:tc>
        <w:tc>
          <w:tcPr>
            <w:tcW w:w="2410" w:type="dxa"/>
          </w:tcPr>
          <w:p>
            <w:pPr>
              <w:pStyle w:val="yTableNAm"/>
              <w:spacing w:before="50"/>
            </w:pPr>
            <w:r>
              <w:t>Asian Paddle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Chthamalus proteus</w:t>
            </w:r>
          </w:p>
        </w:tc>
        <w:tc>
          <w:tcPr>
            <w:tcW w:w="2410" w:type="dxa"/>
          </w:tcPr>
          <w:p>
            <w:pPr>
              <w:pStyle w:val="yTableNAm"/>
              <w:spacing w:before="50"/>
            </w:pPr>
            <w:r>
              <w:t>Atlantic Barnacle, Caribbean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Cirrhinus cirrhosus</w:t>
            </w:r>
          </w:p>
        </w:tc>
        <w:tc>
          <w:tcPr>
            <w:tcW w:w="2410" w:type="dxa"/>
          </w:tcPr>
          <w:p>
            <w:pPr>
              <w:pStyle w:val="yTableNAm"/>
              <w:spacing w:before="50"/>
            </w:pPr>
            <w:r>
              <w:t>Mrigal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Clarias spp</w:t>
            </w:r>
            <w:r>
              <w:t xml:space="preserve">. </w:t>
            </w:r>
            <w:r>
              <w:br/>
              <w:t>(entire genus)</w:t>
            </w:r>
          </w:p>
        </w:tc>
        <w:tc>
          <w:tcPr>
            <w:tcW w:w="2410" w:type="dxa"/>
          </w:tcPr>
          <w:p>
            <w:pPr>
              <w:pStyle w:val="yTableNAm"/>
              <w:spacing w:before="50"/>
            </w:pPr>
            <w:r>
              <w:t>Walking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Cliona thoosina</w:t>
            </w:r>
          </w:p>
        </w:tc>
        <w:tc>
          <w:tcPr>
            <w:tcW w:w="2410" w:type="dxa"/>
          </w:tcPr>
          <w:p>
            <w:pPr>
              <w:pStyle w:val="yTableNAm"/>
              <w:spacing w:before="50"/>
            </w:pPr>
            <w:r>
              <w:t>Boring Sponge, Sulfur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Codium fragile fragile </w:t>
            </w:r>
            <w:r>
              <w:rPr>
                <w:rFonts w:eastAsia="Calibri"/>
                <w:i/>
              </w:rPr>
              <w:br/>
              <w:t>(syn. C. fragile tomentosoides)</w:t>
            </w:r>
          </w:p>
        </w:tc>
        <w:tc>
          <w:tcPr>
            <w:tcW w:w="2410" w:type="dxa"/>
          </w:tcPr>
          <w:p>
            <w:pPr>
              <w:pStyle w:val="yTableNAm"/>
              <w:spacing w:before="50"/>
            </w:pPr>
            <w:r>
              <w:t>Dead Man’s Fingers, Oyster Thief</w:t>
            </w:r>
            <w:del w:id="836" w:author="Master Repository Process" w:date="2021-08-28T12:00:00Z">
              <w:r>
                <w:delText>;</w:delText>
              </w:r>
            </w:del>
            <w:ins w:id="837" w:author="Master Repository Process" w:date="2021-08-28T12:00:00Z">
              <w:r>
                <w:t>,</w:t>
              </w:r>
            </w:ins>
            <w:r>
              <w:t xml:space="preserve"> Broccoli Weed</w:t>
            </w:r>
          </w:p>
        </w:tc>
        <w:tc>
          <w:tcPr>
            <w:tcW w:w="2268" w:type="dxa"/>
          </w:tcPr>
          <w:p>
            <w:pPr>
              <w:pStyle w:val="yTableNAm"/>
              <w:spacing w:before="50"/>
            </w:pPr>
            <w:r>
              <w:t>Any area of the State except in the Port of Albany</w:t>
            </w:r>
          </w:p>
        </w:tc>
      </w:tr>
      <w:tr>
        <w:trPr>
          <w:cantSplit/>
        </w:trPr>
        <w:tc>
          <w:tcPr>
            <w:tcW w:w="2410" w:type="dxa"/>
          </w:tcPr>
          <w:p>
            <w:pPr>
              <w:pStyle w:val="yTableNAm"/>
              <w:spacing w:before="50"/>
            </w:pPr>
            <w:r>
              <w:rPr>
                <w:i/>
              </w:rPr>
              <w:t>Colossoma spp</w:t>
            </w:r>
            <w:r>
              <w:t>. (entire genus)</w:t>
            </w:r>
          </w:p>
        </w:tc>
        <w:tc>
          <w:tcPr>
            <w:tcW w:w="2410" w:type="dxa"/>
          </w:tcPr>
          <w:p>
            <w:pPr>
              <w:pStyle w:val="yTableNAm"/>
              <w:spacing w:before="50"/>
            </w:pPr>
            <w:r>
              <w:t>Tambaqui Pacu, Pirapitinga</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Corbicula fluminea</w:t>
            </w:r>
          </w:p>
        </w:tc>
        <w:tc>
          <w:tcPr>
            <w:tcW w:w="2410" w:type="dxa"/>
          </w:tcPr>
          <w:p>
            <w:pPr>
              <w:pStyle w:val="yTableNAm"/>
              <w:spacing w:before="50"/>
            </w:pPr>
            <w:r>
              <w:t>Asian Clam, Asiatic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Corbula gibba </w:t>
            </w:r>
            <w:r>
              <w:rPr>
                <w:rFonts w:eastAsia="Calibri"/>
                <w:i/>
              </w:rPr>
              <w:br/>
              <w:t>(syn. Varicorbula gibba)</w:t>
            </w:r>
          </w:p>
        </w:tc>
        <w:tc>
          <w:tcPr>
            <w:tcW w:w="2410" w:type="dxa"/>
          </w:tcPr>
          <w:p>
            <w:pPr>
              <w:pStyle w:val="yTableNAm"/>
              <w:spacing w:before="50"/>
            </w:pPr>
            <w:r>
              <w:t xml:space="preserve">Basket Shell, European Clam, </w:t>
            </w:r>
            <w:del w:id="838" w:author="Master Repository Process" w:date="2021-08-28T12:00:00Z">
              <w:r>
                <w:delText xml:space="preserve"> </w:delText>
              </w:r>
            </w:del>
            <w:r>
              <w:t>Basket Shell Clam</w:t>
            </w:r>
            <w:del w:id="839" w:author="Master Repository Process" w:date="2021-08-28T12:00:00Z">
              <w:r>
                <w:delText xml:space="preserve"> </w:delText>
              </w:r>
              <w:r>
                <w:rPr>
                  <w:highlight w:val="yellow"/>
                </w:rPr>
                <w:delText xml:space="preserve"> </w:delText>
              </w:r>
            </w:del>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ariakensis</w:t>
            </w:r>
          </w:p>
        </w:tc>
        <w:tc>
          <w:tcPr>
            <w:tcW w:w="2410" w:type="dxa"/>
          </w:tcPr>
          <w:p>
            <w:pPr>
              <w:pStyle w:val="yTableNAm"/>
              <w:spacing w:before="50"/>
            </w:pPr>
            <w:r>
              <w:t>Suminoe Oyster, Asian Oyster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virginica</w:t>
            </w:r>
          </w:p>
        </w:tc>
        <w:tc>
          <w:tcPr>
            <w:tcW w:w="2410" w:type="dxa"/>
          </w:tcPr>
          <w:p>
            <w:pPr>
              <w:pStyle w:val="yTableNAm"/>
              <w:spacing w:before="50"/>
            </w:pPr>
            <w:r>
              <w:t>American Oyster, Eastern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Crenicichla lepidota</w:t>
            </w:r>
          </w:p>
        </w:tc>
        <w:tc>
          <w:tcPr>
            <w:tcW w:w="2410" w:type="dxa"/>
          </w:tcPr>
          <w:p>
            <w:pPr>
              <w:pStyle w:val="yTableNAm"/>
              <w:spacing w:before="50"/>
            </w:pPr>
            <w:r>
              <w:t>Pike Cichlid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Crepidula fornicata</w:t>
            </w:r>
          </w:p>
        </w:tc>
        <w:tc>
          <w:tcPr>
            <w:tcW w:w="2410" w:type="dxa"/>
          </w:tcPr>
          <w:p>
            <w:pPr>
              <w:pStyle w:val="yTableNAm"/>
              <w:spacing w:before="50"/>
            </w:pPr>
            <w:r>
              <w:t>Slipper Limpet, Atlantic Slipper Snail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Ctenopharyngodon idella</w:t>
            </w:r>
          </w:p>
        </w:tc>
        <w:tc>
          <w:tcPr>
            <w:tcW w:w="2410" w:type="dxa"/>
          </w:tcPr>
          <w:p>
            <w:pPr>
              <w:pStyle w:val="yTableNAm"/>
              <w:spacing w:before="50"/>
            </w:pPr>
            <w:r>
              <w:t>Grass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argentoventer</w:t>
            </w:r>
          </w:p>
        </w:tc>
        <w:tc>
          <w:tcPr>
            <w:tcW w:w="2410" w:type="dxa"/>
          </w:tcPr>
          <w:p>
            <w:pPr>
              <w:pStyle w:val="yTableNAm"/>
              <w:spacing w:before="50"/>
            </w:pPr>
            <w:r>
              <w:t>Silverbelly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kingsleyae</w:t>
            </w:r>
          </w:p>
        </w:tc>
        <w:tc>
          <w:tcPr>
            <w:tcW w:w="2410" w:type="dxa"/>
          </w:tcPr>
          <w:p>
            <w:pPr>
              <w:pStyle w:val="yTableNAm"/>
              <w:spacing w:before="50"/>
            </w:pPr>
            <w:r>
              <w:t>Tailspot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multispine</w:t>
            </w:r>
          </w:p>
        </w:tc>
        <w:tc>
          <w:tcPr>
            <w:tcW w:w="2410" w:type="dxa"/>
          </w:tcPr>
          <w:p>
            <w:pPr>
              <w:pStyle w:val="yTableNAm"/>
              <w:spacing w:before="50"/>
            </w:pPr>
            <w:r>
              <w:t>Manyspined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muriei</w:t>
            </w:r>
          </w:p>
        </w:tc>
        <w:tc>
          <w:tcPr>
            <w:tcW w:w="2410" w:type="dxa"/>
          </w:tcPr>
          <w:p>
            <w:pPr>
              <w:pStyle w:val="yTableNAm"/>
              <w:spacing w:before="50"/>
            </w:pPr>
            <w:r>
              <w:t>Ocellated Labyrinth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nigropannosum</w:t>
            </w:r>
          </w:p>
        </w:tc>
        <w:tc>
          <w:tcPr>
            <w:tcW w:w="2410" w:type="dxa"/>
          </w:tcPr>
          <w:p>
            <w:pPr>
              <w:pStyle w:val="yTableNAm"/>
              <w:spacing w:before="50"/>
            </w:pPr>
            <w:r>
              <w:t>Twospot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ocellatum</w:t>
            </w:r>
          </w:p>
        </w:tc>
        <w:tc>
          <w:tcPr>
            <w:tcW w:w="2410" w:type="dxa"/>
          </w:tcPr>
          <w:p>
            <w:pPr>
              <w:pStyle w:val="yTableNAm"/>
              <w:spacing w:before="50"/>
            </w:pPr>
            <w:r>
              <w:t>Eyespot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weeksii</w:t>
            </w:r>
          </w:p>
        </w:tc>
        <w:tc>
          <w:tcPr>
            <w:tcW w:w="2410" w:type="dxa"/>
          </w:tcPr>
          <w:p>
            <w:pPr>
              <w:pStyle w:val="yTableNAm"/>
              <w:spacing w:before="50"/>
            </w:pPr>
            <w:r>
              <w:t>Mottled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Culaea inconstans</w:t>
            </w:r>
          </w:p>
        </w:tc>
        <w:tc>
          <w:tcPr>
            <w:tcW w:w="2410" w:type="dxa"/>
          </w:tcPr>
          <w:p>
            <w:pPr>
              <w:pStyle w:val="yTableNAm"/>
              <w:spacing w:before="50"/>
            </w:pPr>
            <w:r>
              <w:t>Brook Stickleback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non</w:t>
            </w:r>
            <w:r>
              <w:rPr>
                <w:rFonts w:eastAsia="Calibri"/>
                <w:i/>
              </w:rPr>
              <w:noBreakHyphen/>
              <w:t>endemic spp.</w:t>
            </w:r>
          </w:p>
        </w:tc>
        <w:tc>
          <w:tcPr>
            <w:tcW w:w="2410" w:type="dxa"/>
          </w:tcPr>
          <w:p>
            <w:pPr>
              <w:pStyle w:val="yTableNAm"/>
              <w:spacing w:before="50"/>
            </w:pPr>
            <w:r>
              <w:t>Colonial Sea Squirt, Colonial Ascidian</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perlucidum</w:t>
            </w:r>
          </w:p>
        </w:tc>
        <w:tc>
          <w:tcPr>
            <w:tcW w:w="2410" w:type="dxa"/>
          </w:tcPr>
          <w:p>
            <w:pPr>
              <w:pStyle w:val="yTableNAm"/>
              <w:spacing w:before="50"/>
            </w:pPr>
            <w:r>
              <w:t>White Sea Squirt, White</w:t>
            </w:r>
            <w:del w:id="840" w:author="Master Repository Process" w:date="2021-08-28T12:00:00Z">
              <w:r>
                <w:delText xml:space="preserve"> </w:delText>
              </w:r>
            </w:del>
            <w:ins w:id="841" w:author="Master Repository Process" w:date="2021-08-28T12:00:00Z">
              <w:r>
                <w:t> </w:t>
              </w:r>
            </w:ins>
            <w:r>
              <w:t>Ascidian</w:t>
            </w:r>
          </w:p>
        </w:tc>
        <w:tc>
          <w:tcPr>
            <w:tcW w:w="2268" w:type="dxa"/>
          </w:tcPr>
          <w:p>
            <w:pPr>
              <w:pStyle w:val="yTableNAm"/>
              <w:spacing w:before="50"/>
            </w:pPr>
            <w:r>
              <w:t>Montebello Islands Marine Park</w:t>
            </w:r>
          </w:p>
        </w:tc>
      </w:tr>
      <w:tr>
        <w:trPr>
          <w:cantSplit/>
        </w:trPr>
        <w:tc>
          <w:tcPr>
            <w:tcW w:w="2410" w:type="dxa"/>
          </w:tcPr>
          <w:p>
            <w:pPr>
              <w:pStyle w:val="yTableNAm"/>
              <w:spacing w:before="50"/>
              <w:rPr>
                <w:rFonts w:eastAsia="Calibri"/>
              </w:rPr>
            </w:pPr>
            <w:r>
              <w:rPr>
                <w:rFonts w:eastAsia="Calibri"/>
                <w:i/>
              </w:rPr>
              <w:t>Didemnum vexillum</w:t>
            </w:r>
          </w:p>
        </w:tc>
        <w:tc>
          <w:tcPr>
            <w:tcW w:w="2410" w:type="dxa"/>
          </w:tcPr>
          <w:p>
            <w:pPr>
              <w:pStyle w:val="yTableNAm"/>
              <w:spacing w:before="50"/>
            </w:pPr>
            <w:r>
              <w:t>Colonial Sea Squirt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Dikerogammarus villosus</w:t>
            </w:r>
          </w:p>
        </w:tc>
        <w:tc>
          <w:tcPr>
            <w:tcW w:w="2410" w:type="dxa"/>
          </w:tcPr>
          <w:p>
            <w:pPr>
              <w:pStyle w:val="yTableNAm"/>
              <w:spacing w:before="50"/>
            </w:pPr>
            <w:r>
              <w:t>Killer Shrimp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Dinophysis norvegica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latifrons</w:t>
            </w:r>
          </w:p>
        </w:tc>
        <w:tc>
          <w:tcPr>
            <w:tcW w:w="2410" w:type="dxa"/>
          </w:tcPr>
          <w:p>
            <w:pPr>
              <w:pStyle w:val="yTableNAm"/>
              <w:spacing w:before="50"/>
            </w:pPr>
            <w:r>
              <w:t>Pacific Fat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lebretonis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maculatus</w:t>
            </w:r>
          </w:p>
        </w:tc>
        <w:tc>
          <w:tcPr>
            <w:tcW w:w="2410" w:type="dxa"/>
          </w:tcPr>
          <w:p>
            <w:pPr>
              <w:pStyle w:val="yTableNAm"/>
              <w:spacing w:before="50"/>
            </w:pPr>
            <w:r>
              <w:t>Fat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bugensis</w:t>
            </w:r>
          </w:p>
        </w:tc>
        <w:tc>
          <w:tcPr>
            <w:tcW w:w="2410" w:type="dxa"/>
          </w:tcPr>
          <w:p>
            <w:pPr>
              <w:pStyle w:val="yTableNAm"/>
              <w:spacing w:before="50"/>
            </w:pPr>
            <w:r>
              <w:t>Quagga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polymorpha</w:t>
            </w:r>
          </w:p>
        </w:tc>
        <w:tc>
          <w:tcPr>
            <w:tcW w:w="2410" w:type="dxa"/>
          </w:tcPr>
          <w:p>
            <w:pPr>
              <w:pStyle w:val="yTableNAm"/>
              <w:spacing w:before="50"/>
            </w:pPr>
            <w:r>
              <w:t>European Zebra Mussel, Wandering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Elassoma spp</w:t>
            </w:r>
            <w:r>
              <w:t xml:space="preserve">. </w:t>
            </w:r>
            <w:r>
              <w:br/>
              <w:t>(entire genus)</w:t>
            </w:r>
          </w:p>
        </w:tc>
        <w:tc>
          <w:tcPr>
            <w:tcW w:w="2410" w:type="dxa"/>
          </w:tcPr>
          <w:p>
            <w:pPr>
              <w:pStyle w:val="yTableNAm"/>
              <w:spacing w:before="50"/>
            </w:pPr>
            <w:r>
              <w:t>Pygmy Sunfish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Electrophorus electricus</w:t>
            </w:r>
          </w:p>
        </w:tc>
        <w:tc>
          <w:tcPr>
            <w:tcW w:w="2410" w:type="dxa"/>
          </w:tcPr>
          <w:p>
            <w:pPr>
              <w:pStyle w:val="yTableNAm"/>
              <w:spacing w:before="50"/>
            </w:pPr>
            <w:r>
              <w:t>Electric Eel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amblyopsis</w:t>
            </w:r>
          </w:p>
        </w:tc>
        <w:tc>
          <w:tcPr>
            <w:tcW w:w="2410" w:type="dxa"/>
          </w:tcPr>
          <w:p>
            <w:pPr>
              <w:pStyle w:val="yTableNAm"/>
              <w:spacing w:before="50"/>
            </w:pPr>
            <w:r>
              <w:t>Large Scaled Spiny Cheek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sandwicensis</w:t>
            </w:r>
          </w:p>
        </w:tc>
        <w:tc>
          <w:tcPr>
            <w:tcW w:w="2410" w:type="dxa"/>
          </w:tcPr>
          <w:p>
            <w:pPr>
              <w:pStyle w:val="yTableNAm"/>
              <w:spacing w:before="50"/>
            </w:pPr>
            <w:r>
              <w:t>Sandwich Island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Ensis directus</w:t>
            </w:r>
          </w:p>
        </w:tc>
        <w:tc>
          <w:tcPr>
            <w:tcW w:w="2410" w:type="dxa"/>
          </w:tcPr>
          <w:p>
            <w:pPr>
              <w:pStyle w:val="yTableNAm"/>
              <w:spacing w:before="50"/>
            </w:pPr>
            <w:r>
              <w:t>Jack</w:t>
            </w:r>
            <w:r>
              <w:noBreakHyphen/>
              <w:t>knife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sinensis</w:t>
            </w:r>
          </w:p>
        </w:tc>
        <w:tc>
          <w:tcPr>
            <w:tcW w:w="2410" w:type="dxa"/>
          </w:tcPr>
          <w:p>
            <w:pPr>
              <w:pStyle w:val="yTableNAm"/>
              <w:spacing w:before="50"/>
            </w:pPr>
            <w:r>
              <w:t>Chinese Mitten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spp.</w:t>
            </w:r>
          </w:p>
        </w:tc>
        <w:tc>
          <w:tcPr>
            <w:tcW w:w="2410" w:type="dxa"/>
          </w:tcPr>
          <w:p>
            <w:pPr>
              <w:pStyle w:val="yTableNAm"/>
              <w:spacing w:before="50"/>
            </w:pPr>
            <w:r>
              <w:t>Mitten Crabs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Erpetoichthys calabaricus</w:t>
            </w:r>
          </w:p>
        </w:tc>
        <w:tc>
          <w:tcPr>
            <w:tcW w:w="2410" w:type="dxa"/>
          </w:tcPr>
          <w:p>
            <w:pPr>
              <w:pStyle w:val="yTableNAm"/>
              <w:spacing w:before="50"/>
            </w:pPr>
            <w:r>
              <w:t>Reedfish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Esox spp</w:t>
            </w:r>
            <w:r>
              <w:t xml:space="preserve">. </w:t>
            </w:r>
            <w:r>
              <w:br/>
              <w:t>(entire genus)</w:t>
            </w:r>
          </w:p>
        </w:tc>
        <w:tc>
          <w:tcPr>
            <w:tcW w:w="2410" w:type="dxa"/>
          </w:tcPr>
          <w:p>
            <w:pPr>
              <w:pStyle w:val="yTableNAm"/>
              <w:spacing w:before="50"/>
            </w:pPr>
            <w:r>
              <w:t>Pikes (Freshwater)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Fucus evanescens</w:t>
            </w:r>
          </w:p>
        </w:tc>
        <w:tc>
          <w:tcPr>
            <w:tcW w:w="2410" w:type="dxa"/>
          </w:tcPr>
          <w:p>
            <w:pPr>
              <w:pStyle w:val="yTableNAm"/>
              <w:spacing w:before="50"/>
            </w:pPr>
            <w:r>
              <w:t>Brown Macroalga, Wrack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Gambusia spp</w:t>
            </w:r>
            <w:r>
              <w:t>. (entire genus)</w:t>
            </w:r>
          </w:p>
        </w:tc>
        <w:tc>
          <w:tcPr>
            <w:tcW w:w="2410" w:type="dxa"/>
          </w:tcPr>
          <w:p>
            <w:pPr>
              <w:pStyle w:val="yTableNAm"/>
              <w:spacing w:before="50"/>
            </w:pPr>
            <w:r>
              <w:t>Mosquito 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Gelliodes fibrosa</w:t>
            </w:r>
          </w:p>
        </w:tc>
        <w:tc>
          <w:tcPr>
            <w:tcW w:w="2410" w:type="dxa"/>
          </w:tcPr>
          <w:p>
            <w:pPr>
              <w:pStyle w:val="yTableNAm"/>
              <w:spacing w:before="50"/>
            </w:pPr>
            <w:r>
              <w:t>Gray Encrusting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Geukensia demissa</w:t>
            </w:r>
          </w:p>
        </w:tc>
        <w:tc>
          <w:tcPr>
            <w:tcW w:w="2410" w:type="dxa"/>
          </w:tcPr>
          <w:p>
            <w:pPr>
              <w:pStyle w:val="yTableNAm"/>
              <w:spacing w:before="50"/>
            </w:pPr>
            <w:r>
              <w:t>Ribbed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gobioides</w:t>
            </w:r>
          </w:p>
        </w:tc>
        <w:tc>
          <w:tcPr>
            <w:tcW w:w="2410" w:type="dxa"/>
          </w:tcPr>
          <w:p>
            <w:pPr>
              <w:pStyle w:val="yTableNAm"/>
              <w:spacing w:before="50"/>
            </w:pPr>
            <w:r>
              <w:t>Giant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huttoni</w:t>
            </w:r>
          </w:p>
        </w:tc>
        <w:tc>
          <w:tcPr>
            <w:tcW w:w="2410" w:type="dxa"/>
          </w:tcPr>
          <w:p>
            <w:pPr>
              <w:pStyle w:val="yTableNAm"/>
              <w:spacing w:before="50"/>
            </w:pPr>
            <w:r>
              <w:t>Redfin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dormitor</w:t>
            </w:r>
          </w:p>
        </w:tc>
        <w:tc>
          <w:tcPr>
            <w:tcW w:w="2410" w:type="dxa"/>
          </w:tcPr>
          <w:p>
            <w:pPr>
              <w:pStyle w:val="yTableNAm"/>
              <w:spacing w:before="50"/>
            </w:pPr>
            <w:r>
              <w:t>Bigmouth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maculatus</w:t>
            </w:r>
          </w:p>
        </w:tc>
        <w:tc>
          <w:tcPr>
            <w:tcW w:w="2410" w:type="dxa"/>
          </w:tcPr>
          <w:p>
            <w:pPr>
              <w:pStyle w:val="yTableNAm"/>
              <w:spacing w:before="50"/>
            </w:pPr>
            <w:r>
              <w:t>Pacific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Grateloupia turuturu</w:t>
            </w:r>
          </w:p>
        </w:tc>
        <w:tc>
          <w:tcPr>
            <w:tcW w:w="2410" w:type="dxa"/>
          </w:tcPr>
          <w:p>
            <w:pPr>
              <w:pStyle w:val="yTableNAm"/>
              <w:spacing w:before="50"/>
            </w:pPr>
            <w:r>
              <w:t>Devil’s Tongue Weed, Asian Red Seaweed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Gymnarchus niloticus</w:t>
            </w:r>
          </w:p>
        </w:tc>
        <w:tc>
          <w:tcPr>
            <w:tcW w:w="2410" w:type="dxa"/>
          </w:tcPr>
          <w:p>
            <w:pPr>
              <w:pStyle w:val="yTableNAm"/>
              <w:spacing w:before="50"/>
            </w:pPr>
            <w:r>
              <w:t>Aba Aba</w:t>
            </w:r>
          </w:p>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Gymnodinium catenatum</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leptorhynchus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waandersii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Hemichromis fasciatus</w:t>
            </w:r>
          </w:p>
        </w:tc>
        <w:tc>
          <w:tcPr>
            <w:tcW w:w="2410" w:type="dxa"/>
          </w:tcPr>
          <w:p>
            <w:pPr>
              <w:pStyle w:val="yTableNAm"/>
              <w:spacing w:before="50"/>
            </w:pPr>
            <w:r>
              <w:t>Banded Jewelfish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penicillatus [syn. Grapsus (Eriocheir) penicillatus)]</w:t>
            </w:r>
          </w:p>
        </w:tc>
        <w:tc>
          <w:tcPr>
            <w:tcW w:w="2410" w:type="dxa"/>
          </w:tcPr>
          <w:p>
            <w:pPr>
              <w:pStyle w:val="yTableNAm"/>
              <w:spacing w:before="50"/>
            </w:pPr>
            <w:r>
              <w:t>Hairy</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sanguineus</w:t>
            </w:r>
          </w:p>
        </w:tc>
        <w:tc>
          <w:tcPr>
            <w:tcW w:w="2410" w:type="dxa"/>
          </w:tcPr>
          <w:p>
            <w:pPr>
              <w:pStyle w:val="yTableNAm"/>
              <w:spacing w:before="50"/>
            </w:pPr>
            <w:r>
              <w:t>Asian Shore Crab, Japanese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takanoi</w:t>
            </w:r>
          </w:p>
        </w:tc>
        <w:tc>
          <w:tcPr>
            <w:tcW w:w="2410" w:type="dxa"/>
          </w:tcPr>
          <w:p>
            <w:pPr>
              <w:pStyle w:val="yTableNAm"/>
              <w:spacing w:before="50"/>
            </w:pPr>
            <w:r>
              <w:t>Brush</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Hepsetus odoe</w:t>
            </w:r>
          </w:p>
        </w:tc>
        <w:tc>
          <w:tcPr>
            <w:tcW w:w="2410" w:type="dxa"/>
          </w:tcPr>
          <w:p>
            <w:pPr>
              <w:pStyle w:val="yTableNAm"/>
              <w:spacing w:before="50"/>
            </w:pPr>
            <w:r>
              <w:t>African Pike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Heterandria bimaculata</w:t>
            </w:r>
          </w:p>
        </w:tc>
        <w:tc>
          <w:tcPr>
            <w:tcW w:w="2410" w:type="dxa"/>
          </w:tcPr>
          <w:p>
            <w:pPr>
              <w:pStyle w:val="yTableNAm"/>
              <w:spacing w:before="50"/>
            </w:pPr>
            <w:r>
              <w:t>Twospot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Heteropneustes fossilis</w:t>
            </w:r>
          </w:p>
        </w:tc>
        <w:tc>
          <w:tcPr>
            <w:tcW w:w="2410" w:type="dxa"/>
          </w:tcPr>
          <w:p>
            <w:pPr>
              <w:pStyle w:val="yTableNAm"/>
              <w:spacing w:before="50"/>
            </w:pPr>
            <w:r>
              <w:t>Stinging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kittipongi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krempfi</w:t>
            </w:r>
          </w:p>
        </w:tc>
        <w:tc>
          <w:tcPr>
            <w:tcW w:w="2410" w:type="dxa"/>
          </w:tcPr>
          <w:p>
            <w:pPr>
              <w:pStyle w:val="yTableNAm"/>
              <w:spacing w:before="50"/>
            </w:pPr>
            <w:r>
              <w:t>Marbled Freshwater Whip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oxyrhyncha</w:t>
            </w:r>
          </w:p>
        </w:tc>
        <w:tc>
          <w:tcPr>
            <w:tcW w:w="2410" w:type="dxa"/>
          </w:tcPr>
          <w:p>
            <w:pPr>
              <w:pStyle w:val="yTableNAm"/>
              <w:spacing w:before="50"/>
            </w:pPr>
            <w:r>
              <w:t>Marbled Whipray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Hoplias spp</w:t>
            </w:r>
            <w:r>
              <w:t xml:space="preserve">. </w:t>
            </w:r>
            <w:r>
              <w:br/>
              <w:t>(entire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Huso huso</w:t>
            </w:r>
          </w:p>
        </w:tc>
        <w:tc>
          <w:tcPr>
            <w:tcW w:w="2410" w:type="dxa"/>
          </w:tcPr>
          <w:p>
            <w:pPr>
              <w:pStyle w:val="yTableNAm"/>
              <w:spacing w:before="50"/>
            </w:pPr>
            <w:r>
              <w:t>Beluga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Hydrocynus spp</w:t>
            </w:r>
            <w:r>
              <w:t>. (entire genus)</w:t>
            </w:r>
          </w:p>
        </w:tc>
        <w:tc>
          <w:tcPr>
            <w:tcW w:w="2410" w:type="dxa"/>
          </w:tcPr>
          <w:p>
            <w:pPr>
              <w:pStyle w:val="yTableNAm"/>
              <w:spacing w:before="50"/>
            </w:pPr>
            <w:r>
              <w:t>Tigerfish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Hydroides dianthus</w:t>
            </w:r>
          </w:p>
        </w:tc>
        <w:tc>
          <w:tcPr>
            <w:tcW w:w="2410" w:type="dxa"/>
          </w:tcPr>
          <w:p>
            <w:pPr>
              <w:pStyle w:val="yTableNAm"/>
              <w:spacing w:before="50"/>
            </w:pPr>
            <w:r>
              <w:t>Serpulid Tube Worm, Limy Tube 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Hypophthalmichthys molitrix</w:t>
            </w:r>
          </w:p>
        </w:tc>
        <w:tc>
          <w:tcPr>
            <w:tcW w:w="2410" w:type="dxa"/>
          </w:tcPr>
          <w:p>
            <w:pPr>
              <w:pStyle w:val="yTableNAm"/>
              <w:spacing w:before="50"/>
            </w:pPr>
            <w:r>
              <w:t>Silver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cyprinoides</w:t>
            </w:r>
          </w:p>
        </w:tc>
        <w:tc>
          <w:tcPr>
            <w:tcW w:w="2410" w:type="dxa"/>
          </w:tcPr>
          <w:p>
            <w:pPr>
              <w:pStyle w:val="yTableNAm"/>
              <w:spacing w:before="50"/>
            </w:pPr>
            <w:r>
              <w:t>Tropical Carp</w:t>
            </w:r>
            <w:r>
              <w:noBreakHyphen/>
              <w:t>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tohizonae</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Ichthyborinae</w:t>
            </w:r>
            <w:r>
              <w:t xml:space="preserve"> </w:t>
            </w:r>
            <w:r>
              <w:br/>
              <w:t>(entire subfamily)</w:t>
            </w:r>
          </w:p>
        </w:tc>
        <w:tc>
          <w:tcPr>
            <w:tcW w:w="2410" w:type="dxa"/>
          </w:tcPr>
          <w:p>
            <w:pPr>
              <w:pStyle w:val="yTableNAm"/>
              <w:spacing w:before="50"/>
            </w:pPr>
            <w:r>
              <w:t>African Pike</w:t>
            </w:r>
            <w:r>
              <w:noBreakHyphen/>
              <w:t>characin, Tubenose Poacher, Fin</w:t>
            </w:r>
            <w:del w:id="842" w:author="Master Repository Process" w:date="2021-08-28T12:00:00Z">
              <w:r>
                <w:delText xml:space="preserve"> </w:delText>
              </w:r>
            </w:del>
            <w:ins w:id="843" w:author="Master Repository Process" w:date="2021-08-28T12:00:00Z">
              <w:r>
                <w:t> </w:t>
              </w:r>
            </w:ins>
            <w:r>
              <w:t>Eater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balsanus</w:t>
            </w:r>
          </w:p>
        </w:tc>
        <w:tc>
          <w:tcPr>
            <w:tcW w:w="2410" w:type="dxa"/>
          </w:tcPr>
          <w:p>
            <w:pPr>
              <w:pStyle w:val="yTableNAm"/>
              <w:spacing w:before="50"/>
            </w:pPr>
            <w:r>
              <w:t>Balsas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dugesii</w:t>
            </w:r>
          </w:p>
        </w:tc>
        <w:tc>
          <w:tcPr>
            <w:tcW w:w="2410" w:type="dxa"/>
          </w:tcPr>
          <w:p>
            <w:pPr>
              <w:pStyle w:val="yTableNAm"/>
              <w:spacing w:before="50"/>
            </w:pPr>
            <w:r>
              <w:t>Lerma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furcatus</w:t>
            </w:r>
          </w:p>
        </w:tc>
        <w:tc>
          <w:tcPr>
            <w:tcW w:w="2410" w:type="dxa"/>
          </w:tcPr>
          <w:p>
            <w:pPr>
              <w:pStyle w:val="yTableNAm"/>
              <w:spacing w:before="50"/>
            </w:pPr>
            <w:r>
              <w:t>Blue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lupus</w:t>
            </w:r>
          </w:p>
        </w:tc>
        <w:tc>
          <w:tcPr>
            <w:tcW w:w="2410" w:type="dxa"/>
          </w:tcPr>
          <w:p>
            <w:pPr>
              <w:pStyle w:val="yTableNAm"/>
              <w:spacing w:before="50"/>
            </w:pPr>
            <w:r>
              <w:t>Headwater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mexicanus</w:t>
            </w:r>
          </w:p>
        </w:tc>
        <w:tc>
          <w:tcPr>
            <w:tcW w:w="2410" w:type="dxa"/>
          </w:tcPr>
          <w:p>
            <w:pPr>
              <w:pStyle w:val="yTableNAm"/>
              <w:spacing w:before="50"/>
            </w:pPr>
            <w:r>
              <w:t>Rio Verde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ochoterenai</w:t>
            </w:r>
          </w:p>
        </w:tc>
        <w:tc>
          <w:tcPr>
            <w:tcW w:w="2410" w:type="dxa"/>
          </w:tcPr>
          <w:p>
            <w:pPr>
              <w:pStyle w:val="yTableNAm"/>
              <w:spacing w:before="50"/>
            </w:pPr>
            <w:r>
              <w:t>Chapala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pricei</w:t>
            </w:r>
          </w:p>
        </w:tc>
        <w:tc>
          <w:tcPr>
            <w:tcW w:w="2410" w:type="dxa"/>
          </w:tcPr>
          <w:p>
            <w:pPr>
              <w:pStyle w:val="yTableNAm"/>
              <w:spacing w:before="50"/>
            </w:pPr>
            <w:r>
              <w:t>Yaqui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punctatus</w:t>
            </w:r>
          </w:p>
        </w:tc>
        <w:tc>
          <w:tcPr>
            <w:tcW w:w="2410" w:type="dxa"/>
          </w:tcPr>
          <w:p>
            <w:pPr>
              <w:pStyle w:val="yTableNAm"/>
              <w:spacing w:before="50"/>
            </w:pPr>
            <w:r>
              <w:t>Channel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calbasu</w:t>
            </w:r>
          </w:p>
        </w:tc>
        <w:tc>
          <w:tcPr>
            <w:tcW w:w="2410" w:type="dxa"/>
          </w:tcPr>
          <w:p>
            <w:pPr>
              <w:pStyle w:val="yTableNAm"/>
              <w:spacing w:before="50"/>
            </w:pPr>
            <w:r>
              <w:t>Orange Fin Labeo</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rohita</w:t>
            </w:r>
          </w:p>
        </w:tc>
        <w:tc>
          <w:tcPr>
            <w:tcW w:w="2410" w:type="dxa"/>
          </w:tcPr>
          <w:p>
            <w:pPr>
              <w:pStyle w:val="yTableNAm"/>
              <w:spacing w:before="50"/>
            </w:pPr>
            <w:r>
              <w:t>Rohu</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microlepis</w:t>
            </w:r>
          </w:p>
        </w:tc>
        <w:tc>
          <w:tcPr>
            <w:tcW w:w="2410" w:type="dxa"/>
          </w:tcPr>
          <w:p>
            <w:pPr>
              <w:pStyle w:val="yTableNAm"/>
              <w:spacing w:before="50"/>
            </w:pPr>
            <w:r>
              <w:t>Forktail Lates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niloticus</w:t>
            </w:r>
          </w:p>
        </w:tc>
        <w:tc>
          <w:tcPr>
            <w:tcW w:w="2410" w:type="dxa"/>
          </w:tcPr>
          <w:p>
            <w:pPr>
              <w:pStyle w:val="yTableNAm"/>
              <w:spacing w:before="50"/>
            </w:pPr>
            <w:r>
              <w:t>Nile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Lebiasina bimaculata</w:t>
            </w:r>
          </w:p>
        </w:tc>
        <w:tc>
          <w:tcPr>
            <w:tcW w:w="2410" w:type="dxa"/>
          </w:tcPr>
          <w:p>
            <w:pPr>
              <w:pStyle w:val="yTableNAm"/>
              <w:spacing w:before="50"/>
            </w:pPr>
            <w:r>
              <w:t>Twospot Lebiasina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Lepidosiren paradoxa</w:t>
            </w:r>
          </w:p>
        </w:tc>
        <w:tc>
          <w:tcPr>
            <w:tcW w:w="2410" w:type="dxa"/>
          </w:tcPr>
          <w:p>
            <w:pPr>
              <w:pStyle w:val="yTableNAm"/>
              <w:spacing w:before="50"/>
            </w:pPr>
            <w:r>
              <w:t>South American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aureoguttatus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marmoratus</w:t>
            </w:r>
          </w:p>
        </w:tc>
        <w:tc>
          <w:tcPr>
            <w:tcW w:w="2410" w:type="dxa"/>
          </w:tcPr>
          <w:p>
            <w:pPr>
              <w:pStyle w:val="yTableNAm"/>
              <w:spacing w:before="50"/>
            </w:pPr>
            <w:r>
              <w:t>Marbled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minimus</w:t>
            </w:r>
          </w:p>
        </w:tc>
        <w:tc>
          <w:tcPr>
            <w:tcW w:w="2410" w:type="dxa"/>
          </w:tcPr>
          <w:p>
            <w:pPr>
              <w:pStyle w:val="yTableNAm"/>
              <w:spacing w:before="50"/>
            </w:pPr>
            <w:r>
              <w:t>Barred Tail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opalescens</w:t>
            </w:r>
          </w:p>
        </w:tc>
        <w:tc>
          <w:tcPr>
            <w:tcW w:w="2410" w:type="dxa"/>
          </w:tcPr>
          <w:p>
            <w:pPr>
              <w:pStyle w:val="yTableNAm"/>
              <w:spacing w:before="50"/>
            </w:pPr>
            <w:r>
              <w:t>Opal Pearlfish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Limnoperna fortunei</w:t>
            </w:r>
          </w:p>
        </w:tc>
        <w:tc>
          <w:tcPr>
            <w:tcW w:w="2410" w:type="dxa"/>
          </w:tcPr>
          <w:p>
            <w:pPr>
              <w:pStyle w:val="yTableNAm"/>
              <w:spacing w:before="50"/>
            </w:pPr>
            <w:r>
              <w:t>Golden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Malapterurus spp</w:t>
            </w:r>
            <w:r>
              <w:t>. (entire genus)</w:t>
            </w:r>
          </w:p>
        </w:tc>
        <w:tc>
          <w:tcPr>
            <w:tcW w:w="2410" w:type="dxa"/>
          </w:tcPr>
          <w:p>
            <w:pPr>
              <w:pStyle w:val="yTableNAm"/>
              <w:spacing w:before="50"/>
            </w:pPr>
            <w:r>
              <w:t>Electric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Maoricolpus roseus</w:t>
            </w:r>
          </w:p>
        </w:tc>
        <w:tc>
          <w:tcPr>
            <w:tcW w:w="2410" w:type="dxa"/>
          </w:tcPr>
          <w:p>
            <w:pPr>
              <w:pStyle w:val="yTableNAm"/>
              <w:spacing w:before="50"/>
            </w:pPr>
            <w:r>
              <w:t>New Zealand Screwshell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Marenzelleria non</w:t>
            </w:r>
            <w:r>
              <w:rPr>
                <w:rFonts w:eastAsia="Calibri"/>
                <w:i/>
              </w:rPr>
              <w:noBreakHyphen/>
              <w:t>endemic spp.</w:t>
            </w:r>
          </w:p>
        </w:tc>
        <w:tc>
          <w:tcPr>
            <w:tcW w:w="2410" w:type="dxa"/>
          </w:tcPr>
          <w:p>
            <w:pPr>
              <w:pStyle w:val="yTableNAm"/>
              <w:spacing w:before="50"/>
            </w:pPr>
            <w:r>
              <w:t>Red</w:t>
            </w:r>
            <w:r>
              <w:noBreakHyphen/>
              <w:t>Gilled Mudworm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Melanotheron melanotheron</w:t>
            </w:r>
          </w:p>
        </w:tc>
        <w:tc>
          <w:tcPr>
            <w:tcW w:w="2410" w:type="dxa"/>
          </w:tcPr>
          <w:p>
            <w:pPr>
              <w:pStyle w:val="yTableNAm"/>
              <w:spacing w:before="50"/>
            </w:pPr>
            <w:r>
              <w:t>Blackchin Tilapia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Misgurnus anguillicaudatus</w:t>
            </w:r>
          </w:p>
        </w:tc>
        <w:tc>
          <w:tcPr>
            <w:tcW w:w="2410" w:type="dxa"/>
          </w:tcPr>
          <w:p>
            <w:pPr>
              <w:pStyle w:val="yTableNAm"/>
              <w:spacing w:before="50"/>
            </w:pPr>
            <w:r>
              <w:t>Weatherloach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Mnemiopsis leidyi</w:t>
            </w:r>
          </w:p>
        </w:tc>
        <w:tc>
          <w:tcPr>
            <w:tcW w:w="2410" w:type="dxa"/>
          </w:tcPr>
          <w:p>
            <w:pPr>
              <w:pStyle w:val="yTableNAm"/>
              <w:spacing w:before="50"/>
            </w:pPr>
            <w:r>
              <w:t>Comb Jelly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Monia nobilis </w:t>
            </w:r>
            <w:r>
              <w:rPr>
                <w:rFonts w:eastAsia="Calibri"/>
                <w:i/>
              </w:rPr>
              <w:br/>
              <w:t>(syn. Anomia nobilis)</w:t>
            </w:r>
          </w:p>
        </w:tc>
        <w:tc>
          <w:tcPr>
            <w:tcW w:w="2410" w:type="dxa"/>
          </w:tcPr>
          <w:p>
            <w:pPr>
              <w:pStyle w:val="yTableNAm"/>
              <w:spacing w:before="50"/>
            </w:pPr>
            <w:r>
              <w:t>Jingle Shell, Saddle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Mormyrops anguilloides</w:t>
            </w:r>
          </w:p>
        </w:tc>
        <w:tc>
          <w:tcPr>
            <w:tcW w:w="2410" w:type="dxa"/>
          </w:tcPr>
          <w:p>
            <w:pPr>
              <w:pStyle w:val="yTableNAm"/>
              <w:spacing w:before="50"/>
            </w:pPr>
            <w:r>
              <w:t>Cornish Jack, Bottlenose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Mya arenaria</w:t>
            </w:r>
          </w:p>
        </w:tc>
        <w:tc>
          <w:tcPr>
            <w:tcW w:w="2410" w:type="dxa"/>
          </w:tcPr>
          <w:p>
            <w:pPr>
              <w:pStyle w:val="yTableNAm"/>
              <w:spacing w:before="50"/>
            </w:pPr>
            <w:r>
              <w:t>Soft</w:t>
            </w:r>
            <w:r>
              <w:noBreakHyphen/>
              <w:t>shell Clam, Long</w:t>
            </w:r>
            <w:r>
              <w:noBreakHyphen/>
              <w:t>neck Clam, Steamer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Mytella charruana</w:t>
            </w:r>
          </w:p>
        </w:tc>
        <w:tc>
          <w:tcPr>
            <w:tcW w:w="2410" w:type="dxa"/>
          </w:tcPr>
          <w:p>
            <w:pPr>
              <w:pStyle w:val="yTableNAm"/>
              <w:spacing w:before="50"/>
            </w:pPr>
            <w:r>
              <w:t>Charru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leucophaeata</w:t>
            </w:r>
          </w:p>
        </w:tc>
        <w:tc>
          <w:tcPr>
            <w:tcW w:w="2410" w:type="dxa"/>
          </w:tcPr>
          <w:p>
            <w:pPr>
              <w:pStyle w:val="yTableNAm"/>
              <w:spacing w:before="50"/>
            </w:pPr>
            <w:r>
              <w:t>Dark False Mussel, Conrad’s False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sallei</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Mytilopsis spp</w:t>
            </w:r>
            <w:r>
              <w:t xml:space="preserve">. (entire genus) and </w:t>
            </w:r>
            <w:r>
              <w:rPr>
                <w:i/>
              </w:rPr>
              <w:t>Congeria spp</w:t>
            </w:r>
            <w:r>
              <w:t xml:space="preserve">. </w:t>
            </w:r>
            <w:del w:id="844" w:author="Master Repository Process" w:date="2021-08-28T12:00:00Z">
              <w:r>
                <w:br/>
              </w:r>
            </w:del>
            <w:r>
              <w:t>(entire genus)</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Neogobius melanostomus</w:t>
            </w:r>
          </w:p>
        </w:tc>
        <w:tc>
          <w:tcPr>
            <w:tcW w:w="2410" w:type="dxa"/>
          </w:tcPr>
          <w:p>
            <w:pPr>
              <w:pStyle w:val="yTableNAm"/>
              <w:spacing w:before="50"/>
            </w:pPr>
            <w:r>
              <w:t>Round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Notropis spp</w:t>
            </w:r>
            <w:r>
              <w:t xml:space="preserve">. </w:t>
            </w:r>
            <w:r>
              <w:br/>
              <w:t>(entire genus)</w:t>
            </w:r>
          </w:p>
        </w:tc>
        <w:tc>
          <w:tcPr>
            <w:tcW w:w="2410" w:type="dxa"/>
          </w:tcPr>
          <w:p>
            <w:pPr>
              <w:pStyle w:val="yTableNAm"/>
              <w:spacing w:before="50"/>
            </w:pPr>
            <w:r>
              <w:t>Shiners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albater</w:t>
            </w:r>
          </w:p>
        </w:tc>
        <w:tc>
          <w:tcPr>
            <w:tcW w:w="2410" w:type="dxa"/>
          </w:tcPr>
          <w:p>
            <w:pPr>
              <w:pStyle w:val="yTableNAm"/>
              <w:spacing w:before="50"/>
            </w:pPr>
            <w:r>
              <w:t>Ozark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baileyi</w:t>
            </w:r>
          </w:p>
        </w:tc>
        <w:tc>
          <w:tcPr>
            <w:tcW w:w="2410" w:type="dxa"/>
          </w:tcPr>
          <w:p>
            <w:pPr>
              <w:pStyle w:val="yTableNAm"/>
              <w:spacing w:before="50"/>
            </w:pPr>
            <w:r>
              <w:t>Smoky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crypticus</w:t>
            </w:r>
          </w:p>
        </w:tc>
        <w:tc>
          <w:tcPr>
            <w:tcW w:w="2410" w:type="dxa"/>
          </w:tcPr>
          <w:p>
            <w:pPr>
              <w:pStyle w:val="yTableNAm"/>
              <w:spacing w:before="50"/>
            </w:pPr>
            <w:r>
              <w:t>Chucky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elegans</w:t>
            </w:r>
          </w:p>
        </w:tc>
        <w:tc>
          <w:tcPr>
            <w:tcW w:w="2410" w:type="dxa"/>
          </w:tcPr>
          <w:p>
            <w:pPr>
              <w:pStyle w:val="yTableNAm"/>
              <w:spacing w:before="50"/>
            </w:pPr>
            <w:r>
              <w:t>Elegant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eleutherus</w:t>
            </w:r>
          </w:p>
        </w:tc>
        <w:tc>
          <w:tcPr>
            <w:tcW w:w="2410" w:type="dxa"/>
          </w:tcPr>
          <w:p>
            <w:pPr>
              <w:pStyle w:val="yTableNAm"/>
              <w:spacing w:before="50"/>
            </w:pPr>
            <w:r>
              <w:t>Mountain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exilis</w:t>
            </w:r>
          </w:p>
        </w:tc>
        <w:tc>
          <w:tcPr>
            <w:tcW w:w="2410" w:type="dxa"/>
          </w:tcPr>
          <w:p>
            <w:pPr>
              <w:pStyle w:val="yTableNAm"/>
              <w:spacing w:before="50"/>
            </w:pPr>
            <w:r>
              <w:t>Slender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fasciatus</w:t>
            </w:r>
          </w:p>
        </w:tc>
        <w:tc>
          <w:tcPr>
            <w:tcW w:w="2410" w:type="dxa"/>
          </w:tcPr>
          <w:p>
            <w:pPr>
              <w:pStyle w:val="yTableNAm"/>
              <w:spacing w:before="50"/>
            </w:pPr>
            <w:r>
              <w:t>Saddled Madtom</w:t>
            </w:r>
          </w:p>
        </w:tc>
        <w:tc>
          <w:tcPr>
            <w:tcW w:w="2268" w:type="dxa"/>
          </w:tcPr>
          <w:p>
            <w:pPr>
              <w:pStyle w:val="yTableNAm"/>
              <w:spacing w:before="50"/>
            </w:pPr>
            <w:r>
              <w:t>Any area of the State</w:t>
            </w:r>
          </w:p>
        </w:tc>
      </w:tr>
      <w:tr>
        <w:trPr>
          <w:cantSplit/>
        </w:trPr>
        <w:tc>
          <w:tcPr>
            <w:tcW w:w="2410" w:type="dxa"/>
          </w:tcPr>
          <w:p>
            <w:pPr>
              <w:pStyle w:val="yTableNAm"/>
              <w:keepNext/>
              <w:spacing w:before="50"/>
            </w:pPr>
            <w:r>
              <w:rPr>
                <w:i/>
              </w:rPr>
              <w:t>Noturus flavater</w:t>
            </w:r>
          </w:p>
        </w:tc>
        <w:tc>
          <w:tcPr>
            <w:tcW w:w="2410" w:type="dxa"/>
          </w:tcPr>
          <w:p>
            <w:pPr>
              <w:pStyle w:val="yTableNAm"/>
              <w:keepNext/>
              <w:spacing w:before="50"/>
            </w:pPr>
            <w:r>
              <w:t>Checkered Madtom</w:t>
            </w:r>
          </w:p>
        </w:tc>
        <w:tc>
          <w:tcPr>
            <w:tcW w:w="2268" w:type="dxa"/>
          </w:tcPr>
          <w:p>
            <w:pPr>
              <w:pStyle w:val="yTableNAm"/>
              <w:keepNext/>
              <w:spacing w:before="50"/>
            </w:pPr>
            <w:r>
              <w:t>Any area of the State</w:t>
            </w:r>
          </w:p>
        </w:tc>
      </w:tr>
      <w:tr>
        <w:trPr>
          <w:cantSplit/>
        </w:trPr>
        <w:tc>
          <w:tcPr>
            <w:tcW w:w="2410" w:type="dxa"/>
          </w:tcPr>
          <w:p>
            <w:pPr>
              <w:pStyle w:val="yTableNAm"/>
              <w:spacing w:before="50"/>
            </w:pPr>
            <w:r>
              <w:rPr>
                <w:i/>
              </w:rPr>
              <w:t>Noturus flavipinnis</w:t>
            </w:r>
          </w:p>
        </w:tc>
        <w:tc>
          <w:tcPr>
            <w:tcW w:w="2410" w:type="dxa"/>
          </w:tcPr>
          <w:p>
            <w:pPr>
              <w:pStyle w:val="yTableNAm"/>
              <w:spacing w:before="50"/>
            </w:pPr>
            <w:r>
              <w:t>Yellowfin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flavus</w:t>
            </w:r>
          </w:p>
        </w:tc>
        <w:tc>
          <w:tcPr>
            <w:tcW w:w="2410" w:type="dxa"/>
          </w:tcPr>
          <w:p>
            <w:pPr>
              <w:pStyle w:val="yTableNAm"/>
              <w:spacing w:before="50"/>
            </w:pPr>
            <w:r>
              <w:t>Stonecat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funebris</w:t>
            </w:r>
          </w:p>
        </w:tc>
        <w:tc>
          <w:tcPr>
            <w:tcW w:w="2410" w:type="dxa"/>
          </w:tcPr>
          <w:p>
            <w:pPr>
              <w:pStyle w:val="yTableNAm"/>
              <w:spacing w:before="50"/>
            </w:pPr>
            <w:r>
              <w:t>Black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furiosus</w:t>
            </w:r>
          </w:p>
        </w:tc>
        <w:tc>
          <w:tcPr>
            <w:tcW w:w="2410" w:type="dxa"/>
          </w:tcPr>
          <w:p>
            <w:pPr>
              <w:pStyle w:val="yTableNAm"/>
              <w:spacing w:before="50"/>
            </w:pPr>
            <w:r>
              <w:t>Carolina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gilberti</w:t>
            </w:r>
          </w:p>
        </w:tc>
        <w:tc>
          <w:tcPr>
            <w:tcW w:w="2410" w:type="dxa"/>
          </w:tcPr>
          <w:p>
            <w:pPr>
              <w:pStyle w:val="yTableNAm"/>
              <w:spacing w:before="50"/>
            </w:pPr>
            <w:r>
              <w:t>Orangefin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gladiator</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gyrinus</w:t>
            </w:r>
          </w:p>
        </w:tc>
        <w:tc>
          <w:tcPr>
            <w:tcW w:w="2410" w:type="dxa"/>
          </w:tcPr>
          <w:p>
            <w:pPr>
              <w:pStyle w:val="yTableNAm"/>
              <w:spacing w:before="50"/>
            </w:pPr>
            <w:r>
              <w:t>Tadpole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hildebrandi</w:t>
            </w:r>
          </w:p>
        </w:tc>
        <w:tc>
          <w:tcPr>
            <w:tcW w:w="2410" w:type="dxa"/>
          </w:tcPr>
          <w:p>
            <w:pPr>
              <w:pStyle w:val="yTableNAm"/>
              <w:spacing w:before="50"/>
            </w:pPr>
            <w:r>
              <w:t xml:space="preserve">Least Madtom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lautus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insignis</w:t>
            </w:r>
          </w:p>
        </w:tc>
        <w:tc>
          <w:tcPr>
            <w:tcW w:w="2410" w:type="dxa"/>
          </w:tcPr>
          <w:p>
            <w:pPr>
              <w:pStyle w:val="yTableNAm"/>
              <w:spacing w:before="50"/>
            </w:pPr>
            <w:r>
              <w:t>Margined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lachneri</w:t>
            </w:r>
          </w:p>
        </w:tc>
        <w:tc>
          <w:tcPr>
            <w:tcW w:w="2410" w:type="dxa"/>
          </w:tcPr>
          <w:p>
            <w:pPr>
              <w:pStyle w:val="yTableNAm"/>
              <w:spacing w:before="50"/>
            </w:pPr>
            <w:r>
              <w:t>Ouachita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leptacanthus</w:t>
            </w:r>
          </w:p>
        </w:tc>
        <w:tc>
          <w:tcPr>
            <w:tcW w:w="2410" w:type="dxa"/>
          </w:tcPr>
          <w:p>
            <w:pPr>
              <w:pStyle w:val="yTableNAm"/>
              <w:spacing w:before="50"/>
            </w:pPr>
            <w:r>
              <w:t>Speckled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maydeni</w:t>
            </w:r>
          </w:p>
        </w:tc>
        <w:tc>
          <w:tcPr>
            <w:tcW w:w="2410" w:type="dxa"/>
          </w:tcPr>
          <w:p>
            <w:pPr>
              <w:pStyle w:val="yTableNAm"/>
              <w:spacing w:before="50"/>
            </w:pPr>
            <w:r>
              <w:t>Black River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miurus</w:t>
            </w:r>
          </w:p>
        </w:tc>
        <w:tc>
          <w:tcPr>
            <w:tcW w:w="2410" w:type="dxa"/>
          </w:tcPr>
          <w:p>
            <w:pPr>
              <w:pStyle w:val="yTableNAm"/>
              <w:spacing w:before="50"/>
            </w:pPr>
            <w:r>
              <w:t>Brindled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munitus</w:t>
            </w:r>
          </w:p>
        </w:tc>
        <w:tc>
          <w:tcPr>
            <w:tcW w:w="2410" w:type="dxa"/>
          </w:tcPr>
          <w:p>
            <w:pPr>
              <w:pStyle w:val="yTableNAm"/>
              <w:spacing w:before="50"/>
            </w:pPr>
            <w:r>
              <w:t>Frecklebelly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nocturnus</w:t>
            </w:r>
          </w:p>
        </w:tc>
        <w:tc>
          <w:tcPr>
            <w:tcW w:w="2410" w:type="dxa"/>
          </w:tcPr>
          <w:p>
            <w:pPr>
              <w:pStyle w:val="yTableNAm"/>
              <w:spacing w:before="50"/>
            </w:pPr>
            <w:r>
              <w:t>Freckled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phaeus</w:t>
            </w:r>
          </w:p>
        </w:tc>
        <w:tc>
          <w:tcPr>
            <w:tcW w:w="2410" w:type="dxa"/>
          </w:tcPr>
          <w:p>
            <w:pPr>
              <w:pStyle w:val="yTableNAm"/>
              <w:spacing w:before="50"/>
            </w:pPr>
            <w:r>
              <w:t>Brown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placidus</w:t>
            </w:r>
          </w:p>
        </w:tc>
        <w:tc>
          <w:tcPr>
            <w:tcW w:w="2410" w:type="dxa"/>
          </w:tcPr>
          <w:p>
            <w:pPr>
              <w:pStyle w:val="yTableNAm"/>
              <w:spacing w:before="50"/>
            </w:pPr>
            <w:r>
              <w:t>Neosho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stanauli</w:t>
            </w:r>
          </w:p>
        </w:tc>
        <w:tc>
          <w:tcPr>
            <w:tcW w:w="2410" w:type="dxa"/>
          </w:tcPr>
          <w:p>
            <w:pPr>
              <w:pStyle w:val="yTableNAm"/>
              <w:spacing w:before="50"/>
            </w:pPr>
            <w:r>
              <w:t>Pygmy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stigmosus</w:t>
            </w:r>
          </w:p>
        </w:tc>
        <w:tc>
          <w:tcPr>
            <w:tcW w:w="2410" w:type="dxa"/>
          </w:tcPr>
          <w:p>
            <w:pPr>
              <w:pStyle w:val="yTableNAm"/>
              <w:spacing w:before="50"/>
            </w:pPr>
            <w:r>
              <w:t>Northern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taylori</w:t>
            </w:r>
          </w:p>
        </w:tc>
        <w:tc>
          <w:tcPr>
            <w:tcW w:w="2410" w:type="dxa"/>
          </w:tcPr>
          <w:p>
            <w:pPr>
              <w:pStyle w:val="yTableNAm"/>
              <w:spacing w:before="50"/>
            </w:pPr>
            <w:r>
              <w:t>Caddo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trautmani</w:t>
            </w:r>
          </w:p>
        </w:tc>
        <w:tc>
          <w:tcPr>
            <w:tcW w:w="2410" w:type="dxa"/>
          </w:tcPr>
          <w:p>
            <w:pPr>
              <w:pStyle w:val="yTableNAm"/>
              <w:spacing w:before="50"/>
            </w:pPr>
            <w:r>
              <w:t>Scioto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Oreochromis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Oxydoras spp</w:t>
            </w:r>
            <w:r>
              <w:t xml:space="preserve">. </w:t>
            </w:r>
            <w:r>
              <w:br/>
              <w:t>(entire genus)</w:t>
            </w:r>
          </w:p>
        </w:tc>
        <w:tc>
          <w:tcPr>
            <w:tcW w:w="2410" w:type="dxa"/>
          </w:tcPr>
          <w:p>
            <w:pPr>
              <w:pStyle w:val="yTableNAm"/>
              <w:spacing w:before="50"/>
            </w:pPr>
            <w:r>
              <w:t>Ripsaw Catfish, Black Doras, Black Shielded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heterodon</w:t>
            </w:r>
          </w:p>
        </w:tc>
        <w:tc>
          <w:tcPr>
            <w:tcW w:w="2410" w:type="dxa"/>
          </w:tcPr>
          <w:p>
            <w:pPr>
              <w:pStyle w:val="yTableNAm"/>
              <w:spacing w:before="50"/>
            </w:pPr>
            <w:r>
              <w:t>Sentani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marmorata</w:t>
            </w:r>
          </w:p>
        </w:tc>
        <w:tc>
          <w:tcPr>
            <w:tcW w:w="2410" w:type="dxa"/>
          </w:tcPr>
          <w:p>
            <w:pPr>
              <w:pStyle w:val="yTableNAm"/>
              <w:spacing w:before="50"/>
            </w:pPr>
            <w:r>
              <w:t>Marble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siamensis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urophthalmoides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Pachygrapsus fakaravensis</w:t>
            </w:r>
          </w:p>
        </w:tc>
        <w:tc>
          <w:tcPr>
            <w:tcW w:w="2410" w:type="dxa"/>
          </w:tcPr>
          <w:p>
            <w:pPr>
              <w:pStyle w:val="yTableNAm"/>
              <w:spacing w:before="50"/>
            </w:pPr>
            <w:r>
              <w:t>Polynesian Grapsid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Pangasianodon gigas</w:t>
            </w:r>
          </w:p>
        </w:tc>
        <w:tc>
          <w:tcPr>
            <w:tcW w:w="2410" w:type="dxa"/>
          </w:tcPr>
          <w:p>
            <w:pPr>
              <w:pStyle w:val="yTableNAm"/>
              <w:spacing w:before="50"/>
            </w:pPr>
            <w:r>
              <w:t>Mekong Giant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conchophilus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elongatus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krempfi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kunyit</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larnaudii</w:t>
            </w:r>
          </w:p>
        </w:tc>
        <w:tc>
          <w:tcPr>
            <w:tcW w:w="2410" w:type="dxa"/>
          </w:tcPr>
          <w:p>
            <w:pPr>
              <w:pStyle w:val="yTableNAm"/>
              <w:spacing w:before="50"/>
            </w:pPr>
            <w:r>
              <w:t>Spot Pangasius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macronema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nasutus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nieuwenhuisii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pangasius</w:t>
            </w:r>
          </w:p>
        </w:tc>
        <w:tc>
          <w:tcPr>
            <w:tcW w:w="2410" w:type="dxa"/>
          </w:tcPr>
          <w:p>
            <w:pPr>
              <w:pStyle w:val="yTableNAm"/>
              <w:spacing w:before="50"/>
            </w:pPr>
            <w:r>
              <w:t>Yellowtailed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Paratrygon aiereba</w:t>
            </w:r>
          </w:p>
        </w:tc>
        <w:tc>
          <w:tcPr>
            <w:tcW w:w="2410" w:type="dxa"/>
          </w:tcPr>
          <w:p>
            <w:pPr>
              <w:pStyle w:val="yTableNAm"/>
              <w:spacing w:before="50"/>
            </w:pPr>
            <w:r>
              <w:t>Discus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Paravandelia oxyptera</w:t>
            </w:r>
          </w:p>
        </w:tc>
        <w:tc>
          <w:tcPr>
            <w:tcW w:w="2410" w:type="dxa"/>
          </w:tcPr>
          <w:p>
            <w:pPr>
              <w:pStyle w:val="yTableNAm"/>
              <w:spacing w:before="50"/>
            </w:pPr>
            <w:r>
              <w:t>Parasitic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canaliculus</w:t>
            </w:r>
          </w:p>
        </w:tc>
        <w:tc>
          <w:tcPr>
            <w:tcW w:w="2410" w:type="dxa"/>
          </w:tcPr>
          <w:p>
            <w:pPr>
              <w:pStyle w:val="yTableNAm"/>
              <w:spacing w:before="50"/>
            </w:pPr>
            <w:r>
              <w:t>New Zealand Mussel, New Zealand Green</w:t>
            </w:r>
            <w:r>
              <w:noBreakHyphen/>
              <w:t>lipped Mussel, Greenshell Mussel, Kuku, Kutai</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perna</w:t>
            </w:r>
          </w:p>
        </w:tc>
        <w:tc>
          <w:tcPr>
            <w:tcW w:w="2410" w:type="dxa"/>
          </w:tcPr>
          <w:p>
            <w:pPr>
              <w:pStyle w:val="yTableNAm"/>
              <w:spacing w:before="50"/>
            </w:pPr>
            <w:r>
              <w:t>Brown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viridis</w:t>
            </w:r>
          </w:p>
        </w:tc>
        <w:tc>
          <w:tcPr>
            <w:tcW w:w="2410" w:type="dxa"/>
          </w:tcPr>
          <w:p>
            <w:pPr>
              <w:pStyle w:val="yTableNAm"/>
              <w:spacing w:before="50"/>
            </w:pPr>
            <w:r>
              <w:t>Asian Green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Pfiesteria piscicida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Phoxinus erythrogaster</w:t>
            </w:r>
          </w:p>
        </w:tc>
        <w:tc>
          <w:tcPr>
            <w:tcW w:w="2410" w:type="dxa"/>
          </w:tcPr>
          <w:p>
            <w:pPr>
              <w:pStyle w:val="yTableNAm"/>
              <w:spacing w:before="50"/>
            </w:pPr>
            <w:r>
              <w:t>Southern Redbelly Dace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Polyodon spathula</w:t>
            </w:r>
          </w:p>
        </w:tc>
        <w:tc>
          <w:tcPr>
            <w:tcW w:w="2410" w:type="dxa"/>
          </w:tcPr>
          <w:p>
            <w:pPr>
              <w:pStyle w:val="yTableNAm"/>
              <w:spacing w:before="50"/>
            </w:pPr>
            <w:r>
              <w:t>Mississippi Paddlefish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Potamocorbula amurensis (syn. Corbula amurensis)</w:t>
            </w:r>
          </w:p>
        </w:tc>
        <w:tc>
          <w:tcPr>
            <w:tcW w:w="2410" w:type="dxa"/>
          </w:tcPr>
          <w:p>
            <w:pPr>
              <w:pStyle w:val="yTableNAm"/>
              <w:spacing w:before="50"/>
            </w:pPr>
            <w:r>
              <w:t>Asian Clam, Amur River Clam, Overbite Clam, Brackish</w:t>
            </w:r>
            <w:r>
              <w:noBreakHyphen/>
              <w:t>water Corbula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Procambarus clarkii</w:t>
            </w:r>
          </w:p>
        </w:tc>
        <w:tc>
          <w:tcPr>
            <w:tcW w:w="2410" w:type="dxa"/>
          </w:tcPr>
          <w:p>
            <w:pPr>
              <w:pStyle w:val="yTableNAm"/>
              <w:spacing w:before="50"/>
            </w:pPr>
            <w:r>
              <w:t>Red Swamp Crayfish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aethiopicus</w:t>
            </w:r>
          </w:p>
        </w:tc>
        <w:tc>
          <w:tcPr>
            <w:tcW w:w="2410" w:type="dxa"/>
          </w:tcPr>
          <w:p>
            <w:pPr>
              <w:pStyle w:val="yTableNAm"/>
              <w:spacing w:before="50"/>
            </w:pPr>
            <w:r>
              <w:t>Marbled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amphibius</w:t>
            </w:r>
          </w:p>
        </w:tc>
        <w:tc>
          <w:tcPr>
            <w:tcW w:w="2410" w:type="dxa"/>
          </w:tcPr>
          <w:p>
            <w:pPr>
              <w:pStyle w:val="yTableNAm"/>
              <w:spacing w:before="50"/>
            </w:pPr>
            <w:r>
              <w:t>Gilled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annectens</w:t>
            </w:r>
          </w:p>
        </w:tc>
        <w:tc>
          <w:tcPr>
            <w:tcW w:w="2410" w:type="dxa"/>
          </w:tcPr>
          <w:p>
            <w:pPr>
              <w:pStyle w:val="yTableNAm"/>
              <w:spacing w:before="50"/>
            </w:pPr>
            <w:r>
              <w:t>African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dolloi</w:t>
            </w:r>
          </w:p>
        </w:tc>
        <w:tc>
          <w:tcPr>
            <w:tcW w:w="2410" w:type="dxa"/>
          </w:tcPr>
          <w:p>
            <w:pPr>
              <w:pStyle w:val="yTableNAm"/>
              <w:spacing w:before="50"/>
            </w:pPr>
            <w:r>
              <w:t>Slender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Psephurus gladius</w:t>
            </w:r>
          </w:p>
        </w:tc>
        <w:tc>
          <w:tcPr>
            <w:tcW w:w="2410" w:type="dxa"/>
          </w:tcPr>
          <w:p>
            <w:pPr>
              <w:pStyle w:val="yTableNAm"/>
              <w:spacing w:before="50"/>
            </w:pPr>
            <w:r>
              <w:t>Chinese Swordfish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Pseudodiaptomus marinus</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w:t>
            </w:r>
            <w:r>
              <w:rPr>
                <w:rFonts w:eastAsia="Calibri"/>
                <w:i/>
              </w:rPr>
              <w:noBreakHyphen/>
              <w:t>nitzschia seriata</w:t>
            </w:r>
          </w:p>
        </w:tc>
        <w:tc>
          <w:tcPr>
            <w:tcW w:w="2410" w:type="dxa"/>
          </w:tcPr>
          <w:p>
            <w:pPr>
              <w:pStyle w:val="yTableNAm"/>
              <w:spacing w:before="50"/>
            </w:pPr>
            <w:r>
              <w:t>Pennate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Pseudoplatystoma fasciatum</w:t>
            </w:r>
          </w:p>
        </w:tc>
        <w:tc>
          <w:tcPr>
            <w:tcW w:w="2410" w:type="dxa"/>
          </w:tcPr>
          <w:p>
            <w:pPr>
              <w:pStyle w:val="yTableNAm"/>
              <w:spacing w:before="50"/>
            </w:pPr>
            <w:r>
              <w:t>Tiger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Pungitius pungitius</w:t>
            </w:r>
          </w:p>
        </w:tc>
        <w:tc>
          <w:tcPr>
            <w:tcW w:w="2410" w:type="dxa"/>
          </w:tcPr>
          <w:p>
            <w:pPr>
              <w:pStyle w:val="yTableNAm"/>
              <w:spacing w:before="50"/>
            </w:pPr>
            <w:r>
              <w:t>Ninespine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Pygocentrus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Pylodictis olivaris</w:t>
            </w:r>
          </w:p>
        </w:tc>
        <w:tc>
          <w:tcPr>
            <w:tcW w:w="2410" w:type="dxa"/>
          </w:tcPr>
          <w:p>
            <w:pPr>
              <w:pStyle w:val="yTableNAm"/>
              <w:spacing w:before="50"/>
            </w:pPr>
            <w:r>
              <w:t>Flathead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Rapana venosa</w:t>
            </w:r>
            <w:r>
              <w:rPr>
                <w:rFonts w:eastAsia="Calibri"/>
                <w:i/>
              </w:rPr>
              <w:br/>
              <w:t>(syn. R. thomasiana)</w:t>
            </w:r>
          </w:p>
        </w:tc>
        <w:tc>
          <w:tcPr>
            <w:tcW w:w="2410" w:type="dxa"/>
          </w:tcPr>
          <w:p>
            <w:pPr>
              <w:pStyle w:val="yTableNAm"/>
              <w:spacing w:before="50"/>
            </w:pPr>
            <w:r>
              <w:t>Asian Rapa Whelk, Veined Rapa Whelk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Rhithropanopeus harrisii</w:t>
            </w:r>
          </w:p>
        </w:tc>
        <w:tc>
          <w:tcPr>
            <w:tcW w:w="2410" w:type="dxa"/>
          </w:tcPr>
          <w:p>
            <w:pPr>
              <w:pStyle w:val="yTableNAm"/>
              <w:spacing w:before="50"/>
            </w:pPr>
            <w:r>
              <w:t>Harris Mud Crab, White</w:t>
            </w:r>
            <w:r>
              <w:noBreakHyphen/>
              <w:t>fingered Mud Crab, Zuiderzee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Rutilus rutilus</w:t>
            </w:r>
          </w:p>
        </w:tc>
        <w:tc>
          <w:tcPr>
            <w:tcW w:w="2410" w:type="dxa"/>
          </w:tcPr>
          <w:p>
            <w:pPr>
              <w:pStyle w:val="yTableNAm"/>
              <w:spacing w:before="50"/>
            </w:pPr>
            <w:r>
              <w:t>Roach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Sabella spallanzanii</w:t>
            </w:r>
          </w:p>
        </w:tc>
        <w:tc>
          <w:tcPr>
            <w:tcW w:w="2410" w:type="dxa"/>
          </w:tcPr>
          <w:p>
            <w:pPr>
              <w:pStyle w:val="yTableNAm"/>
              <w:spacing w:before="50"/>
            </w:pPr>
            <w:r>
              <w:t>European Fan Worm</w:t>
            </w:r>
          </w:p>
        </w:tc>
        <w:tc>
          <w:tcPr>
            <w:tcW w:w="2268" w:type="dxa"/>
          </w:tcPr>
          <w:p>
            <w:pPr>
              <w:pStyle w:val="yTableNAm"/>
              <w:spacing w:before="50"/>
            </w:pPr>
            <w:r>
              <w:t>Any area of the State except in the West Coast Region and the South Coast Region</w:t>
            </w:r>
          </w:p>
        </w:tc>
      </w:tr>
      <w:tr>
        <w:trPr>
          <w:cantSplit/>
        </w:trPr>
        <w:tc>
          <w:tcPr>
            <w:tcW w:w="2410" w:type="dxa"/>
          </w:tcPr>
          <w:p>
            <w:pPr>
              <w:pStyle w:val="yTableNAm"/>
              <w:spacing w:before="50"/>
              <w:rPr>
                <w:rFonts w:eastAsia="Calibri"/>
              </w:rPr>
            </w:pPr>
            <w:r>
              <w:rPr>
                <w:rFonts w:eastAsia="Calibri"/>
                <w:i/>
              </w:rPr>
              <w:t>Sargassum muticum</w:t>
            </w:r>
          </w:p>
        </w:tc>
        <w:tc>
          <w:tcPr>
            <w:tcW w:w="2410" w:type="dxa"/>
          </w:tcPr>
          <w:p>
            <w:pPr>
              <w:pStyle w:val="yTableNAm"/>
              <w:spacing w:before="50"/>
            </w:pPr>
            <w:r>
              <w:t>Japweed, Wireweed, Strangle 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Sargochromis spp</w:t>
            </w:r>
            <w:r>
              <w:t>. (entire genus)</w:t>
            </w:r>
          </w:p>
        </w:tc>
        <w:tc>
          <w:tcPr>
            <w:tcW w:w="2410" w:type="dxa"/>
          </w:tcPr>
          <w:p>
            <w:pPr>
              <w:pStyle w:val="yTableNAm"/>
              <w:spacing w:before="50"/>
            </w:pPr>
            <w:r>
              <w:t>Pink, Slender, Greenwood’s, Mortimer’s, Cunene and Green Happy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Sarotherodon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intermedius</w:t>
            </w:r>
          </w:p>
        </w:tc>
        <w:tc>
          <w:tcPr>
            <w:tcW w:w="2410" w:type="dxa"/>
          </w:tcPr>
          <w:p>
            <w:pPr>
              <w:pStyle w:val="yTableNAm"/>
              <w:spacing w:before="50"/>
            </w:pPr>
            <w:r>
              <w:t>Silver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marmoratus</w:t>
            </w:r>
          </w:p>
        </w:tc>
        <w:tc>
          <w:tcPr>
            <w:tcW w:w="2410" w:type="dxa"/>
          </w:tcPr>
          <w:p>
            <w:pPr>
              <w:pStyle w:val="yTableNAm"/>
              <w:spacing w:before="50"/>
            </w:pPr>
            <w:r>
              <w:t>Shoulderspot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mystus</w:t>
            </w:r>
          </w:p>
        </w:tc>
        <w:tc>
          <w:tcPr>
            <w:tcW w:w="2410" w:type="dxa"/>
          </w:tcPr>
          <w:p>
            <w:pPr>
              <w:pStyle w:val="yTableNAm"/>
              <w:spacing w:before="50"/>
            </w:pPr>
            <w:r>
              <w:t>African Butter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Serranochromis spp</w:t>
            </w:r>
            <w:r>
              <w:t>. (entire genus)</w:t>
            </w:r>
          </w:p>
        </w:tc>
        <w:tc>
          <w:tcPr>
            <w:tcW w:w="2410" w:type="dxa"/>
          </w:tcPr>
          <w:p>
            <w:pPr>
              <w:pStyle w:val="yTableNAm"/>
              <w:spacing w:before="50"/>
            </w:pPr>
            <w:r>
              <w:t>Cichlids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Serrasalmus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luridus</w:t>
            </w:r>
          </w:p>
        </w:tc>
        <w:tc>
          <w:tcPr>
            <w:tcW w:w="2410" w:type="dxa"/>
          </w:tcPr>
          <w:p>
            <w:pPr>
              <w:pStyle w:val="yTableNAm"/>
              <w:spacing w:before="50"/>
            </w:pPr>
            <w:r>
              <w:t>Dusky Spinefoot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rivulatus</w:t>
            </w:r>
          </w:p>
        </w:tc>
        <w:tc>
          <w:tcPr>
            <w:tcW w:w="2410" w:type="dxa"/>
          </w:tcPr>
          <w:p>
            <w:pPr>
              <w:pStyle w:val="yTableNAm"/>
              <w:spacing w:before="50"/>
            </w:pPr>
            <w:r>
              <w:t>Marbled Spinefoot, Rabbit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Silurus spp</w:t>
            </w:r>
            <w:r>
              <w:t xml:space="preserve">. </w:t>
            </w:r>
            <w:r>
              <w:br/>
              <w:t>(entire genus)</w:t>
            </w:r>
          </w:p>
        </w:tc>
        <w:tc>
          <w:tcPr>
            <w:tcW w:w="2410" w:type="dxa"/>
          </w:tcPr>
          <w:p>
            <w:pPr>
              <w:pStyle w:val="yTableNAm"/>
              <w:spacing w:before="50"/>
            </w:pPr>
            <w:r>
              <w:t>European Catfish, Wels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Solidobalanus fallax</w:t>
            </w:r>
          </w:p>
        </w:tc>
        <w:tc>
          <w:tcPr>
            <w:tcW w:w="2410" w:type="dxa"/>
          </w:tcPr>
          <w:p>
            <w:pPr>
              <w:pStyle w:val="yTableNAm"/>
              <w:spacing w:before="50"/>
            </w:pPr>
            <w:r>
              <w:t>Warm</w:t>
            </w:r>
            <w:r>
              <w:noBreakHyphen/>
              <w:t>water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Tilapia spp</w:t>
            </w:r>
            <w:r>
              <w:t xml:space="preserve">. (all except </w:t>
            </w:r>
            <w:r>
              <w:rPr>
                <w:i/>
              </w:rPr>
              <w:t>T. buttikoferi</w:t>
            </w:r>
            <w:r>
              <w:t>)</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Tinca tinca</w:t>
            </w:r>
          </w:p>
        </w:tc>
        <w:tc>
          <w:tcPr>
            <w:tcW w:w="2410" w:type="dxa"/>
          </w:tcPr>
          <w:p>
            <w:pPr>
              <w:pStyle w:val="yTableNAm"/>
              <w:spacing w:before="50"/>
            </w:pPr>
            <w:r>
              <w:t>Tench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Tomeurus gracilis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Tor</w:t>
            </w:r>
            <w:r>
              <w:t xml:space="preserve"> (entire genus)</w:t>
            </w:r>
          </w:p>
        </w:tc>
        <w:tc>
          <w:tcPr>
            <w:tcW w:w="2410" w:type="dxa"/>
          </w:tcPr>
          <w:p>
            <w:pPr>
              <w:pStyle w:val="yTableNAm"/>
              <w:spacing w:before="50"/>
            </w:pPr>
            <w:r>
              <w:t>River Carp, Deccan, High Backed, Jungha, Putitor, Thai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Tortanus (Eutortanus) dextrilobatus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barbatus</w:t>
            </w:r>
          </w:p>
        </w:tc>
        <w:tc>
          <w:tcPr>
            <w:tcW w:w="2410" w:type="dxa"/>
          </w:tcPr>
          <w:p>
            <w:pPr>
              <w:pStyle w:val="yTableNAm"/>
              <w:spacing w:before="50"/>
            </w:pPr>
            <w:r>
              <w:t>Shokihaze Goby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bifasciatus</w:t>
            </w:r>
          </w:p>
        </w:tc>
        <w:tc>
          <w:tcPr>
            <w:tcW w:w="2410" w:type="dxa"/>
          </w:tcPr>
          <w:p>
            <w:pPr>
              <w:pStyle w:val="yTableNAm"/>
              <w:spacing w:before="50"/>
            </w:pPr>
            <w:r>
              <w:t>Shimofuri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Tridentiger trigonocephalus</w:t>
            </w:r>
          </w:p>
        </w:tc>
        <w:tc>
          <w:tcPr>
            <w:tcW w:w="2410" w:type="dxa"/>
          </w:tcPr>
          <w:p>
            <w:pPr>
              <w:pStyle w:val="yTableNAm"/>
              <w:spacing w:before="50"/>
            </w:pPr>
            <w:r>
              <w:t>Chameleon Goby, Striped Goby</w:t>
            </w:r>
          </w:p>
        </w:tc>
        <w:tc>
          <w:tcPr>
            <w:tcW w:w="2268" w:type="dxa"/>
          </w:tcPr>
          <w:p>
            <w:pPr>
              <w:pStyle w:val="yTableNAm"/>
              <w:spacing w:before="50"/>
            </w:pPr>
            <w:r>
              <w:t>Any area of the State except the Port of Bunbury, the Port of Fremantle and the Swan River</w:t>
            </w:r>
          </w:p>
        </w:tc>
      </w:tr>
      <w:tr>
        <w:trPr>
          <w:cantSplit/>
        </w:trPr>
        <w:tc>
          <w:tcPr>
            <w:tcW w:w="2410" w:type="dxa"/>
          </w:tcPr>
          <w:p>
            <w:pPr>
              <w:pStyle w:val="yTableNAm"/>
              <w:spacing w:before="50"/>
              <w:rPr>
                <w:rFonts w:eastAsia="Calibri"/>
              </w:rPr>
            </w:pPr>
            <w:r>
              <w:rPr>
                <w:rFonts w:eastAsia="Calibri"/>
                <w:i/>
              </w:rPr>
              <w:t>Undaria pinnatifida</w:t>
            </w:r>
          </w:p>
        </w:tc>
        <w:tc>
          <w:tcPr>
            <w:tcW w:w="2410" w:type="dxa"/>
          </w:tcPr>
          <w:p>
            <w:pPr>
              <w:pStyle w:val="yTableNAm"/>
              <w:spacing w:before="50"/>
            </w:pPr>
            <w:r>
              <w:t>Japanese Kelp, Wakame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Valencia hispanica</w:t>
            </w:r>
          </w:p>
        </w:tc>
        <w:tc>
          <w:tcPr>
            <w:tcW w:w="2410" w:type="dxa"/>
          </w:tcPr>
          <w:p>
            <w:pPr>
              <w:pStyle w:val="yTableNAm"/>
              <w:spacing w:before="50"/>
            </w:pPr>
            <w:r>
              <w:t>Valencia Toothcarp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Womersleyella setacea </w:t>
            </w:r>
            <w:r>
              <w:rPr>
                <w:rFonts w:eastAsia="Calibri"/>
                <w:i/>
              </w:rPr>
              <w:br/>
              <w:t>(syn. Polysiphonia setacea)</w:t>
            </w:r>
          </w:p>
        </w:tc>
        <w:tc>
          <w:tcPr>
            <w:tcW w:w="2410" w:type="dxa"/>
          </w:tcPr>
          <w:p>
            <w:pPr>
              <w:pStyle w:val="yTableNAm"/>
              <w:spacing w:before="50"/>
            </w:pPr>
            <w:r>
              <w:t>Red Polysiphonous Macroalga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Zacco platypus</w:t>
            </w:r>
          </w:p>
        </w:tc>
        <w:tc>
          <w:tcPr>
            <w:tcW w:w="2410" w:type="dxa"/>
          </w:tcPr>
          <w:p>
            <w:pPr>
              <w:pStyle w:val="yTableNAm"/>
              <w:spacing w:before="50"/>
            </w:pPr>
            <w:r>
              <w:t>Freshwater Minnow</w:t>
            </w:r>
          </w:p>
        </w:tc>
        <w:tc>
          <w:tcPr>
            <w:tcW w:w="2268" w:type="dxa"/>
          </w:tcPr>
          <w:p>
            <w:pPr>
              <w:pStyle w:val="yTableNAm"/>
              <w:spacing w:before="50"/>
            </w:pPr>
            <w:r>
              <w:t>Any area of the State</w:t>
            </w:r>
          </w:p>
        </w:tc>
      </w:tr>
    </w:tbl>
    <w:p>
      <w:pPr>
        <w:pStyle w:val="yFootnotesection"/>
      </w:pPr>
      <w:r>
        <w:tab/>
        <w:t>[Schedule 5 inserted in Gazette 22 Oct 2014 p. 4088</w:t>
      </w:r>
      <w:r>
        <w:noBreakHyphen/>
        <w:t>115.]</w:t>
      </w:r>
    </w:p>
    <w:p>
      <w:pPr>
        <w:pStyle w:val="yScheduleHeading"/>
      </w:pPr>
      <w:bookmarkStart w:id="845" w:name="_Toc404246456"/>
      <w:bookmarkStart w:id="846" w:name="_Toc402879313"/>
      <w:r>
        <w:rPr>
          <w:rStyle w:val="CharSchNo"/>
        </w:rPr>
        <w:t>Schedule 6</w:t>
      </w:r>
      <w:bookmarkEnd w:id="845"/>
      <w:bookmarkEnd w:id="846"/>
    </w:p>
    <w:p>
      <w:pPr>
        <w:pStyle w:val="yHeading2"/>
      </w:pPr>
      <w:bookmarkStart w:id="847" w:name="_Toc404246457"/>
      <w:bookmarkStart w:id="848" w:name="_Toc402879314"/>
      <w:r>
        <w:rPr>
          <w:rStyle w:val="CharSchText"/>
        </w:rPr>
        <w:t>Area of land prescribed under section 91(d) of the Act</w:t>
      </w:r>
      <w:bookmarkEnd w:id="847"/>
      <w:bookmarkEnd w:id="848"/>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849" w:name="_Toc404246458"/>
      <w:bookmarkStart w:id="850" w:name="_Toc402879315"/>
      <w:r>
        <w:rPr>
          <w:rStyle w:val="CharSchNo"/>
        </w:rPr>
        <w:t>Schedule 7</w:t>
      </w:r>
      <w:bookmarkEnd w:id="849"/>
      <w:bookmarkEnd w:id="850"/>
    </w:p>
    <w:p>
      <w:pPr>
        <w:pStyle w:val="yShoulderClause"/>
        <w:rPr>
          <w:snapToGrid w:val="0"/>
        </w:rPr>
      </w:pPr>
      <w:r>
        <w:rPr>
          <w:snapToGrid w:val="0"/>
        </w:rPr>
        <w:t>[reg. 3(2)]</w:t>
      </w:r>
    </w:p>
    <w:p>
      <w:pPr>
        <w:pStyle w:val="yHeading2"/>
      </w:pPr>
      <w:bookmarkStart w:id="851" w:name="_Toc404246459"/>
      <w:bookmarkStart w:id="852" w:name="_Toc402879316"/>
      <w:r>
        <w:rPr>
          <w:rStyle w:val="CharSchText"/>
        </w:rPr>
        <w:t>List of common and scientific names</w:t>
      </w:r>
      <w:bookmarkEnd w:id="851"/>
      <w:bookmarkEnd w:id="852"/>
    </w:p>
    <w:p>
      <w:pPr>
        <w:pStyle w:val="yHeading3"/>
      </w:pPr>
      <w:bookmarkStart w:id="853" w:name="_Toc404246460"/>
      <w:bookmarkStart w:id="854" w:name="_Toc402879317"/>
      <w:r>
        <w:rPr>
          <w:rStyle w:val="CharSDivNo"/>
        </w:rPr>
        <w:t>Division 1</w:t>
      </w:r>
      <w:r>
        <w:t> — </w:t>
      </w:r>
      <w:r>
        <w:rPr>
          <w:rStyle w:val="CharSDivText"/>
        </w:rPr>
        <w:t>Marine or fluvio</w:t>
      </w:r>
      <w:r>
        <w:rPr>
          <w:rStyle w:val="CharSDivText"/>
        </w:rPr>
        <w:noBreakHyphen/>
        <w:t>marine fish</w:t>
      </w:r>
      <w:bookmarkEnd w:id="853"/>
      <w:bookmarkEnd w:id="854"/>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 xml:space="preserve">Dory, Mirror </w:t>
            </w:r>
            <w:del w:id="855" w:author="Master Repository Process" w:date="2021-08-28T12:00:00Z">
              <w:r>
                <w:delText>.</w:delText>
              </w:r>
            </w:del>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 xml:space="preserve">spp., excluding </w:t>
            </w:r>
            <w:r>
              <w:rPr>
                <w:i/>
              </w:rPr>
              <w:t>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w:t>
      </w:r>
    </w:p>
    <w:p>
      <w:pPr>
        <w:pStyle w:val="yHeading3"/>
        <w:pageBreakBefore/>
        <w:spacing w:before="0"/>
      </w:pPr>
      <w:bookmarkStart w:id="856" w:name="_Toc404246461"/>
      <w:bookmarkStart w:id="857" w:name="_Toc402879318"/>
      <w:r>
        <w:rPr>
          <w:rStyle w:val="CharSDivNo"/>
        </w:rPr>
        <w:t>Division 2</w:t>
      </w:r>
      <w:r>
        <w:t> — </w:t>
      </w:r>
      <w:r>
        <w:rPr>
          <w:rStyle w:val="CharSDivText"/>
        </w:rPr>
        <w:t>Freshwater fish</w:t>
      </w:r>
      <w:bookmarkEnd w:id="856"/>
      <w:bookmarkEnd w:id="857"/>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spacing w:before="0"/>
      </w:pPr>
      <w:bookmarkStart w:id="858" w:name="_Toc404246462"/>
      <w:bookmarkStart w:id="859" w:name="_Toc402879319"/>
      <w:r>
        <w:rPr>
          <w:rStyle w:val="CharSDivNo"/>
        </w:rPr>
        <w:t>Division 3</w:t>
      </w:r>
      <w:r>
        <w:t> — </w:t>
      </w:r>
      <w:r>
        <w:rPr>
          <w:rStyle w:val="CharSDivText"/>
        </w:rPr>
        <w:t>Crustaceans</w:t>
      </w:r>
      <w:bookmarkEnd w:id="858"/>
      <w:bookmarkEnd w:id="859"/>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860" w:name="_Toc404246463"/>
      <w:bookmarkStart w:id="861" w:name="_Toc402879320"/>
      <w:r>
        <w:rPr>
          <w:rStyle w:val="CharSDivNo"/>
        </w:rPr>
        <w:t>Division 4</w:t>
      </w:r>
      <w:r>
        <w:t> — </w:t>
      </w:r>
      <w:r>
        <w:rPr>
          <w:rStyle w:val="CharSDivText"/>
        </w:rPr>
        <w:t>Molluscs</w:t>
      </w:r>
      <w:bookmarkEnd w:id="860"/>
      <w:bookmarkEnd w:id="861"/>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rPr>
                <w:u w:val="single"/>
              </w:rPr>
              <w:t>Family</w:t>
            </w:r>
            <w:r>
              <w:t xml:space="preserve">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862" w:name="_Toc404246464"/>
      <w:bookmarkStart w:id="863" w:name="_Toc402879321"/>
      <w:r>
        <w:rPr>
          <w:rStyle w:val="CharSDivNo"/>
        </w:rPr>
        <w:t>Division 5</w:t>
      </w:r>
      <w:r>
        <w:t> — </w:t>
      </w:r>
      <w:r>
        <w:rPr>
          <w:rStyle w:val="CharSDivText"/>
        </w:rPr>
        <w:t>Other</w:t>
      </w:r>
      <w:bookmarkEnd w:id="862"/>
      <w:bookmarkEnd w:id="863"/>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 xml:space="preserve">Polycirrus </w:t>
            </w:r>
            <w:r>
              <w:t>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 xml:space="preserve">[Division 5 amended in Gazette </w:t>
      </w:r>
      <w:del w:id="864" w:author="Master Repository Process" w:date="2021-08-28T12:00:00Z">
        <w:r>
          <w:delText xml:space="preserve"> </w:delText>
        </w:r>
      </w:del>
      <w:r>
        <w:t>13 Nov 2007 p. 5694; 13 Feb 2009 p. 300; 29 Sep 2009 p. 3875; 29 Jan 2013 p. 319.]</w:t>
      </w:r>
    </w:p>
    <w:p>
      <w:pPr>
        <w:tabs>
          <w:tab w:val="right" w:leader="dot" w:pos="3969"/>
        </w:tabs>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865" w:name="_Toc404246465"/>
      <w:bookmarkStart w:id="866" w:name="_Toc402879322"/>
      <w:r>
        <w:rPr>
          <w:rStyle w:val="CharSchNo"/>
        </w:rPr>
        <w:t>Schedule 8</w:t>
      </w:r>
      <w:bookmarkEnd w:id="865"/>
      <w:bookmarkEnd w:id="866"/>
    </w:p>
    <w:p>
      <w:pPr>
        <w:pStyle w:val="yShoulderClause"/>
        <w:rPr>
          <w:snapToGrid w:val="0"/>
        </w:rPr>
      </w:pPr>
      <w:r>
        <w:rPr>
          <w:snapToGrid w:val="0"/>
        </w:rPr>
        <w:t>[reg. 151]</w:t>
      </w:r>
    </w:p>
    <w:p>
      <w:pPr>
        <w:pStyle w:val="yHeading2"/>
      </w:pPr>
      <w:bookmarkStart w:id="867" w:name="_Toc404246466"/>
      <w:bookmarkStart w:id="868" w:name="_Toc402879323"/>
      <w:r>
        <w:rPr>
          <w:rStyle w:val="CharSchText"/>
        </w:rPr>
        <w:t>Determination of characteristics of fish</w:t>
      </w:r>
      <w:bookmarkEnd w:id="867"/>
      <w:bookmarkEnd w:id="868"/>
    </w:p>
    <w:p>
      <w:pPr>
        <w:pStyle w:val="yHeading2"/>
        <w:spacing w:after="120"/>
      </w:pPr>
      <w:bookmarkStart w:id="869" w:name="_Toc404246467"/>
      <w:bookmarkStart w:id="870" w:name="_Toc402879324"/>
      <w:r>
        <w:rPr>
          <w:rStyle w:val="CharSDivNo"/>
          <w:sz w:val="28"/>
        </w:rPr>
        <w:t>Part 1</w:t>
      </w:r>
      <w:r>
        <w:t> — </w:t>
      </w:r>
      <w:r>
        <w:rPr>
          <w:rStyle w:val="CharSDivText"/>
          <w:sz w:val="28"/>
        </w:rPr>
        <w:t>Length</w:t>
      </w:r>
      <w:bookmarkEnd w:id="869"/>
      <w:bookmarkEnd w:id="870"/>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871" w:name="_Toc404246468"/>
      <w:bookmarkStart w:id="872" w:name="_Toc402879325"/>
      <w:r>
        <w:rPr>
          <w:rStyle w:val="CharSDivNo"/>
          <w:sz w:val="28"/>
        </w:rPr>
        <w:t>Part 2</w:t>
      </w:r>
      <w:r>
        <w:t> — </w:t>
      </w:r>
      <w:r>
        <w:rPr>
          <w:rStyle w:val="CharSDivText"/>
          <w:sz w:val="28"/>
        </w:rPr>
        <w:t>Method of determining the volume of fish</w:t>
      </w:r>
      <w:bookmarkEnd w:id="871"/>
      <w:bookmarkEnd w:id="872"/>
    </w:p>
    <w:p>
      <w:pPr>
        <w:pStyle w:val="ySubsection"/>
      </w:pPr>
      <w:r>
        <w:tab/>
      </w:r>
      <w:r>
        <w:tab/>
        <w:t>The volume of space which is filled by whole, undamaged fish without compressing those fish.</w:t>
      </w:r>
    </w:p>
    <w:p>
      <w:pPr>
        <w:pStyle w:val="yHeading2"/>
      </w:pPr>
      <w:bookmarkStart w:id="873" w:name="_Toc404246469"/>
      <w:bookmarkStart w:id="874" w:name="_Toc402879326"/>
      <w:r>
        <w:rPr>
          <w:rStyle w:val="CharSDivNo"/>
          <w:sz w:val="28"/>
        </w:rPr>
        <w:t>Part 3</w:t>
      </w:r>
      <w:r>
        <w:t> — </w:t>
      </w:r>
      <w:r>
        <w:rPr>
          <w:rStyle w:val="CharSDivText"/>
          <w:sz w:val="28"/>
        </w:rPr>
        <w:t>Method of determining the length of fish trunks and fillets</w:t>
      </w:r>
      <w:bookmarkEnd w:id="873"/>
      <w:bookmarkEnd w:id="874"/>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875" w:name="_Toc404246470"/>
      <w:bookmarkStart w:id="876" w:name="_Toc402879327"/>
      <w:r>
        <w:rPr>
          <w:rStyle w:val="CharSchNo"/>
        </w:rPr>
        <w:t>Schedule 9</w:t>
      </w:r>
      <w:r>
        <w:rPr>
          <w:rStyle w:val="CharSDivNo"/>
        </w:rPr>
        <w:t> </w:t>
      </w:r>
      <w:r>
        <w:t>—</w:t>
      </w:r>
      <w:r>
        <w:rPr>
          <w:rStyle w:val="CharSDivText"/>
        </w:rPr>
        <w:t> </w:t>
      </w:r>
      <w:r>
        <w:rPr>
          <w:rStyle w:val="CharSchText"/>
        </w:rPr>
        <w:t>Determining the value of fish</w:t>
      </w:r>
      <w:bookmarkEnd w:id="875"/>
      <w:bookmarkEnd w:id="876"/>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w:t>
      </w:r>
    </w:p>
    <w:p>
      <w:pPr>
        <w:pStyle w:val="yScheduleHeading"/>
      </w:pPr>
      <w:bookmarkStart w:id="877" w:name="_Toc404246471"/>
      <w:bookmarkStart w:id="878" w:name="_Toc402879328"/>
      <w:r>
        <w:rPr>
          <w:rStyle w:val="CharSchNo"/>
        </w:rPr>
        <w:t>Schedule 10</w:t>
      </w:r>
      <w:bookmarkEnd w:id="877"/>
      <w:bookmarkEnd w:id="878"/>
    </w:p>
    <w:p>
      <w:pPr>
        <w:pStyle w:val="yShoulderClause"/>
        <w:rPr>
          <w:snapToGrid w:val="0"/>
        </w:rPr>
      </w:pPr>
      <w:r>
        <w:rPr>
          <w:snapToGrid w:val="0"/>
        </w:rPr>
        <w:t>[reg. 176]</w:t>
      </w:r>
    </w:p>
    <w:p>
      <w:pPr>
        <w:pStyle w:val="yHeading2"/>
      </w:pPr>
      <w:bookmarkStart w:id="879" w:name="_Toc404246472"/>
      <w:bookmarkStart w:id="880" w:name="_Toc402879329"/>
      <w:r>
        <w:rPr>
          <w:rStyle w:val="CharSchText"/>
        </w:rPr>
        <w:t>Non</w:t>
      </w:r>
      <w:r>
        <w:rPr>
          <w:rStyle w:val="CharSchText"/>
        </w:rPr>
        <w:noBreakHyphen/>
        <w:t>endemic species of fish permitted to be brought into the State</w:t>
      </w:r>
      <w:bookmarkEnd w:id="879"/>
      <w:bookmarkEnd w:id="880"/>
    </w:p>
    <w:p>
      <w:pPr>
        <w:pStyle w:val="yHeading2"/>
      </w:pPr>
      <w:bookmarkStart w:id="881" w:name="_Toc404246473"/>
      <w:bookmarkStart w:id="882" w:name="_Toc402879330"/>
      <w:r>
        <w:rPr>
          <w:rStyle w:val="CharSDivNo"/>
          <w:sz w:val="28"/>
        </w:rPr>
        <w:t>Part 1</w:t>
      </w:r>
      <w:r>
        <w:t> — </w:t>
      </w:r>
      <w:r>
        <w:rPr>
          <w:rStyle w:val="CharSDivText"/>
          <w:sz w:val="28"/>
        </w:rPr>
        <w:t>Species of fish endemic to areas of Australia outside the State</w:t>
      </w:r>
      <w:bookmarkEnd w:id="881"/>
      <w:bookmarkEnd w:id="882"/>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883" w:name="_Toc404246474"/>
      <w:bookmarkStart w:id="884" w:name="_Toc402879331"/>
      <w:r>
        <w:rPr>
          <w:rStyle w:val="CharSDivNo"/>
          <w:sz w:val="28"/>
        </w:rPr>
        <w:t>Part 2</w:t>
      </w:r>
      <w:r>
        <w:t> — </w:t>
      </w:r>
      <w:r>
        <w:rPr>
          <w:rStyle w:val="CharSDivText"/>
          <w:sz w:val="28"/>
        </w:rPr>
        <w:t>Species of fish not endemic to Australia</w:t>
      </w:r>
      <w:bookmarkEnd w:id="883"/>
      <w:bookmarkEnd w:id="884"/>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885" w:name="_Toc404246475"/>
      <w:bookmarkStart w:id="886" w:name="_Toc402879332"/>
      <w:r>
        <w:rPr>
          <w:rStyle w:val="CharSchNo"/>
        </w:rPr>
        <w:t>Schedule 11</w:t>
      </w:r>
      <w:bookmarkEnd w:id="885"/>
      <w:bookmarkEnd w:id="886"/>
    </w:p>
    <w:p>
      <w:pPr>
        <w:pStyle w:val="yShoulderClause"/>
        <w:rPr>
          <w:snapToGrid w:val="0"/>
        </w:rPr>
      </w:pPr>
      <w:r>
        <w:rPr>
          <w:snapToGrid w:val="0"/>
        </w:rPr>
        <w:t>[reg. 59]</w:t>
      </w:r>
    </w:p>
    <w:p>
      <w:pPr>
        <w:pStyle w:val="yHeading2"/>
        <w:spacing w:after="120"/>
      </w:pPr>
      <w:bookmarkStart w:id="887" w:name="_Toc404246476"/>
      <w:bookmarkStart w:id="888" w:name="_Toc402879333"/>
      <w:r>
        <w:rPr>
          <w:rStyle w:val="CharSchText"/>
        </w:rPr>
        <w:t>Authorised trade names of fish</w:t>
      </w:r>
      <w:bookmarkEnd w:id="887"/>
      <w:bookmarkEnd w:id="88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889" w:name="_Toc404246477"/>
      <w:bookmarkStart w:id="890" w:name="_Toc402879334"/>
      <w:r>
        <w:rPr>
          <w:rStyle w:val="CharSchNo"/>
        </w:rPr>
        <w:t>Schedule 12</w:t>
      </w:r>
      <w:bookmarkEnd w:id="889"/>
      <w:bookmarkEnd w:id="890"/>
    </w:p>
    <w:p>
      <w:pPr>
        <w:pStyle w:val="yHeading2"/>
        <w:spacing w:before="120"/>
      </w:pPr>
      <w:bookmarkStart w:id="891" w:name="_Toc404246478"/>
      <w:bookmarkStart w:id="892" w:name="_Toc402879335"/>
      <w:r>
        <w:rPr>
          <w:rStyle w:val="CharSchText"/>
        </w:rPr>
        <w:t>Modified penalties</w:t>
      </w:r>
      <w:bookmarkEnd w:id="891"/>
      <w:bookmarkEnd w:id="892"/>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Regulations 14(1), 14(3),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31(2), 31(3), 31(4), 31A(1), 35, 36(1), 38, 38B, 38C, 38D(2), 38D(3), 38E, </w:t>
            </w:r>
            <w:r>
              <w:rPr>
                <w:szCs w:val="22"/>
              </w:rPr>
              <w:t xml:space="preserve">38F, 38GA, </w:t>
            </w:r>
            <w:r>
              <w:t xml:space="preserve">41, 55I, 56A, 62, 63, 64, 64AA(2), 64C(1), 64DA, 64E, 64NA, 64O, 64OAA(2), 64OAA(3), 64OB, 64OD, 64OE, 64P, 71, 113A(1), 113A(2), 113A(4), 113B(1), 113C(1), 113E(1), </w:t>
            </w:r>
            <w:r>
              <w:rPr>
                <w:szCs w:val="22"/>
              </w:rPr>
              <w:t xml:space="preserve">123(1), 124B(2),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t>200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55G(1) and (2), 64S(1), 64S(3), 64T, 117(1), (2), (6), (7) and (8), 119(2) and (6), 121(1) and (2), 125(1)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t>500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w:t>
      </w:r>
    </w:p>
    <w:p>
      <w:pPr>
        <w:tabs>
          <w:tab w:val="left" w:pos="938"/>
          <w:tab w:val="left" w:pos="1058"/>
          <w:tab w:val="right" w:leader="dot" w:pos="5978"/>
        </w:tabs>
        <w:spacing w:before="60"/>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893" w:name="_Toc404246479"/>
      <w:bookmarkStart w:id="894" w:name="_Toc402879336"/>
      <w:r>
        <w:rPr>
          <w:rStyle w:val="CharSchNo"/>
        </w:rPr>
        <w:t>Schedule 13</w:t>
      </w:r>
      <w:bookmarkEnd w:id="893"/>
      <w:bookmarkEnd w:id="894"/>
    </w:p>
    <w:p>
      <w:pPr>
        <w:pStyle w:val="yShoulderClause"/>
        <w:spacing w:before="60"/>
        <w:rPr>
          <w:snapToGrid w:val="0"/>
        </w:rPr>
      </w:pPr>
      <w:r>
        <w:rPr>
          <w:snapToGrid w:val="0"/>
        </w:rPr>
        <w:t>[reg. 38]</w:t>
      </w:r>
    </w:p>
    <w:p>
      <w:pPr>
        <w:pStyle w:val="yHeading2"/>
        <w:spacing w:before="120"/>
      </w:pPr>
      <w:bookmarkStart w:id="895" w:name="_Toc404246480"/>
      <w:bookmarkStart w:id="896" w:name="_Toc402879337"/>
      <w:r>
        <w:rPr>
          <w:rStyle w:val="CharSchText"/>
        </w:rPr>
        <w:t>Specifications for rock lobster pots</w:t>
      </w:r>
      <w:bookmarkEnd w:id="895"/>
      <w:bookmarkEnd w:id="896"/>
    </w:p>
    <w:p>
      <w:pPr>
        <w:pStyle w:val="yHeading2"/>
      </w:pPr>
      <w:bookmarkStart w:id="897" w:name="_Toc404246481"/>
      <w:bookmarkStart w:id="898" w:name="_Toc402879338"/>
      <w:r>
        <w:rPr>
          <w:rStyle w:val="CharSDivNo"/>
          <w:sz w:val="28"/>
        </w:rPr>
        <w:t>Part 1A</w:t>
      </w:r>
      <w:r>
        <w:t> — </w:t>
      </w:r>
      <w:r>
        <w:rPr>
          <w:rStyle w:val="CharSDivText"/>
          <w:sz w:val="28"/>
        </w:rPr>
        <w:t>Preliminary</w:t>
      </w:r>
      <w:bookmarkEnd w:id="897"/>
      <w:bookmarkEnd w:id="898"/>
    </w:p>
    <w:p>
      <w:pPr>
        <w:pStyle w:val="yFootnoteheading"/>
        <w:spacing w:before="100"/>
      </w:pPr>
      <w:r>
        <w:tab/>
        <w:t>[Heading inserted in Gazette 28 Jun 2013 p. 2894.]</w:t>
      </w:r>
    </w:p>
    <w:p>
      <w:pPr>
        <w:pStyle w:val="yHeading5"/>
        <w:spacing w:before="180"/>
      </w:pPr>
      <w:bookmarkStart w:id="899" w:name="_Toc404246482"/>
      <w:bookmarkStart w:id="900" w:name="_Toc402879339"/>
      <w:r>
        <w:rPr>
          <w:rStyle w:val="CharSClsNo"/>
        </w:rPr>
        <w:t>1A</w:t>
      </w:r>
      <w:r>
        <w:t>.</w:t>
      </w:r>
      <w:r>
        <w:tab/>
        <w:t>Term used: relevant minimum gap</w:t>
      </w:r>
      <w:bookmarkEnd w:id="899"/>
      <w:bookmarkEnd w:id="900"/>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spacing w:before="60"/>
      </w:pPr>
      <w:r>
        <w:tab/>
        <w:t>(a)</w:t>
      </w:r>
      <w:r>
        <w:tab/>
        <w:t xml:space="preserve">in relation to a lobster pot used in connection with the West Coast Rock Lobster Managed Fishery, 55 mm; </w:t>
      </w:r>
    </w:p>
    <w:p>
      <w:pPr>
        <w:pStyle w:val="yDefpara"/>
        <w:spacing w:before="60"/>
      </w:pPr>
      <w:r>
        <w:tab/>
        <w:t>(b)</w:t>
      </w:r>
      <w:r>
        <w:tab/>
        <w:t>in relation to all other lobster pots, 54 mm.</w:t>
      </w:r>
    </w:p>
    <w:p>
      <w:pPr>
        <w:pStyle w:val="yFootnotesection"/>
        <w:spacing w:before="100"/>
      </w:pPr>
      <w:r>
        <w:tab/>
        <w:t>[Clause 1A inserted in Gazette 28 Jun 2013 p. 2894; amended in Gazette 4 Sep 2013 p. 4183.]</w:t>
      </w:r>
    </w:p>
    <w:p>
      <w:pPr>
        <w:pStyle w:val="yHeading2"/>
        <w:spacing w:before="200"/>
      </w:pPr>
      <w:bookmarkStart w:id="901" w:name="_Toc404246483"/>
      <w:bookmarkStart w:id="902" w:name="_Toc402879340"/>
      <w:r>
        <w:rPr>
          <w:rStyle w:val="CharSDivNo"/>
          <w:sz w:val="28"/>
        </w:rPr>
        <w:t>Part 1</w:t>
      </w:r>
      <w:r>
        <w:t> — </w:t>
      </w:r>
      <w:r>
        <w:rPr>
          <w:rStyle w:val="CharSDivText"/>
          <w:sz w:val="28"/>
        </w:rPr>
        <w:t>Waters north of 21˚ 44′ south latitude</w:t>
      </w:r>
      <w:bookmarkEnd w:id="901"/>
      <w:bookmarkEnd w:id="902"/>
    </w:p>
    <w:p>
      <w:pPr>
        <w:pStyle w:val="yHeading5"/>
        <w:spacing w:before="180"/>
      </w:pPr>
      <w:bookmarkStart w:id="903" w:name="_Toc404246484"/>
      <w:bookmarkStart w:id="904" w:name="_Toc402879341"/>
      <w:r>
        <w:rPr>
          <w:rStyle w:val="CharSClsNo"/>
        </w:rPr>
        <w:t>1</w:t>
      </w:r>
      <w:r>
        <w:t>.</w:t>
      </w:r>
      <w:r>
        <w:tab/>
        <w:t>Entrance or neck of pot</w:t>
      </w:r>
      <w:bookmarkEnd w:id="903"/>
      <w:bookmarkEnd w:id="904"/>
    </w:p>
    <w:p>
      <w:pPr>
        <w:pStyle w:val="ySubsection"/>
        <w:spacing w:before="140"/>
        <w:rPr>
          <w:snapToGrid w:val="0"/>
        </w:rPr>
      </w:pPr>
      <w:r>
        <w:rPr>
          <w:snapToGrid w:val="0"/>
        </w:rPr>
        <w:tab/>
      </w:r>
      <w:r>
        <w:rPr>
          <w:snapToGrid w:val="0"/>
        </w:rPr>
        <w:tab/>
        <w:t>Every rock lobster pot must —</w:t>
      </w:r>
    </w:p>
    <w:p>
      <w:pPr>
        <w:pStyle w:val="yIndenta"/>
        <w:spacing w:before="60"/>
        <w:rPr>
          <w:snapToGrid w:val="0"/>
        </w:rPr>
      </w:pPr>
      <w:r>
        <w:rPr>
          <w:snapToGrid w:val="0"/>
        </w:rPr>
        <w:tab/>
        <w:t>(a)</w:t>
      </w:r>
      <w:r>
        <w:rPr>
          <w:snapToGrid w:val="0"/>
        </w:rPr>
        <w:tab/>
        <w:t>have only one entrance or neck; and</w:t>
      </w:r>
    </w:p>
    <w:p>
      <w:pPr>
        <w:pStyle w:val="yIndenta"/>
        <w:spacing w:before="60"/>
        <w:rPr>
          <w:snapToGrid w:val="0"/>
        </w:rPr>
      </w:pPr>
      <w:r>
        <w:rPr>
          <w:snapToGrid w:val="0"/>
        </w:rPr>
        <w:tab/>
        <w:t>(b)</w:t>
      </w:r>
      <w:r>
        <w:rPr>
          <w:snapToGrid w:val="0"/>
        </w:rPr>
        <w:tab/>
        <w:t>not contain any device capable of restricting the egress of fish.</w:t>
      </w:r>
    </w:p>
    <w:p>
      <w:pPr>
        <w:pStyle w:val="yHeading2"/>
        <w:spacing w:before="200"/>
      </w:pPr>
      <w:bookmarkStart w:id="905" w:name="_Toc404246485"/>
      <w:bookmarkStart w:id="906" w:name="_Toc402879342"/>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905"/>
      <w:bookmarkEnd w:id="906"/>
    </w:p>
    <w:p>
      <w:pPr>
        <w:pStyle w:val="yEdnotesection"/>
        <w:spacing w:before="180"/>
      </w:pPr>
      <w:r>
        <w:t>[</w:t>
      </w:r>
      <w:r>
        <w:rPr>
          <w:b/>
        </w:rPr>
        <w:t>2A.</w:t>
      </w:r>
      <w:r>
        <w:tab/>
        <w:t>Deleted in Gazette 27 Aug 2010 p. 4107.]</w:t>
      </w:r>
    </w:p>
    <w:p>
      <w:pPr>
        <w:pStyle w:val="yHeading5"/>
        <w:spacing w:before="180"/>
      </w:pPr>
      <w:bookmarkStart w:id="907" w:name="_Toc404246486"/>
      <w:bookmarkStart w:id="908" w:name="_Toc402879343"/>
      <w:r>
        <w:rPr>
          <w:rStyle w:val="CharSClsNo"/>
        </w:rPr>
        <w:t>2</w:t>
      </w:r>
      <w:r>
        <w:t>.</w:t>
      </w:r>
      <w:r>
        <w:tab/>
        <w:t>Entrance or neck of pot</w:t>
      </w:r>
      <w:bookmarkEnd w:id="907"/>
      <w:bookmarkEnd w:id="908"/>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spacing w:before="60"/>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909" w:name="_Toc404246487"/>
      <w:bookmarkStart w:id="910" w:name="_Toc402879344"/>
      <w:r>
        <w:rPr>
          <w:rStyle w:val="CharSClsNo"/>
        </w:rPr>
        <w:t>3</w:t>
      </w:r>
      <w:r>
        <w:t>.</w:t>
      </w:r>
      <w:r>
        <w:tab/>
        <w:t>Beehive pots</w:t>
      </w:r>
      <w:bookmarkEnd w:id="909"/>
      <w:bookmarkEnd w:id="910"/>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911" w:name="_Toc404246488"/>
      <w:bookmarkStart w:id="912" w:name="_Toc402879345"/>
      <w:r>
        <w:rPr>
          <w:rStyle w:val="CharSClsNo"/>
        </w:rPr>
        <w:t>4</w:t>
      </w:r>
      <w:r>
        <w:t>.</w:t>
      </w:r>
      <w:r>
        <w:tab/>
        <w:t>Batten pots</w:t>
      </w:r>
      <w:bookmarkEnd w:id="911"/>
      <w:bookmarkEnd w:id="912"/>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913" w:name="_Toc404246489"/>
      <w:bookmarkStart w:id="914" w:name="_Toc402879346"/>
      <w:r>
        <w:rPr>
          <w:rStyle w:val="CharSClsNo"/>
        </w:rPr>
        <w:t>5</w:t>
      </w:r>
      <w:r>
        <w:t>.</w:t>
      </w:r>
      <w:r>
        <w:tab/>
        <w:t>Other pots</w:t>
      </w:r>
      <w:bookmarkEnd w:id="913"/>
      <w:bookmarkEnd w:id="914"/>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915" w:name="_Toc404246490"/>
      <w:bookmarkStart w:id="916" w:name="_Toc402879347"/>
      <w:r>
        <w:rPr>
          <w:rStyle w:val="CharSClsNo"/>
        </w:rPr>
        <w:t>7</w:t>
      </w:r>
      <w:r>
        <w:t>.</w:t>
      </w:r>
      <w:r>
        <w:tab/>
        <w:t>All pots</w:t>
      </w:r>
      <w:bookmarkEnd w:id="915"/>
      <w:bookmarkEnd w:id="916"/>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917" w:name="_Toc404246491"/>
      <w:bookmarkStart w:id="918" w:name="_Toc402879348"/>
      <w:r>
        <w:rPr>
          <w:rStyle w:val="CharSDivNo"/>
          <w:sz w:val="28"/>
        </w:rPr>
        <w:t>Part 3</w:t>
      </w:r>
      <w:r>
        <w:t> — </w:t>
      </w:r>
      <w:r>
        <w:rPr>
          <w:rStyle w:val="CharSDivText"/>
          <w:sz w:val="28"/>
        </w:rPr>
        <w:t>All other waters</w:t>
      </w:r>
      <w:bookmarkEnd w:id="917"/>
      <w:bookmarkEnd w:id="918"/>
    </w:p>
    <w:p>
      <w:pPr>
        <w:pStyle w:val="yHeading5"/>
      </w:pPr>
      <w:bookmarkStart w:id="919" w:name="_Toc404246492"/>
      <w:bookmarkStart w:id="920" w:name="_Toc402879349"/>
      <w:r>
        <w:rPr>
          <w:rStyle w:val="CharSClsNo"/>
        </w:rPr>
        <w:t>8</w:t>
      </w:r>
      <w:r>
        <w:t>.</w:t>
      </w:r>
      <w:r>
        <w:tab/>
        <w:t>Entrance or neck of pot</w:t>
      </w:r>
      <w:bookmarkEnd w:id="919"/>
      <w:bookmarkEnd w:id="920"/>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921" w:name="_Toc404246493"/>
      <w:bookmarkStart w:id="922" w:name="_Toc402879350"/>
      <w:r>
        <w:rPr>
          <w:rStyle w:val="CharSClsNo"/>
        </w:rPr>
        <w:t>9</w:t>
      </w:r>
      <w:r>
        <w:t>.</w:t>
      </w:r>
      <w:r>
        <w:tab/>
        <w:t>Beehive pots</w:t>
      </w:r>
      <w:bookmarkEnd w:id="921"/>
      <w:bookmarkEnd w:id="922"/>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923" w:name="_Toc404246494"/>
      <w:bookmarkStart w:id="924" w:name="_Toc402879351"/>
      <w:r>
        <w:rPr>
          <w:rStyle w:val="CharSClsNo"/>
        </w:rPr>
        <w:t>10</w:t>
      </w:r>
      <w:r>
        <w:t>.</w:t>
      </w:r>
      <w:r>
        <w:tab/>
        <w:t>Batten pots</w:t>
      </w:r>
      <w:bookmarkEnd w:id="923"/>
      <w:bookmarkEnd w:id="924"/>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925" w:name="_Toc404246495"/>
      <w:bookmarkStart w:id="926" w:name="_Toc402879352"/>
      <w:r>
        <w:rPr>
          <w:rStyle w:val="CharSClsNo"/>
        </w:rPr>
        <w:t>11</w:t>
      </w:r>
      <w:r>
        <w:t>.</w:t>
      </w:r>
      <w:r>
        <w:tab/>
        <w:t>Other pots</w:t>
      </w:r>
      <w:bookmarkEnd w:id="925"/>
      <w:bookmarkEnd w:id="926"/>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927" w:name="_Toc404246496"/>
      <w:bookmarkStart w:id="928" w:name="_Toc402879353"/>
      <w:r>
        <w:rPr>
          <w:rStyle w:val="CharSClsNo"/>
        </w:rPr>
        <w:t>13</w:t>
      </w:r>
      <w:r>
        <w:t>.</w:t>
      </w:r>
      <w:r>
        <w:tab/>
        <w:t>All pots</w:t>
      </w:r>
      <w:bookmarkEnd w:id="927"/>
      <w:bookmarkEnd w:id="928"/>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jc w:val="center"/>
              <w:rPr>
                <w:b/>
                <w:bCs/>
                <w:sz w:val="20"/>
              </w:rPr>
            </w:pPr>
            <w:r>
              <w:rPr>
                <w:b/>
                <w:sz w:val="20"/>
              </w:rPr>
              <w:t>Diagram 1 — Beehive pots</w:t>
            </w:r>
          </w:p>
          <w:p>
            <w:pPr>
              <w:pStyle w:val="yTableNAm"/>
              <w:jc w:val="center"/>
              <w:rPr>
                <w:bCs/>
                <w:sz w:val="20"/>
              </w:rPr>
            </w:pPr>
            <w:r>
              <w:rPr>
                <w:bCs/>
                <w:sz w:val="20"/>
              </w:rPr>
              <w:t xml:space="preserve">(Clauses 3(2)(a) and 9(2)(a)) </w:t>
            </w:r>
          </w:p>
          <w:p>
            <w:pPr>
              <w:pStyle w:val="yTableNAm"/>
              <w:jc w:val="center"/>
              <w:rPr>
                <w:bCs/>
                <w:sz w:val="20"/>
              </w:rPr>
            </w:pPr>
          </w:p>
          <w:p>
            <w:pPr>
              <w:pStyle w:val="yTableNAm"/>
              <w:jc w:val="right"/>
              <w:rPr>
                <w:b/>
                <w:sz w:val="20"/>
              </w:rPr>
            </w:pPr>
            <w:r>
              <w:rPr>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sz w:val="20"/>
              </w:rPr>
              <w:t>Diagram</w:t>
            </w:r>
            <w:r>
              <w:rPr>
                <w:b/>
                <w:bCs/>
                <w:sz w:val="20"/>
              </w:rPr>
              <w:t xml:space="preserve"> 2(a) — Beehive pots</w:t>
            </w:r>
          </w:p>
          <w:p>
            <w:pPr>
              <w:pStyle w:val="yTableNAm"/>
              <w:jc w:val="center"/>
              <w:rPr>
                <w:bCs/>
                <w:sz w:val="20"/>
              </w:rPr>
            </w:pPr>
            <w:r>
              <w:rPr>
                <w:bCs/>
                <w:sz w:val="20"/>
              </w:rPr>
              <w:t>(Clause 3(3)(a))</w:t>
            </w:r>
          </w:p>
          <w:p>
            <w:pPr>
              <w:pStyle w:val="yTableNAm"/>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2(b) — Beehive pots</w:t>
            </w:r>
          </w:p>
          <w:p>
            <w:pPr>
              <w:pStyle w:val="yTableNAm"/>
              <w:jc w:val="center"/>
              <w:rPr>
                <w:bCs/>
                <w:sz w:val="20"/>
              </w:rPr>
            </w:pPr>
            <w:r>
              <w:rPr>
                <w:bCs/>
                <w:sz w:val="20"/>
              </w:rPr>
              <w:t>(Clause 9(3)(a))</w:t>
            </w:r>
          </w:p>
          <w:p>
            <w:pPr>
              <w:pStyle w:val="yTableNAm"/>
              <w:jc w:val="center"/>
              <w:rPr>
                <w:bCs/>
                <w:sz w:val="20"/>
              </w:rPr>
            </w:pPr>
          </w:p>
          <w:p>
            <w:pPr>
              <w:pStyle w:val="yTableNAm"/>
              <w:rPr>
                <w:b/>
              </w:rPr>
            </w:pPr>
            <w:r>
              <w:rPr>
                <w:noProof/>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3 — Batten pots</w:t>
            </w:r>
          </w:p>
          <w:p>
            <w:pPr>
              <w:pStyle w:val="yTableNAm"/>
              <w:jc w:val="center"/>
              <w:rPr>
                <w:bCs/>
                <w:sz w:val="20"/>
              </w:rPr>
            </w:pPr>
            <w:r>
              <w:rPr>
                <w:bCs/>
                <w:sz w:val="20"/>
              </w:rPr>
              <w:t>(Clauses 4(4)(a) and 10(3)(a))</w:t>
            </w:r>
          </w:p>
          <w:p>
            <w:pPr>
              <w:pStyle w:val="yTableNAm"/>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4 — Batten pots</w:t>
            </w:r>
          </w:p>
          <w:p>
            <w:pPr>
              <w:pStyle w:val="yTableNAm"/>
              <w:jc w:val="center"/>
              <w:rPr>
                <w:bCs/>
                <w:sz w:val="20"/>
              </w:rPr>
            </w:pPr>
            <w:r>
              <w:rPr>
                <w:bCs/>
                <w:sz w:val="20"/>
              </w:rPr>
              <w:t>(Clause 4(7)(a))</w:t>
            </w:r>
          </w:p>
          <w:p>
            <w:pPr>
              <w:pStyle w:val="yTableNAm"/>
              <w:jc w:val="center"/>
              <w:rPr>
                <w:b/>
                <w:bCs/>
                <w:sz w:val="20"/>
              </w:rPr>
            </w:pPr>
            <w:r>
              <w:rPr>
                <w:b/>
                <w:bCs/>
                <w:sz w:val="20"/>
              </w:rPr>
              <w:t>(Steel flat </w:t>
            </w:r>
            <w:r>
              <w:rPr>
                <w:b/>
                <w:bCs/>
                <w:sz w:val="20"/>
              </w:rPr>
              <w:noBreakHyphen/>
              <w:t> bar)</w:t>
            </w:r>
          </w:p>
          <w:p>
            <w:pPr>
              <w:pStyle w:val="yTableNAm"/>
              <w:jc w:val="center"/>
              <w:rPr>
                <w:b/>
                <w:bCs/>
                <w:sz w:val="20"/>
              </w:rPr>
            </w:pPr>
          </w:p>
          <w:p>
            <w:pPr>
              <w:pStyle w:val="yTableNAm"/>
              <w:rPr>
                <w:b/>
                <w:bCs/>
              </w:rPr>
            </w:pPr>
            <w:r>
              <w:rPr>
                <w:noProof/>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5 — Batten pots</w:t>
            </w:r>
          </w:p>
          <w:p>
            <w:pPr>
              <w:pStyle w:val="yTableNAm"/>
              <w:jc w:val="center"/>
              <w:rPr>
                <w:bCs/>
                <w:sz w:val="20"/>
              </w:rPr>
            </w:pPr>
            <w:r>
              <w:rPr>
                <w:bCs/>
                <w:sz w:val="20"/>
              </w:rPr>
              <w:t>(Clause 4(7)(b))</w:t>
            </w:r>
          </w:p>
          <w:p>
            <w:pPr>
              <w:pStyle w:val="yTableNAm"/>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6 — Batten pots</w:t>
            </w:r>
          </w:p>
          <w:p>
            <w:pPr>
              <w:pStyle w:val="yTableNAm"/>
              <w:jc w:val="center"/>
              <w:rPr>
                <w:bCs/>
                <w:sz w:val="20"/>
              </w:rPr>
            </w:pPr>
            <w:r>
              <w:rPr>
                <w:bCs/>
                <w:sz w:val="20"/>
              </w:rPr>
              <w:t>(Clause 4(7)(c))</w:t>
            </w:r>
          </w:p>
          <w:p>
            <w:pPr>
              <w:pStyle w:val="yTableNAm"/>
              <w:jc w:val="center"/>
              <w:rPr>
                <w:b/>
                <w:bCs/>
                <w:sz w:val="20"/>
              </w:rPr>
            </w:pPr>
            <w:r>
              <w:rPr>
                <w:b/>
                <w:bCs/>
                <w:sz w:val="20"/>
              </w:rPr>
              <w:t>(Fibreglass)</w:t>
            </w:r>
          </w:p>
          <w:p>
            <w:pPr>
              <w:pStyle w:val="yTableNAm"/>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7 — Batten pots</w:t>
            </w:r>
          </w:p>
          <w:p>
            <w:pPr>
              <w:pStyle w:val="yTableNAm"/>
              <w:jc w:val="center"/>
              <w:rPr>
                <w:bCs/>
                <w:sz w:val="20"/>
              </w:rPr>
            </w:pPr>
            <w:r>
              <w:rPr>
                <w:bCs/>
                <w:sz w:val="20"/>
              </w:rPr>
              <w:t>(Clause 4(7)(d))</w:t>
            </w:r>
          </w:p>
          <w:p>
            <w:pPr>
              <w:pStyle w:val="yTableNAm"/>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pageBreakBefore/>
              <w:spacing w:before="0"/>
              <w:jc w:val="center"/>
              <w:rPr>
                <w:b/>
                <w:bCs/>
                <w:sz w:val="20"/>
              </w:rPr>
            </w:pPr>
            <w:r>
              <w:rPr>
                <w:b/>
                <w:bCs/>
                <w:sz w:val="20"/>
              </w:rPr>
              <w:t>Diagram 9 — Batten pots</w:t>
            </w:r>
          </w:p>
        </w:tc>
      </w:tr>
      <w:tr>
        <w:tc>
          <w:tcPr>
            <w:tcW w:w="7375" w:type="dxa"/>
          </w:tcPr>
          <w:p>
            <w:pPr>
              <w:pStyle w:val="yTableNAm"/>
              <w:spacing w:before="0"/>
              <w:jc w:val="center"/>
              <w:rPr>
                <w:sz w:val="20"/>
              </w:rPr>
            </w:pPr>
            <w:r>
              <w:rPr>
                <w:sz w:val="20"/>
              </w:rPr>
              <w:t>(</w:t>
            </w:r>
            <w:r>
              <w:rPr>
                <w:bCs/>
                <w:sz w:val="20"/>
              </w:rPr>
              <w:t>Clause</w:t>
            </w:r>
            <w:r>
              <w:rPr>
                <w:sz w:val="20"/>
              </w:rPr>
              <w:t>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929" w:name="_Toc404246497"/>
      <w:bookmarkStart w:id="930" w:name="_Toc402879354"/>
      <w:r>
        <w:rPr>
          <w:rStyle w:val="CharSchNo"/>
        </w:rPr>
        <w:t>Schedule 14</w:t>
      </w:r>
      <w:bookmarkEnd w:id="929"/>
      <w:bookmarkEnd w:id="930"/>
    </w:p>
    <w:p>
      <w:pPr>
        <w:pStyle w:val="yHeading2"/>
      </w:pPr>
      <w:bookmarkStart w:id="931" w:name="_Toc404246498"/>
      <w:bookmarkStart w:id="932" w:name="_Toc402879355"/>
      <w:r>
        <w:rPr>
          <w:rStyle w:val="CharSchText"/>
        </w:rPr>
        <w:t>Forms</w:t>
      </w:r>
      <w:bookmarkEnd w:id="931"/>
      <w:bookmarkEnd w:id="932"/>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 xml:space="preserve">Name: </w:t>
      </w:r>
      <w:del w:id="933" w:author="Master Repository Process" w:date="2021-08-28T12:00:00Z">
        <w:r>
          <w:delText>__________________________________________________</w:delText>
        </w:r>
      </w:del>
      <w:ins w:id="934" w:author="Master Repository Process" w:date="2021-08-28T12:00:00Z">
        <w:r>
          <w:t>__________________________________________________________</w:t>
        </w:r>
      </w:ins>
    </w:p>
    <w:p>
      <w:pPr>
        <w:pStyle w:val="yMiscellaneousBody"/>
      </w:pPr>
      <w:r>
        <w:t xml:space="preserve">Address: </w:t>
      </w:r>
      <w:del w:id="935" w:author="Master Repository Process" w:date="2021-08-28T12:00:00Z">
        <w:r>
          <w:delText>________________________________________________</w:delText>
        </w:r>
      </w:del>
      <w:ins w:id="936" w:author="Master Repository Process" w:date="2021-08-28T12:00:00Z">
        <w:r>
          <w:t>________________________________________________________</w:t>
        </w:r>
      </w:ins>
    </w:p>
    <w:p>
      <w:pPr>
        <w:pStyle w:val="yMiscellaneousBody"/>
        <w:rPr>
          <w:del w:id="937" w:author="Master Repository Process" w:date="2021-08-28T12:00:00Z"/>
        </w:rPr>
      </w:pPr>
      <w:del w:id="938" w:author="Master Repository Process" w:date="2021-08-28T12:00:00Z">
        <w:r>
          <w:delText>_______________________________________________________</w:delText>
        </w:r>
      </w:del>
    </w:p>
    <w:p>
      <w:pPr>
        <w:pStyle w:val="yMiscellaneousBody"/>
        <w:rPr>
          <w:ins w:id="939" w:author="Master Repository Process" w:date="2021-08-28T12:00:00Z"/>
        </w:rPr>
      </w:pPr>
      <w:ins w:id="940" w:author="Master Repository Process" w:date="2021-08-28T12:00:00Z">
        <w:r>
          <w:t>________________________________________________________________</w:t>
        </w:r>
      </w:ins>
    </w:p>
    <w:p>
      <w:pPr>
        <w:pStyle w:val="yMiscellaneousBody"/>
      </w:pPr>
      <w:r>
        <w:t xml:space="preserve">Phone no: </w:t>
      </w:r>
      <w:del w:id="941" w:author="Master Repository Process" w:date="2021-08-28T12:00:00Z">
        <w:r>
          <w:delText>_______________________________________________</w:delText>
        </w:r>
      </w:del>
      <w:ins w:id="942" w:author="Master Repository Process" w:date="2021-08-28T12:00:00Z">
        <w:r>
          <w:t>_______________________________________________________</w:t>
        </w:r>
      </w:ins>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xml:space="preserve">) </w:t>
      </w:r>
      <w:del w:id="943" w:author="Master Repository Process" w:date="2021-08-28T12:00:00Z">
        <w:r>
          <w:delText>__________________________________________________</w:delText>
        </w:r>
      </w:del>
      <w:ins w:id="944" w:author="Master Repository Process" w:date="2021-08-28T12:00:00Z">
        <w:r>
          <w:t>___________________________________________________________</w:t>
        </w:r>
      </w:ins>
    </w:p>
    <w:p>
      <w:pPr>
        <w:pStyle w:val="yMiscellaneousBody"/>
        <w:tabs>
          <w:tab w:val="left" w:pos="567"/>
        </w:tabs>
        <w:ind w:left="567" w:hanging="567"/>
        <w:rPr>
          <w:del w:id="945" w:author="Master Repository Process" w:date="2021-08-28T12:00:00Z"/>
        </w:rPr>
      </w:pPr>
      <w:del w:id="946" w:author="Master Repository Process" w:date="2021-08-28T12:00:00Z">
        <w:r>
          <w:tab/>
          <w:delText>__________________________________________________</w:delText>
        </w:r>
      </w:del>
    </w:p>
    <w:p>
      <w:pPr>
        <w:pStyle w:val="yMiscellaneousBody"/>
        <w:tabs>
          <w:tab w:val="left" w:pos="567"/>
        </w:tabs>
        <w:ind w:left="567" w:hanging="567"/>
        <w:rPr>
          <w:ins w:id="947" w:author="Master Repository Process" w:date="2021-08-28T12:00:00Z"/>
        </w:rPr>
      </w:pPr>
      <w:ins w:id="948" w:author="Master Repository Process" w:date="2021-08-28T12:00:00Z">
        <w:r>
          <w:tab/>
          <w:t>___________________________________________________________</w:t>
        </w:r>
      </w:ins>
    </w:p>
    <w:p>
      <w:pPr>
        <w:pStyle w:val="yMiscellaneousBody"/>
        <w:tabs>
          <w:tab w:val="left" w:pos="567"/>
        </w:tabs>
        <w:ind w:left="567" w:hanging="567"/>
      </w:pPr>
      <w:r>
        <w:t>2.</w:t>
      </w:r>
      <w:r>
        <w:tab/>
        <w:t xml:space="preserve">No </w:t>
      </w:r>
      <w:del w:id="949" w:author="Master Repository Process" w:date="2021-08-28T12:00:00Z">
        <w:r>
          <w:delText> </w:delText>
        </w:r>
      </w:del>
      <w:r>
        <w:t>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 xml:space="preserve">Name: </w:t>
      </w:r>
      <w:del w:id="950" w:author="Master Repository Process" w:date="2021-08-28T12:00:00Z">
        <w:r>
          <w:delText>__________________________________________________</w:delText>
        </w:r>
      </w:del>
      <w:ins w:id="951" w:author="Master Repository Process" w:date="2021-08-28T12:00:00Z">
        <w:r>
          <w:t>__________________________________________________________</w:t>
        </w:r>
      </w:ins>
    </w:p>
    <w:p>
      <w:pPr>
        <w:pStyle w:val="yMiscellaneousBody"/>
      </w:pPr>
      <w:r>
        <w:t xml:space="preserve">Address: </w:t>
      </w:r>
      <w:del w:id="952" w:author="Master Repository Process" w:date="2021-08-28T12:00:00Z">
        <w:r>
          <w:delText>________________________________________________</w:delText>
        </w:r>
      </w:del>
      <w:ins w:id="953" w:author="Master Repository Process" w:date="2021-08-28T12:00:00Z">
        <w:r>
          <w:t>________________________________________________________</w:t>
        </w:r>
      </w:ins>
    </w:p>
    <w:p>
      <w:pPr>
        <w:pStyle w:val="yMiscellaneousBody"/>
        <w:rPr>
          <w:del w:id="954" w:author="Master Repository Process" w:date="2021-08-28T12:00:00Z"/>
        </w:rPr>
      </w:pPr>
      <w:del w:id="955" w:author="Master Repository Process" w:date="2021-08-28T12:00:00Z">
        <w:r>
          <w:delText>________________________________________________________</w:delText>
        </w:r>
      </w:del>
    </w:p>
    <w:p>
      <w:pPr>
        <w:pStyle w:val="yMiscellaneousBody"/>
        <w:rPr>
          <w:ins w:id="956" w:author="Master Repository Process" w:date="2021-08-28T12:00:00Z"/>
        </w:rPr>
      </w:pPr>
      <w:ins w:id="957" w:author="Master Repository Process" w:date="2021-08-28T12:00:00Z">
        <w:r>
          <w:t>________________________________________________________________</w:t>
        </w:r>
      </w:ins>
    </w:p>
    <w:p>
      <w:pPr>
        <w:pStyle w:val="yMiscellaneousBody"/>
      </w:pPr>
      <w:r>
        <w:t xml:space="preserve">Phone no: </w:t>
      </w:r>
      <w:del w:id="958" w:author="Master Repository Process" w:date="2021-08-28T12:00:00Z">
        <w:r>
          <w:delText>_______________________________________________</w:delText>
        </w:r>
      </w:del>
      <w:ins w:id="959" w:author="Master Repository Process" w:date="2021-08-28T12:00:00Z">
        <w:r>
          <w:t>_______________________________________________________</w:t>
        </w:r>
      </w:ins>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xml:space="preserve">.) </w:t>
      </w:r>
      <w:del w:id="960" w:author="Master Repository Process" w:date="2021-08-28T12:00:00Z">
        <w:r>
          <w:delText>__________________________________</w:delText>
        </w:r>
      </w:del>
      <w:ins w:id="961" w:author="Master Repository Process" w:date="2021-08-28T12:00:00Z">
        <w:r>
          <w:t>_____________ _____________________</w:t>
        </w:r>
      </w:ins>
      <w:r>
        <w:t xml:space="preserve">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p>
      <w:pPr>
        <w:pStyle w:val="yMiscellaneousBody"/>
        <w:rPr>
          <w:del w:id="962" w:author="Master Repository Process" w:date="2021-08-28T12:00:00Z"/>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 xml:space="preserve">The following genetic tests were carried out </w:t>
      </w:r>
      <w:del w:id="963" w:author="Master Repository Process" w:date="2021-08-28T12:00:00Z">
        <w:r>
          <w:delText>_______________</w:delText>
        </w:r>
      </w:del>
      <w:ins w:id="964" w:author="Master Repository Process" w:date="2021-08-28T12:00:00Z">
        <w:r>
          <w:t>______________________</w:t>
        </w:r>
      </w:ins>
    </w:p>
    <w:p>
      <w:pPr>
        <w:pStyle w:val="yMiscellaneousBody"/>
        <w:tabs>
          <w:tab w:val="left" w:pos="567"/>
        </w:tabs>
        <w:ind w:left="567" w:hanging="567"/>
        <w:rPr>
          <w:del w:id="965" w:author="Master Repository Process" w:date="2021-08-28T12:00:00Z"/>
        </w:rPr>
      </w:pPr>
      <w:del w:id="966" w:author="Master Repository Process" w:date="2021-08-28T12:00:00Z">
        <w:r>
          <w:tab/>
          <w:delText>___________________________________________________</w:delText>
        </w:r>
      </w:del>
    </w:p>
    <w:p>
      <w:pPr>
        <w:pStyle w:val="yMiscellaneousBody"/>
        <w:tabs>
          <w:tab w:val="left" w:pos="567"/>
        </w:tabs>
        <w:ind w:left="567" w:hanging="567"/>
        <w:rPr>
          <w:ins w:id="967" w:author="Master Repository Process" w:date="2021-08-28T12:00:00Z"/>
        </w:rPr>
      </w:pPr>
      <w:ins w:id="968" w:author="Master Repository Process" w:date="2021-08-28T12:00:00Z">
        <w:r>
          <w:tab/>
          <w:t>__________________________________________________________</w:t>
        </w:r>
      </w:ins>
    </w:p>
    <w:p>
      <w:pPr>
        <w:pStyle w:val="yMiscellaneousBody"/>
        <w:tabs>
          <w:tab w:val="left" w:pos="567"/>
        </w:tabs>
        <w:ind w:left="567" w:hanging="567"/>
      </w:pPr>
      <w:r>
        <w:tab/>
        <w:t xml:space="preserve">with the following results </w:t>
      </w:r>
      <w:del w:id="969" w:author="Master Repository Process" w:date="2021-08-28T12:00:00Z">
        <w:r>
          <w:delText>______________________________</w:delText>
        </w:r>
      </w:del>
      <w:ins w:id="970" w:author="Master Repository Process" w:date="2021-08-28T12:00:00Z">
        <w:r>
          <w:t>_____________________________________</w:t>
        </w:r>
      </w:ins>
    </w:p>
    <w:p>
      <w:pPr>
        <w:pStyle w:val="yMiscellaneousBody"/>
        <w:tabs>
          <w:tab w:val="left" w:pos="567"/>
        </w:tabs>
        <w:ind w:left="567" w:hanging="567"/>
        <w:rPr>
          <w:del w:id="971" w:author="Master Repository Process" w:date="2021-08-28T12:00:00Z"/>
        </w:rPr>
      </w:pPr>
      <w:del w:id="972" w:author="Master Repository Process" w:date="2021-08-28T12:00:00Z">
        <w:r>
          <w:tab/>
          <w:delText>___________________________________________________</w:delText>
        </w:r>
      </w:del>
    </w:p>
    <w:p>
      <w:pPr>
        <w:pStyle w:val="yMiscellaneousBody"/>
        <w:tabs>
          <w:tab w:val="left" w:pos="567"/>
        </w:tabs>
        <w:ind w:left="567" w:hanging="567"/>
        <w:rPr>
          <w:ins w:id="973" w:author="Master Repository Process" w:date="2021-08-28T12:00:00Z"/>
        </w:rPr>
      </w:pPr>
      <w:ins w:id="974" w:author="Master Repository Process" w:date="2021-08-28T12:00:00Z">
        <w:r>
          <w:tab/>
          <w:t>__________________________________________________________</w:t>
        </w:r>
      </w:ins>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 xml:space="preserve">AHL No: </w:t>
            </w:r>
            <w:del w:id="975" w:author="Master Repository Process" w:date="2021-08-28T12:00:00Z">
              <w:r>
                <w:delText>________________________________________</w:delText>
              </w:r>
            </w:del>
            <w:ins w:id="976" w:author="Master Repository Process" w:date="2021-08-28T12:00:00Z">
              <w:r>
                <w:t>________________________________________________</w:t>
              </w:r>
            </w:ins>
          </w:p>
          <w:p>
            <w:pPr>
              <w:pStyle w:val="ySubsection"/>
              <w:tabs>
                <w:tab w:val="clear" w:pos="595"/>
                <w:tab w:val="left" w:pos="566"/>
              </w:tabs>
              <w:spacing w:after="80"/>
            </w:pPr>
            <w:r>
              <w:t>2.</w:t>
            </w:r>
            <w:r>
              <w:tab/>
              <w:t xml:space="preserve">Name of licensee or permit holder: </w:t>
            </w:r>
            <w:del w:id="977" w:author="Master Repository Process" w:date="2021-08-28T12:00:00Z">
              <w:r>
                <w:delText>___________________</w:delText>
              </w:r>
            </w:del>
            <w:ins w:id="978" w:author="Master Repository Process" w:date="2021-08-28T12:00:00Z">
              <w:r>
                <w:t>____________________________</w:t>
              </w:r>
            </w:ins>
          </w:p>
        </w:tc>
      </w:tr>
    </w:tbl>
    <w:p>
      <w:pPr>
        <w:pStyle w:val="yFootnotesection"/>
        <w:rPr>
          <w:b/>
        </w:rPr>
      </w:pPr>
      <w:r>
        <w:tab/>
        <w:t>[Form 9 inserted in Gazette 24 Sep 2013 p. 4451-2.]</w:t>
      </w:r>
    </w:p>
    <w:p>
      <w:pPr>
        <w:pStyle w:val="yScheduleHeading"/>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pPr>
      <w:bookmarkStart w:id="979" w:name="_Toc404246499"/>
      <w:bookmarkStart w:id="980" w:name="_Toc402879356"/>
      <w:r>
        <w:rPr>
          <w:rStyle w:val="CharSchNo"/>
        </w:rPr>
        <w:t>Schedule 15</w:t>
      </w:r>
      <w:r>
        <w:rPr>
          <w:rStyle w:val="CharSDivNo"/>
          <w:sz w:val="28"/>
        </w:rPr>
        <w:t> </w:t>
      </w:r>
      <w:r>
        <w:t>—</w:t>
      </w:r>
      <w:r>
        <w:rPr>
          <w:rStyle w:val="CharSDivText"/>
          <w:sz w:val="28"/>
        </w:rPr>
        <w:t> </w:t>
      </w:r>
      <w:r>
        <w:rPr>
          <w:rStyle w:val="CharSchText"/>
        </w:rPr>
        <w:t>Tour management zones</w:t>
      </w:r>
      <w:bookmarkEnd w:id="979"/>
      <w:bookmarkEnd w:id="980"/>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981" w:name="_Toc404246500"/>
      <w:bookmarkStart w:id="982" w:name="_Toc402879357"/>
      <w:r>
        <w:rPr>
          <w:rStyle w:val="CharSClsNo"/>
        </w:rPr>
        <w:t>1</w:t>
      </w:r>
      <w:r>
        <w:t>.</w:t>
      </w:r>
      <w:r>
        <w:tab/>
        <w:t>Zone 1: Pilbara/Kimberley</w:t>
      </w:r>
      <w:bookmarkEnd w:id="981"/>
      <w:bookmarkEnd w:id="982"/>
    </w:p>
    <w:p>
      <w:pPr>
        <w:pStyle w:val="ySubsection"/>
      </w:pPr>
      <w:r>
        <w:tab/>
      </w:r>
      <w:r>
        <w:tab/>
        <w:t>Pilbara and Kimberley Region</w:t>
      </w:r>
    </w:p>
    <w:p>
      <w:pPr>
        <w:pStyle w:val="yFootnotesection"/>
      </w:pPr>
      <w:r>
        <w:tab/>
        <w:t>[Clause 1 inserted in Gazette 1 Oct 2003 p. 4346.]</w:t>
      </w:r>
    </w:p>
    <w:p>
      <w:pPr>
        <w:pStyle w:val="yHeading5"/>
      </w:pPr>
      <w:bookmarkStart w:id="983" w:name="_Toc404246501"/>
      <w:bookmarkStart w:id="984" w:name="_Toc402879358"/>
      <w:r>
        <w:rPr>
          <w:rStyle w:val="CharSClsNo"/>
        </w:rPr>
        <w:t>2</w:t>
      </w:r>
      <w:r>
        <w:t>.</w:t>
      </w:r>
      <w:r>
        <w:tab/>
        <w:t>Zone 2: Gascoyne</w:t>
      </w:r>
      <w:bookmarkEnd w:id="983"/>
      <w:bookmarkEnd w:id="984"/>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985" w:name="_Toc404246502"/>
      <w:bookmarkStart w:id="986" w:name="_Toc402879359"/>
      <w:r>
        <w:rPr>
          <w:rStyle w:val="CharSClsNo"/>
        </w:rPr>
        <w:t>3</w:t>
      </w:r>
      <w:r>
        <w:t>.</w:t>
      </w:r>
      <w:r>
        <w:tab/>
        <w:t>Zone 3: West Coast</w:t>
      </w:r>
      <w:bookmarkEnd w:id="985"/>
      <w:bookmarkEnd w:id="986"/>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987" w:name="_Toc404246503"/>
      <w:bookmarkStart w:id="988" w:name="_Toc402879360"/>
      <w:r>
        <w:rPr>
          <w:rStyle w:val="CharSClsNo"/>
        </w:rPr>
        <w:t>4</w:t>
      </w:r>
      <w:r>
        <w:t>.</w:t>
      </w:r>
      <w:r>
        <w:tab/>
        <w:t>Zone 4: South Coast</w:t>
      </w:r>
      <w:bookmarkEnd w:id="987"/>
      <w:bookmarkEnd w:id="988"/>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989" w:name="_Toc404246504"/>
      <w:bookmarkStart w:id="990" w:name="_Toc402879361"/>
      <w:r>
        <w:rPr>
          <w:rStyle w:val="CharSchNo"/>
        </w:rPr>
        <w:t>Schedule 16</w:t>
      </w:r>
      <w:r>
        <w:t> — </w:t>
      </w:r>
      <w:r>
        <w:rPr>
          <w:rStyle w:val="CharSchText"/>
        </w:rPr>
        <w:t>Abalone zones</w:t>
      </w:r>
      <w:bookmarkEnd w:id="989"/>
      <w:bookmarkEnd w:id="990"/>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991" w:name="_Toc404246505"/>
      <w:bookmarkStart w:id="992" w:name="_Toc402879362"/>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991"/>
      <w:bookmarkEnd w:id="992"/>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993" w:name="_Toc404246506"/>
      <w:bookmarkStart w:id="994" w:name="_Toc402879363"/>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993"/>
      <w:bookmarkEnd w:id="994"/>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995" w:name="_Toc404246507"/>
      <w:bookmarkStart w:id="996" w:name="_Toc402879364"/>
      <w:r>
        <w:rPr>
          <w:rStyle w:val="CharSClsNo"/>
        </w:rPr>
        <w:t>3</w:t>
      </w:r>
      <w:r>
        <w:t>.</w:t>
      </w:r>
      <w:r>
        <w:tab/>
        <w:t>Abalone Zone 3: Busselton Jetty to South Australian border</w:t>
      </w:r>
      <w:bookmarkEnd w:id="995"/>
      <w:bookmarkEnd w:id="996"/>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997" w:name="_Toc404246508"/>
      <w:bookmarkStart w:id="998" w:name="_Toc402879365"/>
      <w:r>
        <w:rPr>
          <w:rStyle w:val="CharSchNo"/>
        </w:rPr>
        <w:t>Schedule 17</w:t>
      </w:r>
      <w:r>
        <w:t> — </w:t>
      </w:r>
      <w:r>
        <w:rPr>
          <w:rStyle w:val="CharSchText"/>
        </w:rPr>
        <w:t>Fish diseases</w:t>
      </w:r>
      <w:bookmarkEnd w:id="997"/>
      <w:bookmarkEnd w:id="998"/>
    </w:p>
    <w:p>
      <w:pPr>
        <w:pStyle w:val="yShoulderClause"/>
      </w:pPr>
      <w:r>
        <w:t>[r. 3]</w:t>
      </w:r>
    </w:p>
    <w:p>
      <w:pPr>
        <w:pStyle w:val="yFootnoteheading"/>
      </w:pPr>
      <w:r>
        <w:tab/>
        <w:t>[Heading inserted in Gazette 24 Sep 2013 p. 4453.]</w:t>
      </w:r>
    </w:p>
    <w:p>
      <w:pPr>
        <w:pStyle w:val="yHeading3"/>
      </w:pPr>
      <w:bookmarkStart w:id="999" w:name="_Toc404246509"/>
      <w:bookmarkStart w:id="1000" w:name="_Toc402879366"/>
      <w:r>
        <w:rPr>
          <w:rStyle w:val="CharSDivNo"/>
        </w:rPr>
        <w:t>Division 1</w:t>
      </w:r>
      <w:r>
        <w:t> — </w:t>
      </w:r>
      <w:r>
        <w:rPr>
          <w:rStyle w:val="CharSDivText"/>
        </w:rPr>
        <w:t>Diseases of crustaceans</w:t>
      </w:r>
      <w:bookmarkEnd w:id="999"/>
      <w:bookmarkEnd w:id="1000"/>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1001" w:name="_Toc404246510"/>
      <w:bookmarkStart w:id="1002" w:name="_Toc402879367"/>
      <w:r>
        <w:rPr>
          <w:rStyle w:val="CharSDivNo"/>
        </w:rPr>
        <w:t>Division 2</w:t>
      </w:r>
      <w:r>
        <w:t> — </w:t>
      </w:r>
      <w:r>
        <w:rPr>
          <w:rStyle w:val="CharSDivText"/>
        </w:rPr>
        <w:t>Diseases of molluscs</w:t>
      </w:r>
      <w:bookmarkEnd w:id="1001"/>
      <w:bookmarkEnd w:id="1002"/>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1003" w:name="_Toc404246511"/>
      <w:bookmarkStart w:id="1004" w:name="_Toc402879368"/>
      <w:r>
        <w:rPr>
          <w:rStyle w:val="CharSDivNo"/>
        </w:rPr>
        <w:t>Division 3</w:t>
      </w:r>
      <w:r>
        <w:t> — </w:t>
      </w:r>
      <w:r>
        <w:rPr>
          <w:rStyle w:val="CharSDivText"/>
        </w:rPr>
        <w:t>Diseases of other fish</w:t>
      </w:r>
      <w:bookmarkEnd w:id="1003"/>
      <w:bookmarkEnd w:id="1004"/>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1005" w:name="_Toc404246512"/>
      <w:bookmarkStart w:id="1006" w:name="_Toc402879369"/>
      <w:r>
        <w:rPr>
          <w:rStyle w:val="CharSchNo"/>
        </w:rPr>
        <w:t>Schedule 18</w:t>
      </w:r>
      <w:r>
        <w:rPr>
          <w:rStyle w:val="CharSDivNo"/>
        </w:rPr>
        <w:t> </w:t>
      </w:r>
      <w:r>
        <w:t>—</w:t>
      </w:r>
      <w:r>
        <w:rPr>
          <w:rStyle w:val="CharSDivText"/>
        </w:rPr>
        <w:t> </w:t>
      </w:r>
      <w:r>
        <w:rPr>
          <w:rStyle w:val="CharSchText"/>
        </w:rPr>
        <w:t>Diseases of pearl oysters</w:t>
      </w:r>
      <w:bookmarkEnd w:id="1005"/>
      <w:bookmarkEnd w:id="1006"/>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2"/>
          <w:headerReference w:type="default" r:id="rId53"/>
          <w:pgSz w:w="11906" w:h="16838" w:code="9"/>
          <w:pgMar w:top="2381" w:right="2409" w:bottom="3543" w:left="2409" w:header="720" w:footer="3380" w:gutter="0"/>
          <w:cols w:space="720"/>
          <w:noEndnote/>
          <w:docGrid w:linePitch="326"/>
        </w:sectPr>
      </w:pPr>
    </w:p>
    <w:p>
      <w:pPr>
        <w:pStyle w:val="nHeading2"/>
      </w:pPr>
      <w:bookmarkStart w:id="1007" w:name="_Toc404246513"/>
      <w:bookmarkStart w:id="1008" w:name="_Toc402879370"/>
      <w:r>
        <w:t>Notes</w:t>
      </w:r>
      <w:bookmarkEnd w:id="1007"/>
      <w:bookmarkEnd w:id="1008"/>
    </w:p>
    <w:p>
      <w:pPr>
        <w:pStyle w:val="nSubsection"/>
        <w:rPr>
          <w:snapToGrid w:val="0"/>
        </w:rPr>
      </w:pPr>
      <w:r>
        <w:rPr>
          <w:snapToGrid w:val="0"/>
          <w:vertAlign w:val="superscript"/>
        </w:rPr>
        <w:t>1</w:t>
      </w:r>
      <w:r>
        <w:rPr>
          <w:snapToGrid w:val="0"/>
        </w:rPr>
        <w:tab/>
        <w:t xml:space="preserve">This </w:t>
      </w:r>
      <w:ins w:id="1009" w:author="Master Repository Process" w:date="2021-08-28T12:00:00Z">
        <w:r>
          <w:rPr>
            <w:snapToGrid w:val="0"/>
          </w:rPr>
          <w:t xml:space="preserve">reprint </w:t>
        </w:r>
      </w:ins>
      <w:r>
        <w:rPr>
          <w:snapToGrid w:val="0"/>
        </w:rPr>
        <w:t>is a compilation</w:t>
      </w:r>
      <w:ins w:id="1010" w:author="Master Repository Process" w:date="2021-08-28T12:00:00Z">
        <w:r>
          <w:rPr>
            <w:snapToGrid w:val="0"/>
          </w:rPr>
          <w:t xml:space="preserve"> as at 14 November 2014</w:t>
        </w:r>
      </w:ins>
      <w:r>
        <w:rPr>
          <w:snapToGrid w:val="0"/>
        </w:rPr>
        <w:t xml:space="preserve">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011" w:name="_Toc404246514"/>
      <w:bookmarkStart w:id="1012" w:name="_Toc402879371"/>
      <w:r>
        <w:t>Compilation table</w:t>
      </w:r>
      <w:bookmarkEnd w:id="1011"/>
      <w:bookmarkEnd w:id="101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57"/>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4"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8" w:type="dxa"/>
          </w:tcPr>
          <w:p>
            <w:pPr>
              <w:pStyle w:val="nTable"/>
              <w:spacing w:after="40"/>
              <w:ind w:right="57"/>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4" w:type="dxa"/>
          </w:tcPr>
          <w:p>
            <w:pPr>
              <w:pStyle w:val="nTable"/>
              <w:spacing w:after="40"/>
              <w:rPr>
                <w:sz w:val="19"/>
              </w:rPr>
            </w:pPr>
            <w:r>
              <w:rPr>
                <w:sz w:val="19"/>
              </w:rPr>
              <w:t>22 Dec 1995</w:t>
            </w:r>
          </w:p>
        </w:tc>
      </w:tr>
      <w:tr>
        <w:trPr>
          <w:cantSplit/>
        </w:trPr>
        <w:tc>
          <w:tcPr>
            <w:tcW w:w="3118" w:type="dxa"/>
          </w:tcPr>
          <w:p>
            <w:pPr>
              <w:pStyle w:val="nTable"/>
              <w:spacing w:after="40"/>
              <w:ind w:right="57"/>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4" w:type="dxa"/>
          </w:tcPr>
          <w:p>
            <w:pPr>
              <w:pStyle w:val="nTable"/>
              <w:spacing w:after="40"/>
              <w:rPr>
                <w:sz w:val="19"/>
              </w:rPr>
            </w:pPr>
            <w:r>
              <w:rPr>
                <w:sz w:val="19"/>
              </w:rPr>
              <w:t>30 Aug 1996</w:t>
            </w:r>
          </w:p>
        </w:tc>
      </w:tr>
      <w:tr>
        <w:trPr>
          <w:cantSplit/>
        </w:trPr>
        <w:tc>
          <w:tcPr>
            <w:tcW w:w="3118" w:type="dxa"/>
          </w:tcPr>
          <w:p>
            <w:pPr>
              <w:pStyle w:val="nTable"/>
              <w:spacing w:after="40"/>
              <w:ind w:right="57"/>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4" w:type="dxa"/>
          </w:tcPr>
          <w:p>
            <w:pPr>
              <w:pStyle w:val="nTable"/>
              <w:spacing w:after="40"/>
              <w:rPr>
                <w:sz w:val="19"/>
              </w:rPr>
            </w:pPr>
            <w:r>
              <w:rPr>
                <w:sz w:val="19"/>
              </w:rPr>
              <w:t>24 Dec 1996</w:t>
            </w:r>
          </w:p>
        </w:tc>
      </w:tr>
      <w:tr>
        <w:trPr>
          <w:cantSplit/>
        </w:trPr>
        <w:tc>
          <w:tcPr>
            <w:tcW w:w="3118" w:type="dxa"/>
          </w:tcPr>
          <w:p>
            <w:pPr>
              <w:pStyle w:val="nTable"/>
              <w:spacing w:after="40"/>
              <w:ind w:right="57"/>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4" w:type="dxa"/>
          </w:tcPr>
          <w:p>
            <w:pPr>
              <w:pStyle w:val="nTable"/>
              <w:spacing w:after="40"/>
              <w:rPr>
                <w:sz w:val="19"/>
              </w:rPr>
            </w:pPr>
            <w:r>
              <w:rPr>
                <w:sz w:val="19"/>
              </w:rPr>
              <w:t>24 Dec 1996</w:t>
            </w:r>
          </w:p>
        </w:tc>
      </w:tr>
      <w:tr>
        <w:trPr>
          <w:cantSplit/>
        </w:trPr>
        <w:tc>
          <w:tcPr>
            <w:tcW w:w="3118" w:type="dxa"/>
          </w:tcPr>
          <w:p>
            <w:pPr>
              <w:pStyle w:val="nTable"/>
              <w:spacing w:after="40"/>
              <w:ind w:right="57"/>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4" w:type="dxa"/>
          </w:tcPr>
          <w:p>
            <w:pPr>
              <w:pStyle w:val="nTable"/>
              <w:spacing w:after="40"/>
              <w:rPr>
                <w:sz w:val="19"/>
              </w:rPr>
            </w:pPr>
            <w:r>
              <w:rPr>
                <w:sz w:val="19"/>
              </w:rPr>
              <w:t>1 Apr 1997 (see r. 2)</w:t>
            </w:r>
          </w:p>
        </w:tc>
      </w:tr>
      <w:tr>
        <w:trPr>
          <w:cantSplit/>
        </w:trPr>
        <w:tc>
          <w:tcPr>
            <w:tcW w:w="3118" w:type="dxa"/>
          </w:tcPr>
          <w:p>
            <w:pPr>
              <w:pStyle w:val="nTable"/>
              <w:spacing w:after="40"/>
              <w:ind w:right="57"/>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4" w:type="dxa"/>
          </w:tcPr>
          <w:p>
            <w:pPr>
              <w:pStyle w:val="nTable"/>
              <w:spacing w:after="40"/>
              <w:rPr>
                <w:sz w:val="19"/>
              </w:rPr>
            </w:pPr>
            <w:r>
              <w:rPr>
                <w:sz w:val="19"/>
              </w:rPr>
              <w:t>4 Jul 1997 (see r. 2)</w:t>
            </w:r>
          </w:p>
        </w:tc>
      </w:tr>
      <w:tr>
        <w:trPr>
          <w:cantSplit/>
        </w:trPr>
        <w:tc>
          <w:tcPr>
            <w:tcW w:w="3118" w:type="dxa"/>
          </w:tcPr>
          <w:p>
            <w:pPr>
              <w:pStyle w:val="nTable"/>
              <w:spacing w:after="40"/>
              <w:ind w:right="57"/>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4" w:type="dxa"/>
          </w:tcPr>
          <w:p>
            <w:pPr>
              <w:pStyle w:val="nTable"/>
              <w:spacing w:after="40"/>
              <w:rPr>
                <w:sz w:val="19"/>
              </w:rPr>
            </w:pPr>
            <w:r>
              <w:rPr>
                <w:sz w:val="19"/>
              </w:rPr>
              <w:t>12 Sep 1997</w:t>
            </w:r>
          </w:p>
        </w:tc>
      </w:tr>
      <w:tr>
        <w:trPr>
          <w:cantSplit/>
        </w:trPr>
        <w:tc>
          <w:tcPr>
            <w:tcW w:w="3118" w:type="dxa"/>
          </w:tcPr>
          <w:p>
            <w:pPr>
              <w:pStyle w:val="nTable"/>
              <w:spacing w:after="40"/>
              <w:ind w:right="57"/>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4" w:type="dxa"/>
          </w:tcPr>
          <w:p>
            <w:pPr>
              <w:pStyle w:val="nTable"/>
              <w:spacing w:after="40"/>
              <w:rPr>
                <w:sz w:val="19"/>
              </w:rPr>
            </w:pPr>
            <w:r>
              <w:rPr>
                <w:sz w:val="19"/>
              </w:rPr>
              <w:t>30 Sep 1997</w:t>
            </w:r>
          </w:p>
        </w:tc>
      </w:tr>
      <w:tr>
        <w:trPr>
          <w:cantSplit/>
        </w:trPr>
        <w:tc>
          <w:tcPr>
            <w:tcW w:w="3118" w:type="dxa"/>
          </w:tcPr>
          <w:p>
            <w:pPr>
              <w:pStyle w:val="nTable"/>
              <w:spacing w:after="40"/>
              <w:ind w:right="57"/>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4" w:type="dxa"/>
          </w:tcPr>
          <w:p>
            <w:pPr>
              <w:pStyle w:val="nTable"/>
              <w:spacing w:after="40"/>
              <w:rPr>
                <w:sz w:val="19"/>
              </w:rPr>
            </w:pPr>
            <w:r>
              <w:rPr>
                <w:sz w:val="19"/>
              </w:rPr>
              <w:t>30 Sep 1997</w:t>
            </w:r>
          </w:p>
        </w:tc>
      </w:tr>
      <w:tr>
        <w:trPr>
          <w:cantSplit/>
        </w:trPr>
        <w:tc>
          <w:tcPr>
            <w:tcW w:w="3118" w:type="dxa"/>
          </w:tcPr>
          <w:p>
            <w:pPr>
              <w:pStyle w:val="nTable"/>
              <w:keepNext/>
              <w:keepLines/>
              <w:spacing w:after="40"/>
              <w:ind w:right="57"/>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4" w:type="dxa"/>
          </w:tcPr>
          <w:p>
            <w:pPr>
              <w:pStyle w:val="nTable"/>
              <w:keepNext/>
              <w:keepLines/>
              <w:spacing w:after="40"/>
              <w:rPr>
                <w:sz w:val="19"/>
              </w:rPr>
            </w:pPr>
            <w:r>
              <w:rPr>
                <w:sz w:val="19"/>
              </w:rPr>
              <w:t>5 Dec 1997</w:t>
            </w:r>
          </w:p>
        </w:tc>
      </w:tr>
      <w:tr>
        <w:trPr>
          <w:cantSplit/>
        </w:trPr>
        <w:tc>
          <w:tcPr>
            <w:tcW w:w="3118" w:type="dxa"/>
          </w:tcPr>
          <w:p>
            <w:pPr>
              <w:pStyle w:val="nTable"/>
              <w:spacing w:after="40"/>
              <w:ind w:right="57"/>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4" w:type="dxa"/>
          </w:tcPr>
          <w:p>
            <w:pPr>
              <w:pStyle w:val="nTable"/>
              <w:spacing w:after="40"/>
              <w:rPr>
                <w:sz w:val="19"/>
              </w:rPr>
            </w:pPr>
            <w:r>
              <w:rPr>
                <w:sz w:val="19"/>
              </w:rPr>
              <w:t>5 Dec 1997</w:t>
            </w:r>
          </w:p>
        </w:tc>
      </w:tr>
      <w:tr>
        <w:trPr>
          <w:cantSplit/>
        </w:trPr>
        <w:tc>
          <w:tcPr>
            <w:tcW w:w="3118" w:type="dxa"/>
          </w:tcPr>
          <w:p>
            <w:pPr>
              <w:pStyle w:val="nTable"/>
              <w:spacing w:after="40"/>
              <w:ind w:right="57"/>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4" w:type="dxa"/>
          </w:tcPr>
          <w:p>
            <w:pPr>
              <w:pStyle w:val="nTable"/>
              <w:spacing w:after="40"/>
              <w:rPr>
                <w:sz w:val="19"/>
              </w:rPr>
            </w:pPr>
            <w:r>
              <w:rPr>
                <w:sz w:val="19"/>
              </w:rPr>
              <w:t>2 Jan 1998</w:t>
            </w:r>
          </w:p>
        </w:tc>
      </w:tr>
      <w:tr>
        <w:trPr>
          <w:cantSplit/>
        </w:trPr>
        <w:tc>
          <w:tcPr>
            <w:tcW w:w="3118"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4" w:type="dxa"/>
          </w:tcPr>
          <w:p>
            <w:pPr>
              <w:pStyle w:val="nTable"/>
              <w:spacing w:after="40"/>
              <w:rPr>
                <w:sz w:val="19"/>
              </w:rPr>
            </w:pPr>
            <w:r>
              <w:rPr>
                <w:sz w:val="19"/>
              </w:rPr>
              <w:t>19 Jun 1998</w:t>
            </w:r>
          </w:p>
        </w:tc>
      </w:tr>
      <w:tr>
        <w:trPr>
          <w:cantSplit/>
        </w:trPr>
        <w:tc>
          <w:tcPr>
            <w:tcW w:w="3118"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4" w:type="dxa"/>
          </w:tcPr>
          <w:p>
            <w:pPr>
              <w:pStyle w:val="nTable"/>
              <w:spacing w:after="40"/>
              <w:rPr>
                <w:sz w:val="19"/>
              </w:rPr>
            </w:pPr>
            <w:r>
              <w:rPr>
                <w:sz w:val="19"/>
              </w:rPr>
              <w:t>7 Jul 1998</w:t>
            </w:r>
          </w:p>
        </w:tc>
      </w:tr>
      <w:tr>
        <w:trPr>
          <w:cantSplit/>
        </w:trPr>
        <w:tc>
          <w:tcPr>
            <w:tcW w:w="3118"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4" w:type="dxa"/>
          </w:tcPr>
          <w:p>
            <w:pPr>
              <w:pStyle w:val="nTable"/>
              <w:spacing w:after="40"/>
              <w:rPr>
                <w:sz w:val="19"/>
              </w:rPr>
            </w:pPr>
            <w:r>
              <w:rPr>
                <w:sz w:val="19"/>
              </w:rPr>
              <w:t>25 Sep 1998</w:t>
            </w:r>
          </w:p>
        </w:tc>
      </w:tr>
      <w:tr>
        <w:trPr>
          <w:cantSplit/>
        </w:trPr>
        <w:tc>
          <w:tcPr>
            <w:tcW w:w="3118"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4" w:type="dxa"/>
          </w:tcPr>
          <w:p>
            <w:pPr>
              <w:pStyle w:val="nTable"/>
              <w:spacing w:after="40"/>
              <w:rPr>
                <w:sz w:val="19"/>
              </w:rPr>
            </w:pPr>
            <w:r>
              <w:rPr>
                <w:sz w:val="19"/>
              </w:rPr>
              <w:t>15 Jan 1999</w:t>
            </w:r>
          </w:p>
        </w:tc>
      </w:tr>
      <w:tr>
        <w:trPr>
          <w:cantSplit/>
        </w:trPr>
        <w:tc>
          <w:tcPr>
            <w:tcW w:w="3118" w:type="dxa"/>
          </w:tcPr>
          <w:p>
            <w:pPr>
              <w:pStyle w:val="nTable"/>
              <w:spacing w:after="40"/>
              <w:ind w:right="57"/>
              <w:rPr>
                <w:i/>
                <w:sz w:val="19"/>
              </w:rPr>
            </w:pPr>
            <w:r>
              <w:rPr>
                <w:i/>
                <w:sz w:val="19"/>
              </w:rPr>
              <w:t>Fish Resources Management Amendment Regulations 1999</w:t>
            </w:r>
            <w:r>
              <w:rPr>
                <w:sz w:val="19"/>
                <w:vertAlign w:val="superscript"/>
              </w:rPr>
              <w:t> </w:t>
            </w:r>
            <w:del w:id="1013" w:author="Master Repository Process" w:date="2021-08-28T12:00:00Z">
              <w:r>
                <w:rPr>
                  <w:sz w:val="19"/>
                  <w:vertAlign w:val="superscript"/>
                </w:rPr>
                <w:delText>6</w:delText>
              </w:r>
            </w:del>
            <w:ins w:id="1014" w:author="Master Repository Process" w:date="2021-08-28T12:00:00Z">
              <w:r>
                <w:rPr>
                  <w:sz w:val="19"/>
                  <w:vertAlign w:val="superscript"/>
                </w:rPr>
                <w:t>7</w:t>
              </w:r>
            </w:ins>
          </w:p>
        </w:tc>
        <w:tc>
          <w:tcPr>
            <w:tcW w:w="1276" w:type="dxa"/>
          </w:tcPr>
          <w:p>
            <w:pPr>
              <w:pStyle w:val="nTable"/>
              <w:spacing w:after="40"/>
              <w:rPr>
                <w:sz w:val="19"/>
              </w:rPr>
            </w:pPr>
            <w:r>
              <w:rPr>
                <w:sz w:val="19"/>
              </w:rPr>
              <w:t>26 Mar 1999 p. 1279</w:t>
            </w:r>
            <w:r>
              <w:rPr>
                <w:sz w:val="19"/>
              </w:rPr>
              <w:noBreakHyphen/>
              <w:t>80</w:t>
            </w:r>
          </w:p>
        </w:tc>
        <w:tc>
          <w:tcPr>
            <w:tcW w:w="2694" w:type="dxa"/>
          </w:tcPr>
          <w:p>
            <w:pPr>
              <w:pStyle w:val="nTable"/>
              <w:spacing w:after="40"/>
              <w:rPr>
                <w:sz w:val="19"/>
              </w:rPr>
            </w:pPr>
            <w:r>
              <w:rPr>
                <w:sz w:val="19"/>
              </w:rPr>
              <w:t>26 Mar 1999</w:t>
            </w:r>
          </w:p>
        </w:tc>
      </w:tr>
      <w:tr>
        <w:trPr>
          <w:cantSplit/>
        </w:trPr>
        <w:tc>
          <w:tcPr>
            <w:tcW w:w="3118" w:type="dxa"/>
          </w:tcPr>
          <w:p>
            <w:pPr>
              <w:pStyle w:val="nTable"/>
              <w:spacing w:after="40"/>
              <w:ind w:right="57"/>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4" w:type="dxa"/>
          </w:tcPr>
          <w:p>
            <w:pPr>
              <w:pStyle w:val="nTable"/>
              <w:spacing w:after="40"/>
              <w:rPr>
                <w:sz w:val="19"/>
              </w:rPr>
            </w:pPr>
            <w:r>
              <w:rPr>
                <w:sz w:val="19"/>
              </w:rPr>
              <w:t>23 Apr 1999</w:t>
            </w:r>
          </w:p>
        </w:tc>
      </w:tr>
      <w:tr>
        <w:trPr>
          <w:cantSplit/>
        </w:trPr>
        <w:tc>
          <w:tcPr>
            <w:tcW w:w="3118"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4" w:type="dxa"/>
          </w:tcPr>
          <w:p>
            <w:pPr>
              <w:pStyle w:val="nTable"/>
              <w:spacing w:after="40"/>
              <w:rPr>
                <w:sz w:val="19"/>
              </w:rPr>
            </w:pPr>
            <w:r>
              <w:rPr>
                <w:sz w:val="19"/>
              </w:rPr>
              <w:t>4 Jun 1999</w:t>
            </w:r>
          </w:p>
        </w:tc>
      </w:tr>
      <w:tr>
        <w:trPr>
          <w:cantSplit/>
        </w:trPr>
        <w:tc>
          <w:tcPr>
            <w:tcW w:w="3118"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4" w:type="dxa"/>
          </w:tcPr>
          <w:p>
            <w:pPr>
              <w:pStyle w:val="nTable"/>
              <w:spacing w:after="40"/>
              <w:rPr>
                <w:sz w:val="19"/>
              </w:rPr>
            </w:pPr>
            <w:r>
              <w:rPr>
                <w:sz w:val="19"/>
              </w:rPr>
              <w:t>4 Jun 1999</w:t>
            </w:r>
          </w:p>
        </w:tc>
      </w:tr>
      <w:tr>
        <w:trPr>
          <w:cantSplit/>
        </w:trPr>
        <w:tc>
          <w:tcPr>
            <w:tcW w:w="3118"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4" w:type="dxa"/>
          </w:tcPr>
          <w:p>
            <w:pPr>
              <w:pStyle w:val="nTable"/>
              <w:spacing w:after="40"/>
              <w:rPr>
                <w:sz w:val="19"/>
              </w:rPr>
            </w:pPr>
            <w:r>
              <w:rPr>
                <w:sz w:val="19"/>
              </w:rPr>
              <w:t>13 Aug 1999</w:t>
            </w:r>
          </w:p>
        </w:tc>
      </w:tr>
      <w:tr>
        <w:trPr>
          <w:cantSplit/>
        </w:trPr>
        <w:tc>
          <w:tcPr>
            <w:tcW w:w="3118"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4" w:type="dxa"/>
          </w:tcPr>
          <w:p>
            <w:pPr>
              <w:pStyle w:val="nTable"/>
              <w:spacing w:after="40"/>
              <w:rPr>
                <w:sz w:val="19"/>
              </w:rPr>
            </w:pPr>
            <w:r>
              <w:rPr>
                <w:sz w:val="19"/>
              </w:rPr>
              <w:t>28 Sep 1999</w:t>
            </w:r>
          </w:p>
        </w:tc>
      </w:tr>
      <w:tr>
        <w:trPr>
          <w:cantSplit/>
        </w:trPr>
        <w:tc>
          <w:tcPr>
            <w:tcW w:w="3118"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4" w:type="dxa"/>
          </w:tcPr>
          <w:p>
            <w:pPr>
              <w:pStyle w:val="nTable"/>
              <w:spacing w:after="40"/>
              <w:rPr>
                <w:sz w:val="19"/>
              </w:rPr>
            </w:pPr>
            <w:r>
              <w:rPr>
                <w:sz w:val="19"/>
              </w:rPr>
              <w:t>21 Dec 1999</w:t>
            </w:r>
          </w:p>
        </w:tc>
      </w:tr>
      <w:tr>
        <w:trPr>
          <w:cantSplit/>
        </w:trPr>
        <w:tc>
          <w:tcPr>
            <w:tcW w:w="3118"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4" w:type="dxa"/>
          </w:tcPr>
          <w:p>
            <w:pPr>
              <w:pStyle w:val="nTable"/>
              <w:spacing w:after="40"/>
              <w:rPr>
                <w:sz w:val="19"/>
              </w:rPr>
            </w:pPr>
            <w:r>
              <w:rPr>
                <w:sz w:val="19"/>
              </w:rPr>
              <w:t>21 Dec 1999</w:t>
            </w:r>
          </w:p>
        </w:tc>
      </w:tr>
      <w:tr>
        <w:trPr>
          <w:cantSplit/>
        </w:trPr>
        <w:tc>
          <w:tcPr>
            <w:tcW w:w="3118"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4"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8"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4" w:type="dxa"/>
          </w:tcPr>
          <w:p>
            <w:pPr>
              <w:pStyle w:val="nTable"/>
              <w:spacing w:after="40"/>
              <w:rPr>
                <w:sz w:val="19"/>
              </w:rPr>
            </w:pPr>
            <w:r>
              <w:rPr>
                <w:sz w:val="19"/>
              </w:rPr>
              <w:t>25 Aug 2000</w:t>
            </w:r>
          </w:p>
        </w:tc>
      </w:tr>
      <w:tr>
        <w:trPr>
          <w:cantSplit/>
        </w:trPr>
        <w:tc>
          <w:tcPr>
            <w:tcW w:w="3118"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4" w:type="dxa"/>
          </w:tcPr>
          <w:p>
            <w:pPr>
              <w:pStyle w:val="nTable"/>
              <w:spacing w:after="40"/>
              <w:rPr>
                <w:sz w:val="19"/>
              </w:rPr>
            </w:pPr>
            <w:r>
              <w:rPr>
                <w:sz w:val="19"/>
              </w:rPr>
              <w:t>8 Sep 2000</w:t>
            </w:r>
          </w:p>
        </w:tc>
      </w:tr>
      <w:tr>
        <w:trPr>
          <w:cantSplit/>
        </w:trPr>
        <w:tc>
          <w:tcPr>
            <w:tcW w:w="3118"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4" w:type="dxa"/>
          </w:tcPr>
          <w:p>
            <w:pPr>
              <w:pStyle w:val="nTable"/>
              <w:spacing w:after="40"/>
              <w:rPr>
                <w:sz w:val="19"/>
              </w:rPr>
            </w:pPr>
            <w:r>
              <w:rPr>
                <w:sz w:val="19"/>
              </w:rPr>
              <w:t>26 Sep 2000</w:t>
            </w:r>
          </w:p>
        </w:tc>
      </w:tr>
      <w:tr>
        <w:trPr>
          <w:cantSplit/>
        </w:trPr>
        <w:tc>
          <w:tcPr>
            <w:tcW w:w="3118"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4" w:type="dxa"/>
          </w:tcPr>
          <w:p>
            <w:pPr>
              <w:pStyle w:val="nTable"/>
              <w:spacing w:after="40"/>
              <w:rPr>
                <w:sz w:val="19"/>
              </w:rPr>
            </w:pPr>
            <w:r>
              <w:rPr>
                <w:sz w:val="19"/>
              </w:rPr>
              <w:t xml:space="preserve">6 Oct 2000 </w:t>
            </w:r>
          </w:p>
        </w:tc>
      </w:tr>
      <w:tr>
        <w:trPr>
          <w:cantSplit/>
        </w:trPr>
        <w:tc>
          <w:tcPr>
            <w:tcW w:w="3118"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4" w:type="dxa"/>
          </w:tcPr>
          <w:p>
            <w:pPr>
              <w:pStyle w:val="nTable"/>
              <w:spacing w:after="40"/>
              <w:rPr>
                <w:sz w:val="19"/>
              </w:rPr>
            </w:pPr>
            <w:r>
              <w:rPr>
                <w:sz w:val="19"/>
              </w:rPr>
              <w:t>24 Oct 2000</w:t>
            </w:r>
          </w:p>
        </w:tc>
      </w:tr>
      <w:tr>
        <w:trPr>
          <w:cantSplit/>
        </w:trPr>
        <w:tc>
          <w:tcPr>
            <w:tcW w:w="3118"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4" w:type="dxa"/>
          </w:tcPr>
          <w:p>
            <w:pPr>
              <w:pStyle w:val="nTable"/>
              <w:spacing w:after="40"/>
              <w:rPr>
                <w:sz w:val="19"/>
              </w:rPr>
            </w:pPr>
            <w:r>
              <w:rPr>
                <w:sz w:val="19"/>
              </w:rPr>
              <w:t>3 Nov 2000</w:t>
            </w:r>
          </w:p>
        </w:tc>
      </w:tr>
      <w:tr>
        <w:trPr>
          <w:cantSplit/>
        </w:trPr>
        <w:tc>
          <w:tcPr>
            <w:tcW w:w="3118"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4" w:type="dxa"/>
          </w:tcPr>
          <w:p>
            <w:pPr>
              <w:pStyle w:val="nTable"/>
              <w:spacing w:after="40"/>
              <w:rPr>
                <w:sz w:val="19"/>
              </w:rPr>
            </w:pPr>
            <w:r>
              <w:rPr>
                <w:sz w:val="19"/>
              </w:rPr>
              <w:t>29 Dec 2000</w:t>
            </w:r>
          </w:p>
        </w:tc>
      </w:tr>
      <w:tr>
        <w:trPr>
          <w:cantSplit/>
        </w:trPr>
        <w:tc>
          <w:tcPr>
            <w:tcW w:w="3118"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4"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4" w:type="dxa"/>
          </w:tcPr>
          <w:p>
            <w:pPr>
              <w:pStyle w:val="nTable"/>
              <w:spacing w:after="40"/>
              <w:rPr>
                <w:sz w:val="19"/>
              </w:rPr>
            </w:pPr>
            <w:r>
              <w:rPr>
                <w:sz w:val="19"/>
              </w:rPr>
              <w:t>31 Mar 2001 (see r. 2)</w:t>
            </w:r>
          </w:p>
        </w:tc>
      </w:tr>
      <w:tr>
        <w:trPr>
          <w:cantSplit/>
        </w:trPr>
        <w:tc>
          <w:tcPr>
            <w:tcW w:w="3118"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4"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4" w:type="dxa"/>
          </w:tcPr>
          <w:p>
            <w:pPr>
              <w:pStyle w:val="nTable"/>
              <w:spacing w:after="40"/>
              <w:rPr>
                <w:sz w:val="19"/>
              </w:rPr>
            </w:pPr>
            <w:r>
              <w:rPr>
                <w:sz w:val="19"/>
              </w:rPr>
              <w:t>13 Jul 2001</w:t>
            </w:r>
          </w:p>
        </w:tc>
      </w:tr>
      <w:tr>
        <w:trPr>
          <w:cantSplit/>
        </w:trPr>
        <w:tc>
          <w:tcPr>
            <w:tcW w:w="3118"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4" w:type="dxa"/>
          </w:tcPr>
          <w:p>
            <w:pPr>
              <w:pStyle w:val="nTable"/>
              <w:spacing w:after="40"/>
              <w:rPr>
                <w:sz w:val="19"/>
              </w:rPr>
            </w:pPr>
            <w:r>
              <w:rPr>
                <w:sz w:val="19"/>
              </w:rPr>
              <w:t>25 Sep 2001</w:t>
            </w:r>
          </w:p>
        </w:tc>
      </w:tr>
      <w:tr>
        <w:trPr>
          <w:cantSplit/>
        </w:trPr>
        <w:tc>
          <w:tcPr>
            <w:tcW w:w="3118"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4" w:type="dxa"/>
          </w:tcPr>
          <w:p>
            <w:pPr>
              <w:pStyle w:val="nTable"/>
              <w:spacing w:after="40"/>
              <w:rPr>
                <w:sz w:val="19"/>
              </w:rPr>
            </w:pPr>
            <w:r>
              <w:rPr>
                <w:sz w:val="19"/>
              </w:rPr>
              <w:t>12 Oct 2001</w:t>
            </w:r>
          </w:p>
        </w:tc>
      </w:tr>
      <w:tr>
        <w:trPr>
          <w:cantSplit/>
        </w:trPr>
        <w:tc>
          <w:tcPr>
            <w:tcW w:w="3118"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4" w:type="dxa"/>
          </w:tcPr>
          <w:p>
            <w:pPr>
              <w:pStyle w:val="nTable"/>
              <w:spacing w:after="40"/>
              <w:rPr>
                <w:sz w:val="19"/>
              </w:rPr>
            </w:pPr>
            <w:r>
              <w:rPr>
                <w:sz w:val="19"/>
              </w:rPr>
              <w:t>31 Oct 2001</w:t>
            </w:r>
          </w:p>
        </w:tc>
      </w:tr>
      <w:tr>
        <w:trPr>
          <w:cantSplit/>
        </w:trPr>
        <w:tc>
          <w:tcPr>
            <w:tcW w:w="3118"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4" w:type="dxa"/>
          </w:tcPr>
          <w:p>
            <w:pPr>
              <w:pStyle w:val="nTable"/>
              <w:spacing w:after="40"/>
              <w:rPr>
                <w:sz w:val="19"/>
              </w:rPr>
            </w:pPr>
            <w:r>
              <w:rPr>
                <w:sz w:val="19"/>
              </w:rPr>
              <w:t>14 Nov 2001</w:t>
            </w:r>
          </w:p>
        </w:tc>
      </w:tr>
      <w:tr>
        <w:trPr>
          <w:cantSplit/>
        </w:trPr>
        <w:tc>
          <w:tcPr>
            <w:tcW w:w="3118"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4" w:type="dxa"/>
          </w:tcPr>
          <w:p>
            <w:pPr>
              <w:pStyle w:val="nTable"/>
              <w:spacing w:after="40"/>
              <w:rPr>
                <w:sz w:val="19"/>
              </w:rPr>
            </w:pPr>
            <w:r>
              <w:rPr>
                <w:sz w:val="19"/>
              </w:rPr>
              <w:t>20 Nov 2001</w:t>
            </w:r>
          </w:p>
        </w:tc>
      </w:tr>
      <w:tr>
        <w:trPr>
          <w:cantSplit/>
        </w:trPr>
        <w:tc>
          <w:tcPr>
            <w:tcW w:w="3118"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4" w:type="dxa"/>
          </w:tcPr>
          <w:p>
            <w:pPr>
              <w:pStyle w:val="nTable"/>
              <w:spacing w:after="40"/>
              <w:rPr>
                <w:sz w:val="19"/>
              </w:rPr>
            </w:pPr>
            <w:r>
              <w:rPr>
                <w:sz w:val="19"/>
              </w:rPr>
              <w:t>1 Jan 2002 (see r. 2)</w:t>
            </w:r>
          </w:p>
        </w:tc>
      </w:tr>
      <w:tr>
        <w:trPr>
          <w:cantSplit/>
        </w:trPr>
        <w:tc>
          <w:tcPr>
            <w:tcW w:w="3118"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4" w:type="dxa"/>
          </w:tcPr>
          <w:p>
            <w:pPr>
              <w:pStyle w:val="nTable"/>
              <w:spacing w:after="40"/>
              <w:rPr>
                <w:sz w:val="19"/>
              </w:rPr>
            </w:pPr>
            <w:r>
              <w:rPr>
                <w:sz w:val="19"/>
              </w:rPr>
              <w:t>22 Jan 2002</w:t>
            </w:r>
          </w:p>
        </w:tc>
      </w:tr>
      <w:tr>
        <w:trPr>
          <w:cantSplit/>
        </w:trPr>
        <w:tc>
          <w:tcPr>
            <w:tcW w:w="3118"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4" w:type="dxa"/>
          </w:tcPr>
          <w:p>
            <w:pPr>
              <w:pStyle w:val="nTable"/>
              <w:spacing w:after="40"/>
              <w:rPr>
                <w:sz w:val="19"/>
              </w:rPr>
            </w:pPr>
            <w:r>
              <w:rPr>
                <w:sz w:val="19"/>
              </w:rPr>
              <w:t>1 Mar 2002 (see r. 2)</w:t>
            </w:r>
          </w:p>
        </w:tc>
      </w:tr>
      <w:tr>
        <w:trPr>
          <w:cantSplit/>
        </w:trPr>
        <w:tc>
          <w:tcPr>
            <w:tcW w:w="3118"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4"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4"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4" w:type="dxa"/>
          </w:tcPr>
          <w:p>
            <w:pPr>
              <w:pStyle w:val="nTable"/>
              <w:spacing w:after="40"/>
              <w:rPr>
                <w:sz w:val="19"/>
              </w:rPr>
            </w:pPr>
            <w:r>
              <w:rPr>
                <w:sz w:val="19"/>
              </w:rPr>
              <w:t>1 Oct 2002 (see r. 2)</w:t>
            </w:r>
          </w:p>
        </w:tc>
      </w:tr>
      <w:tr>
        <w:trPr>
          <w:cantSplit/>
        </w:trPr>
        <w:tc>
          <w:tcPr>
            <w:tcW w:w="3118"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4" w:type="dxa"/>
          </w:tcPr>
          <w:p>
            <w:pPr>
              <w:pStyle w:val="nTable"/>
              <w:spacing w:after="40"/>
              <w:rPr>
                <w:sz w:val="19"/>
              </w:rPr>
            </w:pPr>
            <w:r>
              <w:rPr>
                <w:sz w:val="19"/>
              </w:rPr>
              <w:t>29 Nov 2002</w:t>
            </w:r>
          </w:p>
        </w:tc>
      </w:tr>
      <w:tr>
        <w:trPr>
          <w:cantSplit/>
        </w:trPr>
        <w:tc>
          <w:tcPr>
            <w:tcW w:w="3118"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4" w:type="dxa"/>
          </w:tcPr>
          <w:p>
            <w:pPr>
              <w:pStyle w:val="nTable"/>
              <w:spacing w:after="40"/>
              <w:rPr>
                <w:sz w:val="19"/>
              </w:rPr>
            </w:pPr>
            <w:r>
              <w:rPr>
                <w:sz w:val="19"/>
              </w:rPr>
              <w:t>29 Nov 2002</w:t>
            </w:r>
          </w:p>
        </w:tc>
      </w:tr>
      <w:tr>
        <w:trPr>
          <w:cantSplit/>
        </w:trPr>
        <w:tc>
          <w:tcPr>
            <w:tcW w:w="3118"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4" w:type="dxa"/>
          </w:tcPr>
          <w:p>
            <w:pPr>
              <w:pStyle w:val="nTable"/>
              <w:spacing w:after="40"/>
              <w:rPr>
                <w:sz w:val="19"/>
              </w:rPr>
            </w:pPr>
            <w:r>
              <w:rPr>
                <w:sz w:val="19"/>
              </w:rPr>
              <w:t>29 Nov 2002</w:t>
            </w:r>
          </w:p>
        </w:tc>
      </w:tr>
      <w:tr>
        <w:trPr>
          <w:cantSplit/>
        </w:trPr>
        <w:tc>
          <w:tcPr>
            <w:tcW w:w="3118"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4" w:type="dxa"/>
          </w:tcPr>
          <w:p>
            <w:pPr>
              <w:pStyle w:val="nTable"/>
              <w:spacing w:after="40"/>
              <w:rPr>
                <w:sz w:val="19"/>
              </w:rPr>
            </w:pPr>
            <w:r>
              <w:rPr>
                <w:sz w:val="19"/>
              </w:rPr>
              <w:t>1 Jan 2003 (see r. 2)</w:t>
            </w:r>
          </w:p>
        </w:tc>
      </w:tr>
      <w:tr>
        <w:trPr>
          <w:cantSplit/>
        </w:trPr>
        <w:tc>
          <w:tcPr>
            <w:tcW w:w="3118"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4" w:type="dxa"/>
          </w:tcPr>
          <w:p>
            <w:pPr>
              <w:pStyle w:val="nTable"/>
              <w:spacing w:after="40"/>
              <w:rPr>
                <w:sz w:val="19"/>
              </w:rPr>
            </w:pPr>
            <w:r>
              <w:rPr>
                <w:sz w:val="19"/>
              </w:rPr>
              <w:t>1 Jan 2003 (see r. 2)</w:t>
            </w:r>
          </w:p>
        </w:tc>
      </w:tr>
      <w:tr>
        <w:trPr>
          <w:cantSplit/>
        </w:trPr>
        <w:tc>
          <w:tcPr>
            <w:tcW w:w="3118"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4" w:type="dxa"/>
          </w:tcPr>
          <w:p>
            <w:pPr>
              <w:pStyle w:val="nTable"/>
              <w:spacing w:after="40"/>
              <w:rPr>
                <w:sz w:val="19"/>
              </w:rPr>
            </w:pPr>
            <w:r>
              <w:rPr>
                <w:sz w:val="19"/>
              </w:rPr>
              <w:t>11 Feb 2003</w:t>
            </w:r>
          </w:p>
        </w:tc>
      </w:tr>
      <w:tr>
        <w:trPr>
          <w:cantSplit/>
        </w:trPr>
        <w:tc>
          <w:tcPr>
            <w:tcW w:w="3118"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4" w:type="dxa"/>
          </w:tcPr>
          <w:p>
            <w:pPr>
              <w:pStyle w:val="nTable"/>
              <w:spacing w:after="40"/>
              <w:rPr>
                <w:sz w:val="19"/>
              </w:rPr>
            </w:pPr>
            <w:r>
              <w:rPr>
                <w:sz w:val="19"/>
              </w:rPr>
              <w:t>21 Feb 2003</w:t>
            </w:r>
          </w:p>
        </w:tc>
      </w:tr>
      <w:tr>
        <w:trPr>
          <w:cantSplit/>
        </w:trPr>
        <w:tc>
          <w:tcPr>
            <w:tcW w:w="3118"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4" w:type="dxa"/>
          </w:tcPr>
          <w:p>
            <w:pPr>
              <w:pStyle w:val="nTable"/>
              <w:spacing w:after="40"/>
              <w:rPr>
                <w:sz w:val="19"/>
              </w:rPr>
            </w:pPr>
            <w:r>
              <w:rPr>
                <w:sz w:val="19"/>
              </w:rPr>
              <w:t>1 Mar 2003 (see r. 2)</w:t>
            </w:r>
          </w:p>
        </w:tc>
      </w:tr>
      <w:tr>
        <w:trPr>
          <w:cantSplit/>
        </w:trPr>
        <w:tc>
          <w:tcPr>
            <w:tcW w:w="3118"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4" w:type="dxa"/>
          </w:tcPr>
          <w:p>
            <w:pPr>
              <w:pStyle w:val="nTable"/>
              <w:spacing w:after="40"/>
              <w:rPr>
                <w:sz w:val="19"/>
              </w:rPr>
            </w:pPr>
            <w:r>
              <w:rPr>
                <w:sz w:val="19"/>
              </w:rPr>
              <w:t>7 Mar 2003</w:t>
            </w:r>
          </w:p>
        </w:tc>
      </w:tr>
      <w:tr>
        <w:trPr>
          <w:cantSplit/>
        </w:trPr>
        <w:tc>
          <w:tcPr>
            <w:tcW w:w="3118"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4"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4" w:type="dxa"/>
          </w:tcPr>
          <w:p>
            <w:pPr>
              <w:pStyle w:val="nTable"/>
              <w:spacing w:after="40"/>
              <w:rPr>
                <w:sz w:val="19"/>
              </w:rPr>
            </w:pPr>
            <w:r>
              <w:rPr>
                <w:sz w:val="19"/>
              </w:rPr>
              <w:t>1 Jul 2003 (see r. 2)</w:t>
            </w:r>
          </w:p>
        </w:tc>
      </w:tr>
      <w:tr>
        <w:trPr>
          <w:cantSplit/>
        </w:trPr>
        <w:tc>
          <w:tcPr>
            <w:tcW w:w="3118" w:type="dxa"/>
          </w:tcPr>
          <w:p>
            <w:pPr>
              <w:pStyle w:val="nTable"/>
              <w:spacing w:after="40"/>
              <w:ind w:right="57"/>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4"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4"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8" w:type="dxa"/>
          </w:tcPr>
          <w:p>
            <w:pPr>
              <w:pStyle w:val="nTable"/>
              <w:spacing w:after="40"/>
              <w:ind w:right="113"/>
              <w:rPr>
                <w:i/>
                <w:sz w:val="19"/>
              </w:rPr>
            </w:pPr>
            <w:r>
              <w:rPr>
                <w:i/>
                <w:snapToGrid w:val="0"/>
                <w:sz w:val="19"/>
              </w:rPr>
              <w:t>Fish Resources Management Amendment Regulations (No. 12) 2003</w:t>
            </w:r>
          </w:p>
        </w:tc>
        <w:tc>
          <w:tcPr>
            <w:tcW w:w="1276" w:type="dxa"/>
          </w:tcPr>
          <w:p>
            <w:pPr>
              <w:pStyle w:val="nTable"/>
              <w:spacing w:after="40"/>
              <w:rPr>
                <w:sz w:val="19"/>
              </w:rPr>
            </w:pPr>
            <w:r>
              <w:rPr>
                <w:snapToGrid w:val="0"/>
                <w:sz w:val="19"/>
              </w:rPr>
              <w:t>19 Sep 2003 p. 4118</w:t>
            </w:r>
          </w:p>
        </w:tc>
        <w:tc>
          <w:tcPr>
            <w:tcW w:w="2694" w:type="dxa"/>
          </w:tcPr>
          <w:p>
            <w:pPr>
              <w:pStyle w:val="nTable"/>
              <w:spacing w:after="40"/>
              <w:rPr>
                <w:sz w:val="19"/>
              </w:rPr>
            </w:pPr>
            <w:r>
              <w:rPr>
                <w:sz w:val="19"/>
              </w:rPr>
              <w:t>1 Oct 2003 (see r. 2)</w:t>
            </w:r>
          </w:p>
        </w:tc>
      </w:tr>
      <w:tr>
        <w:trPr>
          <w:cantSplit/>
        </w:trPr>
        <w:tc>
          <w:tcPr>
            <w:tcW w:w="3118"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4" w:type="dxa"/>
          </w:tcPr>
          <w:p>
            <w:pPr>
              <w:pStyle w:val="nTable"/>
              <w:spacing w:after="40"/>
              <w:rPr>
                <w:sz w:val="19"/>
              </w:rPr>
            </w:pPr>
            <w:r>
              <w:rPr>
                <w:sz w:val="19"/>
              </w:rPr>
              <w:t>19 Sep 2003</w:t>
            </w:r>
          </w:p>
        </w:tc>
      </w:tr>
      <w:tr>
        <w:trPr>
          <w:cantSplit/>
        </w:trPr>
        <w:tc>
          <w:tcPr>
            <w:tcW w:w="3118"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4" w:type="dxa"/>
          </w:tcPr>
          <w:p>
            <w:pPr>
              <w:pStyle w:val="nTable"/>
              <w:spacing w:after="40"/>
              <w:rPr>
                <w:sz w:val="19"/>
              </w:rPr>
            </w:pPr>
            <w:r>
              <w:rPr>
                <w:sz w:val="19"/>
              </w:rPr>
              <w:t>1 Oct 2003 (see r. 2)</w:t>
            </w:r>
          </w:p>
        </w:tc>
      </w:tr>
      <w:tr>
        <w:trPr>
          <w:cantSplit/>
        </w:trPr>
        <w:tc>
          <w:tcPr>
            <w:tcW w:w="3118"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4" w:type="dxa"/>
          </w:tcPr>
          <w:p>
            <w:pPr>
              <w:pStyle w:val="nTable"/>
              <w:spacing w:after="40"/>
              <w:rPr>
                <w:sz w:val="19"/>
              </w:rPr>
            </w:pPr>
            <w:r>
              <w:rPr>
                <w:sz w:val="19"/>
              </w:rPr>
              <w:t>8 Nov 2003 (see r. 2)</w:t>
            </w:r>
          </w:p>
        </w:tc>
      </w:tr>
      <w:tr>
        <w:trPr>
          <w:cantSplit/>
        </w:trPr>
        <w:tc>
          <w:tcPr>
            <w:tcW w:w="3118"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4"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4" w:type="dxa"/>
          </w:tcPr>
          <w:p>
            <w:pPr>
              <w:pStyle w:val="nTable"/>
              <w:spacing w:after="40"/>
              <w:rPr>
                <w:sz w:val="19"/>
              </w:rPr>
            </w:pPr>
            <w:r>
              <w:rPr>
                <w:sz w:val="19"/>
              </w:rPr>
              <w:t>28 Nov 2003</w:t>
            </w:r>
          </w:p>
        </w:tc>
      </w:tr>
      <w:tr>
        <w:trPr>
          <w:cantSplit/>
        </w:trPr>
        <w:tc>
          <w:tcPr>
            <w:tcW w:w="3118"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4" w:type="dxa"/>
          </w:tcPr>
          <w:p>
            <w:pPr>
              <w:pStyle w:val="nTable"/>
              <w:spacing w:after="40"/>
              <w:rPr>
                <w:sz w:val="19"/>
              </w:rPr>
            </w:pPr>
            <w:r>
              <w:rPr>
                <w:sz w:val="19"/>
              </w:rPr>
              <w:t>23 Dec 2003</w:t>
            </w:r>
          </w:p>
        </w:tc>
      </w:tr>
      <w:tr>
        <w:trPr>
          <w:cantSplit/>
        </w:trPr>
        <w:tc>
          <w:tcPr>
            <w:tcW w:w="3118"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4" w:type="dxa"/>
          </w:tcPr>
          <w:p>
            <w:pPr>
              <w:pStyle w:val="nTable"/>
              <w:spacing w:after="40"/>
              <w:rPr>
                <w:sz w:val="19"/>
              </w:rPr>
            </w:pPr>
            <w:r>
              <w:rPr>
                <w:sz w:val="19"/>
              </w:rPr>
              <w:t>9 Jan 2004</w:t>
            </w:r>
          </w:p>
        </w:tc>
      </w:tr>
      <w:tr>
        <w:trPr>
          <w:cantSplit/>
        </w:trPr>
        <w:tc>
          <w:tcPr>
            <w:tcW w:w="3118"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4" w:type="dxa"/>
          </w:tcPr>
          <w:p>
            <w:pPr>
              <w:pStyle w:val="nTable"/>
              <w:spacing w:after="40"/>
              <w:rPr>
                <w:sz w:val="19"/>
              </w:rPr>
            </w:pPr>
            <w:r>
              <w:rPr>
                <w:sz w:val="19"/>
              </w:rPr>
              <w:t>1 Mar 2004 (see r. 2)</w:t>
            </w:r>
          </w:p>
        </w:tc>
      </w:tr>
      <w:tr>
        <w:trPr>
          <w:cantSplit/>
        </w:trPr>
        <w:tc>
          <w:tcPr>
            <w:tcW w:w="3118"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4" w:type="dxa"/>
          </w:tcPr>
          <w:p>
            <w:pPr>
              <w:pStyle w:val="nTable"/>
              <w:spacing w:after="40"/>
              <w:rPr>
                <w:sz w:val="19"/>
              </w:rPr>
            </w:pPr>
            <w:r>
              <w:rPr>
                <w:sz w:val="19"/>
              </w:rPr>
              <w:t>6 Apr 2004</w:t>
            </w:r>
          </w:p>
        </w:tc>
      </w:tr>
      <w:tr>
        <w:trPr>
          <w:cantSplit/>
        </w:trPr>
        <w:tc>
          <w:tcPr>
            <w:tcW w:w="3118"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4" w:type="dxa"/>
          </w:tcPr>
          <w:p>
            <w:pPr>
              <w:pStyle w:val="nTable"/>
              <w:spacing w:after="40"/>
              <w:rPr>
                <w:sz w:val="19"/>
              </w:rPr>
            </w:pPr>
            <w:r>
              <w:rPr>
                <w:sz w:val="19"/>
              </w:rPr>
              <w:t>1 Jul 2004 (see r. 2)</w:t>
            </w:r>
          </w:p>
        </w:tc>
      </w:tr>
      <w:tr>
        <w:trPr>
          <w:cantSplit/>
        </w:trPr>
        <w:tc>
          <w:tcPr>
            <w:tcW w:w="3118"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4" w:type="dxa"/>
          </w:tcPr>
          <w:p>
            <w:pPr>
              <w:pStyle w:val="nTable"/>
              <w:spacing w:after="40"/>
              <w:rPr>
                <w:sz w:val="19"/>
              </w:rPr>
            </w:pPr>
            <w:r>
              <w:rPr>
                <w:sz w:val="19"/>
              </w:rPr>
              <w:t>29 Jun 2004</w:t>
            </w:r>
          </w:p>
        </w:tc>
      </w:tr>
      <w:tr>
        <w:trPr>
          <w:cantSplit/>
        </w:trPr>
        <w:tc>
          <w:tcPr>
            <w:tcW w:w="3118"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4" w:type="dxa"/>
          </w:tcPr>
          <w:p>
            <w:pPr>
              <w:pStyle w:val="nTable"/>
              <w:spacing w:after="40"/>
              <w:rPr>
                <w:sz w:val="19"/>
              </w:rPr>
            </w:pPr>
            <w:r>
              <w:rPr>
                <w:sz w:val="19"/>
              </w:rPr>
              <w:t>30 Sep 2004</w:t>
            </w:r>
          </w:p>
        </w:tc>
      </w:tr>
      <w:tr>
        <w:trPr>
          <w:cantSplit/>
        </w:trPr>
        <w:tc>
          <w:tcPr>
            <w:tcW w:w="3118"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4" w:type="dxa"/>
          </w:tcPr>
          <w:p>
            <w:pPr>
              <w:pStyle w:val="nTable"/>
              <w:spacing w:after="40"/>
              <w:rPr>
                <w:sz w:val="19"/>
              </w:rPr>
            </w:pPr>
            <w:r>
              <w:rPr>
                <w:sz w:val="19"/>
              </w:rPr>
              <w:t>30 Nov 2004</w:t>
            </w:r>
          </w:p>
        </w:tc>
      </w:tr>
      <w:tr>
        <w:trPr>
          <w:cantSplit/>
        </w:trPr>
        <w:tc>
          <w:tcPr>
            <w:tcW w:w="3118"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4"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4" w:type="dxa"/>
          </w:tcPr>
          <w:p>
            <w:pPr>
              <w:pStyle w:val="nTable"/>
              <w:spacing w:after="40"/>
              <w:rPr>
                <w:sz w:val="19"/>
              </w:rPr>
            </w:pPr>
            <w:r>
              <w:rPr>
                <w:sz w:val="19"/>
              </w:rPr>
              <w:t>1 Mar 2005</w:t>
            </w:r>
          </w:p>
        </w:tc>
      </w:tr>
      <w:tr>
        <w:trPr>
          <w:cantSplit/>
        </w:trPr>
        <w:tc>
          <w:tcPr>
            <w:tcW w:w="3118"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4" w:type="dxa"/>
          </w:tcPr>
          <w:p>
            <w:pPr>
              <w:pStyle w:val="nTable"/>
              <w:spacing w:after="40"/>
              <w:rPr>
                <w:sz w:val="19"/>
              </w:rPr>
            </w:pPr>
            <w:r>
              <w:rPr>
                <w:sz w:val="19"/>
              </w:rPr>
              <w:t>3 Jun 2005</w:t>
            </w:r>
          </w:p>
        </w:tc>
      </w:tr>
      <w:tr>
        <w:trPr>
          <w:cantSplit/>
        </w:trPr>
        <w:tc>
          <w:tcPr>
            <w:tcW w:w="3118"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4" w:type="dxa"/>
          </w:tcPr>
          <w:p>
            <w:pPr>
              <w:pStyle w:val="nTable"/>
              <w:spacing w:after="40"/>
              <w:rPr>
                <w:sz w:val="19"/>
              </w:rPr>
            </w:pPr>
            <w:r>
              <w:rPr>
                <w:sz w:val="19"/>
              </w:rPr>
              <w:t>1 Sep 2005 (see r. 2)</w:t>
            </w:r>
          </w:p>
        </w:tc>
      </w:tr>
      <w:tr>
        <w:trPr>
          <w:cantSplit/>
        </w:trPr>
        <w:tc>
          <w:tcPr>
            <w:tcW w:w="3118"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4" w:type="dxa"/>
          </w:tcPr>
          <w:p>
            <w:pPr>
              <w:pStyle w:val="nTable"/>
              <w:spacing w:after="40"/>
              <w:rPr>
                <w:sz w:val="19"/>
              </w:rPr>
            </w:pPr>
            <w:r>
              <w:rPr>
                <w:sz w:val="19"/>
              </w:rPr>
              <w:t>15 Sep 2005 (see r. 2)</w:t>
            </w:r>
          </w:p>
        </w:tc>
      </w:tr>
      <w:tr>
        <w:trPr>
          <w:cantSplit/>
        </w:trPr>
        <w:tc>
          <w:tcPr>
            <w:tcW w:w="3118"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4"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8"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4" w:type="dxa"/>
          </w:tcPr>
          <w:p>
            <w:pPr>
              <w:pStyle w:val="nTable"/>
              <w:spacing w:after="40"/>
              <w:rPr>
                <w:sz w:val="19"/>
              </w:rPr>
            </w:pPr>
            <w:r>
              <w:rPr>
                <w:sz w:val="19"/>
              </w:rPr>
              <w:t>4 Nov 2005</w:t>
            </w:r>
          </w:p>
        </w:tc>
      </w:tr>
      <w:tr>
        <w:trPr>
          <w:cantSplit/>
        </w:trPr>
        <w:tc>
          <w:tcPr>
            <w:tcW w:w="3118" w:type="dxa"/>
          </w:tcPr>
          <w:p>
            <w:pPr>
              <w:pStyle w:val="nTable"/>
              <w:spacing w:after="40"/>
              <w:ind w:right="57"/>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4" w:type="dxa"/>
          </w:tcPr>
          <w:p>
            <w:pPr>
              <w:pStyle w:val="nTable"/>
              <w:spacing w:after="40"/>
              <w:rPr>
                <w:sz w:val="19"/>
              </w:rPr>
            </w:pPr>
            <w:r>
              <w:rPr>
                <w:sz w:val="19"/>
              </w:rPr>
              <w:t>11 Nov 2005</w:t>
            </w:r>
          </w:p>
        </w:tc>
      </w:tr>
      <w:tr>
        <w:trPr>
          <w:cantSplit/>
        </w:trPr>
        <w:tc>
          <w:tcPr>
            <w:tcW w:w="3118"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4"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4" w:type="dxa"/>
          </w:tcPr>
          <w:p>
            <w:pPr>
              <w:pStyle w:val="nTable"/>
              <w:spacing w:after="40"/>
              <w:rPr>
                <w:sz w:val="19"/>
              </w:rPr>
            </w:pPr>
            <w:r>
              <w:rPr>
                <w:sz w:val="19"/>
              </w:rPr>
              <w:t>1 Mar 2006 (see r. 2)</w:t>
            </w:r>
          </w:p>
        </w:tc>
      </w:tr>
      <w:tr>
        <w:trPr>
          <w:cantSplit/>
        </w:trPr>
        <w:tc>
          <w:tcPr>
            <w:tcW w:w="3118"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4" w:type="dxa"/>
          </w:tcPr>
          <w:p>
            <w:pPr>
              <w:pStyle w:val="nTable"/>
              <w:spacing w:after="40"/>
              <w:rPr>
                <w:sz w:val="19"/>
              </w:rPr>
            </w:pPr>
            <w:r>
              <w:rPr>
                <w:sz w:val="19"/>
              </w:rPr>
              <w:t>7 Mar 2006</w:t>
            </w:r>
          </w:p>
        </w:tc>
      </w:tr>
      <w:tr>
        <w:tc>
          <w:tcPr>
            <w:tcW w:w="3118"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4" w:type="dxa"/>
          </w:tcPr>
          <w:p>
            <w:pPr>
              <w:pStyle w:val="nTable"/>
              <w:spacing w:after="40"/>
              <w:rPr>
                <w:sz w:val="19"/>
              </w:rPr>
            </w:pPr>
            <w:r>
              <w:rPr>
                <w:sz w:val="19"/>
              </w:rPr>
              <w:t>1 Apr 2006 (see r. 2)</w:t>
            </w:r>
          </w:p>
        </w:tc>
      </w:tr>
      <w:tr>
        <w:trPr>
          <w:cantSplit/>
        </w:trPr>
        <w:tc>
          <w:tcPr>
            <w:tcW w:w="3118" w:type="dxa"/>
          </w:tcPr>
          <w:p>
            <w:pPr>
              <w:pStyle w:val="nTable"/>
              <w:spacing w:after="40"/>
              <w:ind w:right="57"/>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4"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4"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4" w:type="dxa"/>
          </w:tcPr>
          <w:p>
            <w:pPr>
              <w:pStyle w:val="nTable"/>
              <w:spacing w:after="40"/>
              <w:rPr>
                <w:sz w:val="19"/>
              </w:rPr>
            </w:pPr>
            <w:r>
              <w:rPr>
                <w:sz w:val="19"/>
              </w:rPr>
              <w:t>10 Nov 2006</w:t>
            </w:r>
          </w:p>
        </w:tc>
      </w:tr>
      <w:tr>
        <w:trPr>
          <w:cantSplit/>
        </w:trPr>
        <w:tc>
          <w:tcPr>
            <w:tcW w:w="3118"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4" w:type="dxa"/>
          </w:tcPr>
          <w:p>
            <w:pPr>
              <w:pStyle w:val="nTable"/>
              <w:spacing w:after="40"/>
              <w:rPr>
                <w:sz w:val="19"/>
              </w:rPr>
            </w:pPr>
            <w:r>
              <w:rPr>
                <w:sz w:val="19"/>
              </w:rPr>
              <w:t>10 Nov 2006</w:t>
            </w:r>
          </w:p>
        </w:tc>
      </w:tr>
      <w:tr>
        <w:trPr>
          <w:cantSplit/>
        </w:trPr>
        <w:tc>
          <w:tcPr>
            <w:tcW w:w="3118"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4" w:type="dxa"/>
          </w:tcPr>
          <w:p>
            <w:pPr>
              <w:pStyle w:val="nTable"/>
              <w:spacing w:after="40"/>
              <w:rPr>
                <w:sz w:val="19"/>
              </w:rPr>
            </w:pPr>
            <w:r>
              <w:rPr>
                <w:sz w:val="19"/>
              </w:rPr>
              <w:t xml:space="preserve">29 Dec 2006 </w:t>
            </w:r>
          </w:p>
        </w:tc>
      </w:tr>
      <w:tr>
        <w:trPr>
          <w:cantSplit/>
        </w:trPr>
        <w:tc>
          <w:tcPr>
            <w:tcW w:w="3118" w:type="dxa"/>
          </w:tcPr>
          <w:p>
            <w:pPr>
              <w:pStyle w:val="nTable"/>
              <w:spacing w:after="40"/>
              <w:ind w:right="57"/>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4" w:type="dxa"/>
          </w:tcPr>
          <w:p>
            <w:pPr>
              <w:pStyle w:val="nTable"/>
              <w:spacing w:after="40"/>
              <w:rPr>
                <w:sz w:val="19"/>
              </w:rPr>
            </w:pPr>
            <w:r>
              <w:rPr>
                <w:sz w:val="19"/>
              </w:rPr>
              <w:t>1 Mar 2007 (see r. 2)</w:t>
            </w:r>
          </w:p>
        </w:tc>
      </w:tr>
      <w:tr>
        <w:trPr>
          <w:cantSplit/>
        </w:trPr>
        <w:tc>
          <w:tcPr>
            <w:tcW w:w="3118"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4" w:type="dxa"/>
          </w:tcPr>
          <w:p>
            <w:pPr>
              <w:pStyle w:val="nTable"/>
              <w:spacing w:after="40"/>
              <w:rPr>
                <w:sz w:val="19"/>
              </w:rPr>
            </w:pPr>
            <w:r>
              <w:rPr>
                <w:sz w:val="19"/>
              </w:rPr>
              <w:t>1 Jul 2007 (see r. 2)</w:t>
            </w:r>
          </w:p>
        </w:tc>
      </w:tr>
      <w:tr>
        <w:trPr>
          <w:cantSplit/>
        </w:trPr>
        <w:tc>
          <w:tcPr>
            <w:tcW w:w="3118"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4" w:type="dxa"/>
          </w:tcPr>
          <w:p>
            <w:pPr>
              <w:pStyle w:val="nTable"/>
              <w:spacing w:after="40"/>
              <w:rPr>
                <w:sz w:val="19"/>
              </w:rPr>
            </w:pPr>
            <w:r>
              <w:rPr>
                <w:sz w:val="19"/>
              </w:rPr>
              <w:t>6 Jul 2007</w:t>
            </w:r>
          </w:p>
        </w:tc>
      </w:tr>
      <w:tr>
        <w:trPr>
          <w:cantSplit/>
        </w:trPr>
        <w:tc>
          <w:tcPr>
            <w:tcW w:w="3118"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4" w:type="dxa"/>
          </w:tcPr>
          <w:p>
            <w:pPr>
              <w:pStyle w:val="nTable"/>
              <w:spacing w:after="40"/>
              <w:rPr>
                <w:sz w:val="19"/>
              </w:rPr>
            </w:pPr>
            <w:r>
              <w:rPr>
                <w:snapToGrid w:val="0"/>
                <w:sz w:val="19"/>
              </w:rPr>
              <w:t>r. 1 and 2: 14 Aug 2007 (see r. 2(a));</w:t>
            </w:r>
            <w:r>
              <w:rPr>
                <w:snapToGrid w:val="0"/>
                <w:sz w:val="19"/>
              </w:rPr>
              <w:br/>
              <w:t>Regulations other than r. 1 and 2: 15 Aug 2007 (see r. 2(b))</w:t>
            </w:r>
          </w:p>
        </w:tc>
      </w:tr>
      <w:tr>
        <w:trPr>
          <w:cantSplit/>
        </w:trPr>
        <w:tc>
          <w:tcPr>
            <w:tcW w:w="3118"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4" w:type="dxa"/>
          </w:tcPr>
          <w:p>
            <w:pPr>
              <w:pStyle w:val="nTable"/>
              <w:spacing w:after="40"/>
              <w:rPr>
                <w:snapToGrid w:val="0"/>
                <w:sz w:val="19"/>
              </w:rPr>
            </w:pPr>
            <w:r>
              <w:rPr>
                <w:snapToGrid w:val="0"/>
                <w:sz w:val="19"/>
              </w:rPr>
              <w:t>r. 1 and 2: 4 Sep 2007 (see r. 2(a));</w:t>
            </w:r>
            <w:r>
              <w:rPr>
                <w:snapToGrid w:val="0"/>
                <w:sz w:val="19"/>
              </w:rPr>
              <w:br/>
              <w:t>Regulations other than r. 1 and 2: 5 Sep 2007 (see r. 2(b))</w:t>
            </w:r>
          </w:p>
        </w:tc>
      </w:tr>
      <w:tr>
        <w:trPr>
          <w:cantSplit/>
        </w:trPr>
        <w:tc>
          <w:tcPr>
            <w:tcW w:w="7088" w:type="dxa"/>
            <w:gridSpan w:val="3"/>
          </w:tcPr>
          <w:p>
            <w:pPr>
              <w:pStyle w:val="nTable"/>
              <w:spacing w:after="40"/>
              <w:rPr>
                <w:snapToGrid w:val="0"/>
                <w:sz w:val="19"/>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4" w:type="dxa"/>
          </w:tcPr>
          <w:p>
            <w:pPr>
              <w:pStyle w:val="nTable"/>
              <w:spacing w:after="40"/>
              <w:rPr>
                <w:snapToGrid w:val="0"/>
                <w:sz w:val="19"/>
              </w:rPr>
            </w:pPr>
            <w:r>
              <w:rPr>
                <w:snapToGrid w:val="0"/>
                <w:sz w:val="19"/>
              </w:rPr>
              <w:t>r. 1 and 2: 13 Nov 2007 (see r. 2(a));</w:t>
            </w:r>
            <w:r>
              <w:rPr>
                <w:snapToGrid w:val="0"/>
                <w:sz w:val="19"/>
              </w:rPr>
              <w:br/>
              <w:t>Regulations other than r. 1 and 2: 1 Jan 2008 (see r. 2(b))</w:t>
            </w:r>
          </w:p>
        </w:tc>
      </w:tr>
      <w:tr>
        <w:trPr>
          <w:cantSplit/>
        </w:trPr>
        <w:tc>
          <w:tcPr>
            <w:tcW w:w="3118"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4" w:type="dxa"/>
          </w:tcPr>
          <w:p>
            <w:pPr>
              <w:pStyle w:val="nTable"/>
              <w:spacing w:after="40"/>
              <w:rPr>
                <w:snapToGrid w:val="0"/>
                <w:sz w:val="19"/>
              </w:rPr>
            </w:pPr>
            <w:r>
              <w:rPr>
                <w:snapToGrid w:val="0"/>
                <w:sz w:val="19"/>
              </w:rPr>
              <w:t xml:space="preserve">r. 1 </w:t>
            </w:r>
            <w:r>
              <w:rPr>
                <w:sz w:val="19"/>
              </w:rPr>
              <w:t>and</w:t>
            </w:r>
            <w:r>
              <w:rPr>
                <w:snapToGrid w:val="0"/>
                <w:sz w:val="19"/>
              </w:rPr>
              <w:t xml:space="preserve"> 2: 21 Dec 2007 (see r. 2(a));</w:t>
            </w:r>
            <w:r>
              <w:rPr>
                <w:snapToGrid w:val="0"/>
                <w:sz w:val="19"/>
              </w:rPr>
              <w:br/>
              <w:t>Regulations other than r. 1 and 2: 22 Dec 2007 (see r. 2(b))</w:t>
            </w:r>
          </w:p>
        </w:tc>
      </w:tr>
      <w:tr>
        <w:trPr>
          <w:cantSplit/>
        </w:trPr>
        <w:tc>
          <w:tcPr>
            <w:tcW w:w="3118"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4" w:type="dxa"/>
          </w:tcPr>
          <w:p>
            <w:pPr>
              <w:pStyle w:val="nTable"/>
              <w:spacing w:after="40"/>
              <w:rPr>
                <w:snapToGrid w:val="0"/>
                <w:sz w:val="19"/>
              </w:rPr>
            </w:pPr>
            <w:r>
              <w:rPr>
                <w:snapToGrid w:val="0"/>
                <w:sz w:val="19"/>
              </w:rPr>
              <w:t xml:space="preserve">r. 1 </w:t>
            </w:r>
            <w:r>
              <w:rPr>
                <w:sz w:val="19"/>
              </w:rPr>
              <w:t>and</w:t>
            </w:r>
            <w:r>
              <w:rPr>
                <w:snapToGrid w:val="0"/>
                <w:sz w:val="19"/>
              </w:rPr>
              <w:t xml:space="preserve"> 2: 5 Feb 2008 (see r. 2(a));</w:t>
            </w:r>
            <w:r>
              <w:rPr>
                <w:snapToGrid w:val="0"/>
                <w:sz w:val="19"/>
              </w:rPr>
              <w:br/>
              <w:t>Regulations other than r. 1 and 2: 1 Mar 2008 (see r. 2(b))</w:t>
            </w:r>
          </w:p>
        </w:tc>
      </w:tr>
      <w:tr>
        <w:trPr>
          <w:cantSplit/>
        </w:trPr>
        <w:tc>
          <w:tcPr>
            <w:tcW w:w="3118"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4" w:type="dxa"/>
          </w:tcPr>
          <w:p>
            <w:pPr>
              <w:pStyle w:val="nTable"/>
              <w:spacing w:after="40"/>
              <w:rPr>
                <w:snapToGrid w:val="0"/>
                <w:sz w:val="19"/>
              </w:rPr>
            </w:pPr>
            <w:r>
              <w:rPr>
                <w:snapToGrid w:val="0"/>
                <w:sz w:val="19"/>
              </w:rPr>
              <w:t>r. 1 and 2: 27 May 2008 (see r. 2(a));</w:t>
            </w:r>
            <w:r>
              <w:rPr>
                <w:snapToGrid w:val="0"/>
                <w:sz w:val="19"/>
              </w:rPr>
              <w:br/>
              <w:t>Regulations other than r. 1 and 2: 28 May 2008 (see r. 2(b))</w:t>
            </w:r>
          </w:p>
        </w:tc>
      </w:tr>
      <w:tr>
        <w:trPr>
          <w:cantSplit/>
        </w:trPr>
        <w:tc>
          <w:tcPr>
            <w:tcW w:w="3118"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4" w:type="dxa"/>
          </w:tcPr>
          <w:p>
            <w:pPr>
              <w:pStyle w:val="nTable"/>
              <w:spacing w:after="40"/>
              <w:rPr>
                <w:snapToGrid w:val="0"/>
                <w:sz w:val="19"/>
              </w:rPr>
            </w:pPr>
            <w:r>
              <w:rPr>
                <w:snapToGrid w:val="0"/>
                <w:sz w:val="19"/>
              </w:rPr>
              <w:t>r. 1 and 2: 29 May 2008 (see r. 2(a));</w:t>
            </w:r>
            <w:r>
              <w:rPr>
                <w:snapToGrid w:val="0"/>
                <w:sz w:val="19"/>
              </w:rPr>
              <w:br/>
              <w:t>Regulations other than r. 1 and 2: 30 May 2008 (see r. 2(b))</w:t>
            </w:r>
          </w:p>
        </w:tc>
      </w:tr>
      <w:tr>
        <w:trPr>
          <w:cantSplit/>
        </w:trPr>
        <w:tc>
          <w:tcPr>
            <w:tcW w:w="3118"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4" w:type="dxa"/>
          </w:tcPr>
          <w:p>
            <w:pPr>
              <w:pStyle w:val="nTable"/>
              <w:spacing w:after="40"/>
              <w:rPr>
                <w:snapToGrid w:val="0"/>
                <w:sz w:val="19"/>
              </w:rPr>
            </w:pPr>
            <w:r>
              <w:rPr>
                <w:snapToGrid w:val="0"/>
                <w:sz w:val="19"/>
              </w:rPr>
              <w:t>r. 1 and 2: 21 Nov 2008 (see r. 2(a));</w:t>
            </w:r>
            <w:r>
              <w:rPr>
                <w:snapToGrid w:val="0"/>
                <w:sz w:val="19"/>
              </w:rPr>
              <w:br/>
              <w:t>Regulations other than r. 1 and 2: 1 Dec 2008 (see r. 2(b))</w:t>
            </w:r>
          </w:p>
        </w:tc>
      </w:tr>
      <w:tr>
        <w:trPr>
          <w:cantSplit/>
        </w:trPr>
        <w:tc>
          <w:tcPr>
            <w:tcW w:w="3118"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4" w:type="dxa"/>
          </w:tcPr>
          <w:p>
            <w:pPr>
              <w:pStyle w:val="nTable"/>
              <w:spacing w:after="40"/>
              <w:rPr>
                <w:snapToGrid w:val="0"/>
                <w:sz w:val="19"/>
              </w:rPr>
            </w:pPr>
            <w:r>
              <w:rPr>
                <w:sz w:val="19"/>
              </w:rPr>
              <w:t>r. 1 and 2: 19 Dec 2008 (see r. 2(a));</w:t>
            </w:r>
            <w:r>
              <w:rPr>
                <w:sz w:val="19"/>
              </w:rPr>
              <w:br/>
              <w:t>Regulations other than r. 1 and 2: 1 Jan 2009 (see r. 2(b))</w:t>
            </w:r>
          </w:p>
        </w:tc>
      </w:tr>
      <w:tr>
        <w:trPr>
          <w:cantSplit/>
        </w:trPr>
        <w:tc>
          <w:tcPr>
            <w:tcW w:w="3118"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4"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8"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4"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8" w:type="dxa"/>
          </w:tcPr>
          <w:p>
            <w:pPr>
              <w:pStyle w:val="nTable"/>
              <w:spacing w:after="40"/>
              <w:ind w:right="57"/>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4"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8"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4"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8"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4" w:type="dxa"/>
          </w:tcPr>
          <w:p>
            <w:pPr>
              <w:pStyle w:val="nTable"/>
              <w:spacing w:after="40"/>
              <w:rPr>
                <w:sz w:val="19"/>
              </w:rPr>
            </w:pPr>
            <w:r>
              <w:rPr>
                <w:snapToGrid w:val="0"/>
                <w:sz w:val="19"/>
              </w:rPr>
              <w:t>r. 1 and 2: 27 Mar 2009 (see r. 2(a));</w:t>
            </w:r>
            <w:r>
              <w:rPr>
                <w:snapToGrid w:val="0"/>
                <w:sz w:val="19"/>
              </w:rPr>
              <w:br/>
              <w:t>Regulations other than r. 1 and 2: 28 Mar 2009 (see r. 2(b))</w:t>
            </w:r>
          </w:p>
        </w:tc>
      </w:tr>
      <w:tr>
        <w:trPr>
          <w:cantSplit/>
        </w:trPr>
        <w:tc>
          <w:tcPr>
            <w:tcW w:w="3118"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4" w:type="dxa"/>
          </w:tcPr>
          <w:p>
            <w:pPr>
              <w:pStyle w:val="nTable"/>
              <w:spacing w:after="40"/>
              <w:rPr>
                <w:snapToGrid w:val="0"/>
                <w:sz w:val="19"/>
              </w:rPr>
            </w:pPr>
            <w:r>
              <w:rPr>
                <w:snapToGrid w:val="0"/>
                <w:sz w:val="19"/>
              </w:rPr>
              <w:t>r. 1 and 2: 9 Jun 2009 (see</w:t>
            </w:r>
            <w:del w:id="1015" w:author="Master Repository Process" w:date="2021-08-28T12:00:00Z">
              <w:r>
                <w:rPr>
                  <w:snapToGrid w:val="0"/>
                  <w:spacing w:val="-2"/>
                  <w:sz w:val="19"/>
                </w:rPr>
                <w:delText xml:space="preserve"> </w:delText>
              </w:r>
            </w:del>
            <w:ins w:id="1016" w:author="Master Repository Process" w:date="2021-08-28T12:00:00Z">
              <w:r>
                <w:rPr>
                  <w:snapToGrid w:val="0"/>
                  <w:sz w:val="19"/>
                </w:rPr>
                <w:t> </w:t>
              </w:r>
            </w:ins>
            <w:r>
              <w:rPr>
                <w:snapToGrid w:val="0"/>
                <w:sz w:val="19"/>
              </w:rPr>
              <w:t>r. 2(a));</w:t>
            </w:r>
            <w:r>
              <w:rPr>
                <w:snapToGrid w:val="0"/>
                <w:sz w:val="19"/>
              </w:rPr>
              <w:br/>
              <w:t>Regulations other than r. 1 and 2: 1 Jul 2009 (see r. 2(b))</w:t>
            </w:r>
          </w:p>
        </w:tc>
      </w:tr>
      <w:tr>
        <w:trPr>
          <w:cantSplit/>
        </w:trPr>
        <w:tc>
          <w:tcPr>
            <w:tcW w:w="3118"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4" w:type="dxa"/>
          </w:tcPr>
          <w:p>
            <w:pPr>
              <w:pStyle w:val="nTable"/>
              <w:spacing w:after="40"/>
              <w:rPr>
                <w:snapToGrid w:val="0"/>
                <w:sz w:val="19"/>
              </w:rPr>
            </w:pPr>
            <w:r>
              <w:rPr>
                <w:snapToGrid w:val="0"/>
                <w:sz w:val="19"/>
              </w:rPr>
              <w:t>r. 1 and 2: 3 Jul 2009 (see r. 2(a));</w:t>
            </w:r>
            <w:r>
              <w:rPr>
                <w:snapToGrid w:val="0"/>
                <w:sz w:val="19"/>
              </w:rPr>
              <w:br/>
              <w:t>Regulations other than r. 1 and 2: 4 Jul 2009 (see r. 2(b))</w:t>
            </w:r>
          </w:p>
        </w:tc>
      </w:tr>
      <w:tr>
        <w:trPr>
          <w:cantSplit/>
        </w:trPr>
        <w:tc>
          <w:tcPr>
            <w:tcW w:w="7088" w:type="dxa"/>
            <w:gridSpan w:val="3"/>
          </w:tcPr>
          <w:p>
            <w:pPr>
              <w:pStyle w:val="nTable"/>
              <w:spacing w:after="40"/>
              <w:rPr>
                <w:snapToGrid w:val="0"/>
                <w:spacing w:val="-2"/>
                <w:sz w:val="19"/>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8"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4" w:type="dxa"/>
          </w:tcPr>
          <w:p>
            <w:pPr>
              <w:pStyle w:val="nTable"/>
              <w:spacing w:after="40"/>
              <w:rPr>
                <w:snapToGrid w:val="0"/>
                <w:sz w:val="19"/>
              </w:rPr>
            </w:pPr>
            <w:r>
              <w:rPr>
                <w:snapToGrid w:val="0"/>
                <w:sz w:val="19"/>
              </w:rPr>
              <w:t>r. 1 and 2: 18 Aug 2009 (see r. 2(a));</w:t>
            </w:r>
            <w:r>
              <w:rPr>
                <w:snapToGrid w:val="0"/>
                <w:sz w:val="19"/>
              </w:rPr>
              <w:br/>
              <w:t>Regulations other than r. 1 and 2: 19 Aug 2009 (see r. 2(b))</w:t>
            </w:r>
          </w:p>
        </w:tc>
      </w:tr>
      <w:tr>
        <w:trPr>
          <w:cantSplit/>
        </w:trPr>
        <w:tc>
          <w:tcPr>
            <w:tcW w:w="3118"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4" w:type="dxa"/>
          </w:tcPr>
          <w:p>
            <w:pPr>
              <w:pStyle w:val="nTable"/>
              <w:spacing w:after="40"/>
              <w:rPr>
                <w:snapToGrid w:val="0"/>
                <w:sz w:val="19"/>
              </w:rPr>
            </w:pPr>
            <w:r>
              <w:rPr>
                <w:snapToGrid w:val="0"/>
                <w:sz w:val="19"/>
              </w:rPr>
              <w:t>r. 1 and 2: 10 Sep 2009 (see r. 2(a));</w:t>
            </w:r>
            <w:r>
              <w:rPr>
                <w:snapToGrid w:val="0"/>
                <w:sz w:val="19"/>
              </w:rPr>
              <w:br/>
              <w:t>Regulations other than r. 1 and 2: 11 Sep 2009 (see r. 2(b))</w:t>
            </w:r>
          </w:p>
        </w:tc>
      </w:tr>
      <w:tr>
        <w:trPr>
          <w:cantSplit/>
        </w:trPr>
        <w:tc>
          <w:tcPr>
            <w:tcW w:w="3118"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4" w:type="dxa"/>
          </w:tcPr>
          <w:p>
            <w:pPr>
              <w:pStyle w:val="nTable"/>
              <w:spacing w:after="40"/>
              <w:rPr>
                <w:snapToGrid w:val="0"/>
                <w:sz w:val="19"/>
              </w:rPr>
            </w:pPr>
            <w:r>
              <w:rPr>
                <w:snapToGrid w:val="0"/>
                <w:sz w:val="19"/>
              </w:rPr>
              <w:t>r. 1 and 2: 29 Sep 2009 (see r. 2(a));</w:t>
            </w:r>
            <w:r>
              <w:rPr>
                <w:snapToGrid w:val="0"/>
                <w:sz w:val="19"/>
              </w:rPr>
              <w:br/>
              <w:t>Regulations other than r. 1 and 2: 15 Oct 2009 (see r. 2(b))</w:t>
            </w:r>
          </w:p>
        </w:tc>
      </w:tr>
      <w:tr>
        <w:trPr>
          <w:cantSplit/>
        </w:trPr>
        <w:tc>
          <w:tcPr>
            <w:tcW w:w="3118"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4" w:type="dxa"/>
          </w:tcPr>
          <w:p>
            <w:pPr>
              <w:pStyle w:val="nTable"/>
              <w:spacing w:after="40"/>
              <w:rPr>
                <w:snapToGrid w:val="0"/>
                <w:sz w:val="19"/>
              </w:rPr>
            </w:pPr>
            <w:r>
              <w:rPr>
                <w:snapToGrid w:val="0"/>
                <w:sz w:val="19"/>
              </w:rPr>
              <w:t>r. 1 and 2: 13 Oct 2009 (see r. 2(a));</w:t>
            </w:r>
            <w:r>
              <w:rPr>
                <w:snapToGrid w:val="0"/>
                <w:sz w:val="19"/>
              </w:rPr>
              <w:br/>
              <w:t>Regulations other than r. 1 and 2: 14 Oct 2009 (see r. 2(b))</w:t>
            </w:r>
          </w:p>
        </w:tc>
      </w:tr>
      <w:tr>
        <w:trPr>
          <w:cantSplit/>
        </w:trPr>
        <w:tc>
          <w:tcPr>
            <w:tcW w:w="3118"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4" w:type="dxa"/>
          </w:tcPr>
          <w:p>
            <w:pPr>
              <w:pStyle w:val="nTable"/>
              <w:spacing w:after="40"/>
              <w:rPr>
                <w:snapToGrid w:val="0"/>
                <w:sz w:val="19"/>
              </w:rPr>
            </w:pPr>
            <w:r>
              <w:rPr>
                <w:snapToGrid w:val="0"/>
                <w:sz w:val="19"/>
              </w:rPr>
              <w:t>r. 1 and 2: 5 Nov 2009 (see r. 2(a));</w:t>
            </w:r>
            <w:r>
              <w:rPr>
                <w:snapToGrid w:val="0"/>
                <w:sz w:val="19"/>
              </w:rPr>
              <w:br/>
              <w:t>Regulations other than r. 1 and 2: 6 Nov 2009 (see r. 2(b))</w:t>
            </w:r>
          </w:p>
        </w:tc>
      </w:tr>
      <w:tr>
        <w:trPr>
          <w:cantSplit/>
        </w:trPr>
        <w:tc>
          <w:tcPr>
            <w:tcW w:w="3118"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4" w:type="dxa"/>
          </w:tcPr>
          <w:p>
            <w:pPr>
              <w:pStyle w:val="nTable"/>
              <w:spacing w:after="40"/>
              <w:rPr>
                <w:snapToGrid w:val="0"/>
                <w:sz w:val="19"/>
              </w:rPr>
            </w:pPr>
            <w:r>
              <w:rPr>
                <w:snapToGrid w:val="0"/>
                <w:sz w:val="19"/>
              </w:rPr>
              <w:t>r. 1 and 2: 6 Nov 2009 (see r. 2(a));</w:t>
            </w:r>
            <w:r>
              <w:rPr>
                <w:snapToGrid w:val="0"/>
                <w:sz w:val="19"/>
              </w:rPr>
              <w:br/>
              <w:t>Regulations other than r. 1 and 2: 7 Nov 2009 (see r. 2(b))</w:t>
            </w:r>
          </w:p>
        </w:tc>
      </w:tr>
      <w:tr>
        <w:trPr>
          <w:cantSplit/>
        </w:trPr>
        <w:tc>
          <w:tcPr>
            <w:tcW w:w="3118"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4" w:type="dxa"/>
          </w:tcPr>
          <w:p>
            <w:pPr>
              <w:pStyle w:val="nTable"/>
              <w:spacing w:after="40"/>
              <w:rPr>
                <w:snapToGrid w:val="0"/>
                <w:sz w:val="19"/>
              </w:rPr>
            </w:pPr>
            <w:r>
              <w:rPr>
                <w:snapToGrid w:val="0"/>
                <w:sz w:val="19"/>
              </w:rPr>
              <w:t>r. 1 and 2: 8 Dec 2009 (see r. 2(a));</w:t>
            </w:r>
            <w:r>
              <w:rPr>
                <w:snapToGrid w:val="0"/>
                <w:sz w:val="19"/>
              </w:rPr>
              <w:br/>
              <w:t>Regulations other than r. 1 and 2: 16 Dec 2009 (see r. 2(b))</w:t>
            </w:r>
          </w:p>
        </w:tc>
      </w:tr>
      <w:tr>
        <w:trPr>
          <w:cantSplit/>
        </w:trPr>
        <w:tc>
          <w:tcPr>
            <w:tcW w:w="3118"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4" w:type="dxa"/>
          </w:tcPr>
          <w:p>
            <w:pPr>
              <w:pStyle w:val="nTable"/>
              <w:spacing w:after="40"/>
              <w:rPr>
                <w:snapToGrid w:val="0"/>
                <w:sz w:val="19"/>
              </w:rPr>
            </w:pPr>
            <w:r>
              <w:rPr>
                <w:snapToGrid w:val="0"/>
                <w:sz w:val="19"/>
              </w:rPr>
              <w:t>r. 1 and 2: 12 Feb 2010 (see r. 2(a));</w:t>
            </w:r>
            <w:r>
              <w:rPr>
                <w:snapToGrid w:val="0"/>
                <w:sz w:val="19"/>
              </w:rPr>
              <w:br/>
              <w:t>Regulations other than r. 1 and 2: 2 Mar 2010 (see r. 2(b))</w:t>
            </w:r>
          </w:p>
        </w:tc>
      </w:tr>
      <w:tr>
        <w:trPr>
          <w:cantSplit/>
        </w:trPr>
        <w:tc>
          <w:tcPr>
            <w:tcW w:w="3118"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4" w:type="dxa"/>
          </w:tcPr>
          <w:p>
            <w:pPr>
              <w:pStyle w:val="nTable"/>
              <w:spacing w:after="40"/>
              <w:rPr>
                <w:snapToGrid w:val="0"/>
                <w:sz w:val="19"/>
              </w:rPr>
            </w:pPr>
            <w:r>
              <w:rPr>
                <w:snapToGrid w:val="0"/>
                <w:sz w:val="19"/>
              </w:rPr>
              <w:t>r. 1 and 2: 12 Feb 2010 (see r. 2(a));</w:t>
            </w:r>
            <w:r>
              <w:rPr>
                <w:snapToGrid w:val="0"/>
                <w:sz w:val="19"/>
              </w:rPr>
              <w:br/>
              <w:t>Regulations other than r. 1 and 2: 13 Feb 2010 (see r. 2(b))</w:t>
            </w:r>
          </w:p>
        </w:tc>
      </w:tr>
      <w:tr>
        <w:trPr>
          <w:cantSplit/>
        </w:trPr>
        <w:tc>
          <w:tcPr>
            <w:tcW w:w="7088" w:type="dxa"/>
            <w:gridSpan w:val="3"/>
          </w:tcPr>
          <w:p>
            <w:pPr>
              <w:pStyle w:val="nTable"/>
              <w:spacing w:after="40"/>
              <w:rPr>
                <w:snapToGrid w:val="0"/>
                <w:spacing w:val="-2"/>
                <w:sz w:val="19"/>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4" w:type="dxa"/>
          </w:tcPr>
          <w:p>
            <w:pPr>
              <w:pStyle w:val="nTable"/>
              <w:spacing w:after="40"/>
              <w:rPr>
                <w:snapToGrid w:val="0"/>
                <w:sz w:val="19"/>
              </w:rPr>
            </w:pPr>
            <w:r>
              <w:rPr>
                <w:snapToGrid w:val="0"/>
                <w:sz w:val="19"/>
              </w:rPr>
              <w:t>r. 1 and 2: 28 May 2010 (see r. 2(a));</w:t>
            </w:r>
            <w:r>
              <w:rPr>
                <w:snapToGrid w:val="0"/>
                <w:sz w:val="19"/>
              </w:rPr>
              <w:br/>
              <w:t>Regulations other than r. 1 and 2: 29 May 2010 (see r. 2(b))</w:t>
            </w:r>
          </w:p>
        </w:tc>
      </w:tr>
      <w:tr>
        <w:trPr>
          <w:cantSplit/>
        </w:trPr>
        <w:tc>
          <w:tcPr>
            <w:tcW w:w="3118"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4" w:type="dxa"/>
          </w:tcPr>
          <w:p>
            <w:pPr>
              <w:pStyle w:val="nTable"/>
              <w:spacing w:after="40"/>
              <w:rPr>
                <w:snapToGrid w:val="0"/>
                <w:sz w:val="19"/>
              </w:rPr>
            </w:pPr>
            <w:r>
              <w:rPr>
                <w:snapToGrid w:val="0"/>
                <w:sz w:val="19"/>
              </w:rPr>
              <w:t>r. 1 and 2: 23 Jul 2010 (see r. 2(a));</w:t>
            </w:r>
            <w:r>
              <w:rPr>
                <w:snapToGrid w:val="0"/>
                <w:sz w:val="19"/>
              </w:rPr>
              <w:br/>
              <w:t>Regulations other than r. 1 and 2: 24 Jul 2010 (see r. 2(b))</w:t>
            </w:r>
          </w:p>
        </w:tc>
      </w:tr>
      <w:tr>
        <w:trPr>
          <w:cantSplit/>
        </w:trPr>
        <w:tc>
          <w:tcPr>
            <w:tcW w:w="3118"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4" w:type="dxa"/>
          </w:tcPr>
          <w:p>
            <w:pPr>
              <w:pStyle w:val="nTable"/>
              <w:spacing w:after="40"/>
              <w:rPr>
                <w:snapToGrid w:val="0"/>
                <w:sz w:val="19"/>
              </w:rPr>
            </w:pPr>
            <w:r>
              <w:rPr>
                <w:snapToGrid w:val="0"/>
                <w:sz w:val="19"/>
              </w:rPr>
              <w:t>r. 1 and 2: 27 Aug 2010 (see r. 2(a));</w:t>
            </w:r>
            <w:r>
              <w:rPr>
                <w:snapToGrid w:val="0"/>
                <w:sz w:val="19"/>
              </w:rPr>
              <w:br/>
              <w:t>Regulations other than r. 1 and 2: 28 Aug 2010 (see r. 2(b))</w:t>
            </w:r>
          </w:p>
        </w:tc>
      </w:tr>
      <w:tr>
        <w:trPr>
          <w:cantSplit/>
        </w:trPr>
        <w:tc>
          <w:tcPr>
            <w:tcW w:w="3118"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4" w:type="dxa"/>
          </w:tcPr>
          <w:p>
            <w:pPr>
              <w:pStyle w:val="nTable"/>
              <w:spacing w:after="40"/>
              <w:rPr>
                <w:snapToGrid w:val="0"/>
                <w:sz w:val="19"/>
              </w:rPr>
            </w:pPr>
            <w:r>
              <w:rPr>
                <w:snapToGrid w:val="0"/>
                <w:sz w:val="19"/>
              </w:rPr>
              <w:t>r. 1 and 2: 10 Sep 2010 (see r. 2(a));</w:t>
            </w:r>
            <w:r>
              <w:rPr>
                <w:snapToGrid w:val="0"/>
                <w:sz w:val="19"/>
              </w:rPr>
              <w:br/>
              <w:t>Regulations other than r. 1 and 2: 11 Sep 2010 (see r. 2(b))</w:t>
            </w:r>
          </w:p>
        </w:tc>
      </w:tr>
      <w:tr>
        <w:trPr>
          <w:cantSplit/>
        </w:trPr>
        <w:tc>
          <w:tcPr>
            <w:tcW w:w="3118"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4" w:type="dxa"/>
          </w:tcPr>
          <w:p>
            <w:pPr>
              <w:pStyle w:val="nTable"/>
              <w:spacing w:after="40"/>
              <w:rPr>
                <w:snapToGrid w:val="0"/>
                <w:sz w:val="19"/>
              </w:rPr>
            </w:pPr>
            <w:r>
              <w:rPr>
                <w:snapToGrid w:val="0"/>
                <w:sz w:val="19"/>
              </w:rPr>
              <w:t>r. 1 and 2: 8 Oct 2010 (see r. 2(a));</w:t>
            </w:r>
            <w:r>
              <w:rPr>
                <w:snapToGrid w:val="0"/>
                <w:sz w:val="19"/>
              </w:rPr>
              <w:br/>
              <w:t>Regulations other than r. 1 and 2: 9 Oct 2010 (see r. 2(b))</w:t>
            </w:r>
          </w:p>
        </w:tc>
      </w:tr>
      <w:tr>
        <w:trPr>
          <w:cantSplit/>
        </w:trPr>
        <w:tc>
          <w:tcPr>
            <w:tcW w:w="3118"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4" w:type="dxa"/>
          </w:tcPr>
          <w:p>
            <w:pPr>
              <w:pStyle w:val="nTable"/>
              <w:spacing w:after="40"/>
              <w:rPr>
                <w:snapToGrid w:val="0"/>
                <w:sz w:val="19"/>
              </w:rPr>
            </w:pPr>
            <w:r>
              <w:rPr>
                <w:snapToGrid w:val="0"/>
                <w:sz w:val="19"/>
              </w:rPr>
              <w:t>r. 1 and 2: 2 Dec 2010 (see r. 2(a));</w:t>
            </w:r>
            <w:r>
              <w:rPr>
                <w:snapToGrid w:val="0"/>
                <w:sz w:val="19"/>
              </w:rPr>
              <w:br/>
              <w:t>Regulations other than r. 1 and 2: 3 Dec 2010 (see r. 2(b))</w:t>
            </w:r>
          </w:p>
        </w:tc>
      </w:tr>
      <w:tr>
        <w:trPr>
          <w:cantSplit/>
        </w:trPr>
        <w:tc>
          <w:tcPr>
            <w:tcW w:w="3118"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4"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8"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4"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8"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4"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4" w:type="dxa"/>
            <w:shd w:val="clear" w:color="auto" w:fill="auto"/>
          </w:tcPr>
          <w:p>
            <w:pPr>
              <w:pStyle w:val="nTable"/>
              <w:spacing w:after="40"/>
              <w:rPr>
                <w:snapToGrid w:val="0"/>
                <w:sz w:val="19"/>
              </w:rPr>
            </w:pPr>
            <w:r>
              <w:rPr>
                <w:snapToGrid w:val="0"/>
                <w:sz w:val="19"/>
              </w:rPr>
              <w:t>r. 1 and 2: 29 Mar 2011 (see r. 2(a));</w:t>
            </w:r>
            <w:r>
              <w:rPr>
                <w:snapToGrid w:val="0"/>
                <w:sz w:val="19"/>
              </w:rPr>
              <w:br/>
              <w:t>Regulations other than r. 1 and 2: 30 Mar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4" w:type="dxa"/>
            <w:shd w:val="clear" w:color="auto" w:fill="auto"/>
          </w:tcPr>
          <w:p>
            <w:pPr>
              <w:pStyle w:val="nTable"/>
              <w:spacing w:after="40"/>
              <w:rPr>
                <w:snapToGrid w:val="0"/>
                <w:sz w:val="19"/>
              </w:rPr>
            </w:pPr>
            <w:r>
              <w:rPr>
                <w:snapToGrid w:val="0"/>
                <w:sz w:val="19"/>
              </w:rPr>
              <w:t>r. 1 and 2: 6 May 2011 (see r. 2(a));</w:t>
            </w:r>
            <w:r>
              <w:rPr>
                <w:snapToGrid w:val="0"/>
                <w:sz w:val="19"/>
              </w:rPr>
              <w:br/>
              <w:t>Regulations other than r. 1 and 2: 1 Jul 2011 (see r. 2(b))</w:t>
            </w:r>
          </w:p>
        </w:tc>
      </w:tr>
      <w:tr>
        <w:trPr>
          <w:cantSplit/>
        </w:trPr>
        <w:tc>
          <w:tcPr>
            <w:tcW w:w="3118" w:type="dxa"/>
            <w:shd w:val="clear" w:color="auto" w:fill="auto"/>
          </w:tcPr>
          <w:p>
            <w:pPr>
              <w:pStyle w:val="nTable"/>
              <w:spacing w:after="40"/>
              <w:ind w:right="57"/>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4" w:type="dxa"/>
            <w:shd w:val="clear" w:color="auto" w:fill="auto"/>
          </w:tcPr>
          <w:p>
            <w:pPr>
              <w:pStyle w:val="nTable"/>
              <w:spacing w:after="40"/>
              <w:rPr>
                <w:snapToGrid w:val="0"/>
                <w:sz w:val="19"/>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4"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4"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4" w:type="dxa"/>
            <w:shd w:val="clear" w:color="auto" w:fill="auto"/>
          </w:tcPr>
          <w:p>
            <w:pPr>
              <w:pStyle w:val="nTable"/>
              <w:spacing w:after="40"/>
              <w:rPr>
                <w:snapToGrid w:val="0"/>
                <w:sz w:val="19"/>
              </w:rPr>
            </w:pPr>
            <w:r>
              <w:rPr>
                <w:snapToGrid w:val="0"/>
                <w:sz w:val="19"/>
              </w:rPr>
              <w:t>r. 1 and 2: 24 Aug 2011 (see r. 2(a));</w:t>
            </w:r>
            <w:r>
              <w:rPr>
                <w:snapToGrid w:val="0"/>
                <w:sz w:val="19"/>
              </w:rPr>
              <w:br/>
              <w:t>Regulations other than r. 1 and 2: 25 Aug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4" w:type="dxa"/>
            <w:shd w:val="clear" w:color="auto" w:fill="auto"/>
          </w:tcPr>
          <w:p>
            <w:pPr>
              <w:pStyle w:val="nTable"/>
              <w:spacing w:after="40"/>
              <w:rPr>
                <w:snapToGrid w:val="0"/>
                <w:sz w:val="19"/>
              </w:rPr>
            </w:pPr>
            <w:r>
              <w:rPr>
                <w:snapToGrid w:val="0"/>
                <w:sz w:val="19"/>
              </w:rPr>
              <w:t>r. 1 and 2: 9 Sep 2011 (see r. 2(a));</w:t>
            </w:r>
            <w:r>
              <w:rPr>
                <w:snapToGrid w:val="0"/>
                <w:sz w:val="19"/>
              </w:rPr>
              <w:br/>
              <w:t>Regulations other than r. 1 and 2: 10 Sep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4" w:type="dxa"/>
            <w:shd w:val="clear" w:color="auto" w:fill="auto"/>
          </w:tcPr>
          <w:p>
            <w:pPr>
              <w:pStyle w:val="nTable"/>
              <w:spacing w:after="40"/>
              <w:rPr>
                <w:snapToGrid w:val="0"/>
                <w:sz w:val="19"/>
              </w:rPr>
            </w:pPr>
            <w:r>
              <w:rPr>
                <w:snapToGrid w:val="0"/>
                <w:sz w:val="19"/>
              </w:rPr>
              <w:t>r. 1 and 2: 2 Nov 2011 (see r. 2(a));</w:t>
            </w:r>
            <w:r>
              <w:rPr>
                <w:snapToGrid w:val="0"/>
                <w:sz w:val="19"/>
              </w:rPr>
              <w:br/>
              <w:t>Regulations other than r. 1, 2 and 9: 3 Nov 2011 (see r. 2(c));</w:t>
            </w:r>
            <w:r>
              <w:rPr>
                <w:snapToGrid w:val="0"/>
                <w:sz w:val="19"/>
              </w:rPr>
              <w:br/>
              <w:t>r. 9: 15 Nov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4" w:type="dxa"/>
            <w:shd w:val="clear" w:color="auto" w:fill="auto"/>
          </w:tcPr>
          <w:p>
            <w:pPr>
              <w:pStyle w:val="nTable"/>
              <w:spacing w:after="40"/>
              <w:rPr>
                <w:snapToGrid w:val="0"/>
                <w:sz w:val="19"/>
              </w:rPr>
            </w:pPr>
            <w:r>
              <w:rPr>
                <w:snapToGrid w:val="0"/>
                <w:sz w:val="19"/>
              </w:rPr>
              <w:t>r. 1 and 2: 18 Nov 2011 (see r. 2(a));</w:t>
            </w:r>
            <w:r>
              <w:rPr>
                <w:snapToGrid w:val="0"/>
                <w:sz w:val="19"/>
              </w:rPr>
              <w:br/>
              <w:t>Regulations other than r. 1 and 2: 19 Nov 2011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4" w:type="dxa"/>
            <w:shd w:val="clear" w:color="auto" w:fill="auto"/>
          </w:tcPr>
          <w:p>
            <w:pPr>
              <w:pStyle w:val="nTable"/>
              <w:spacing w:after="40"/>
              <w:rPr>
                <w:snapToGrid w:val="0"/>
                <w:sz w:val="19"/>
              </w:rPr>
            </w:pPr>
            <w:r>
              <w:rPr>
                <w:snapToGrid w:val="0"/>
                <w:sz w:val="19"/>
              </w:rPr>
              <w:t>r. 1 and 2: 22 Nov 2011 (see r. 2(a));</w:t>
            </w:r>
            <w:r>
              <w:rPr>
                <w:snapToGrid w:val="0"/>
                <w:sz w:val="19"/>
              </w:rPr>
              <w:br/>
              <w:t>Regulations other than r. 1 and 2: 23 Nov 2011 (see r. 2(b))</w:t>
            </w:r>
          </w:p>
        </w:tc>
      </w:tr>
      <w:tr>
        <w:trPr>
          <w:cantSplit/>
        </w:trPr>
        <w:tc>
          <w:tcPr>
            <w:tcW w:w="3118" w:type="dxa"/>
            <w:shd w:val="clear" w:color="auto" w:fill="auto"/>
          </w:tcPr>
          <w:p>
            <w:pPr>
              <w:pStyle w:val="nTable"/>
              <w:spacing w:after="40"/>
              <w:ind w:right="57"/>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4" w:type="dxa"/>
            <w:shd w:val="clear" w:color="auto" w:fill="auto"/>
          </w:tcPr>
          <w:p>
            <w:pPr>
              <w:pStyle w:val="nTable"/>
              <w:spacing w:after="40"/>
              <w:rPr>
                <w:snapToGrid w:val="0"/>
                <w:sz w:val="19"/>
              </w:rPr>
            </w:pPr>
            <w:r>
              <w:rPr>
                <w:snapToGrid w:val="0"/>
                <w:sz w:val="19"/>
              </w:rPr>
              <w:t>r. 1 and 2: 20 Dec 2011 (see r. 2(a));</w:t>
            </w:r>
            <w:r>
              <w:rPr>
                <w:snapToGrid w:val="0"/>
                <w:sz w:val="19"/>
              </w:rPr>
              <w:br/>
              <w:t>Regulations other than r. 1, 2, 4 and 6: 21 Dec 2011 (see r. 2(c));</w:t>
            </w:r>
            <w:r>
              <w:rPr>
                <w:snapToGrid w:val="0"/>
                <w:sz w:val="19"/>
              </w:rPr>
              <w:br/>
              <w:t>r. 4 and 6: 8 Jan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4" w:type="dxa"/>
            <w:shd w:val="clear" w:color="auto" w:fill="auto"/>
          </w:tcPr>
          <w:p>
            <w:pPr>
              <w:pStyle w:val="nTable"/>
              <w:spacing w:after="40"/>
              <w:rPr>
                <w:snapToGrid w:val="0"/>
                <w:sz w:val="19"/>
              </w:rPr>
            </w:pPr>
            <w:r>
              <w:rPr>
                <w:snapToGrid w:val="0"/>
                <w:sz w:val="19"/>
              </w:rPr>
              <w:t>r. 1 and 2: 24 Feb 2012 (see r. 2(a));</w:t>
            </w:r>
            <w:r>
              <w:rPr>
                <w:snapToGrid w:val="0"/>
                <w:sz w:val="19"/>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4" w:type="dxa"/>
            <w:shd w:val="clear" w:color="auto" w:fill="auto"/>
          </w:tcPr>
          <w:p>
            <w:pPr>
              <w:pStyle w:val="nTable"/>
              <w:spacing w:after="40"/>
              <w:rPr>
                <w:snapToGrid w:val="0"/>
                <w:sz w:val="19"/>
              </w:rPr>
            </w:pPr>
            <w:r>
              <w:rPr>
                <w:snapToGrid w:val="0"/>
                <w:sz w:val="19"/>
              </w:rPr>
              <w:t>r. 1 and 2: 22 Jun 2012 (see r. 2(a));</w:t>
            </w:r>
            <w:r>
              <w:rPr>
                <w:snapToGrid w:val="0"/>
                <w:sz w:val="19"/>
              </w:rPr>
              <w:br/>
              <w:t>Regulations other than r. 1 and 2: 23 Jun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4" w:type="dxa"/>
            <w:shd w:val="clear" w:color="auto" w:fill="auto"/>
          </w:tcPr>
          <w:p>
            <w:pPr>
              <w:pStyle w:val="nTable"/>
              <w:spacing w:after="40"/>
              <w:rPr>
                <w:snapToGrid w:val="0"/>
                <w:sz w:val="19"/>
              </w:rPr>
            </w:pPr>
            <w:r>
              <w:rPr>
                <w:snapToGrid w:val="0"/>
                <w:sz w:val="19"/>
              </w:rPr>
              <w:t>r. 1 and 2: 14 Sep 2012 (see r. 2(a));</w:t>
            </w:r>
            <w:r>
              <w:rPr>
                <w:snapToGrid w:val="0"/>
                <w:sz w:val="19"/>
              </w:rPr>
              <w:br/>
              <w:t>Regulations other than r. 1 and 2: 15 Sep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4" w:type="dxa"/>
            <w:shd w:val="clear" w:color="auto" w:fill="auto"/>
          </w:tcPr>
          <w:p>
            <w:pPr>
              <w:pStyle w:val="nTable"/>
              <w:spacing w:after="40"/>
              <w:rPr>
                <w:snapToGrid w:val="0"/>
                <w:sz w:val="19"/>
              </w:rPr>
            </w:pPr>
            <w:r>
              <w:rPr>
                <w:snapToGrid w:val="0"/>
                <w:sz w:val="19"/>
              </w:rPr>
              <w:t>r. 1 and 2: 25 Sep 2012 (see r. 2(a));</w:t>
            </w:r>
            <w:r>
              <w:rPr>
                <w:snapToGrid w:val="0"/>
                <w:sz w:val="19"/>
              </w:rPr>
              <w:br/>
              <w:t>Regulations other than r. 1 and 2: 26 Sep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10) 2012</w:t>
            </w:r>
          </w:p>
        </w:tc>
        <w:tc>
          <w:tcPr>
            <w:tcW w:w="1276" w:type="dxa"/>
            <w:shd w:val="clear" w:color="auto" w:fill="auto"/>
          </w:tcPr>
          <w:p>
            <w:pPr>
              <w:pStyle w:val="nTable"/>
              <w:spacing w:after="40"/>
              <w:rPr>
                <w:sz w:val="19"/>
              </w:rPr>
            </w:pPr>
            <w:r>
              <w:rPr>
                <w:sz w:val="19"/>
              </w:rPr>
              <w:t>17 Oct 2012 p. 4979-80</w:t>
            </w:r>
          </w:p>
        </w:tc>
        <w:tc>
          <w:tcPr>
            <w:tcW w:w="2694" w:type="dxa"/>
            <w:shd w:val="clear" w:color="auto" w:fill="auto"/>
          </w:tcPr>
          <w:p>
            <w:pPr>
              <w:pStyle w:val="nTable"/>
              <w:spacing w:after="40"/>
              <w:rPr>
                <w:snapToGrid w:val="0"/>
                <w:sz w:val="19"/>
              </w:rPr>
            </w:pPr>
            <w:r>
              <w:rPr>
                <w:snapToGrid w:val="0"/>
                <w:sz w:val="19"/>
              </w:rPr>
              <w:t>r. 1 and 2: 17 Oct 2012 (see r. 2(a));</w:t>
            </w:r>
            <w:r>
              <w:rPr>
                <w:snapToGrid w:val="0"/>
                <w:sz w:val="19"/>
              </w:rPr>
              <w:br/>
              <w:t>Regulations other than r. 1 and 2: 18 Oct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8) 2012</w:t>
            </w:r>
          </w:p>
        </w:tc>
        <w:tc>
          <w:tcPr>
            <w:tcW w:w="1276" w:type="dxa"/>
            <w:shd w:val="clear" w:color="auto" w:fill="auto"/>
          </w:tcPr>
          <w:p>
            <w:pPr>
              <w:pStyle w:val="nTable"/>
              <w:spacing w:after="40"/>
              <w:rPr>
                <w:sz w:val="19"/>
              </w:rPr>
            </w:pPr>
            <w:r>
              <w:rPr>
                <w:sz w:val="19"/>
              </w:rPr>
              <w:t>19 Oct 2012 p. 5017-20</w:t>
            </w:r>
          </w:p>
        </w:tc>
        <w:tc>
          <w:tcPr>
            <w:tcW w:w="2694" w:type="dxa"/>
            <w:shd w:val="clear" w:color="auto" w:fill="auto"/>
          </w:tcPr>
          <w:p>
            <w:pPr>
              <w:pStyle w:val="nTable"/>
              <w:spacing w:after="40"/>
              <w:rPr>
                <w:snapToGrid w:val="0"/>
                <w:sz w:val="19"/>
              </w:rPr>
            </w:pPr>
            <w:r>
              <w:rPr>
                <w:snapToGrid w:val="0"/>
                <w:sz w:val="19"/>
              </w:rPr>
              <w:t>r. 1 and 2: 19 Oct 2012 (see r. 2(a));</w:t>
            </w:r>
            <w:r>
              <w:rPr>
                <w:snapToGrid w:val="0"/>
                <w:sz w:val="19"/>
              </w:rPr>
              <w:br/>
              <w:t>Regulations other than r. 1 and 2: 20 Oct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11) 2012</w:t>
            </w:r>
          </w:p>
        </w:tc>
        <w:tc>
          <w:tcPr>
            <w:tcW w:w="1276" w:type="dxa"/>
            <w:shd w:val="clear" w:color="auto" w:fill="auto"/>
          </w:tcPr>
          <w:p>
            <w:pPr>
              <w:pStyle w:val="nTable"/>
              <w:spacing w:after="40"/>
              <w:rPr>
                <w:sz w:val="19"/>
              </w:rPr>
            </w:pPr>
            <w:r>
              <w:rPr>
                <w:sz w:val="19"/>
              </w:rPr>
              <w:t>2 Nov 2012 p. 5277-8</w:t>
            </w:r>
          </w:p>
        </w:tc>
        <w:tc>
          <w:tcPr>
            <w:tcW w:w="2694" w:type="dxa"/>
            <w:shd w:val="clear" w:color="auto" w:fill="auto"/>
          </w:tcPr>
          <w:p>
            <w:pPr>
              <w:pStyle w:val="nTable"/>
              <w:spacing w:after="40"/>
              <w:rPr>
                <w:snapToGrid w:val="0"/>
                <w:sz w:val="19"/>
              </w:rPr>
            </w:pPr>
            <w:r>
              <w:rPr>
                <w:snapToGrid w:val="0"/>
                <w:sz w:val="19"/>
              </w:rPr>
              <w:t>r. 1 and 2: 2 Nov 2012 (see r. 2(a));</w:t>
            </w:r>
            <w:r>
              <w:rPr>
                <w:snapToGrid w:val="0"/>
                <w:sz w:val="19"/>
              </w:rPr>
              <w:br/>
              <w:t>Regulations other than r. 1 and 2: 3 Nov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6) 2012</w:t>
            </w:r>
          </w:p>
        </w:tc>
        <w:tc>
          <w:tcPr>
            <w:tcW w:w="1276" w:type="dxa"/>
            <w:shd w:val="clear" w:color="auto" w:fill="auto"/>
          </w:tcPr>
          <w:p>
            <w:pPr>
              <w:pStyle w:val="nTable"/>
              <w:spacing w:after="40"/>
              <w:rPr>
                <w:sz w:val="19"/>
              </w:rPr>
            </w:pPr>
            <w:r>
              <w:rPr>
                <w:sz w:val="19"/>
              </w:rPr>
              <w:t>4 Dec 2012 p. 5919</w:t>
            </w:r>
            <w:r>
              <w:rPr>
                <w:sz w:val="19"/>
              </w:rPr>
              <w:noBreakHyphen/>
              <w:t>20</w:t>
            </w:r>
          </w:p>
        </w:tc>
        <w:tc>
          <w:tcPr>
            <w:tcW w:w="2694" w:type="dxa"/>
            <w:shd w:val="clear" w:color="auto" w:fill="auto"/>
          </w:tcPr>
          <w:p>
            <w:pPr>
              <w:pStyle w:val="nTable"/>
              <w:spacing w:after="40"/>
              <w:rPr>
                <w:snapToGrid w:val="0"/>
                <w:sz w:val="19"/>
              </w:rPr>
            </w:pPr>
            <w:r>
              <w:rPr>
                <w:snapToGrid w:val="0"/>
                <w:sz w:val="19"/>
              </w:rPr>
              <w:t>r. 1 and 2: 4 Dec 2012 (see r. 2(a));</w:t>
            </w:r>
            <w:r>
              <w:rPr>
                <w:snapToGrid w:val="0"/>
                <w:sz w:val="19"/>
              </w:rPr>
              <w:br/>
              <w:t>Regulations other than r. 1 and 2: 5 Dec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7) 2012</w:t>
            </w:r>
          </w:p>
        </w:tc>
        <w:tc>
          <w:tcPr>
            <w:tcW w:w="1276" w:type="dxa"/>
            <w:shd w:val="clear" w:color="auto" w:fill="auto"/>
          </w:tcPr>
          <w:p>
            <w:pPr>
              <w:pStyle w:val="nTable"/>
              <w:spacing w:after="40"/>
              <w:rPr>
                <w:sz w:val="19"/>
              </w:rPr>
            </w:pPr>
            <w:r>
              <w:rPr>
                <w:sz w:val="19"/>
              </w:rPr>
              <w:t>18 Dec 2012 p. 6591-2</w:t>
            </w:r>
          </w:p>
        </w:tc>
        <w:tc>
          <w:tcPr>
            <w:tcW w:w="2694"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19 Dec 2012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13) 2012</w:t>
            </w:r>
          </w:p>
        </w:tc>
        <w:tc>
          <w:tcPr>
            <w:tcW w:w="1276" w:type="dxa"/>
            <w:shd w:val="clear" w:color="auto" w:fill="auto"/>
          </w:tcPr>
          <w:p>
            <w:pPr>
              <w:pStyle w:val="nTable"/>
              <w:spacing w:after="40"/>
              <w:rPr>
                <w:sz w:val="19"/>
              </w:rPr>
            </w:pPr>
            <w:r>
              <w:rPr>
                <w:sz w:val="19"/>
              </w:rPr>
              <w:t>18 Dec 2012 p. 6592-3</w:t>
            </w:r>
          </w:p>
        </w:tc>
        <w:tc>
          <w:tcPr>
            <w:tcW w:w="2694"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 Jan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2) 2013</w:t>
            </w:r>
          </w:p>
        </w:tc>
        <w:tc>
          <w:tcPr>
            <w:tcW w:w="1276" w:type="dxa"/>
            <w:shd w:val="clear" w:color="auto" w:fill="auto"/>
          </w:tcPr>
          <w:p>
            <w:pPr>
              <w:pStyle w:val="nTable"/>
              <w:spacing w:after="40"/>
              <w:rPr>
                <w:sz w:val="19"/>
              </w:rPr>
            </w:pPr>
            <w:r>
              <w:rPr>
                <w:sz w:val="19"/>
              </w:rPr>
              <w:t>29 Jan 2013 p. 301</w:t>
            </w:r>
            <w:r>
              <w:rPr>
                <w:sz w:val="19"/>
              </w:rPr>
              <w:noBreakHyphen/>
              <w:t>19</w:t>
            </w:r>
          </w:p>
        </w:tc>
        <w:tc>
          <w:tcPr>
            <w:tcW w:w="2694" w:type="dxa"/>
            <w:shd w:val="clear" w:color="auto" w:fill="auto"/>
          </w:tcPr>
          <w:p>
            <w:pPr>
              <w:pStyle w:val="nTable"/>
              <w:spacing w:after="40"/>
              <w:rPr>
                <w:snapToGrid w:val="0"/>
                <w:sz w:val="19"/>
              </w:rPr>
            </w:pPr>
            <w:r>
              <w:rPr>
                <w:snapToGrid w:val="0"/>
                <w:sz w:val="19"/>
              </w:rPr>
              <w:t>r. 1 and 2: 29 Jan 2013 (see r. 2(a));</w:t>
            </w:r>
            <w:r>
              <w:rPr>
                <w:snapToGrid w:val="0"/>
                <w:sz w:val="19"/>
              </w:rPr>
              <w:br/>
              <w:t>Regulations other than r. 1 and 2: 1 Feb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14) 2012</w:t>
            </w:r>
          </w:p>
        </w:tc>
        <w:tc>
          <w:tcPr>
            <w:tcW w:w="1276" w:type="dxa"/>
            <w:shd w:val="clear" w:color="auto" w:fill="auto"/>
          </w:tcPr>
          <w:p>
            <w:pPr>
              <w:pStyle w:val="nTable"/>
              <w:spacing w:after="40"/>
              <w:rPr>
                <w:sz w:val="19"/>
              </w:rPr>
            </w:pPr>
            <w:r>
              <w:rPr>
                <w:sz w:val="19"/>
              </w:rPr>
              <w:t>1 Mar 2013 p. 1091-2</w:t>
            </w:r>
          </w:p>
        </w:tc>
        <w:tc>
          <w:tcPr>
            <w:tcW w:w="2694" w:type="dxa"/>
            <w:shd w:val="clear" w:color="auto" w:fill="auto"/>
          </w:tcPr>
          <w:p>
            <w:pPr>
              <w:pStyle w:val="nTable"/>
              <w:spacing w:after="40"/>
              <w:rPr>
                <w:i/>
                <w:snapToGrid w:val="0"/>
                <w:sz w:val="19"/>
                <w:vertAlign w:val="superscript"/>
              </w:rPr>
            </w:pPr>
            <w:r>
              <w:rPr>
                <w:snapToGrid w:val="0"/>
                <w:sz w:val="19"/>
              </w:rPr>
              <w:t>r. 1 and 2: 1 Mar 2013 (see r. 2(a));</w:t>
            </w:r>
            <w:r>
              <w:rPr>
                <w:snapToGrid w:val="0"/>
                <w:sz w:val="19"/>
              </w:rPr>
              <w:br/>
              <w:t>Regulations other than r. 1 &amp; 2: 1 Mar 2013</w:t>
            </w:r>
            <w:r>
              <w:rPr>
                <w:snapToGrid w:val="0"/>
                <w:sz w:val="19"/>
                <w:vertAlign w:val="superscript"/>
              </w:rPr>
              <w:t> </w:t>
            </w:r>
            <w:del w:id="1017" w:author="Master Repository Process" w:date="2021-08-28T12:00:00Z">
              <w:r>
                <w:rPr>
                  <w:snapToGrid w:val="0"/>
                  <w:sz w:val="19"/>
                  <w:vertAlign w:val="superscript"/>
                </w:rPr>
                <w:delText>7</w:delText>
              </w:r>
            </w:del>
            <w:ins w:id="1018" w:author="Master Repository Process" w:date="2021-08-28T12:00:00Z">
              <w:r>
                <w:rPr>
                  <w:snapToGrid w:val="0"/>
                  <w:sz w:val="19"/>
                  <w:vertAlign w:val="superscript"/>
                </w:rPr>
                <w:t>8</w:t>
              </w:r>
            </w:ins>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3) 2013</w:t>
            </w:r>
          </w:p>
        </w:tc>
        <w:tc>
          <w:tcPr>
            <w:tcW w:w="1276" w:type="dxa"/>
            <w:shd w:val="clear" w:color="auto" w:fill="auto"/>
          </w:tcPr>
          <w:p>
            <w:pPr>
              <w:pStyle w:val="nTable"/>
              <w:spacing w:after="40"/>
              <w:rPr>
                <w:sz w:val="19"/>
              </w:rPr>
            </w:pPr>
            <w:r>
              <w:rPr>
                <w:sz w:val="19"/>
              </w:rPr>
              <w:t>18 Jun 2013 p. 2295-9</w:t>
            </w:r>
          </w:p>
        </w:tc>
        <w:tc>
          <w:tcPr>
            <w:tcW w:w="2694" w:type="dxa"/>
            <w:shd w:val="clear" w:color="auto" w:fill="auto"/>
          </w:tcPr>
          <w:p>
            <w:pPr>
              <w:pStyle w:val="nTable"/>
              <w:spacing w:after="40"/>
              <w:rPr>
                <w:snapToGrid w:val="0"/>
                <w:sz w:val="19"/>
              </w:rPr>
            </w:pPr>
            <w:r>
              <w:rPr>
                <w:snapToGrid w:val="0"/>
                <w:sz w:val="19"/>
              </w:rPr>
              <w:t>r. 1 and 2: 18 Jun 2013 (see r. 2(a));</w:t>
            </w:r>
            <w:r>
              <w:rPr>
                <w:snapToGrid w:val="0"/>
                <w:sz w:val="19"/>
              </w:rPr>
              <w:br/>
              <w:t>Regulations other than r. 1 and 2: 19 Jun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4) 2013</w:t>
            </w:r>
          </w:p>
        </w:tc>
        <w:tc>
          <w:tcPr>
            <w:tcW w:w="1276" w:type="dxa"/>
            <w:shd w:val="clear" w:color="auto" w:fill="auto"/>
          </w:tcPr>
          <w:p>
            <w:pPr>
              <w:pStyle w:val="nTable"/>
              <w:spacing w:after="40"/>
              <w:rPr>
                <w:sz w:val="19"/>
              </w:rPr>
            </w:pPr>
            <w:r>
              <w:rPr>
                <w:sz w:val="19"/>
              </w:rPr>
              <w:t>28 Jun 2013 p. 2887-904</w:t>
            </w:r>
          </w:p>
        </w:tc>
        <w:tc>
          <w:tcPr>
            <w:tcW w:w="2694" w:type="dxa"/>
            <w:shd w:val="clear" w:color="auto" w:fill="auto"/>
          </w:tcPr>
          <w:p>
            <w:pPr>
              <w:pStyle w:val="nTable"/>
              <w:spacing w:after="40"/>
              <w:rPr>
                <w:i/>
                <w:snapToGrid w:val="0"/>
                <w:sz w:val="19"/>
              </w:rPr>
            </w:pPr>
            <w:r>
              <w:rPr>
                <w:snapToGrid w:val="0"/>
                <w:sz w:val="19"/>
              </w:rPr>
              <w:t>r. 1 and 2: 28 Jun 2013 (see r. 2(a));</w:t>
            </w:r>
            <w:r>
              <w:rPr>
                <w:snapToGrid w:val="0"/>
                <w:sz w:val="19"/>
              </w:rPr>
              <w:br/>
              <w:t xml:space="preserve">r. 13: 29 Jun 2013 (see r. 2(b)(i) and </w:t>
            </w:r>
            <w:r>
              <w:rPr>
                <w:i/>
                <w:snapToGrid w:val="0"/>
                <w:sz w:val="19"/>
              </w:rPr>
              <w:t>Gazette</w:t>
            </w:r>
            <w:r>
              <w:rPr>
                <w:snapToGrid w:val="0"/>
                <w:sz w:val="19"/>
              </w:rPr>
              <w:t xml:space="preserve"> 18 Jun 2013 p. 2295);</w:t>
            </w:r>
            <w:r>
              <w:rPr>
                <w:snapToGrid w:val="0"/>
                <w:sz w:val="19"/>
              </w:rPr>
              <w:br/>
              <w:t>Regulations other than r. 1, 2 and 13: 29 Jun 2013 (see r. 2(c))</w:t>
            </w:r>
          </w:p>
        </w:tc>
      </w:tr>
      <w:tr>
        <w:trPr>
          <w:cantSplit/>
        </w:trPr>
        <w:tc>
          <w:tcPr>
            <w:tcW w:w="7088" w:type="dxa"/>
            <w:gridSpan w:val="3"/>
            <w:shd w:val="clear" w:color="auto" w:fill="auto"/>
          </w:tcPr>
          <w:p>
            <w:pPr>
              <w:pStyle w:val="nTable"/>
              <w:spacing w:after="40"/>
              <w:rPr>
                <w:snapToGrid w:val="0"/>
                <w:sz w:val="19"/>
              </w:rPr>
            </w:pPr>
            <w:r>
              <w:rPr>
                <w:b/>
                <w:sz w:val="19"/>
              </w:rPr>
              <w:t xml:space="preserve">Reprint 12: The </w:t>
            </w:r>
            <w:r>
              <w:rPr>
                <w:b/>
                <w:i/>
                <w:sz w:val="19"/>
              </w:rPr>
              <w:t>Fish Resources Management Regulations 1995</w:t>
            </w:r>
            <w:r>
              <w:rPr>
                <w:b/>
                <w:sz w:val="19"/>
              </w:rPr>
              <w:t xml:space="preserve"> as at 19 Jul 2013</w:t>
            </w:r>
            <w:r>
              <w:rPr>
                <w:b/>
                <w:sz w:val="19"/>
              </w:rPr>
              <w:br/>
            </w:r>
            <w:r>
              <w:rPr>
                <w:sz w:val="19"/>
              </w:rPr>
              <w:t>(includes amendments listed above)</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6) 2013</w:t>
            </w:r>
          </w:p>
        </w:tc>
        <w:tc>
          <w:tcPr>
            <w:tcW w:w="1276" w:type="dxa"/>
            <w:shd w:val="clear" w:color="auto" w:fill="auto"/>
          </w:tcPr>
          <w:p>
            <w:pPr>
              <w:pStyle w:val="nTable"/>
              <w:spacing w:after="40"/>
              <w:rPr>
                <w:sz w:val="19"/>
              </w:rPr>
            </w:pPr>
            <w:r>
              <w:rPr>
                <w:sz w:val="19"/>
              </w:rPr>
              <w:t>27 Aug 2013 p. 4053-7</w:t>
            </w:r>
          </w:p>
        </w:tc>
        <w:tc>
          <w:tcPr>
            <w:tcW w:w="2694" w:type="dxa"/>
            <w:shd w:val="clear" w:color="auto" w:fill="auto"/>
          </w:tcPr>
          <w:p>
            <w:pPr>
              <w:pStyle w:val="nTable"/>
              <w:spacing w:after="40"/>
              <w:rPr>
                <w:i/>
                <w:snapToGrid w:val="0"/>
                <w:sz w:val="19"/>
              </w:rPr>
            </w:pPr>
            <w:r>
              <w:rPr>
                <w:snapToGrid w:val="0"/>
                <w:sz w:val="19"/>
              </w:rPr>
              <w:t>r. 1 and 2: 27 Aug 2013 (see r. 2(a));</w:t>
            </w:r>
            <w:r>
              <w:rPr>
                <w:snapToGrid w:val="0"/>
                <w:sz w:val="19"/>
              </w:rPr>
              <w:br/>
              <w:t>Regulations other than r. 1 and 2: 28 Aug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7) 2013</w:t>
            </w:r>
          </w:p>
        </w:tc>
        <w:tc>
          <w:tcPr>
            <w:tcW w:w="1276" w:type="dxa"/>
            <w:shd w:val="clear" w:color="auto" w:fill="auto"/>
          </w:tcPr>
          <w:p>
            <w:pPr>
              <w:pStyle w:val="nTable"/>
              <w:spacing w:after="40"/>
              <w:rPr>
                <w:sz w:val="19"/>
              </w:rPr>
            </w:pPr>
            <w:r>
              <w:rPr>
                <w:sz w:val="19"/>
              </w:rPr>
              <w:t>4 Sep 2013 p. 4179</w:t>
            </w:r>
            <w:r>
              <w:rPr>
                <w:sz w:val="19"/>
              </w:rPr>
              <w:noBreakHyphen/>
              <w:t xml:space="preserve">83 </w:t>
            </w:r>
          </w:p>
        </w:tc>
        <w:tc>
          <w:tcPr>
            <w:tcW w:w="2694" w:type="dxa"/>
            <w:shd w:val="clear" w:color="auto" w:fill="auto"/>
          </w:tcPr>
          <w:p>
            <w:pPr>
              <w:pStyle w:val="nTable"/>
              <w:spacing w:after="40"/>
              <w:rPr>
                <w:i/>
                <w:snapToGrid w:val="0"/>
                <w:sz w:val="19"/>
              </w:rPr>
            </w:pPr>
            <w:r>
              <w:rPr>
                <w:snapToGrid w:val="0"/>
                <w:sz w:val="19"/>
                <w:szCs w:val="19"/>
              </w:rPr>
              <w:t>r. 1 and 2: 4 Sep 2013 (see r. 2(a));</w:t>
            </w:r>
            <w:r>
              <w:rPr>
                <w:snapToGrid w:val="0"/>
                <w:sz w:val="19"/>
                <w:szCs w:val="19"/>
              </w:rPr>
              <w:br/>
              <w:t>Regulations other than r. 1 and 2: 5 Sep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5) 2013</w:t>
            </w:r>
          </w:p>
        </w:tc>
        <w:tc>
          <w:tcPr>
            <w:tcW w:w="1276" w:type="dxa"/>
            <w:shd w:val="clear" w:color="auto" w:fill="auto"/>
          </w:tcPr>
          <w:p>
            <w:pPr>
              <w:pStyle w:val="nTable"/>
              <w:spacing w:after="40"/>
              <w:rPr>
                <w:i/>
                <w:sz w:val="19"/>
              </w:rPr>
            </w:pPr>
            <w:r>
              <w:rPr>
                <w:sz w:val="19"/>
              </w:rPr>
              <w:t>24 Sep 2013 p. 4437-56</w:t>
            </w:r>
          </w:p>
        </w:tc>
        <w:tc>
          <w:tcPr>
            <w:tcW w:w="2694" w:type="dxa"/>
            <w:shd w:val="clear" w:color="auto" w:fill="auto"/>
          </w:tcPr>
          <w:p>
            <w:pPr>
              <w:pStyle w:val="nTable"/>
              <w:spacing w:after="40"/>
              <w:rPr>
                <w:snapToGrid w:val="0"/>
                <w:sz w:val="19"/>
                <w:szCs w:val="19"/>
              </w:rPr>
            </w:pPr>
            <w:r>
              <w:rPr>
                <w:snapToGrid w:val="0"/>
                <w:sz w:val="19"/>
                <w:szCs w:val="19"/>
              </w:rPr>
              <w:t>r. 1 and 2: 24 Sep 2013 (see r. 2(a));</w:t>
            </w:r>
            <w:r>
              <w:rPr>
                <w:snapToGrid w:val="0"/>
                <w:sz w:val="19"/>
                <w:szCs w:val="19"/>
              </w:rPr>
              <w:br/>
              <w:t>Regulations other than r. 1 and 2: 25 Sep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11) 2013</w:t>
            </w:r>
          </w:p>
        </w:tc>
        <w:tc>
          <w:tcPr>
            <w:tcW w:w="1276" w:type="dxa"/>
            <w:shd w:val="clear" w:color="auto" w:fill="auto"/>
          </w:tcPr>
          <w:p>
            <w:pPr>
              <w:pStyle w:val="nTable"/>
              <w:spacing w:after="40"/>
              <w:rPr>
                <w:sz w:val="19"/>
              </w:rPr>
            </w:pPr>
            <w:r>
              <w:rPr>
                <w:sz w:val="19"/>
              </w:rPr>
              <w:t>15 Nov 2013 p. 5238</w:t>
            </w:r>
          </w:p>
        </w:tc>
        <w:tc>
          <w:tcPr>
            <w:tcW w:w="2694" w:type="dxa"/>
            <w:shd w:val="clear" w:color="auto" w:fill="auto"/>
          </w:tcPr>
          <w:p>
            <w:pPr>
              <w:pStyle w:val="nTable"/>
              <w:spacing w:after="40"/>
              <w:rPr>
                <w:i/>
                <w:snapToGrid w:val="0"/>
                <w:sz w:val="19"/>
                <w:szCs w:val="19"/>
              </w:rPr>
            </w:pPr>
            <w:r>
              <w:rPr>
                <w:snapToGrid w:val="0"/>
                <w:sz w:val="19"/>
                <w:szCs w:val="19"/>
              </w:rPr>
              <w:t>r. 1 and 2: 15 Nov 2013 (see r. 2(a));</w:t>
            </w:r>
            <w:r>
              <w:rPr>
                <w:snapToGrid w:val="0"/>
                <w:sz w:val="19"/>
                <w:szCs w:val="19"/>
              </w:rPr>
              <w:br/>
              <w:t>Regulations other than r. 1 and 2: 16 Nov 2013 (see r. 2(b))</w:t>
            </w:r>
          </w:p>
        </w:tc>
      </w:tr>
      <w:tr>
        <w:trPr>
          <w:cantSplit/>
        </w:trPr>
        <w:tc>
          <w:tcPr>
            <w:tcW w:w="3118" w:type="dxa"/>
            <w:shd w:val="clear" w:color="auto" w:fill="auto"/>
          </w:tcPr>
          <w:p>
            <w:pPr>
              <w:pStyle w:val="nTable"/>
              <w:spacing w:after="40"/>
              <w:ind w:right="113"/>
              <w:rPr>
                <w:i/>
                <w:sz w:val="19"/>
              </w:rPr>
            </w:pPr>
            <w:r>
              <w:rPr>
                <w:i/>
                <w:sz w:val="19"/>
              </w:rPr>
              <w:t>Fish Resources Management Amendment Regulations (No. 8) 2013</w:t>
            </w:r>
          </w:p>
        </w:tc>
        <w:tc>
          <w:tcPr>
            <w:tcW w:w="1276" w:type="dxa"/>
            <w:shd w:val="clear" w:color="auto" w:fill="auto"/>
          </w:tcPr>
          <w:p>
            <w:pPr>
              <w:pStyle w:val="nTable"/>
              <w:spacing w:after="40"/>
              <w:rPr>
                <w:sz w:val="19"/>
              </w:rPr>
            </w:pPr>
            <w:r>
              <w:rPr>
                <w:sz w:val="19"/>
              </w:rPr>
              <w:t>19 Nov 2013 p. 5283</w:t>
            </w:r>
            <w:r>
              <w:rPr>
                <w:sz w:val="19"/>
              </w:rPr>
              <w:noBreakHyphen/>
              <w:t>91</w:t>
            </w:r>
          </w:p>
        </w:tc>
        <w:tc>
          <w:tcPr>
            <w:tcW w:w="2694" w:type="dxa"/>
            <w:shd w:val="clear" w:color="auto" w:fill="auto"/>
          </w:tcPr>
          <w:p>
            <w:pPr>
              <w:pStyle w:val="nTable"/>
              <w:spacing w:after="40"/>
              <w:rPr>
                <w:i/>
                <w:snapToGrid w:val="0"/>
                <w:sz w:val="19"/>
                <w:szCs w:val="19"/>
              </w:rPr>
            </w:pPr>
            <w:r>
              <w:rPr>
                <w:bCs/>
                <w:snapToGrid w:val="0"/>
                <w:sz w:val="19"/>
                <w:szCs w:val="19"/>
              </w:rPr>
              <w:t>r. 1 and 2: 19 Nov 2013 (see r. 2(a));</w:t>
            </w:r>
            <w:r>
              <w:rPr>
                <w:bCs/>
                <w:snapToGrid w:val="0"/>
                <w:sz w:val="19"/>
                <w:szCs w:val="19"/>
              </w:rPr>
              <w:br/>
              <w:t>Regulations other than r. 1 and 2: 20 Nov 2013 (see r. 2(b))</w:t>
            </w:r>
          </w:p>
        </w:tc>
      </w:tr>
      <w:tr>
        <w:trPr>
          <w:cantSplit/>
        </w:trPr>
        <w:tc>
          <w:tcPr>
            <w:tcW w:w="3118" w:type="dxa"/>
            <w:shd w:val="clear" w:color="auto" w:fill="auto"/>
          </w:tcPr>
          <w:p>
            <w:pPr>
              <w:pStyle w:val="nTable"/>
              <w:spacing w:after="40"/>
              <w:ind w:right="57"/>
              <w:rPr>
                <w:rFonts w:ascii="Times" w:hAnsi="Times"/>
                <w:i/>
                <w:sz w:val="19"/>
              </w:rPr>
            </w:pPr>
            <w:r>
              <w:rPr>
                <w:i/>
                <w:sz w:val="19"/>
              </w:rPr>
              <w:t>Fish Resources Management Amendment Regulations 2014</w:t>
            </w:r>
            <w:r>
              <w:rPr>
                <w:sz w:val="19"/>
              </w:rPr>
              <w:t xml:space="preserve"> </w:t>
            </w:r>
          </w:p>
        </w:tc>
        <w:tc>
          <w:tcPr>
            <w:tcW w:w="1276" w:type="dxa"/>
            <w:shd w:val="clear" w:color="auto" w:fill="auto"/>
          </w:tcPr>
          <w:p>
            <w:pPr>
              <w:pStyle w:val="nTable"/>
              <w:spacing w:after="40"/>
              <w:rPr>
                <w:rFonts w:ascii="Times" w:hAnsi="Times"/>
                <w:sz w:val="19"/>
              </w:rPr>
            </w:pPr>
            <w:r>
              <w:rPr>
                <w:sz w:val="19"/>
              </w:rPr>
              <w:t>30 May 2014 p. 1713-37</w:t>
            </w:r>
          </w:p>
        </w:tc>
        <w:tc>
          <w:tcPr>
            <w:tcW w:w="2694" w:type="dxa"/>
            <w:shd w:val="clear" w:color="auto" w:fill="auto"/>
          </w:tcPr>
          <w:p>
            <w:pPr>
              <w:pStyle w:val="nTable"/>
              <w:spacing w:after="40"/>
              <w:rPr>
                <w:rFonts w:ascii="Times" w:hAnsi="Times"/>
                <w:bCs/>
                <w:snapToGrid w:val="0"/>
                <w:sz w:val="19"/>
                <w:szCs w:val="19"/>
              </w:rPr>
            </w:pPr>
            <w:r>
              <w:rPr>
                <w:bCs/>
                <w:snapToGrid w:val="0"/>
                <w:sz w:val="19"/>
                <w:szCs w:val="19"/>
              </w:rPr>
              <w:t>Pt. 1: 30 May 2014 (see r. 2(a)); Pt. 2 and 3: 31 May 2014 (see r. 2(b));</w:t>
            </w:r>
            <w:r>
              <w:rPr>
                <w:bCs/>
                <w:snapToGrid w:val="0"/>
                <w:sz w:val="19"/>
                <w:szCs w:val="19"/>
              </w:rPr>
              <w:br/>
            </w:r>
            <w:r>
              <w:rPr>
                <w:sz w:val="19"/>
              </w:rPr>
              <w:t>Pt. 4: 1 Jul 2014 (see r. 2(c))</w:t>
            </w:r>
          </w:p>
        </w:tc>
      </w:tr>
      <w:tr>
        <w:trPr>
          <w:cantSplit/>
        </w:trPr>
        <w:tc>
          <w:tcPr>
            <w:tcW w:w="3118" w:type="dxa"/>
            <w:shd w:val="clear" w:color="auto" w:fill="auto"/>
          </w:tcPr>
          <w:p>
            <w:pPr>
              <w:pStyle w:val="nTable"/>
              <w:spacing w:after="40"/>
              <w:ind w:right="113"/>
              <w:rPr>
                <w:i/>
                <w:sz w:val="19"/>
                <w:szCs w:val="19"/>
              </w:rPr>
            </w:pPr>
            <w:r>
              <w:rPr>
                <w:i/>
                <w:sz w:val="19"/>
                <w:szCs w:val="19"/>
              </w:rPr>
              <w:t>Fish Resources Management Amendment Regulations (No. 5) 2014</w:t>
            </w:r>
          </w:p>
        </w:tc>
        <w:tc>
          <w:tcPr>
            <w:tcW w:w="1276" w:type="dxa"/>
            <w:shd w:val="clear" w:color="auto" w:fill="auto"/>
          </w:tcPr>
          <w:p>
            <w:pPr>
              <w:pStyle w:val="nTable"/>
              <w:spacing w:after="40"/>
              <w:rPr>
                <w:sz w:val="19"/>
              </w:rPr>
            </w:pPr>
            <w:r>
              <w:rPr>
                <w:sz w:val="19"/>
              </w:rPr>
              <w:t>12 Aug 2014 p. 2903</w:t>
            </w:r>
            <w:r>
              <w:rPr>
                <w:sz w:val="19"/>
              </w:rPr>
              <w:noBreakHyphen/>
              <w:t>7</w:t>
            </w:r>
          </w:p>
        </w:tc>
        <w:tc>
          <w:tcPr>
            <w:tcW w:w="2694" w:type="dxa"/>
            <w:shd w:val="clear" w:color="auto" w:fill="auto"/>
          </w:tcPr>
          <w:p>
            <w:pPr>
              <w:pStyle w:val="nTable"/>
              <w:spacing w:after="40"/>
              <w:rPr>
                <w:bCs/>
                <w:snapToGrid w:val="0"/>
                <w:sz w:val="19"/>
                <w:szCs w:val="19"/>
              </w:rPr>
            </w:pPr>
            <w:r>
              <w:rPr>
                <w:bCs/>
                <w:snapToGrid w:val="0"/>
                <w:sz w:val="19"/>
                <w:szCs w:val="19"/>
              </w:rPr>
              <w:t>r. 1 and 2: 12 Aug 2014 (see r. 2(a));</w:t>
            </w:r>
            <w:r>
              <w:rPr>
                <w:bCs/>
                <w:snapToGrid w:val="0"/>
                <w:sz w:val="19"/>
                <w:szCs w:val="19"/>
              </w:rPr>
              <w:br/>
              <w:t>Regulations other than r. 1 and 2: 13 Aug 2014 (see r. 2(b))</w:t>
            </w:r>
          </w:p>
        </w:tc>
      </w:tr>
      <w:tr>
        <w:trPr>
          <w:cantSplit/>
        </w:trPr>
        <w:tc>
          <w:tcPr>
            <w:tcW w:w="3118" w:type="dxa"/>
            <w:shd w:val="clear" w:color="auto" w:fill="auto"/>
          </w:tcPr>
          <w:p>
            <w:pPr>
              <w:pStyle w:val="nTable"/>
              <w:spacing w:after="40"/>
              <w:ind w:right="113"/>
              <w:rPr>
                <w:i/>
                <w:sz w:val="19"/>
              </w:rPr>
            </w:pPr>
            <w:r>
              <w:rPr>
                <w:i/>
                <w:sz w:val="19"/>
                <w:szCs w:val="19"/>
              </w:rPr>
              <w:t>Fish Resources Management Amendment Regulations (No. 4) 2014</w:t>
            </w:r>
          </w:p>
        </w:tc>
        <w:tc>
          <w:tcPr>
            <w:tcW w:w="1276" w:type="dxa"/>
            <w:shd w:val="clear" w:color="auto" w:fill="auto"/>
          </w:tcPr>
          <w:p>
            <w:pPr>
              <w:pStyle w:val="nTable"/>
              <w:spacing w:after="40"/>
              <w:rPr>
                <w:sz w:val="19"/>
              </w:rPr>
            </w:pPr>
            <w:r>
              <w:rPr>
                <w:sz w:val="19"/>
              </w:rPr>
              <w:t>26 Aug 2014 p. 3082</w:t>
            </w:r>
            <w:r>
              <w:rPr>
                <w:sz w:val="19"/>
              </w:rPr>
              <w:noBreakHyphen/>
              <w:t>4</w:t>
            </w:r>
          </w:p>
        </w:tc>
        <w:tc>
          <w:tcPr>
            <w:tcW w:w="2694" w:type="dxa"/>
            <w:shd w:val="clear" w:color="auto" w:fill="auto"/>
          </w:tcPr>
          <w:p>
            <w:pPr>
              <w:pStyle w:val="nTable"/>
              <w:spacing w:after="40"/>
              <w:rPr>
                <w:bCs/>
                <w:snapToGrid w:val="0"/>
                <w:sz w:val="19"/>
                <w:szCs w:val="19"/>
              </w:rPr>
            </w:pPr>
            <w:r>
              <w:rPr>
                <w:bCs/>
                <w:snapToGrid w:val="0"/>
                <w:sz w:val="19"/>
                <w:szCs w:val="19"/>
              </w:rPr>
              <w:t>r. 1 and 2: 26 Aug 2014 (see r. 2(a));</w:t>
            </w:r>
            <w:r>
              <w:rPr>
                <w:bCs/>
                <w:snapToGrid w:val="0"/>
                <w:sz w:val="19"/>
                <w:szCs w:val="19"/>
              </w:rPr>
              <w:br/>
              <w:t>Regulations other than r. 1 and 2: 27 Aug 2014 (see r. 2(b))</w:t>
            </w:r>
          </w:p>
        </w:tc>
      </w:tr>
      <w:tr>
        <w:trPr>
          <w:cantSplit/>
        </w:trPr>
        <w:tc>
          <w:tcPr>
            <w:tcW w:w="3118" w:type="dxa"/>
            <w:shd w:val="clear" w:color="auto" w:fill="auto"/>
          </w:tcPr>
          <w:p>
            <w:pPr>
              <w:pStyle w:val="nTable"/>
              <w:spacing w:after="40"/>
              <w:ind w:right="113"/>
              <w:rPr>
                <w:i/>
                <w:sz w:val="19"/>
                <w:szCs w:val="19"/>
              </w:rPr>
            </w:pPr>
            <w:r>
              <w:rPr>
                <w:i/>
                <w:sz w:val="19"/>
                <w:szCs w:val="19"/>
              </w:rPr>
              <w:t>Fish Resources Management Amendment Regulations (No. 3) 2014</w:t>
            </w:r>
          </w:p>
        </w:tc>
        <w:tc>
          <w:tcPr>
            <w:tcW w:w="1276" w:type="dxa"/>
            <w:shd w:val="clear" w:color="auto" w:fill="auto"/>
          </w:tcPr>
          <w:p>
            <w:pPr>
              <w:pStyle w:val="nTable"/>
              <w:spacing w:after="40"/>
              <w:rPr>
                <w:sz w:val="19"/>
              </w:rPr>
            </w:pPr>
            <w:r>
              <w:rPr>
                <w:sz w:val="19"/>
              </w:rPr>
              <w:t>9 Sep 2014 p. 3239</w:t>
            </w:r>
            <w:r>
              <w:rPr>
                <w:sz w:val="19"/>
              </w:rPr>
              <w:noBreakHyphen/>
              <w:t>40</w:t>
            </w:r>
          </w:p>
        </w:tc>
        <w:tc>
          <w:tcPr>
            <w:tcW w:w="2694" w:type="dxa"/>
            <w:shd w:val="clear" w:color="auto" w:fill="auto"/>
          </w:tcPr>
          <w:p>
            <w:pPr>
              <w:pStyle w:val="nTable"/>
              <w:spacing w:after="40"/>
              <w:rPr>
                <w:bCs/>
                <w:snapToGrid w:val="0"/>
                <w:sz w:val="19"/>
                <w:szCs w:val="19"/>
              </w:rPr>
            </w:pPr>
            <w:r>
              <w:rPr>
                <w:bCs/>
                <w:snapToGrid w:val="0"/>
                <w:sz w:val="19"/>
                <w:szCs w:val="19"/>
              </w:rPr>
              <w:t>r. 1 and 2: 9 Sep 2014 (see r. 2(a));</w:t>
            </w:r>
            <w:r>
              <w:rPr>
                <w:bCs/>
                <w:snapToGrid w:val="0"/>
                <w:sz w:val="19"/>
                <w:szCs w:val="19"/>
              </w:rPr>
              <w:br/>
              <w:t>Regulations other than r. 1 and 2: 10 Sep 2014 (see r. 2(b))</w:t>
            </w:r>
          </w:p>
        </w:tc>
      </w:tr>
      <w:tr>
        <w:trPr>
          <w:cantSplit/>
        </w:trPr>
        <w:tc>
          <w:tcPr>
            <w:tcW w:w="3118" w:type="dxa"/>
            <w:shd w:val="clear" w:color="auto" w:fill="auto"/>
          </w:tcPr>
          <w:p>
            <w:pPr>
              <w:pStyle w:val="nTable"/>
              <w:spacing w:after="40"/>
              <w:ind w:right="113"/>
              <w:rPr>
                <w:i/>
                <w:sz w:val="19"/>
                <w:szCs w:val="19"/>
              </w:rPr>
            </w:pPr>
            <w:r>
              <w:rPr>
                <w:i/>
                <w:sz w:val="19"/>
                <w:szCs w:val="19"/>
              </w:rPr>
              <w:t>Fish Resources Management Amendment Regulations (No. 6) 2014</w:t>
            </w:r>
          </w:p>
        </w:tc>
        <w:tc>
          <w:tcPr>
            <w:tcW w:w="1276" w:type="dxa"/>
            <w:shd w:val="clear" w:color="auto" w:fill="auto"/>
          </w:tcPr>
          <w:p>
            <w:pPr>
              <w:pStyle w:val="nTable"/>
              <w:spacing w:after="40"/>
              <w:rPr>
                <w:sz w:val="19"/>
              </w:rPr>
            </w:pPr>
            <w:r>
              <w:rPr>
                <w:sz w:val="19"/>
              </w:rPr>
              <w:t>22 Oct 2014 p. 4087-115</w:t>
            </w:r>
          </w:p>
        </w:tc>
        <w:tc>
          <w:tcPr>
            <w:tcW w:w="2694" w:type="dxa"/>
            <w:shd w:val="clear" w:color="auto" w:fill="auto"/>
          </w:tcPr>
          <w:p>
            <w:pPr>
              <w:pStyle w:val="nTable"/>
              <w:spacing w:after="40"/>
              <w:rPr>
                <w:bCs/>
                <w:snapToGrid w:val="0"/>
                <w:sz w:val="19"/>
                <w:szCs w:val="19"/>
              </w:rPr>
            </w:pPr>
            <w:r>
              <w:rPr>
                <w:bCs/>
                <w:snapToGrid w:val="0"/>
                <w:sz w:val="19"/>
                <w:szCs w:val="19"/>
              </w:rPr>
              <w:t>r. 1 and 2: 22 Oct 2014 (see r. 2(a));</w:t>
            </w:r>
            <w:r>
              <w:rPr>
                <w:bCs/>
                <w:snapToGrid w:val="0"/>
                <w:sz w:val="19"/>
                <w:szCs w:val="19"/>
              </w:rPr>
              <w:br/>
              <w:t>Regulations other than r. 1 and 2: 23 Oct 2014 (see r. 2(b))</w:t>
            </w:r>
          </w:p>
        </w:tc>
      </w:tr>
      <w:tr>
        <w:trPr>
          <w:cantSplit/>
        </w:trPr>
        <w:tc>
          <w:tcPr>
            <w:tcW w:w="3118" w:type="dxa"/>
            <w:shd w:val="clear" w:color="auto" w:fill="auto"/>
          </w:tcPr>
          <w:p>
            <w:pPr>
              <w:pStyle w:val="nTable"/>
              <w:spacing w:after="40"/>
              <w:ind w:right="113"/>
              <w:rPr>
                <w:i/>
                <w:sz w:val="19"/>
                <w:szCs w:val="19"/>
              </w:rPr>
            </w:pPr>
            <w:r>
              <w:rPr>
                <w:i/>
                <w:sz w:val="19"/>
                <w:szCs w:val="19"/>
              </w:rPr>
              <w:t>Fish Resources Management Amendment Regulations (No. 7) 2014</w:t>
            </w:r>
          </w:p>
        </w:tc>
        <w:tc>
          <w:tcPr>
            <w:tcW w:w="1276" w:type="dxa"/>
            <w:shd w:val="clear" w:color="auto" w:fill="auto"/>
          </w:tcPr>
          <w:p>
            <w:pPr>
              <w:pStyle w:val="nTable"/>
              <w:spacing w:after="40"/>
              <w:rPr>
                <w:sz w:val="19"/>
              </w:rPr>
            </w:pPr>
            <w:r>
              <w:rPr>
                <w:sz w:val="19"/>
              </w:rPr>
              <w:t>31 Oct 2014 p. 4199-200</w:t>
            </w:r>
          </w:p>
        </w:tc>
        <w:tc>
          <w:tcPr>
            <w:tcW w:w="2694" w:type="dxa"/>
            <w:shd w:val="clear" w:color="auto" w:fill="auto"/>
          </w:tcPr>
          <w:p>
            <w:pPr>
              <w:pStyle w:val="nTable"/>
              <w:spacing w:after="40"/>
              <w:rPr>
                <w:bCs/>
                <w:snapToGrid w:val="0"/>
                <w:sz w:val="19"/>
                <w:szCs w:val="19"/>
              </w:rPr>
            </w:pPr>
            <w:r>
              <w:rPr>
                <w:bCs/>
                <w:snapToGrid w:val="0"/>
                <w:sz w:val="19"/>
                <w:szCs w:val="19"/>
              </w:rPr>
              <w:t>r. 1 and 2: 31 Oct 2014 (see r. 2(a));</w:t>
            </w:r>
            <w:r>
              <w:rPr>
                <w:bCs/>
                <w:snapToGrid w:val="0"/>
                <w:sz w:val="19"/>
                <w:szCs w:val="19"/>
              </w:rPr>
              <w:br/>
              <w:t>Regulations other than r. 1 and 2: 1 Nov 2014 (see r. 2(b))</w:t>
            </w:r>
          </w:p>
        </w:tc>
      </w:tr>
      <w:tr>
        <w:trPr>
          <w:cantSplit/>
        </w:trPr>
        <w:tc>
          <w:tcPr>
            <w:tcW w:w="3118" w:type="dxa"/>
            <w:shd w:val="clear" w:color="auto" w:fill="auto"/>
          </w:tcPr>
          <w:p>
            <w:pPr>
              <w:pStyle w:val="nTable"/>
              <w:spacing w:after="40"/>
              <w:ind w:right="113"/>
              <w:rPr>
                <w:i/>
                <w:sz w:val="19"/>
                <w:szCs w:val="19"/>
              </w:rPr>
            </w:pPr>
            <w:r>
              <w:rPr>
                <w:i/>
                <w:sz w:val="19"/>
                <w:szCs w:val="19"/>
              </w:rPr>
              <w:t>Fish Resources Management Amendment Regulations (No. 8) 2014</w:t>
            </w:r>
          </w:p>
        </w:tc>
        <w:tc>
          <w:tcPr>
            <w:tcW w:w="1276" w:type="dxa"/>
            <w:shd w:val="clear" w:color="auto" w:fill="auto"/>
          </w:tcPr>
          <w:p>
            <w:pPr>
              <w:pStyle w:val="nTable"/>
              <w:spacing w:after="40"/>
              <w:rPr>
                <w:sz w:val="19"/>
              </w:rPr>
            </w:pPr>
            <w:r>
              <w:rPr>
                <w:sz w:val="19"/>
              </w:rPr>
              <w:t>4 Nov 2014 p. 4203</w:t>
            </w:r>
          </w:p>
        </w:tc>
        <w:tc>
          <w:tcPr>
            <w:tcW w:w="2694" w:type="dxa"/>
            <w:shd w:val="clear" w:color="auto" w:fill="auto"/>
          </w:tcPr>
          <w:p>
            <w:pPr>
              <w:pStyle w:val="nTable"/>
              <w:spacing w:after="40"/>
              <w:rPr>
                <w:bCs/>
                <w:snapToGrid w:val="0"/>
                <w:sz w:val="19"/>
                <w:szCs w:val="19"/>
              </w:rPr>
            </w:pPr>
            <w:r>
              <w:rPr>
                <w:bCs/>
                <w:snapToGrid w:val="0"/>
                <w:sz w:val="19"/>
                <w:szCs w:val="19"/>
              </w:rPr>
              <w:t>r. 1 and 2: 4 Nov 2014 (see r. 2(a));</w:t>
            </w:r>
            <w:r>
              <w:rPr>
                <w:bCs/>
                <w:snapToGrid w:val="0"/>
                <w:sz w:val="19"/>
                <w:szCs w:val="19"/>
              </w:rPr>
              <w:br/>
              <w:t>Regulations other than r. 1 and 2: 5 Nov 2014 (see r. 2(b))</w:t>
            </w:r>
          </w:p>
        </w:tc>
      </w:tr>
    </w:tbl>
    <w:p>
      <w:pPr>
        <w:pStyle w:val="nSubsection"/>
        <w:spacing w:before="120"/>
        <w:rPr>
          <w:del w:id="1019" w:author="Master Repository Process" w:date="2021-08-28T12:00:00Z"/>
          <w:snapToGrid w:val="0"/>
        </w:rPr>
      </w:pPr>
      <w:del w:id="1020" w:author="Master Repository Process" w:date="2021-08-28T12:00:00Z">
        <w:r>
          <w:rPr>
            <w:snapToGrid w:val="0"/>
            <w:vertAlign w:val="superscript"/>
          </w:rPr>
          <w:delText>2</w:delText>
        </w:r>
        <w:r>
          <w:rPr>
            <w:snapToGrid w:val="0"/>
          </w:rPr>
          <w:tab/>
          <w:delText>Footnote no longer applicable.</w:delText>
        </w:r>
      </w:del>
    </w:p>
    <w:tbl>
      <w:tblPr>
        <w:tblW w:w="0" w:type="auto"/>
        <w:tblInd w:w="56" w:type="dxa"/>
        <w:tblLayout w:type="fixed"/>
        <w:tblCellMar>
          <w:left w:w="56" w:type="dxa"/>
          <w:right w:w="56" w:type="dxa"/>
        </w:tblCellMar>
        <w:tblLook w:val="0000" w:firstRow="0" w:lastRow="0" w:firstColumn="0" w:lastColumn="0" w:noHBand="0" w:noVBand="0"/>
      </w:tblPr>
      <w:tblGrid>
        <w:gridCol w:w="7088"/>
      </w:tblGrid>
      <w:tr>
        <w:trPr>
          <w:cantSplit/>
          <w:ins w:id="1021" w:author="Master Repository Process" w:date="2021-08-28T12:00:00Z"/>
        </w:trPr>
        <w:tc>
          <w:tcPr>
            <w:tcW w:w="7088" w:type="dxa"/>
            <w:tcBorders>
              <w:bottom w:val="single" w:sz="8" w:space="0" w:color="auto"/>
            </w:tcBorders>
            <w:shd w:val="clear" w:color="auto" w:fill="auto"/>
          </w:tcPr>
          <w:p>
            <w:pPr>
              <w:pStyle w:val="nTable"/>
              <w:spacing w:after="40"/>
              <w:rPr>
                <w:ins w:id="1022" w:author="Master Repository Process" w:date="2021-08-28T12:00:00Z"/>
                <w:bCs/>
                <w:snapToGrid w:val="0"/>
                <w:spacing w:val="-2"/>
                <w:sz w:val="19"/>
                <w:szCs w:val="19"/>
              </w:rPr>
            </w:pPr>
            <w:ins w:id="1023" w:author="Master Repository Process" w:date="2021-08-28T12:00:00Z">
              <w:r>
                <w:rPr>
                  <w:b/>
                  <w:sz w:val="19"/>
                </w:rPr>
                <w:t xml:space="preserve">Reprint 13: The </w:t>
              </w:r>
              <w:r>
                <w:rPr>
                  <w:b/>
                  <w:i/>
                  <w:sz w:val="19"/>
                </w:rPr>
                <w:t>Fish Resources Management Regulations 1995</w:t>
              </w:r>
              <w:r>
                <w:rPr>
                  <w:b/>
                  <w:sz w:val="19"/>
                </w:rPr>
                <w:t xml:space="preserve"> as at 14 Nov 2014</w:t>
              </w:r>
              <w:r>
                <w:rPr>
                  <w:b/>
                  <w:sz w:val="19"/>
                </w:rPr>
                <w:br/>
              </w:r>
              <w:r>
                <w:rPr>
                  <w:sz w:val="19"/>
                </w:rPr>
                <w:t>(includes amendments listed above)</w:t>
              </w:r>
            </w:ins>
          </w:p>
        </w:tc>
      </w:tr>
    </w:tbl>
    <w:p>
      <w:pPr>
        <w:pStyle w:val="nSubsection"/>
        <w:spacing w:before="160"/>
        <w:rPr>
          <w:ins w:id="1024" w:author="Master Repository Process" w:date="2021-08-28T12:00:00Z"/>
          <w:snapToGrid w:val="0"/>
        </w:rPr>
      </w:pPr>
      <w:ins w:id="1025" w:author="Master Repository Process" w:date="2021-08-28T12:00:00Z">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ins>
    </w:p>
    <w:p>
      <w:pPr>
        <w:pStyle w:val="nSubsection"/>
        <w:spacing w:before="100"/>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00"/>
        <w:rPr>
          <w:ins w:id="1026" w:author="Master Repository Process" w:date="2021-08-28T12:00:00Z"/>
          <w:snapToGrid w:val="0"/>
        </w:rPr>
      </w:pPr>
      <w:del w:id="1027" w:author="Master Repository Process" w:date="2021-08-28T12:00:00Z">
        <w:r>
          <w:rPr>
            <w:vertAlign w:val="superscript"/>
          </w:rPr>
          <w:delText>4</w:delText>
        </w:r>
      </w:del>
      <w:ins w:id="1028" w:author="Master Repository Process" w:date="2021-08-28T12:00:00Z">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ins>
    </w:p>
    <w:p>
      <w:pPr>
        <w:pStyle w:val="nSubsection"/>
        <w:spacing w:before="100"/>
      </w:pPr>
      <w:ins w:id="1029" w:author="Master Repository Process" w:date="2021-08-28T12:00:00Z">
        <w:r>
          <w:rPr>
            <w:vertAlign w:val="superscript"/>
          </w:rPr>
          <w:t>5</w:t>
        </w:r>
      </w:ins>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w:t>
      </w:r>
      <w:ins w:id="1030" w:author="Master Repository Process" w:date="2021-08-28T12:00:00Z">
        <w:r>
          <w:t xml:space="preserve"> (Sch. 1 cl. 68)</w:t>
        </w:r>
      </w:ins>
      <w:r>
        <w:t xml:space="preserve"> to the Fisheries Research and Development Account.</w:t>
      </w:r>
      <w:ins w:id="1031" w:author="Master Repository Process" w:date="2021-08-28T12:00:00Z">
        <w:r>
          <w:t xml:space="preserve"> This reference was changed under the </w:t>
        </w:r>
        <w:r>
          <w:rPr>
            <w:i/>
          </w:rPr>
          <w:t>Reprints Act 1984</w:t>
        </w:r>
        <w:r>
          <w:t xml:space="preserve"> s. 7(3)(h).</w:t>
        </w:r>
      </w:ins>
    </w:p>
    <w:p>
      <w:pPr>
        <w:pStyle w:val="nSubsection"/>
        <w:spacing w:before="100"/>
      </w:pPr>
      <w:del w:id="1032" w:author="Master Repository Process" w:date="2021-08-28T12:00:00Z">
        <w:r>
          <w:rPr>
            <w:vertAlign w:val="superscript"/>
          </w:rPr>
          <w:delText>5</w:delText>
        </w:r>
      </w:del>
      <w:ins w:id="1033" w:author="Master Repository Process" w:date="2021-08-28T12:00:00Z">
        <w:r>
          <w:rPr>
            <w:vertAlign w:val="superscript"/>
          </w:rPr>
          <w:t>6</w:t>
        </w:r>
      </w:ins>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w:t>
      </w:r>
      <w:ins w:id="1034" w:author="Master Repository Process" w:date="2021-08-28T12:00:00Z">
        <w:r>
          <w:t xml:space="preserve"> (Sch. 1 cl. 68)</w:t>
        </w:r>
      </w:ins>
      <w:r>
        <w:t xml:space="preserve"> to the Recreational Fishing Account.</w:t>
      </w:r>
      <w:ins w:id="1035" w:author="Master Repository Process" w:date="2021-08-28T12:00:00Z">
        <w:r>
          <w:t xml:space="preserve"> This reference was changed under the </w:t>
        </w:r>
        <w:r>
          <w:rPr>
            <w:i/>
          </w:rPr>
          <w:t>Reprints Act 1984</w:t>
        </w:r>
        <w:r>
          <w:t xml:space="preserve"> s. 7(3)(h).</w:t>
        </w:r>
      </w:ins>
    </w:p>
    <w:p>
      <w:pPr>
        <w:pStyle w:val="nSubsection"/>
        <w:spacing w:before="120"/>
      </w:pPr>
      <w:del w:id="1036" w:author="Master Repository Process" w:date="2021-08-28T12:00:00Z">
        <w:r>
          <w:rPr>
            <w:vertAlign w:val="superscript"/>
          </w:rPr>
          <w:delText>6</w:delText>
        </w:r>
      </w:del>
      <w:ins w:id="1037" w:author="Master Repository Process" w:date="2021-08-28T12:00:00Z">
        <w:r>
          <w:rPr>
            <w:vertAlign w:val="superscript"/>
          </w:rPr>
          <w:t>7</w:t>
        </w:r>
      </w:ins>
      <w:r>
        <w:tab/>
        <w:t xml:space="preserve">Disallowed on 16 Jun 1999, see </w:t>
      </w:r>
      <w:r>
        <w:rPr>
          <w:i/>
        </w:rPr>
        <w:t>Gazette</w:t>
      </w:r>
      <w:r>
        <w:t xml:space="preserve"> 25 Jun 1999 p. 2742.</w:t>
      </w:r>
    </w:p>
    <w:p>
      <w:pPr>
        <w:pStyle w:val="nSubsection"/>
        <w:spacing w:before="120"/>
      </w:pPr>
      <w:del w:id="1038" w:author="Master Repository Process" w:date="2021-08-28T12:00:00Z">
        <w:r>
          <w:rPr>
            <w:vertAlign w:val="superscript"/>
          </w:rPr>
          <w:delText>7</w:delText>
        </w:r>
      </w:del>
      <w:ins w:id="1039" w:author="Master Repository Process" w:date="2021-08-28T12:00:00Z">
        <w:r>
          <w:rPr>
            <w:vertAlign w:val="superscript"/>
          </w:rPr>
          <w:t>8</w:t>
        </w:r>
      </w:ins>
      <w:r>
        <w:tab/>
        <w:t xml:space="preserve">The commencement date </w:t>
      </w:r>
      <w:r>
        <w:rPr>
          <w:snapToGrid w:val="0"/>
        </w:rPr>
        <w:t>of 15 Jan 2013 that was specified</w:t>
      </w:r>
      <w:r>
        <w:t xml:space="preserve"> in r. 2(b) was before the date of gazettal.</w:t>
      </w:r>
    </w:p>
    <w:p>
      <w:pPr>
        <w:rPr>
          <w:del w:id="1040" w:author="Master Repository Process" w:date="2021-08-28T12:00:00Z"/>
        </w:rPr>
      </w:pPr>
    </w:p>
    <w:p>
      <w:pPr>
        <w:sectPr>
          <w:headerReference w:type="even" r:id="rId54"/>
          <w:headerReference w:type="default" r:id="rId55"/>
          <w:headerReference w:type="first" r:id="rId56"/>
          <w:pgSz w:w="11906" w:h="16838" w:code="9"/>
          <w:pgMar w:top="2376" w:right="2404" w:bottom="3544" w:left="2404" w:header="720" w:footer="3380" w:gutter="0"/>
          <w:cols w:space="720"/>
          <w:noEndnote/>
          <w:docGrid w:linePitch="326"/>
        </w:sectPr>
      </w:pPr>
    </w:p>
    <w:p/>
    <w:sectPr>
      <w:headerReference w:type="even" r:id="rId57"/>
      <w:headerReference w:type="default" r:id="rId58"/>
      <w:headerReference w:type="first" r:id="rId59"/>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fldSimple>
          <w:r>
            <w:instrText xml:space="preserve"> </w:instrText>
          </w:r>
          <w:r>
            <w:fldChar w:fldCharType="separate"/>
          </w:r>
          <w:r>
            <w:rPr>
              <w:noProof/>
            </w:rPr>
            <w:t>Form 9</w:t>
          </w:r>
          <w:r>
            <w:fldChar w:fldCharType="end"/>
          </w: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fldSimple>
          <w:r>
            <w:instrText xml:space="preserve"> </w:instrText>
          </w:r>
          <w:r>
            <w:fldChar w:fldCharType="separate"/>
          </w:r>
          <w:r>
            <w:rPr>
              <w:noProof/>
            </w:rPr>
            <w:t>Form 9</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16</w:t>
            </w:r>
          </w:fldSimple>
        </w:p>
      </w:tc>
      <w:tc>
        <w:tcPr>
          <w:tcW w:w="5715" w:type="dxa"/>
        </w:tcPr>
        <w:p>
          <w:pPr>
            <w:pStyle w:val="HeaderTextLeft"/>
          </w:pPr>
          <w:fldSimple w:instr=" styleref CharSchText ">
            <w:r>
              <w:rPr>
                <w:noProof/>
              </w:rPr>
              <w:t>Abalone zones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Abalone zones</w:t>
            </w:r>
          </w:fldSimple>
        </w:p>
      </w:tc>
      <w:tc>
        <w:tcPr>
          <w:tcW w:w="1548" w:type="dxa"/>
        </w:tcPr>
        <w:p>
          <w:pPr>
            <w:pStyle w:val="HeaderNumberRight"/>
            <w:ind w:right="17"/>
          </w:pPr>
          <w:fldSimple w:instr=" styleref CharSchno ">
            <w:r>
              <w:rPr>
                <w:noProof/>
              </w:rPr>
              <w:t>Schedule 16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1EC659F6"/>
    <w:multiLevelType w:val="multilevel"/>
    <w:tmpl w:val="F54627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8"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6"/>
  </w:num>
  <w:num w:numId="2">
    <w:abstractNumId w:val="2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7"/>
  </w:num>
  <w:num w:numId="14">
    <w:abstractNumId w:val="28"/>
  </w:num>
  <w:num w:numId="15">
    <w:abstractNumId w:val="16"/>
  </w:num>
  <w:num w:numId="16">
    <w:abstractNumId w:val="32"/>
  </w:num>
  <w:num w:numId="17">
    <w:abstractNumId w:val="17"/>
  </w:num>
  <w:num w:numId="18">
    <w:abstractNumId w:val="14"/>
  </w:num>
  <w:num w:numId="19">
    <w:abstractNumId w:val="30"/>
  </w:num>
  <w:num w:numId="20">
    <w:abstractNumId w:val="18"/>
  </w:num>
  <w:num w:numId="21">
    <w:abstractNumId w:val="19"/>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5452"/>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1210155452" w:val="RemoveTrackChanges"/>
    <w:docVar w:name="WAFER_20151210155452_GUID" w:val="c5769972-70d3-4a3d-b035-4aba115a61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B70DC4C6-5367-4818-A9C5-3C9BE82AD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image" Target="media/image8.jpeg"/><Relationship Id="rId21" Type="http://schemas.openxmlformats.org/officeDocument/2006/relationships/footer" Target="footer6.xml"/><Relationship Id="rId34" Type="http://schemas.openxmlformats.org/officeDocument/2006/relationships/image" Target="media/image3.jpeg"/><Relationship Id="rId42" Type="http://schemas.openxmlformats.org/officeDocument/2006/relationships/image" Target="media/image11.png"/><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header" Target="header2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4.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image" Target="media/image6.jpeg"/><Relationship Id="rId40" Type="http://schemas.openxmlformats.org/officeDocument/2006/relationships/image" Target="media/image9.jpeg"/><Relationship Id="rId45" Type="http://schemas.openxmlformats.org/officeDocument/2006/relationships/header" Target="header19.xml"/><Relationship Id="rId53" Type="http://schemas.openxmlformats.org/officeDocument/2006/relationships/header" Target="header26.xml"/><Relationship Id="rId58" Type="http://schemas.openxmlformats.org/officeDocument/2006/relationships/header" Target="header31.xml"/><Relationship Id="rId5" Type="http://schemas.openxmlformats.org/officeDocument/2006/relationships/webSettings" Target="webSettings.xml"/><Relationship Id="rId61" Type="http://schemas.microsoft.com/office/2011/relationships/people" Target="people.xml"/><Relationship Id="rId19" Type="http://schemas.openxmlformats.org/officeDocument/2006/relationships/footer" Target="footer5.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image" Target="media/image4.jpeg"/><Relationship Id="rId43" Type="http://schemas.openxmlformats.org/officeDocument/2006/relationships/image" Target="media/image12.jpeg"/><Relationship Id="rId48" Type="http://schemas.openxmlformats.org/officeDocument/2006/relationships/header" Target="header22.xml"/><Relationship Id="rId56" Type="http://schemas.openxmlformats.org/officeDocument/2006/relationships/header" Target="header29.xml"/><Relationship Id="rId8" Type="http://schemas.openxmlformats.org/officeDocument/2006/relationships/image" Target="media/image1.png"/><Relationship Id="rId51" Type="http://schemas.openxmlformats.org/officeDocument/2006/relationships/image" Target="media/image14.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image" Target="media/image7.jpeg"/><Relationship Id="rId46" Type="http://schemas.openxmlformats.org/officeDocument/2006/relationships/header" Target="header20.xml"/><Relationship Id="rId59" Type="http://schemas.openxmlformats.org/officeDocument/2006/relationships/header" Target="header32.xml"/><Relationship Id="rId20" Type="http://schemas.openxmlformats.org/officeDocument/2006/relationships/header" Target="header6.xml"/><Relationship Id="rId41" Type="http://schemas.openxmlformats.org/officeDocument/2006/relationships/image" Target="media/image10.jpeg"/><Relationship Id="rId54" Type="http://schemas.openxmlformats.org/officeDocument/2006/relationships/header" Target="header27.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5.jpeg"/><Relationship Id="rId49" Type="http://schemas.openxmlformats.org/officeDocument/2006/relationships/header" Target="header23.xml"/><Relationship Id="rId57" Type="http://schemas.openxmlformats.org/officeDocument/2006/relationships/header" Target="header30.xml"/><Relationship Id="rId10" Type="http://schemas.openxmlformats.org/officeDocument/2006/relationships/header" Target="header2.xml"/><Relationship Id="rId31" Type="http://schemas.openxmlformats.org/officeDocument/2006/relationships/header" Target="header16.xml"/><Relationship Id="rId44" Type="http://schemas.openxmlformats.org/officeDocument/2006/relationships/image" Target="media/image13.jpeg"/><Relationship Id="rId52" Type="http://schemas.openxmlformats.org/officeDocument/2006/relationships/header" Target="header25.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9C9B8D-2928-46CD-9F78-80006AFC2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70000</Words>
  <Characters>333905</Characters>
  <Application>Microsoft Office Word</Application>
  <DocSecurity>0</DocSecurity>
  <Lines>11925</Lines>
  <Paragraphs>8593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12-n0-02 - 13-a0-03</dc:title>
  <dc:subject/>
  <dc:creator/>
  <cp:keywords/>
  <dc:description/>
  <cp:lastModifiedBy>Master Repository Process</cp:lastModifiedBy>
  <cp:revision>2</cp:revision>
  <cp:lastPrinted>2014-11-18T01:26:00Z</cp:lastPrinted>
  <dcterms:created xsi:type="dcterms:W3CDTF">2021-08-28T03:59:00Z</dcterms:created>
  <dcterms:modified xsi:type="dcterms:W3CDTF">2021-08-28T04:00:00Z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20141114</vt:lpwstr>
  </property>
  <property fmtid="{D5CDD505-2E9C-101B-9397-08002B2CF9AE}" pid="4" name="DocumentType">
    <vt:lpwstr>Reg</vt:lpwstr>
  </property>
  <property fmtid="{D5CDD505-2E9C-101B-9397-08002B2CF9AE}" pid="5" name="OwlsUID">
    <vt:i4>4447</vt:i4>
  </property>
  <property fmtid="{D5CDD505-2E9C-101B-9397-08002B2CF9AE}" pid="6" name="ReprintNo">
    <vt:lpwstr>13</vt:lpwstr>
  </property>
  <property fmtid="{D5CDD505-2E9C-101B-9397-08002B2CF9AE}" pid="7" name="ReprintedAsAt">
    <vt:filetime>2014-11-13T16:00:00Z</vt:filetime>
  </property>
  <property fmtid="{D5CDD505-2E9C-101B-9397-08002B2CF9AE}" pid="8" name="FromSuffix">
    <vt:lpwstr>12-n0-02</vt:lpwstr>
  </property>
  <property fmtid="{D5CDD505-2E9C-101B-9397-08002B2CF9AE}" pid="9" name="FromAsAtDate">
    <vt:lpwstr>05 Nov 2014</vt:lpwstr>
  </property>
  <property fmtid="{D5CDD505-2E9C-101B-9397-08002B2CF9AE}" pid="10" name="ToSuffix">
    <vt:lpwstr>13-a0-03</vt:lpwstr>
  </property>
  <property fmtid="{D5CDD505-2E9C-101B-9397-08002B2CF9AE}" pid="11" name="ToAsAtDate">
    <vt:lpwstr>14 Nov 2014</vt:lpwstr>
  </property>
</Properties>
</file>