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 Standards)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2013</w:t>
      </w:r>
      <w:r>
        <w:fldChar w:fldCharType="end"/>
      </w:r>
      <w:r>
        <w:t xml:space="preserve">, </w:t>
      </w:r>
      <w:r>
        <w:fldChar w:fldCharType="begin"/>
      </w:r>
      <w:r>
        <w:instrText xml:space="preserve"> DocProperty FromSuffix </w:instrText>
      </w:r>
      <w:r>
        <w:fldChar w:fldCharType="separate"/>
      </w:r>
      <w:r>
        <w:t>02-f0-03</w:t>
      </w:r>
      <w:r>
        <w:fldChar w:fldCharType="end"/>
      </w:r>
      <w:r>
        <w:t>] and [</w:t>
      </w:r>
      <w:r>
        <w:fldChar w:fldCharType="begin"/>
      </w:r>
      <w:r>
        <w:instrText xml:space="preserve"> DocProperty ToAsAtDate</w:instrText>
      </w:r>
      <w:r>
        <w:fldChar w:fldCharType="separate"/>
      </w:r>
      <w:r>
        <w:t>23 Dec 2014</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1" w:name="_Toc407625613"/>
      <w:bookmarkStart w:id="2" w:name="_Toc417033310"/>
      <w:bookmarkStart w:id="3" w:name="_Toc417033494"/>
      <w:bookmarkStart w:id="4" w:name="_Toc33775781"/>
      <w:r>
        <w:rPr>
          <w:rStyle w:val="CharPartNo"/>
        </w:rPr>
        <w:t>P</w:t>
      </w:r>
      <w:bookmarkStart w:id="5" w:name="_GoBack"/>
      <w:bookmarkEnd w:id="5"/>
      <w:r>
        <w:rPr>
          <w:rStyle w:val="CharPartNo"/>
        </w:rPr>
        <w:t>art 1</w:t>
      </w:r>
      <w:r>
        <w:t> — </w:t>
      </w:r>
      <w:r>
        <w:rPr>
          <w:rStyle w:val="CharPartText"/>
        </w:rPr>
        <w:t>Preliminary</w:t>
      </w:r>
      <w:bookmarkEnd w:id="1"/>
      <w:bookmarkEnd w:id="2"/>
      <w:bookmarkEnd w:id="3"/>
      <w:bookmarkEnd w:id="4"/>
    </w:p>
    <w:p>
      <w:pPr>
        <w:pStyle w:val="Heading5"/>
      </w:pPr>
      <w:bookmarkStart w:id="6" w:name="_Toc407625614"/>
      <w:bookmarkStart w:id="7" w:name="_Toc417033495"/>
      <w:bookmarkStart w:id="8" w:name="_Toc33775782"/>
      <w:r>
        <w:rPr>
          <w:rStyle w:val="CharSectno"/>
        </w:rPr>
        <w:t>1</w:t>
      </w:r>
      <w:r>
        <w:t>.</w:t>
      </w:r>
      <w:r>
        <w:tab/>
        <w:t>Citation</w:t>
      </w:r>
      <w:bookmarkEnd w:id="6"/>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9" w:name="_Toc407625615"/>
      <w:bookmarkStart w:id="10" w:name="_Toc417033496"/>
      <w:bookmarkStart w:id="11" w:name="_Toc33775783"/>
      <w:r>
        <w:rPr>
          <w:rStyle w:val="CharSectno"/>
        </w:rPr>
        <w:t>2</w:t>
      </w:r>
      <w:r>
        <w:t>.</w:t>
      </w:r>
      <w:r>
        <w:tab/>
        <w:t>Commencement</w:t>
      </w:r>
      <w:bookmarkEnd w:id="9"/>
      <w:bookmarkEnd w:id="10"/>
      <w:bookmarkEnd w:id="11"/>
    </w:p>
    <w:p>
      <w:pPr>
        <w:pStyle w:val="Subsection"/>
        <w:rPr>
          <w:spacing w:val="-2"/>
        </w:rPr>
      </w:pPr>
      <w:r>
        <w:tab/>
      </w:r>
      <w:r>
        <w:tab/>
      </w:r>
      <w:r>
        <w:rPr>
          <w:spacing w:val="-2"/>
        </w:rPr>
        <w:t>These regulations come into operation on 1 November 2002.</w:t>
      </w:r>
    </w:p>
    <w:p>
      <w:pPr>
        <w:pStyle w:val="Heading5"/>
      </w:pPr>
      <w:bookmarkStart w:id="12" w:name="_Toc407625616"/>
      <w:bookmarkStart w:id="13" w:name="_Toc417033497"/>
      <w:bookmarkStart w:id="14" w:name="_Toc33775784"/>
      <w:r>
        <w:rPr>
          <w:rStyle w:val="CharSectno"/>
        </w:rPr>
        <w:t>3</w:t>
      </w:r>
      <w:r>
        <w:t>.</w:t>
      </w:r>
      <w:r>
        <w:tab/>
        <w:t>Interpretation</w:t>
      </w:r>
      <w:bookmarkEnd w:id="12"/>
      <w:bookmarkEnd w:id="13"/>
      <w:bookmarkEnd w:id="14"/>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15" w:name="_Toc407625617"/>
      <w:bookmarkStart w:id="16" w:name="_Toc417033498"/>
      <w:bookmarkStart w:id="17" w:name="_Toc33775785"/>
      <w:r>
        <w:rPr>
          <w:rStyle w:val="CharSectno"/>
        </w:rPr>
        <w:t>4</w:t>
      </w:r>
      <w:r>
        <w:t>.</w:t>
      </w:r>
      <w:r>
        <w:tab/>
        <w:t>Exemptions in emergencies</w:t>
      </w:r>
      <w:bookmarkEnd w:id="15"/>
      <w:bookmarkEnd w:id="16"/>
      <w:bookmarkEnd w:id="17"/>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18" w:name="_Toc407625618"/>
      <w:bookmarkStart w:id="19" w:name="_Toc417033499"/>
      <w:bookmarkStart w:id="20" w:name="_Toc33775786"/>
      <w:r>
        <w:rPr>
          <w:rStyle w:val="CharSectno"/>
        </w:rPr>
        <w:t>5</w:t>
      </w:r>
      <w:r>
        <w:t>.</w:t>
      </w:r>
      <w:r>
        <w:tab/>
        <w:t>Application</w:t>
      </w:r>
      <w:bookmarkEnd w:id="18"/>
      <w:bookmarkEnd w:id="19"/>
      <w:bookmarkEnd w:id="20"/>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21" w:name="_Toc407625619"/>
      <w:bookmarkStart w:id="22" w:name="_Toc417033316"/>
      <w:bookmarkStart w:id="23" w:name="_Toc417033500"/>
      <w:bookmarkStart w:id="24" w:name="_Toc33775787"/>
      <w:r>
        <w:rPr>
          <w:rStyle w:val="CharPartNo"/>
        </w:rPr>
        <w:t>Part 2</w:t>
      </w:r>
      <w:r>
        <w:rPr>
          <w:rStyle w:val="CharDivNo"/>
        </w:rPr>
        <w:t> </w:t>
      </w:r>
      <w:r>
        <w:t>—</w:t>
      </w:r>
      <w:r>
        <w:rPr>
          <w:rStyle w:val="CharDivNo"/>
        </w:rPr>
        <w:t> </w:t>
      </w:r>
      <w:r>
        <w:rPr>
          <w:rStyle w:val="CharPartText"/>
        </w:rPr>
        <w:t>Maintenance, emission control and Vehicle Standards</w:t>
      </w:r>
      <w:bookmarkEnd w:id="21"/>
      <w:bookmarkEnd w:id="22"/>
      <w:bookmarkEnd w:id="23"/>
      <w:bookmarkEnd w:id="24"/>
    </w:p>
    <w:p>
      <w:pPr>
        <w:pStyle w:val="Heading5"/>
      </w:pPr>
      <w:bookmarkStart w:id="25" w:name="_Toc407625620"/>
      <w:bookmarkStart w:id="26" w:name="_Toc417033501"/>
      <w:bookmarkStart w:id="27" w:name="_Toc33775788"/>
      <w:r>
        <w:rPr>
          <w:rStyle w:val="CharSectno"/>
        </w:rPr>
        <w:t>6</w:t>
      </w:r>
      <w:r>
        <w:t>.</w:t>
      </w:r>
      <w:r>
        <w:tab/>
        <w:t>Motor vehicles and trailers to be properly maintained</w:t>
      </w:r>
      <w:bookmarkEnd w:id="25"/>
      <w:bookmarkEnd w:id="26"/>
      <w:bookmarkEnd w:id="27"/>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28" w:name="_Toc407625621"/>
      <w:bookmarkStart w:id="29" w:name="_Toc417033502"/>
      <w:bookmarkStart w:id="30" w:name="_Toc33775789"/>
      <w:r>
        <w:rPr>
          <w:rStyle w:val="CharSectno"/>
        </w:rPr>
        <w:t>7</w:t>
      </w:r>
      <w:r>
        <w:t>.</w:t>
      </w:r>
      <w:r>
        <w:tab/>
        <w:t>Emission control systems to be fitted and properly maintained</w:t>
      </w:r>
      <w:bookmarkEnd w:id="28"/>
      <w:bookmarkEnd w:id="29"/>
      <w:bookmarkEnd w:id="30"/>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spacing w:before="120"/>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spacing w:before="120"/>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31" w:name="_Toc407625622"/>
      <w:bookmarkStart w:id="32" w:name="_Toc417033503"/>
      <w:bookmarkStart w:id="33" w:name="_Toc33775790"/>
      <w:r>
        <w:rPr>
          <w:rStyle w:val="CharSectno"/>
        </w:rPr>
        <w:t>8</w:t>
      </w:r>
      <w:r>
        <w:t>.</w:t>
      </w:r>
      <w:r>
        <w:tab/>
        <w:t>Motor vehicles not complying with the Vehicle Standards</w:t>
      </w:r>
      <w:bookmarkEnd w:id="31"/>
      <w:bookmarkEnd w:id="32"/>
      <w:bookmarkEnd w:id="33"/>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34" w:name="_Toc407625623"/>
      <w:bookmarkStart w:id="35" w:name="_Toc417033504"/>
      <w:bookmarkStart w:id="36" w:name="_Toc33775791"/>
      <w:r>
        <w:rPr>
          <w:rStyle w:val="CharSectno"/>
        </w:rPr>
        <w:t>9</w:t>
      </w:r>
      <w:r>
        <w:t>.</w:t>
      </w:r>
      <w:r>
        <w:tab/>
        <w:t>Trailers not complying with Vehicle Standards</w:t>
      </w:r>
      <w:bookmarkEnd w:id="34"/>
      <w:bookmarkEnd w:id="35"/>
      <w:bookmarkEnd w:id="36"/>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Heading5"/>
        <w:spacing w:before="240"/>
      </w:pPr>
      <w:bookmarkStart w:id="37" w:name="_Toc407625624"/>
      <w:bookmarkStart w:id="38" w:name="_Toc417033505"/>
      <w:bookmarkStart w:id="39" w:name="_Toc33775792"/>
      <w:r>
        <w:rPr>
          <w:rStyle w:val="CharSectno"/>
        </w:rPr>
        <w:t>10</w:t>
      </w:r>
      <w:r>
        <w:t>.</w:t>
      </w:r>
      <w:r>
        <w:tab/>
        <w:t>Combinations not complying with Vehicle Standards</w:t>
      </w:r>
      <w:bookmarkEnd w:id="37"/>
      <w:bookmarkEnd w:id="38"/>
      <w:bookmarkEnd w:id="39"/>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(2)</w:t>
      </w:r>
      <w:r>
        <w:tab/>
        <w:t>A person must not permit a combination to be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40" w:name="_Toc407625625"/>
      <w:bookmarkStart w:id="41" w:name="_Toc417033506"/>
      <w:bookmarkStart w:id="42" w:name="_Toc33775793"/>
      <w:r>
        <w:rPr>
          <w:rStyle w:val="CharSectno"/>
        </w:rPr>
        <w:t>10A</w:t>
      </w:r>
      <w:r>
        <w:t>.</w:t>
      </w:r>
      <w:r>
        <w:tab/>
        <w:t>Permissible movement of defective vehicles</w:t>
      </w:r>
      <w:bookmarkEnd w:id="40"/>
      <w:bookmarkEnd w:id="41"/>
      <w:bookmarkEnd w:id="42"/>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43" w:name="_Toc407625626"/>
      <w:bookmarkStart w:id="44" w:name="_Toc417033507"/>
      <w:bookmarkStart w:id="45" w:name="_Toc33775794"/>
      <w:r>
        <w:rPr>
          <w:rStyle w:val="CharSectno"/>
        </w:rPr>
        <w:t>10B</w:t>
      </w:r>
      <w:r>
        <w:t>.</w:t>
      </w:r>
      <w:r>
        <w:tab/>
        <w:t>Registered write</w:t>
      </w:r>
      <w:r>
        <w:noBreakHyphen/>
        <w:t>offs</w:t>
      </w:r>
      <w:bookmarkEnd w:id="43"/>
      <w:bookmarkEnd w:id="44"/>
      <w:bookmarkEnd w:id="45"/>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46" w:name="_Toc407625627"/>
      <w:bookmarkStart w:id="47" w:name="_Toc417033324"/>
      <w:bookmarkStart w:id="48" w:name="_Toc417033508"/>
      <w:bookmarkStart w:id="49" w:name="_Toc33775795"/>
      <w:r>
        <w:rPr>
          <w:rStyle w:val="CharPartNo"/>
        </w:rPr>
        <w:t>Part 3</w:t>
      </w:r>
      <w:r>
        <w:rPr>
          <w:rStyle w:val="CharDivNo"/>
        </w:rPr>
        <w:t xml:space="preserve"> </w:t>
      </w:r>
      <w:r>
        <w:t>—</w:t>
      </w:r>
      <w:r>
        <w:rPr>
          <w:rStyle w:val="CharDivText"/>
        </w:rPr>
        <w:t xml:space="preserve"> </w:t>
      </w:r>
      <w:r>
        <w:rPr>
          <w:rStyle w:val="CharPartText"/>
        </w:rPr>
        <w:t>Mass and loading requirements</w:t>
      </w:r>
      <w:bookmarkEnd w:id="46"/>
      <w:bookmarkEnd w:id="47"/>
      <w:bookmarkEnd w:id="48"/>
      <w:bookmarkEnd w:id="49"/>
    </w:p>
    <w:p>
      <w:pPr>
        <w:pStyle w:val="Heading5"/>
      </w:pPr>
      <w:bookmarkStart w:id="50" w:name="_Toc407625628"/>
      <w:bookmarkStart w:id="51" w:name="_Toc417033509"/>
      <w:bookmarkStart w:id="52" w:name="_Toc33775796"/>
      <w:r>
        <w:rPr>
          <w:rStyle w:val="CharSectno"/>
        </w:rPr>
        <w:t>11</w:t>
      </w:r>
      <w:r>
        <w:t>.</w:t>
      </w:r>
      <w:r>
        <w:tab/>
        <w:t>Application</w:t>
      </w:r>
      <w:bookmarkEnd w:id="50"/>
      <w:bookmarkEnd w:id="51"/>
      <w:bookmarkEnd w:id="52"/>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53" w:name="_Toc407625629"/>
      <w:bookmarkStart w:id="54" w:name="_Toc417033510"/>
      <w:bookmarkStart w:id="55" w:name="_Toc33775797"/>
      <w:r>
        <w:rPr>
          <w:rStyle w:val="CharSectno"/>
        </w:rPr>
        <w:t>12</w:t>
      </w:r>
      <w:r>
        <w:t>.</w:t>
      </w:r>
      <w:r>
        <w:tab/>
        <w:t>Compliance with requirements: motor vehicles</w:t>
      </w:r>
      <w:bookmarkEnd w:id="53"/>
      <w:bookmarkEnd w:id="54"/>
      <w:bookmarkEnd w:id="55"/>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Heading5"/>
      </w:pPr>
      <w:bookmarkStart w:id="56" w:name="_Toc407625630"/>
      <w:bookmarkStart w:id="57" w:name="_Toc417033511"/>
      <w:bookmarkStart w:id="58" w:name="_Toc33775798"/>
      <w:r>
        <w:rPr>
          <w:rStyle w:val="CharSectno"/>
        </w:rPr>
        <w:t>13</w:t>
      </w:r>
      <w:r>
        <w:t>.</w:t>
      </w:r>
      <w:r>
        <w:tab/>
        <w:t>Compliance with requirements: trailers</w:t>
      </w:r>
      <w:bookmarkEnd w:id="56"/>
      <w:bookmarkEnd w:id="57"/>
      <w:bookmarkEnd w:id="58"/>
    </w:p>
    <w:p>
      <w:pPr>
        <w:pStyle w:val="Subsection"/>
      </w:pPr>
      <w:r>
        <w:tab/>
        <w:t>(1)</w:t>
      </w:r>
      <w:r>
        <w:tab/>
        <w:t>This regulation applies to a trailer whether or not it forms part of a combination.</w:t>
      </w:r>
    </w:p>
    <w:p>
      <w:pPr>
        <w:pStyle w:val="Subsection"/>
        <w:keepLines/>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Heading5"/>
      </w:pPr>
      <w:bookmarkStart w:id="59" w:name="_Toc407625631"/>
      <w:bookmarkStart w:id="60" w:name="_Toc417033512"/>
      <w:bookmarkStart w:id="61" w:name="_Toc33775799"/>
      <w:r>
        <w:rPr>
          <w:rStyle w:val="CharSectno"/>
        </w:rPr>
        <w:t>14</w:t>
      </w:r>
      <w:r>
        <w:t>.</w:t>
      </w:r>
      <w:r>
        <w:tab/>
        <w:t>Compliance with requirements: combinations</w:t>
      </w:r>
      <w:bookmarkEnd w:id="59"/>
      <w:bookmarkEnd w:id="60"/>
      <w:bookmarkEnd w:id="61"/>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Heading5"/>
      </w:pPr>
      <w:bookmarkStart w:id="62" w:name="_Toc407625632"/>
      <w:bookmarkStart w:id="63" w:name="_Toc417033513"/>
      <w:bookmarkStart w:id="64" w:name="_Toc33775800"/>
      <w:r>
        <w:rPr>
          <w:rStyle w:val="CharSectno"/>
        </w:rPr>
        <w:t>15</w:t>
      </w:r>
      <w:r>
        <w:t>.</w:t>
      </w:r>
      <w:r>
        <w:tab/>
        <w:t>Proof of loading offences</w:t>
      </w:r>
      <w:bookmarkEnd w:id="62"/>
      <w:bookmarkEnd w:id="63"/>
      <w:bookmarkEnd w:id="64"/>
    </w:p>
    <w:p>
      <w:pPr>
        <w:pStyle w:val="Subsection"/>
        <w:spacing w:before="120"/>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spacing w:before="60"/>
      </w:pPr>
      <w:r>
        <w:tab/>
        <w:t>(a)</w:t>
      </w:r>
      <w:r>
        <w:tab/>
        <w:t>published by the National Transport Commission in April 2004; and</w:t>
      </w:r>
    </w:p>
    <w:p>
      <w:pPr>
        <w:pStyle w:val="Indenta"/>
        <w:spacing w:before="60"/>
        <w:rPr>
          <w:i/>
        </w:rPr>
      </w:pPr>
      <w:r>
        <w:tab/>
        <w:t>(b)</w:t>
      </w:r>
      <w:r>
        <w:tab/>
        <w:t>available from the Department and on the National Transport Commission’s internet website.</w:t>
      </w:r>
    </w:p>
    <w:p>
      <w:pPr>
        <w:pStyle w:val="Subsection"/>
        <w:spacing w:before="120"/>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spacing w:before="120"/>
      </w:pPr>
      <w:r>
        <w:tab/>
        <w:t>(2)</w:t>
      </w:r>
      <w:r>
        <w:tab/>
        <w:t>In proceedings for a failure to comply with Schedule 1 clause 12 a document purporting to be —</w:t>
      </w:r>
    </w:p>
    <w:p>
      <w:pPr>
        <w:pStyle w:val="Indenta"/>
        <w:spacing w:before="60"/>
      </w:pPr>
      <w:r>
        <w:tab/>
        <w:t>(a)</w:t>
      </w:r>
      <w:r>
        <w:tab/>
        <w:t>the “Load Restraint Guide – Second Edition” referred to in subregulation (1) is, in the absence of any evidence to the contrary, to be taken to be the “Load Restraint Guide – Second Edition”; and</w:t>
      </w:r>
    </w:p>
    <w:p>
      <w:pPr>
        <w:pStyle w:val="Indenta"/>
        <w:spacing w:before="60"/>
      </w:pPr>
      <w:r>
        <w:tab/>
        <w:t>(b)</w:t>
      </w:r>
      <w:r>
        <w:tab/>
        <w:t>the “Load Restraint Guide” referred to in subregulation (1a) is, in the absence of any evidence to the contrary, to be taken to be the “Load Restraint Guide”.</w:t>
      </w:r>
    </w:p>
    <w:p>
      <w:pPr>
        <w:pStyle w:val="Subsection"/>
        <w:spacing w:before="12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pPr>
      <w:r>
        <w:tab/>
        <w:t>(4)</w:t>
      </w:r>
      <w:r>
        <w:tab/>
        <w:t>In this regulation —</w:t>
      </w:r>
    </w:p>
    <w:p>
      <w:pPr>
        <w:pStyle w:val="Defstart"/>
      </w:pPr>
      <w:r>
        <w:rPr>
          <w:b/>
        </w:rPr>
        <w:tab/>
      </w:r>
      <w:r>
        <w:rPr>
          <w:rStyle w:val="CharDefText"/>
        </w:rPr>
        <w:t>National Transport Commission</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65" w:name="_Toc407625633"/>
      <w:bookmarkStart w:id="66" w:name="_Toc417033514"/>
      <w:bookmarkStart w:id="67" w:name="_Toc33775801"/>
      <w:r>
        <w:rPr>
          <w:rStyle w:val="CharSectno"/>
        </w:rPr>
        <w:t>16</w:t>
      </w:r>
      <w:r>
        <w:t>.</w:t>
      </w:r>
      <w:r>
        <w:tab/>
        <w:t>Penalty for an offence under regulation 12, 13 or 14</w:t>
      </w:r>
      <w:bookmarkEnd w:id="65"/>
      <w:bookmarkEnd w:id="66"/>
      <w:bookmarkEnd w:id="67"/>
    </w:p>
    <w:p>
      <w:pPr>
        <w:pStyle w:val="Subsection"/>
        <w:spacing w:before="120"/>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spacing w:before="120"/>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spacing w:before="120"/>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spacing w:before="120"/>
      </w:pPr>
      <w:r>
        <w:tab/>
        <w:t>(4)</w:t>
      </w:r>
      <w:r>
        <w:tab/>
        <w:t>A person convicted of an offence under regulation 12, 13 or 14 for a failure to comply with a requirement in Schedule 1 clause 2(1), 2(2) or 4(2) or Schedule 1 Division 3, 5 or 6 is liable to the following penalty:</w:t>
      </w:r>
    </w:p>
    <w:p>
      <w:pPr>
        <w:pStyle w:val="Penstart"/>
      </w:pPr>
      <w:r>
        <w:tab/>
        <w:t>Maximum penalty: 16 PU.</w:t>
      </w:r>
    </w:p>
    <w:p>
      <w:pPr>
        <w:pStyle w:val="Penstart"/>
      </w:pPr>
      <w:r>
        <w:tab/>
        <w:t>Minimum penalty: 8 PU.</w:t>
      </w:r>
    </w:p>
    <w:p>
      <w:pPr>
        <w:pStyle w:val="Penstart"/>
      </w:pPr>
      <w:r>
        <w:tab/>
        <w:t>Modified penalty: 8 PU.</w:t>
      </w:r>
    </w:p>
    <w:p>
      <w:pPr>
        <w:pStyle w:val="Subsection"/>
        <w:spacing w:before="120"/>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spacing w:before="80"/>
        <w:ind w:left="890" w:hanging="890"/>
      </w:pPr>
      <w:r>
        <w:tab/>
        <w:t>[Regulation 16 amended in Gazette 13 Dec 2005 p. 5989.]</w:t>
      </w:r>
    </w:p>
    <w:p>
      <w:pPr>
        <w:pStyle w:val="Heading5"/>
      </w:pPr>
      <w:bookmarkStart w:id="68" w:name="_Toc407625634"/>
      <w:bookmarkStart w:id="69" w:name="_Toc417033515"/>
      <w:bookmarkStart w:id="70" w:name="_Toc33775802"/>
      <w:r>
        <w:rPr>
          <w:rStyle w:val="CharSectno"/>
        </w:rPr>
        <w:t>17</w:t>
      </w:r>
      <w:r>
        <w:t>.</w:t>
      </w:r>
      <w:r>
        <w:tab/>
        <w:t>Failure to comply with certain exemption conditions</w:t>
      </w:r>
      <w:bookmarkEnd w:id="68"/>
      <w:bookmarkEnd w:id="69"/>
      <w:bookmarkEnd w:id="70"/>
    </w:p>
    <w:p>
      <w:pPr>
        <w:pStyle w:val="Subsection"/>
        <w:keepNext/>
        <w:keepLines/>
        <w:spacing w:before="120"/>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spacing w:before="120"/>
      </w:pPr>
      <w:r>
        <w:tab/>
      </w:r>
      <w:r>
        <w:tab/>
        <w:t>the exemption must be disregarded for the purposes of the prosecution.</w:t>
      </w:r>
    </w:p>
    <w:p>
      <w:pPr>
        <w:pStyle w:val="Heading5"/>
        <w:spacing w:before="180"/>
      </w:pPr>
      <w:bookmarkStart w:id="71" w:name="_Toc407625635"/>
      <w:bookmarkStart w:id="72" w:name="_Toc417033516"/>
      <w:bookmarkStart w:id="73" w:name="_Toc33775803"/>
      <w:r>
        <w:rPr>
          <w:rStyle w:val="CharSectno"/>
        </w:rPr>
        <w:t>18</w:t>
      </w:r>
      <w:r>
        <w:t>.</w:t>
      </w:r>
      <w:r>
        <w:tab/>
        <w:t>Ascertainment of masses</w:t>
      </w:r>
      <w:bookmarkEnd w:id="71"/>
      <w:bookmarkEnd w:id="72"/>
      <w:bookmarkEnd w:id="73"/>
    </w:p>
    <w:p>
      <w:pPr>
        <w:pStyle w:val="Subsection"/>
        <w:spacing w:before="120"/>
      </w:pPr>
      <w:r>
        <w:tab/>
        <w:t>(1)</w:t>
      </w:r>
      <w:r>
        <w:tab/>
        <w:t>The mass of a vehicle and any load or the mass supported on any part of a vehicle may be ascertained —</w:t>
      </w:r>
    </w:p>
    <w:p>
      <w:pPr>
        <w:pStyle w:val="Indenta"/>
      </w:pPr>
      <w:r>
        <w:tab/>
        <w:t>(a)</w:t>
      </w:r>
      <w:r>
        <w:tab/>
        <w:t xml:space="preserve">by weighing the vehicle or part of the vehicle on — </w:t>
      </w:r>
    </w:p>
    <w:p>
      <w:pPr>
        <w:pStyle w:val="Indenti"/>
      </w:pPr>
      <w:r>
        <w:tab/>
        <w:t>(i)</w:t>
      </w:r>
      <w:r>
        <w:tab/>
        <w:t xml:space="preserve">a public weighbridge, as defined in the </w:t>
      </w:r>
      <w:r>
        <w:rPr>
          <w:i/>
          <w:iCs/>
        </w:rPr>
        <w:t xml:space="preserve">National Measurement Act 1960 </w:t>
      </w:r>
      <w:r>
        <w:t>(Commonwealth) section 3(1), that is mentioned in a public weighbridge licence in force under Part XI of that Act; or</w:t>
      </w:r>
    </w:p>
    <w:p>
      <w:pPr>
        <w:pStyle w:val="Indenti"/>
      </w:pPr>
      <w:r>
        <w:tab/>
        <w:t>(ii)</w:t>
      </w:r>
      <w:r>
        <w:tab/>
        <w:t>a weighbridge as defined in section 3(1) of that Act, other than a public weighbridge, that is verified under that Act;</w:t>
      </w:r>
    </w:p>
    <w:p>
      <w:pPr>
        <w:pStyle w:val="Indenta"/>
      </w:pPr>
      <w:r>
        <w:tab/>
      </w:r>
      <w:r>
        <w:tab/>
        <w:t>or</w:t>
      </w:r>
    </w:p>
    <w:p>
      <w:pPr>
        <w:pStyle w:val="Indenta"/>
      </w:pPr>
      <w:r>
        <w:tab/>
        <w:t>(b)</w:t>
      </w:r>
      <w:r>
        <w:tab/>
        <w:t>by use of one or more loadmeters.</w:t>
      </w:r>
    </w:p>
    <w:p>
      <w:pPr>
        <w:pStyle w:val="Subsection"/>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pPr>
      <w:r>
        <w:tab/>
        <w:t>(4)</w:t>
      </w:r>
      <w:r>
        <w:tab/>
        <w:t>If the mass of a vehicle and any load, or the mass supported on any part of a vehicle cannot be, or cannot conveniently be, ascertained under subregulation (1) to (3) —</w:t>
      </w:r>
    </w:p>
    <w:p>
      <w:pPr>
        <w:pStyle w:val="Indenta"/>
      </w:pPr>
      <w:r>
        <w:tab/>
        <w:t>(a)</w:t>
      </w:r>
      <w:r>
        <w:tab/>
        <w:t>if the load comprises only equipment, the mass of the equipment, ascertained by reference to the manufacturer’s specification (if any) relating to the equipment, is taken to be the mass of the load;</w:t>
      </w:r>
    </w:p>
    <w:p>
      <w:pPr>
        <w:pStyle w:val="Indenta"/>
      </w:pPr>
      <w:r>
        <w:tab/>
        <w:t>(b)</w:t>
      </w:r>
      <w:r>
        <w:tab/>
        <w:t>the unloaded mass of the vehicle ascertained by reference to the manufacturer’s specification (if any) relating to the vehicle, is taken to be the mass of the vehicle; and</w:t>
      </w:r>
    </w:p>
    <w:p>
      <w:pPr>
        <w:pStyle w:val="Indenta"/>
      </w:pPr>
      <w:r>
        <w:tab/>
        <w:t>(c)</w:t>
      </w:r>
      <w:r>
        <w:tab/>
        <w:t>the aggregate of the masses ascertained under paragraphs (a) and (b), together with the mass of 10 L of fuel, is taken to be the mass of the vehicle and its load.</w:t>
      </w:r>
    </w:p>
    <w:p>
      <w:pPr>
        <w:pStyle w:val="Subsection"/>
      </w:pPr>
      <w:r>
        <w:tab/>
        <w:t>(5)</w:t>
      </w:r>
      <w:r>
        <w:tab/>
        <w:t>For the purposes of subregulation (4), any printed matter purporting to be a manufacturer’s specification is, in the absence of evidence to the contrary, taken to be the manufacturer’s specification.</w:t>
      </w:r>
    </w:p>
    <w:p>
      <w:pPr>
        <w:pStyle w:val="Subsection"/>
      </w:pPr>
      <w:r>
        <w:tab/>
        <w:t>(6)</w:t>
      </w:r>
      <w:r>
        <w:tab/>
        <w:t>The driver or person in charge of a motor vehicle must comply with any reasonable direction, given by a police officer, for the purpose of ascertaining any mass mentioned in this regulation.</w:t>
      </w:r>
    </w:p>
    <w:p>
      <w:pPr>
        <w:pStyle w:val="Penstart"/>
      </w:pPr>
      <w:r>
        <w:tab/>
        <w:t>Maximum penalty: 72 PU.</w:t>
      </w:r>
    </w:p>
    <w:p>
      <w:pPr>
        <w:pStyle w:val="Penstart"/>
      </w:pPr>
      <w:r>
        <w:tab/>
        <w:t>Minimum penalty: 12 PU.</w:t>
      </w:r>
    </w:p>
    <w:p>
      <w:pPr>
        <w:pStyle w:val="Penstart"/>
      </w:pPr>
      <w:r>
        <w:tab/>
        <w:t>Modified penalty: 12 PU.</w:t>
      </w:r>
    </w:p>
    <w:p>
      <w:pPr>
        <w:pStyle w:val="Subsection"/>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Footnotesection"/>
      </w:pPr>
      <w:r>
        <w:tab/>
        <w:t>[Regulation 18 amended in Gazette 25 Feb 2011 p. 659.]</w:t>
      </w:r>
    </w:p>
    <w:p>
      <w:pPr>
        <w:pStyle w:val="Heading5"/>
      </w:pPr>
      <w:bookmarkStart w:id="74" w:name="_Toc407625636"/>
      <w:bookmarkStart w:id="75" w:name="_Toc417033517"/>
      <w:bookmarkStart w:id="76" w:name="_Toc33775804"/>
      <w:r>
        <w:rPr>
          <w:rStyle w:val="CharSectno"/>
        </w:rPr>
        <w:t>19</w:t>
      </w:r>
      <w:r>
        <w:t>.</w:t>
      </w:r>
      <w:r>
        <w:tab/>
        <w:t>Declaring buses to be complying buses</w:t>
      </w:r>
      <w:bookmarkEnd w:id="74"/>
      <w:bookmarkEnd w:id="75"/>
      <w:bookmarkEnd w:id="76"/>
    </w:p>
    <w:p>
      <w:pPr>
        <w:pStyle w:val="Subsection"/>
      </w:pPr>
      <w:r>
        <w:tab/>
        <w:t>(1)</w:t>
      </w:r>
      <w:r>
        <w:tab/>
        <w:t>This regulation applies to a bus with 2 or 3 axles and a single steer axle that —</w:t>
      </w:r>
    </w:p>
    <w:p>
      <w:pPr>
        <w:pStyle w:val="Indenta"/>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77" w:name="_Toc407625637"/>
      <w:bookmarkStart w:id="78" w:name="_Toc417033334"/>
      <w:bookmarkStart w:id="79" w:name="_Toc417033518"/>
      <w:bookmarkStart w:id="80" w:name="_Toc33775805"/>
      <w:r>
        <w:rPr>
          <w:rStyle w:val="CharPartNo"/>
        </w:rPr>
        <w:t>Part 4</w:t>
      </w:r>
      <w:r>
        <w:t xml:space="preserve"> — </w:t>
      </w:r>
      <w:r>
        <w:rPr>
          <w:rStyle w:val="CharPartText"/>
        </w:rPr>
        <w:t>Restricted access vehicles</w:t>
      </w:r>
      <w:bookmarkEnd w:id="77"/>
      <w:bookmarkEnd w:id="78"/>
      <w:bookmarkEnd w:id="79"/>
      <w:bookmarkEnd w:id="80"/>
    </w:p>
    <w:p>
      <w:pPr>
        <w:pStyle w:val="Heading3"/>
      </w:pPr>
      <w:bookmarkStart w:id="81" w:name="_Toc407625638"/>
      <w:bookmarkStart w:id="82" w:name="_Toc417033335"/>
      <w:bookmarkStart w:id="83" w:name="_Toc417033519"/>
      <w:bookmarkStart w:id="84" w:name="_Toc33775806"/>
      <w:r>
        <w:rPr>
          <w:rStyle w:val="CharDivNo"/>
        </w:rPr>
        <w:t>Division 1</w:t>
      </w:r>
      <w:r>
        <w:t xml:space="preserve"> — </w:t>
      </w:r>
      <w:r>
        <w:rPr>
          <w:rStyle w:val="CharDivText"/>
        </w:rPr>
        <w:t>General</w:t>
      </w:r>
      <w:bookmarkEnd w:id="81"/>
      <w:bookmarkEnd w:id="82"/>
      <w:bookmarkEnd w:id="83"/>
      <w:bookmarkEnd w:id="84"/>
    </w:p>
    <w:p>
      <w:pPr>
        <w:pStyle w:val="Heading5"/>
      </w:pPr>
      <w:bookmarkStart w:id="85" w:name="_Toc407625639"/>
      <w:bookmarkStart w:id="86" w:name="_Toc417033520"/>
      <w:bookmarkStart w:id="87" w:name="_Toc33775807"/>
      <w:r>
        <w:rPr>
          <w:rStyle w:val="CharSectno"/>
        </w:rPr>
        <w:t>20</w:t>
      </w:r>
      <w:r>
        <w:t>.</w:t>
      </w:r>
      <w:r>
        <w:tab/>
        <w:t>Application and delegation</w:t>
      </w:r>
      <w:bookmarkEnd w:id="85"/>
      <w:bookmarkEnd w:id="86"/>
      <w:bookmarkEnd w:id="87"/>
    </w:p>
    <w:p>
      <w:pPr>
        <w:pStyle w:val="Subsection"/>
      </w:pPr>
      <w:r>
        <w:tab/>
        <w:t>(1)</w:t>
      </w:r>
      <w:r>
        <w:tab/>
        <w:t>This Division applies to those restricted access vehicles in respect of which a notice or permit may be issued under this Part.</w:t>
      </w:r>
    </w:p>
    <w:p>
      <w:pPr>
        <w:pStyle w:val="Subsection"/>
      </w:pPr>
      <w:r>
        <w:tab/>
        <w:t>(2)</w:t>
      </w:r>
      <w:r>
        <w:tab/>
        <w:t>Division 2 applies to class 1 vehicles.</w:t>
      </w:r>
    </w:p>
    <w:p>
      <w:pPr>
        <w:pStyle w:val="Subsection"/>
      </w:pPr>
      <w:r>
        <w:tab/>
        <w:t>(3)</w:t>
      </w:r>
      <w:r>
        <w:tab/>
        <w:t>Division 3 applies to class 2 vehicles.</w:t>
      </w:r>
    </w:p>
    <w:p>
      <w:pPr>
        <w:pStyle w:val="Subsection"/>
      </w:pPr>
      <w:r>
        <w:tab/>
        <w:t>(4)</w:t>
      </w:r>
      <w:r>
        <w:tab/>
        <w:t>Division 4 applies to class 3 vehicles.</w:t>
      </w:r>
    </w:p>
    <w:p>
      <w:pPr>
        <w:pStyle w:val="Heading5"/>
      </w:pPr>
      <w:bookmarkStart w:id="88" w:name="_Toc407625640"/>
      <w:bookmarkStart w:id="89" w:name="_Toc417033521"/>
      <w:bookmarkStart w:id="90" w:name="_Toc33775808"/>
      <w:r>
        <w:rPr>
          <w:rStyle w:val="CharSectno"/>
        </w:rPr>
        <w:t>21</w:t>
      </w:r>
      <w:r>
        <w:t>.</w:t>
      </w:r>
      <w:r>
        <w:tab/>
        <w:t>Exemptions under RAV notice or RAV permit</w:t>
      </w:r>
      <w:bookmarkEnd w:id="88"/>
      <w:bookmarkEnd w:id="89"/>
      <w:bookmarkEnd w:id="90"/>
    </w:p>
    <w:p>
      <w:pPr>
        <w:pStyle w:val="Subsection"/>
      </w:pPr>
      <w:r>
        <w:tab/>
        <w:t>(1)</w:t>
      </w:r>
      <w:r>
        <w:tab/>
        <w:t>A person may drive, or cause or permit to be driven, a restricted access vehicle on a road if the vehicle is driven in accordance with an RAV notice or RAV permit.</w:t>
      </w:r>
    </w:p>
    <w:p>
      <w:pPr>
        <w:pStyle w:val="Subsection"/>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91" w:name="_Toc407625641"/>
      <w:bookmarkStart w:id="92" w:name="_Toc417033522"/>
      <w:bookmarkStart w:id="93" w:name="_Toc33775809"/>
      <w:r>
        <w:rPr>
          <w:rStyle w:val="CharSectno"/>
        </w:rPr>
        <w:t>22</w:t>
      </w:r>
      <w:r>
        <w:t>.</w:t>
      </w:r>
      <w:r>
        <w:tab/>
        <w:t>Notice or permit to be carried in vehicle and produced on request</w:t>
      </w:r>
      <w:bookmarkEnd w:id="91"/>
      <w:bookmarkEnd w:id="92"/>
      <w:bookmarkEnd w:id="93"/>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pPr>
      <w:r>
        <w:tab/>
        <w:t>Penalty: 20 PU.</w:t>
      </w:r>
    </w:p>
    <w:p>
      <w:pPr>
        <w:pStyle w:val="Penstart"/>
      </w:pPr>
      <w:r>
        <w:tab/>
        <w:t>Modified penalty: 2 PU.</w:t>
      </w:r>
    </w:p>
    <w:p>
      <w:pPr>
        <w:pStyle w:val="Subsection"/>
        <w:spacing w:before="100"/>
      </w:pPr>
      <w:r>
        <w:tab/>
        <w:t>(2)</w:t>
      </w:r>
      <w:r>
        <w:tab/>
        <w:t>However, instead of carrying an RAV notice, a driver may carry an information sheet issued by the exempting authority, which sets out the obligations imposed under the notice.</w:t>
      </w:r>
    </w:p>
    <w:p>
      <w:pPr>
        <w:pStyle w:val="Subsection"/>
        <w:spacing w:before="100"/>
      </w:pPr>
      <w:r>
        <w:tab/>
        <w:t>(3)</w:t>
      </w:r>
      <w:r>
        <w:tab/>
        <w:t>Subregulation (1) does not apply if the notice or permit states that this regulation does not apply.</w:t>
      </w:r>
    </w:p>
    <w:p>
      <w:pPr>
        <w:pStyle w:val="Subsection"/>
        <w:spacing w:before="100"/>
      </w:pPr>
      <w:r>
        <w:tab/>
        <w:t>(4)</w:t>
      </w:r>
      <w:r>
        <w:tab/>
        <w:t>A person driving a restricted access vehicle to which an RAV notice or RAV permit applies must produce the notice or permit for inspection at the request of a police officer.</w:t>
      </w:r>
    </w:p>
    <w:p>
      <w:pPr>
        <w:pStyle w:val="Penstart"/>
      </w:pPr>
      <w:r>
        <w:tab/>
        <w:t>Penalty: 20 PU.</w:t>
      </w:r>
    </w:p>
    <w:p>
      <w:pPr>
        <w:pStyle w:val="Penstart"/>
      </w:pPr>
      <w:r>
        <w:tab/>
        <w:t>Modified penalty: 2 PU.</w:t>
      </w:r>
    </w:p>
    <w:p>
      <w:pPr>
        <w:pStyle w:val="Heading5"/>
        <w:spacing w:before="160"/>
      </w:pPr>
      <w:bookmarkStart w:id="94" w:name="_Toc407625642"/>
      <w:bookmarkStart w:id="95" w:name="_Toc417033523"/>
      <w:bookmarkStart w:id="96" w:name="_Toc33775810"/>
      <w:r>
        <w:rPr>
          <w:rStyle w:val="CharSectno"/>
        </w:rPr>
        <w:t>23</w:t>
      </w:r>
      <w:r>
        <w:t>.</w:t>
      </w:r>
      <w:r>
        <w:tab/>
        <w:t>Accreditation conditions on notice or permit</w:t>
      </w:r>
      <w:bookmarkEnd w:id="94"/>
      <w:bookmarkEnd w:id="95"/>
      <w:bookmarkEnd w:id="96"/>
    </w:p>
    <w:p>
      <w:pPr>
        <w:pStyle w:val="Subsection"/>
        <w:spacing w:before="100"/>
      </w:pPr>
      <w:r>
        <w:tab/>
        <w:t>(1)</w:t>
      </w:r>
      <w:r>
        <w:tab/>
        <w:t>An RAV notice or RAV permit may be issued subject to the condition that the responsible person for, or operator of, a vehicle to which the notice or permit applies —</w:t>
      </w:r>
    </w:p>
    <w:p>
      <w:pPr>
        <w:pStyle w:val="Indenta"/>
        <w:spacing w:before="60"/>
      </w:pPr>
      <w:r>
        <w:tab/>
        <w:t>(a)</w:t>
      </w:r>
      <w:r>
        <w:tab/>
        <w:t>holds an accreditation certificate; or</w:t>
      </w:r>
    </w:p>
    <w:p>
      <w:pPr>
        <w:pStyle w:val="Indenta"/>
        <w:spacing w:before="60"/>
      </w:pPr>
      <w:r>
        <w:tab/>
        <w:t>(b)</w:t>
      </w:r>
      <w:r>
        <w:tab/>
        <w:t>obtains an accreditation certificate on or before the date specified in the notice or permit.</w:t>
      </w:r>
    </w:p>
    <w:p>
      <w:pPr>
        <w:pStyle w:val="Subsection"/>
        <w:spacing w:before="100"/>
        <w:rPr>
          <w:spacing w:val="-4"/>
        </w:rPr>
      </w:pPr>
      <w:r>
        <w:tab/>
        <w:t>(2)</w:t>
      </w:r>
      <w:r>
        <w:tab/>
      </w:r>
      <w:r>
        <w:rPr>
          <w:spacing w:val="-4"/>
        </w:rPr>
        <w:t>The Commissioner of Main Roads may issue an accreditation certificate, on payment of</w:t>
      </w:r>
      <w:r>
        <w:t xml:space="preserve"> the relevant fee prescribed in the </w:t>
      </w:r>
      <w:r>
        <w:rPr>
          <w:i/>
          <w:iCs/>
        </w:rPr>
        <w:t>Road Traffic (Charges and Fees) Regulations 2006</w:t>
      </w:r>
      <w:r>
        <w:rPr>
          <w:spacing w:val="-4"/>
        </w:rPr>
        <w:t>, if the Commissioner is satisfied that the applicant for the certificate has in place systems that comply with the following standards —</w:t>
      </w:r>
    </w:p>
    <w:p>
      <w:pPr>
        <w:pStyle w:val="Indenta"/>
      </w:pPr>
      <w:r>
        <w:tab/>
        <w:t>(a)</w:t>
      </w:r>
      <w:r>
        <w:tab/>
        <w:t xml:space="preserve">the </w:t>
      </w:r>
      <w:r>
        <w:rPr>
          <w:i/>
        </w:rPr>
        <w:t>Western Australian Heavy Vehicle Accreditation, Maintenance Management Module Standards</w:t>
      </w:r>
      <w:r>
        <w:t xml:space="preserve"> published by Main Roads Western Australia in January 2010;</w:t>
      </w:r>
    </w:p>
    <w:p>
      <w:pPr>
        <w:pStyle w:val="Indenta"/>
      </w:pPr>
      <w:r>
        <w:tab/>
        <w:t>(b)</w:t>
      </w:r>
      <w:r>
        <w:tab/>
        <w:t xml:space="preserve">the </w:t>
      </w:r>
      <w:r>
        <w:rPr>
          <w:i/>
        </w:rPr>
        <w:t>Western Australian Heavy Vehicle Accreditation, Fatigue Management Module Standards</w:t>
      </w:r>
      <w:r>
        <w:t xml:space="preserve"> published by Main Roads Western Australia in January 2010.</w:t>
      </w:r>
    </w:p>
    <w:p>
      <w:pPr>
        <w:pStyle w:val="Subsection"/>
      </w:pPr>
      <w:r>
        <w:tab/>
        <w:t>(3)</w:t>
      </w:r>
      <w:r>
        <w:tab/>
        <w:t>An accreditation certificate is valid for 36 months from the date of issue.</w:t>
      </w:r>
    </w:p>
    <w:p>
      <w:pPr>
        <w:pStyle w:val="Subsection"/>
      </w:pPr>
      <w:r>
        <w:tab/>
        <w:t>(4)</w:t>
      </w:r>
      <w:r>
        <w:tab/>
        <w:t xml:space="preserve">The Commissioner may renew an accreditation certificate on payment of the relevant fee prescribed in the </w:t>
      </w:r>
      <w:r>
        <w:rPr>
          <w:i/>
          <w:iCs/>
        </w:rPr>
        <w:t>Road Traffic (Charges and Fees) Regulations 2006</w:t>
      </w:r>
      <w:r>
        <w:t xml:space="preserve">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Ednotesubsection"/>
      </w:pPr>
      <w:r>
        <w:tab/>
        <w:t>[(6)</w:t>
      </w:r>
      <w:r>
        <w:noBreakHyphen/>
        <w:t>(8)</w:t>
      </w:r>
      <w:r>
        <w:tab/>
        <w:t>deleted]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 28 Nov 2006 p. 4895; 14 Feb 2012 p. 675</w:t>
      </w:r>
      <w:r>
        <w:noBreakHyphen/>
        <w:t>6.]</w:t>
      </w:r>
    </w:p>
    <w:p>
      <w:pPr>
        <w:pStyle w:val="Heading3"/>
      </w:pPr>
      <w:bookmarkStart w:id="97" w:name="_Toc407625643"/>
      <w:bookmarkStart w:id="98" w:name="_Toc417033340"/>
      <w:bookmarkStart w:id="99" w:name="_Toc417033524"/>
      <w:bookmarkStart w:id="100" w:name="_Toc33775811"/>
      <w:r>
        <w:rPr>
          <w:rStyle w:val="CharDivNo"/>
        </w:rPr>
        <w:t>Division 2</w:t>
      </w:r>
      <w:r>
        <w:t xml:space="preserve"> — </w:t>
      </w:r>
      <w:r>
        <w:rPr>
          <w:rStyle w:val="CharDivText"/>
        </w:rPr>
        <w:t>Class 1 vehicles</w:t>
      </w:r>
      <w:bookmarkEnd w:id="97"/>
      <w:bookmarkEnd w:id="98"/>
      <w:bookmarkEnd w:id="99"/>
      <w:bookmarkEnd w:id="100"/>
    </w:p>
    <w:p>
      <w:pPr>
        <w:pStyle w:val="Heading5"/>
      </w:pPr>
      <w:bookmarkStart w:id="101" w:name="_Toc407625644"/>
      <w:bookmarkStart w:id="102" w:name="_Toc417033525"/>
      <w:bookmarkStart w:id="103" w:name="_Toc33775812"/>
      <w:r>
        <w:rPr>
          <w:rStyle w:val="CharSectno"/>
        </w:rPr>
        <w:t>24</w:t>
      </w:r>
      <w:r>
        <w:t>.</w:t>
      </w:r>
      <w:r>
        <w:tab/>
        <w:t>Class 1 notices</w:t>
      </w:r>
      <w:bookmarkEnd w:id="101"/>
      <w:bookmarkEnd w:id="102"/>
      <w:bookmarkEnd w:id="103"/>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104" w:name="_Toc407625645"/>
      <w:bookmarkStart w:id="105" w:name="_Toc417033526"/>
      <w:bookmarkStart w:id="106" w:name="_Toc33775813"/>
      <w:r>
        <w:rPr>
          <w:rStyle w:val="CharSectno"/>
        </w:rPr>
        <w:t>25</w:t>
      </w:r>
      <w:r>
        <w:t>.</w:t>
      </w:r>
      <w:r>
        <w:tab/>
        <w:t>Class 1 permits</w:t>
      </w:r>
      <w:bookmarkEnd w:id="104"/>
      <w:bookmarkEnd w:id="105"/>
      <w:bookmarkEnd w:id="106"/>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Ednotesubsection"/>
      </w:pPr>
      <w:r>
        <w:tab/>
        <w:t>[(5), (6)</w:t>
      </w:r>
      <w:r>
        <w:tab/>
        <w:t>deleted]</w:t>
      </w:r>
    </w:p>
    <w:p>
      <w:pPr>
        <w:pStyle w:val="Subsection"/>
      </w:pPr>
      <w:r>
        <w:tab/>
        <w:t>(7)</w:t>
      </w:r>
      <w:r>
        <w:tab/>
        <w:t>The Commissioner of Main Roads may delegate to an officer of the Commissioner or a police officer the Commissioner’s power to issue a class 1 permit.</w:t>
      </w:r>
    </w:p>
    <w:p>
      <w:pPr>
        <w:pStyle w:val="Footnotesection"/>
      </w:pPr>
      <w:r>
        <w:tab/>
        <w:t>[Regulation 25 amended in Gazette 23 Jun 2006 p. 2226; 28 Nov 2006 p. 4895.]</w:t>
      </w:r>
    </w:p>
    <w:p>
      <w:pPr>
        <w:pStyle w:val="Heading5"/>
      </w:pPr>
      <w:bookmarkStart w:id="107" w:name="_Toc407625646"/>
      <w:bookmarkStart w:id="108" w:name="_Toc417033527"/>
      <w:bookmarkStart w:id="109" w:name="_Toc33775814"/>
      <w:r>
        <w:rPr>
          <w:rStyle w:val="CharSectno"/>
        </w:rPr>
        <w:t>26</w:t>
      </w:r>
      <w:r>
        <w:t>.</w:t>
      </w:r>
      <w:r>
        <w:tab/>
        <w:t>Conditions on a class 1 notice or class 1 permit</w:t>
      </w:r>
      <w:bookmarkEnd w:id="107"/>
      <w:bookmarkEnd w:id="108"/>
      <w:bookmarkEnd w:id="109"/>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keepNext/>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110" w:name="_Toc407625647"/>
      <w:bookmarkStart w:id="111" w:name="_Toc417033528"/>
      <w:bookmarkStart w:id="112" w:name="_Toc33775815"/>
      <w:r>
        <w:rPr>
          <w:rStyle w:val="CharSectno"/>
        </w:rPr>
        <w:t>27</w:t>
      </w:r>
      <w:r>
        <w:t>.</w:t>
      </w:r>
      <w:r>
        <w:tab/>
        <w:t>What must be included in a class 1 notice or class 1 permit</w:t>
      </w:r>
      <w:bookmarkEnd w:id="110"/>
      <w:bookmarkEnd w:id="111"/>
      <w:bookmarkEnd w:id="112"/>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113" w:name="_Toc407625648"/>
      <w:bookmarkStart w:id="114" w:name="_Toc417033529"/>
      <w:bookmarkStart w:id="115" w:name="_Toc33775816"/>
      <w:r>
        <w:rPr>
          <w:rStyle w:val="CharSectno"/>
        </w:rPr>
        <w:t>28</w:t>
      </w:r>
      <w:r>
        <w:t>.</w:t>
      </w:r>
      <w:r>
        <w:tab/>
        <w:t>Areas and roads</w:t>
      </w:r>
      <w:bookmarkEnd w:id="113"/>
      <w:bookmarkEnd w:id="114"/>
      <w:bookmarkEnd w:id="115"/>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116" w:name="_Toc407625649"/>
      <w:bookmarkStart w:id="117" w:name="_Toc417033346"/>
      <w:bookmarkStart w:id="118" w:name="_Toc417033530"/>
      <w:bookmarkStart w:id="119" w:name="_Toc33775817"/>
      <w:r>
        <w:rPr>
          <w:rStyle w:val="CharDivNo"/>
        </w:rPr>
        <w:t>Division 3</w:t>
      </w:r>
      <w:r>
        <w:t xml:space="preserve"> — </w:t>
      </w:r>
      <w:r>
        <w:rPr>
          <w:rStyle w:val="CharDivText"/>
        </w:rPr>
        <w:t>Class 2 vehicles</w:t>
      </w:r>
      <w:bookmarkEnd w:id="116"/>
      <w:bookmarkEnd w:id="117"/>
      <w:bookmarkEnd w:id="118"/>
      <w:bookmarkEnd w:id="119"/>
    </w:p>
    <w:p>
      <w:pPr>
        <w:pStyle w:val="Heading5"/>
      </w:pPr>
      <w:bookmarkStart w:id="120" w:name="_Toc407625650"/>
      <w:bookmarkStart w:id="121" w:name="_Toc417033531"/>
      <w:bookmarkStart w:id="122" w:name="_Toc33775818"/>
      <w:r>
        <w:rPr>
          <w:rStyle w:val="CharSectno"/>
        </w:rPr>
        <w:t>29</w:t>
      </w:r>
      <w:r>
        <w:t>.</w:t>
      </w:r>
      <w:r>
        <w:tab/>
        <w:t>Class 2 notices</w:t>
      </w:r>
      <w:bookmarkEnd w:id="120"/>
      <w:bookmarkEnd w:id="121"/>
      <w:bookmarkEnd w:id="122"/>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123" w:name="_Toc407625651"/>
      <w:bookmarkStart w:id="124" w:name="_Toc417033532"/>
      <w:bookmarkStart w:id="125" w:name="_Toc33775819"/>
      <w:r>
        <w:rPr>
          <w:rStyle w:val="CharSectno"/>
        </w:rPr>
        <w:t>30</w:t>
      </w:r>
      <w:r>
        <w:t>.</w:t>
      </w:r>
      <w:r>
        <w:tab/>
        <w:t>Class 2 permits</w:t>
      </w:r>
      <w:bookmarkEnd w:id="123"/>
      <w:bookmarkEnd w:id="124"/>
      <w:bookmarkEnd w:id="125"/>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Ednotesubsection"/>
      </w:pPr>
      <w:r>
        <w:tab/>
        <w:t>[(4)</w:t>
      </w:r>
      <w:r>
        <w:tab/>
        <w:t>deleted]</w:t>
      </w:r>
    </w:p>
    <w:p>
      <w:pPr>
        <w:pStyle w:val="Subsection"/>
      </w:pPr>
      <w:r>
        <w:tab/>
        <w:t>(5)</w:t>
      </w:r>
      <w:r>
        <w:tab/>
        <w:t>The Commissioner of Main Roads may delegate to an officer of the Commissioner or a police officer the Commissioner’s power to issue a class 2 permit.</w:t>
      </w:r>
    </w:p>
    <w:p>
      <w:pPr>
        <w:pStyle w:val="Footnotesection"/>
      </w:pPr>
      <w:r>
        <w:tab/>
        <w:t>[Regulation 30 amended in Gazette 23 Jun 2006 p. 2226; 28 Nov 2006 p. 4895.]</w:t>
      </w:r>
    </w:p>
    <w:p>
      <w:pPr>
        <w:pStyle w:val="Heading5"/>
      </w:pPr>
      <w:bookmarkStart w:id="126" w:name="_Toc407625652"/>
      <w:bookmarkStart w:id="127" w:name="_Toc417033533"/>
      <w:bookmarkStart w:id="128" w:name="_Toc33775820"/>
      <w:r>
        <w:rPr>
          <w:rStyle w:val="CharSectno"/>
        </w:rPr>
        <w:t>31</w:t>
      </w:r>
      <w:r>
        <w:t>.</w:t>
      </w:r>
      <w:r>
        <w:tab/>
        <w:t>Conditions of a class 2 notice or class 2 permit</w:t>
      </w:r>
      <w:bookmarkEnd w:id="126"/>
      <w:bookmarkEnd w:id="127"/>
      <w:bookmarkEnd w:id="128"/>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129" w:name="_Toc407625653"/>
      <w:bookmarkStart w:id="130" w:name="_Toc417033534"/>
      <w:bookmarkStart w:id="131" w:name="_Toc33775821"/>
      <w:r>
        <w:rPr>
          <w:rStyle w:val="CharSectno"/>
        </w:rPr>
        <w:t>32</w:t>
      </w:r>
      <w:r>
        <w:t>.</w:t>
      </w:r>
      <w:r>
        <w:tab/>
        <w:t>What must be included in a class 2 notice or class 2 permit</w:t>
      </w:r>
      <w:bookmarkEnd w:id="129"/>
      <w:bookmarkEnd w:id="130"/>
      <w:bookmarkEnd w:id="131"/>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132" w:name="_Toc407625654"/>
      <w:bookmarkStart w:id="133" w:name="_Toc417033351"/>
      <w:bookmarkStart w:id="134" w:name="_Toc417033535"/>
      <w:bookmarkStart w:id="135" w:name="_Toc33775822"/>
      <w:r>
        <w:rPr>
          <w:rStyle w:val="CharDivNo"/>
        </w:rPr>
        <w:t>Division 4</w:t>
      </w:r>
      <w:r>
        <w:t xml:space="preserve"> — </w:t>
      </w:r>
      <w:r>
        <w:rPr>
          <w:rStyle w:val="CharDivText"/>
        </w:rPr>
        <w:t>Class 3 vehicles</w:t>
      </w:r>
      <w:bookmarkEnd w:id="132"/>
      <w:bookmarkEnd w:id="133"/>
      <w:bookmarkEnd w:id="134"/>
      <w:bookmarkEnd w:id="135"/>
    </w:p>
    <w:p>
      <w:pPr>
        <w:pStyle w:val="Heading5"/>
      </w:pPr>
      <w:bookmarkStart w:id="136" w:name="_Toc407625655"/>
      <w:bookmarkStart w:id="137" w:name="_Toc417033536"/>
      <w:bookmarkStart w:id="138" w:name="_Toc33775823"/>
      <w:r>
        <w:rPr>
          <w:rStyle w:val="CharSectno"/>
        </w:rPr>
        <w:t>33</w:t>
      </w:r>
      <w:r>
        <w:t>.</w:t>
      </w:r>
      <w:r>
        <w:tab/>
        <w:t>Class 3 notices</w:t>
      </w:r>
      <w:bookmarkEnd w:id="136"/>
      <w:bookmarkEnd w:id="137"/>
      <w:bookmarkEnd w:id="138"/>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139" w:name="_Toc407625656"/>
      <w:bookmarkStart w:id="140" w:name="_Toc417033537"/>
      <w:bookmarkStart w:id="141" w:name="_Toc33775824"/>
      <w:r>
        <w:rPr>
          <w:rStyle w:val="CharSectno"/>
        </w:rPr>
        <w:t>34</w:t>
      </w:r>
      <w:r>
        <w:t>.</w:t>
      </w:r>
      <w:r>
        <w:tab/>
        <w:t>Class 3 permits</w:t>
      </w:r>
      <w:bookmarkEnd w:id="139"/>
      <w:bookmarkEnd w:id="140"/>
      <w:bookmarkEnd w:id="141"/>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Ednotesubsection"/>
      </w:pPr>
      <w:r>
        <w:tab/>
        <w:t>[(4)</w:t>
      </w:r>
      <w:r>
        <w:tab/>
        <w:t>deleted]</w:t>
      </w:r>
    </w:p>
    <w:p>
      <w:pPr>
        <w:pStyle w:val="Subsection"/>
      </w:pPr>
      <w:r>
        <w:tab/>
        <w:t>(5)</w:t>
      </w:r>
      <w:r>
        <w:tab/>
        <w:t>The Commissioner of Main Roads may delegate to an officer of the Commissioner or a police officer the Commissioner’s power to issue a class 3 permit.</w:t>
      </w:r>
    </w:p>
    <w:p>
      <w:pPr>
        <w:pStyle w:val="Footnotesection"/>
      </w:pPr>
      <w:r>
        <w:tab/>
        <w:t>[Regulation 34 amended in Gazette 23 Jun 2006 p. 2226; 28 Nov 2006 p. 4895.]</w:t>
      </w:r>
    </w:p>
    <w:p>
      <w:pPr>
        <w:pStyle w:val="Heading5"/>
      </w:pPr>
      <w:bookmarkStart w:id="142" w:name="_Toc407625657"/>
      <w:bookmarkStart w:id="143" w:name="_Toc417033538"/>
      <w:bookmarkStart w:id="144" w:name="_Toc33775825"/>
      <w:r>
        <w:rPr>
          <w:rStyle w:val="CharSectno"/>
        </w:rPr>
        <w:t>35</w:t>
      </w:r>
      <w:r>
        <w:t>.</w:t>
      </w:r>
      <w:r>
        <w:tab/>
        <w:t>Conditions on a class 3 notice or class 3 permit</w:t>
      </w:r>
      <w:bookmarkEnd w:id="142"/>
      <w:bookmarkEnd w:id="143"/>
      <w:bookmarkEnd w:id="144"/>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pPr>
      <w:bookmarkStart w:id="145" w:name="_Toc407625658"/>
      <w:bookmarkStart w:id="146" w:name="_Toc417033539"/>
      <w:bookmarkStart w:id="147" w:name="_Toc33775826"/>
      <w:r>
        <w:rPr>
          <w:rStyle w:val="CharSectno"/>
        </w:rPr>
        <w:t>36</w:t>
      </w:r>
      <w:r>
        <w:t>.</w:t>
      </w:r>
      <w:r>
        <w:tab/>
        <w:t>What must be included in a class 3 notice or class 3 permit</w:t>
      </w:r>
      <w:bookmarkEnd w:id="145"/>
      <w:bookmarkEnd w:id="146"/>
      <w:bookmarkEnd w:id="147"/>
    </w:p>
    <w:p>
      <w:pPr>
        <w:pStyle w:val="Subsection"/>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rPr>
          <w:rStyle w:val="CharPartText"/>
        </w:rPr>
      </w:pPr>
      <w:bookmarkStart w:id="148" w:name="_Toc407625659"/>
      <w:bookmarkStart w:id="149" w:name="_Toc417033356"/>
      <w:bookmarkStart w:id="150" w:name="_Toc417033540"/>
      <w:bookmarkStart w:id="151" w:name="_Toc33775827"/>
      <w:r>
        <w:rPr>
          <w:rStyle w:val="CharPartNo"/>
        </w:rPr>
        <w:t>Part 5</w:t>
      </w:r>
      <w:r>
        <w:rPr>
          <w:rStyle w:val="CharDivNo"/>
        </w:rPr>
        <w:t xml:space="preserve"> </w:t>
      </w:r>
      <w:r>
        <w:t>—</w:t>
      </w:r>
      <w:r>
        <w:rPr>
          <w:rStyle w:val="CharDivText"/>
        </w:rPr>
        <w:t xml:space="preserve"> </w:t>
      </w:r>
      <w:r>
        <w:rPr>
          <w:rStyle w:val="CharPartText"/>
        </w:rPr>
        <w:t>Ministerial exemptions under section 111AB(1)</w:t>
      </w:r>
      <w:bookmarkEnd w:id="148"/>
      <w:bookmarkEnd w:id="149"/>
      <w:bookmarkEnd w:id="150"/>
      <w:bookmarkEnd w:id="151"/>
    </w:p>
    <w:p>
      <w:pPr>
        <w:pStyle w:val="Footnoteheading"/>
      </w:pPr>
      <w:r>
        <w:tab/>
        <w:t>[Heading amended in Gazette 10 Jun 2008 p. 2464.]</w:t>
      </w:r>
    </w:p>
    <w:p>
      <w:pPr>
        <w:pStyle w:val="Heading5"/>
      </w:pPr>
      <w:bookmarkStart w:id="152" w:name="_Toc407625660"/>
      <w:bookmarkStart w:id="153" w:name="_Toc417033541"/>
      <w:bookmarkStart w:id="154" w:name="_Toc33775828"/>
      <w:r>
        <w:rPr>
          <w:rStyle w:val="CharSectno"/>
        </w:rPr>
        <w:t>37</w:t>
      </w:r>
      <w:r>
        <w:t>.</w:t>
      </w:r>
      <w:r>
        <w:tab/>
        <w:t>Circumstances in which exemptions may be made</w:t>
      </w:r>
      <w:bookmarkEnd w:id="152"/>
      <w:bookmarkEnd w:id="153"/>
      <w:bookmarkEnd w:id="154"/>
    </w:p>
    <w:p>
      <w:pPr>
        <w:pStyle w:val="Subsection"/>
      </w:pPr>
      <w:r>
        <w:tab/>
        <w:t>(1)</w:t>
      </w:r>
      <w:r>
        <w:tab/>
        <w:t>Under section 111AB(1)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Footnotesection"/>
      </w:pPr>
      <w:r>
        <w:tab/>
        <w:t>[Regulation 37 amended in Gazette 10 Jun 2008 p. 2464.]</w:t>
      </w:r>
    </w:p>
    <w:p>
      <w:pPr>
        <w:pStyle w:val="Heading5"/>
      </w:pPr>
      <w:bookmarkStart w:id="155" w:name="_Toc407625661"/>
      <w:bookmarkStart w:id="156" w:name="_Toc417033542"/>
      <w:bookmarkStart w:id="157" w:name="_Toc33775829"/>
      <w:r>
        <w:rPr>
          <w:rStyle w:val="CharSectno"/>
        </w:rPr>
        <w:t>38</w:t>
      </w:r>
      <w:r>
        <w:t>.</w:t>
      </w:r>
      <w:r>
        <w:tab/>
        <w:t>When a Ministerial exemption may be amended</w:t>
      </w:r>
      <w:bookmarkEnd w:id="155"/>
      <w:bookmarkEnd w:id="156"/>
      <w:bookmarkEnd w:id="157"/>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158" w:name="_Toc407625662"/>
      <w:bookmarkStart w:id="159" w:name="_Toc417033543"/>
      <w:bookmarkStart w:id="160" w:name="_Toc33775830"/>
      <w:r>
        <w:rPr>
          <w:rStyle w:val="CharSectno"/>
        </w:rPr>
        <w:t>39</w:t>
      </w:r>
      <w:r>
        <w:t>.</w:t>
      </w:r>
      <w:r>
        <w:tab/>
        <w:t>When a Ministerial exemption may be revoked</w:t>
      </w:r>
      <w:bookmarkEnd w:id="158"/>
      <w:bookmarkEnd w:id="159"/>
      <w:bookmarkEnd w:id="160"/>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161" w:name="_Toc407625663"/>
      <w:bookmarkStart w:id="162" w:name="_Toc417033544"/>
      <w:bookmarkStart w:id="163" w:name="_Toc33775831"/>
      <w:r>
        <w:rPr>
          <w:rStyle w:val="CharSectno"/>
        </w:rPr>
        <w:t>40</w:t>
      </w:r>
      <w:r>
        <w:t>.</w:t>
      </w:r>
      <w:r>
        <w:tab/>
        <w:t>Conditions on Ministerial exemptions</w:t>
      </w:r>
      <w:bookmarkEnd w:id="161"/>
      <w:bookmarkEnd w:id="162"/>
      <w:bookmarkEnd w:id="163"/>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164" w:name="_Toc407625664"/>
      <w:bookmarkStart w:id="165" w:name="_Toc417033361"/>
      <w:bookmarkStart w:id="166" w:name="_Toc417033545"/>
      <w:bookmarkStart w:id="167" w:name="_Toc33775832"/>
      <w:r>
        <w:rPr>
          <w:rStyle w:val="CharPartNo"/>
        </w:rPr>
        <w:t>Part 6</w:t>
      </w:r>
      <w:r>
        <w:t> — </w:t>
      </w:r>
      <w:r>
        <w:rPr>
          <w:rStyle w:val="CharPartText"/>
        </w:rPr>
        <w:t>Director General’s exemptions under section 111AB(2)</w:t>
      </w:r>
      <w:bookmarkEnd w:id="164"/>
      <w:bookmarkEnd w:id="165"/>
      <w:bookmarkEnd w:id="166"/>
      <w:bookmarkEnd w:id="167"/>
    </w:p>
    <w:p>
      <w:pPr>
        <w:pStyle w:val="Footnoteheading"/>
      </w:pPr>
      <w:r>
        <w:tab/>
        <w:t>[Heading amended in Gazette 10 Jun 2008 p. 2464.]</w:t>
      </w:r>
    </w:p>
    <w:p>
      <w:pPr>
        <w:pStyle w:val="Heading3"/>
      </w:pPr>
      <w:bookmarkStart w:id="168" w:name="_Toc407625665"/>
      <w:bookmarkStart w:id="169" w:name="_Toc417033362"/>
      <w:bookmarkStart w:id="170" w:name="_Toc417033546"/>
      <w:bookmarkStart w:id="171" w:name="_Toc33775833"/>
      <w:r>
        <w:rPr>
          <w:rStyle w:val="CharDivNo"/>
        </w:rPr>
        <w:t>Division 1</w:t>
      </w:r>
      <w:r>
        <w:t> — </w:t>
      </w:r>
      <w:r>
        <w:rPr>
          <w:rStyle w:val="CharDivText"/>
        </w:rPr>
        <w:t>Giving, amending and revoking exemptions on application</w:t>
      </w:r>
      <w:bookmarkEnd w:id="168"/>
      <w:bookmarkEnd w:id="169"/>
      <w:bookmarkEnd w:id="170"/>
      <w:bookmarkEnd w:id="171"/>
    </w:p>
    <w:p>
      <w:pPr>
        <w:pStyle w:val="Heading5"/>
      </w:pPr>
      <w:bookmarkStart w:id="172" w:name="_Toc407625666"/>
      <w:bookmarkStart w:id="173" w:name="_Toc417033547"/>
      <w:bookmarkStart w:id="174" w:name="_Toc33775834"/>
      <w:r>
        <w:rPr>
          <w:rStyle w:val="CharSectno"/>
        </w:rPr>
        <w:t>41</w:t>
      </w:r>
      <w:r>
        <w:t>.</w:t>
      </w:r>
      <w:r>
        <w:tab/>
        <w:t>Director General’s exemptions</w:t>
      </w:r>
      <w:bookmarkEnd w:id="172"/>
      <w:bookmarkEnd w:id="173"/>
      <w:bookmarkEnd w:id="174"/>
    </w:p>
    <w:p>
      <w:pPr>
        <w:pStyle w:val="Subsection"/>
      </w:pPr>
      <w:r>
        <w:tab/>
        <w:t>(1)</w:t>
      </w:r>
      <w:r>
        <w:tab/>
        <w:t>Under section 111AB(2)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Footnotesection"/>
      </w:pPr>
      <w:r>
        <w:tab/>
        <w:t>[Regulation 41 amended in Gazette 10 Jun 2008 p. 2464.]</w:t>
      </w:r>
    </w:p>
    <w:p>
      <w:pPr>
        <w:pStyle w:val="Heading5"/>
      </w:pPr>
      <w:bookmarkStart w:id="175" w:name="_Toc407625667"/>
      <w:bookmarkStart w:id="176" w:name="_Toc417033548"/>
      <w:bookmarkStart w:id="177" w:name="_Toc33775835"/>
      <w:r>
        <w:rPr>
          <w:rStyle w:val="CharSectno"/>
        </w:rPr>
        <w:t>42</w:t>
      </w:r>
      <w:r>
        <w:t>.</w:t>
      </w:r>
      <w:r>
        <w:tab/>
        <w:t>Applications for exemption, amendment or revocation</w:t>
      </w:r>
      <w:bookmarkEnd w:id="175"/>
      <w:bookmarkEnd w:id="176"/>
      <w:bookmarkEnd w:id="177"/>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 xml:space="preserve">be accompanied by the relevant fee prescribed in the </w:t>
      </w:r>
      <w:r>
        <w:rPr>
          <w:i/>
          <w:iCs/>
        </w:rPr>
        <w:t>Road Traffic (Charges and Fees) Regulations 2006</w:t>
      </w:r>
      <w:r>
        <w:t>.</w:t>
      </w:r>
    </w:p>
    <w:p>
      <w:pPr>
        <w:pStyle w:val="Subsection"/>
        <w:spacing w:before="180"/>
      </w:pPr>
      <w:r>
        <w:tab/>
        <w:t>(3)</w:t>
      </w:r>
      <w:r>
        <w:tab/>
        <w:t>An application for a departmental exemption must —</w:t>
      </w:r>
    </w:p>
    <w:p>
      <w:pPr>
        <w:pStyle w:val="Indenta"/>
        <w:spacing w:before="90"/>
      </w:pPr>
      <w:r>
        <w:tab/>
        <w:t>(a)</w:t>
      </w:r>
      <w:r>
        <w:tab/>
        <w:t>state whether the exemption is sought for —</w:t>
      </w:r>
    </w:p>
    <w:p>
      <w:pPr>
        <w:pStyle w:val="Indenti"/>
        <w:spacing w:before="90"/>
      </w:pPr>
      <w:r>
        <w:tab/>
        <w:t>(i)</w:t>
      </w:r>
      <w:r>
        <w:tab/>
        <w:t>a particular motor vehicle or trailer;</w:t>
      </w:r>
    </w:p>
    <w:p>
      <w:pPr>
        <w:pStyle w:val="Indenti"/>
        <w:spacing w:before="90"/>
      </w:pPr>
      <w:r>
        <w:tab/>
        <w:t>(ii)</w:t>
      </w:r>
      <w:r>
        <w:tab/>
        <w:t>all vehicles for which the applicant is a responsible person;</w:t>
      </w:r>
    </w:p>
    <w:p>
      <w:pPr>
        <w:pStyle w:val="Indenti"/>
        <w:spacing w:before="90"/>
      </w:pPr>
      <w:r>
        <w:tab/>
        <w:t>(iii)</w:t>
      </w:r>
      <w:r>
        <w:tab/>
        <w:t>a particular combination; or</w:t>
      </w:r>
    </w:p>
    <w:p>
      <w:pPr>
        <w:pStyle w:val="Indenti"/>
        <w:spacing w:before="90"/>
      </w:pPr>
      <w:r>
        <w:tab/>
        <w:t>(iv)</w:t>
      </w:r>
      <w:r>
        <w:tab/>
        <w:t>all combinations for which the applicant is in charge;</w:t>
      </w:r>
    </w:p>
    <w:p>
      <w:pPr>
        <w:pStyle w:val="Indenta"/>
        <w:spacing w:before="90"/>
      </w:pPr>
      <w:r>
        <w:tab/>
        <w:t>(b)</w:t>
      </w:r>
      <w:r>
        <w:tab/>
        <w:t>for an exemption for a particular motor vehicle or trailer — describe the vehicle and the applicant’s interest in the vehicle;</w:t>
      </w:r>
    </w:p>
    <w:p>
      <w:pPr>
        <w:pStyle w:val="Indenta"/>
        <w:spacing w:before="90"/>
      </w:pPr>
      <w:r>
        <w:tab/>
        <w:t>(c)</w:t>
      </w:r>
      <w:r>
        <w:tab/>
        <w:t>for an exemption for a particular combination —describe each vehicle forming part of the combination and the applicant’s interest in the first or only motor vehicle forming part of the combination;</w:t>
      </w:r>
    </w:p>
    <w:p>
      <w:pPr>
        <w:pStyle w:val="Indenta"/>
        <w:spacing w:before="90"/>
      </w:pPr>
      <w:r>
        <w:tab/>
        <w:t>(d)</w:t>
      </w:r>
      <w:r>
        <w:tab/>
        <w:t>state the provision of these regulations or the Vehicle Standards from which exemption is sought; and</w:t>
      </w:r>
    </w:p>
    <w:p>
      <w:pPr>
        <w:pStyle w:val="Indenta"/>
        <w:spacing w:before="90"/>
      </w:pPr>
      <w:r>
        <w:tab/>
        <w:t>(e)</w:t>
      </w:r>
      <w:r>
        <w:tab/>
        <w:t>state clearly the exemption sought by the application and outline why the exemption should be given.</w:t>
      </w:r>
    </w:p>
    <w:p>
      <w:pPr>
        <w:pStyle w:val="Subsection"/>
        <w:spacing w:before="180"/>
      </w:pPr>
      <w:r>
        <w:tab/>
        <w:t>(4)</w:t>
      </w:r>
      <w:r>
        <w:tab/>
        <w:t>An application for a departmental exemption may state the period for which the exemption is sought and any conditions to which the exemption is sought to be subject.</w:t>
      </w:r>
    </w:p>
    <w:p>
      <w:pPr>
        <w:pStyle w:val="Subsection"/>
        <w:keepNext/>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Footnotesection"/>
      </w:pPr>
      <w:r>
        <w:tab/>
        <w:t>[Regulation 42 amended in Gazette 13 Dec 2005 p. 5989; 23 Dec 2005 p. 6282; 28 Nov 2006 p. 4896.]</w:t>
      </w:r>
    </w:p>
    <w:p>
      <w:pPr>
        <w:pStyle w:val="Heading5"/>
      </w:pPr>
      <w:bookmarkStart w:id="178" w:name="_Toc407625668"/>
      <w:bookmarkStart w:id="179" w:name="_Toc417033549"/>
      <w:bookmarkStart w:id="180" w:name="_Toc33775836"/>
      <w:r>
        <w:rPr>
          <w:rStyle w:val="CharSectno"/>
        </w:rPr>
        <w:t>43</w:t>
      </w:r>
      <w:r>
        <w:t>.</w:t>
      </w:r>
      <w:r>
        <w:tab/>
        <w:t>Making decisions on application</w:t>
      </w:r>
      <w:bookmarkEnd w:id="178"/>
      <w:bookmarkEnd w:id="179"/>
      <w:bookmarkEnd w:id="180"/>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keepNext/>
        <w:keepLines/>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pPr>
      <w:r>
        <w:tab/>
        <w:t>(7)</w:t>
      </w:r>
      <w:r>
        <w:tab/>
        <w:t>The Director General may revoke a departmental exemption only if the applicant has a sufficient interest in seeking the revocation.</w:t>
      </w:r>
    </w:p>
    <w:p>
      <w:pPr>
        <w:pStyle w:val="Subsection"/>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w:t>
      </w:r>
      <w:r>
        <w:noBreakHyphen/>
        <w:t>90; 23 Dec 2005 p. 6282.]</w:t>
      </w:r>
    </w:p>
    <w:p>
      <w:pPr>
        <w:pStyle w:val="Heading5"/>
      </w:pPr>
      <w:bookmarkStart w:id="181" w:name="_Toc407625669"/>
      <w:bookmarkStart w:id="182" w:name="_Toc417033550"/>
      <w:bookmarkStart w:id="183" w:name="_Toc33775837"/>
      <w:r>
        <w:rPr>
          <w:rStyle w:val="CharSectno"/>
        </w:rPr>
        <w:t>44</w:t>
      </w:r>
      <w:r>
        <w:t>.</w:t>
      </w:r>
      <w:r>
        <w:tab/>
        <w:t>Applicants to be told about decisions</w:t>
      </w:r>
      <w:bookmarkEnd w:id="181"/>
      <w:bookmarkEnd w:id="182"/>
      <w:bookmarkEnd w:id="183"/>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184" w:name="_Toc407625670"/>
      <w:bookmarkStart w:id="185" w:name="_Toc417033551"/>
      <w:bookmarkStart w:id="186" w:name="_Toc33775838"/>
      <w:r>
        <w:rPr>
          <w:rStyle w:val="CharSectno"/>
        </w:rPr>
        <w:t>45</w:t>
      </w:r>
      <w:r>
        <w:t>.</w:t>
      </w:r>
      <w:r>
        <w:tab/>
        <w:t>When decisions take effect</w:t>
      </w:r>
      <w:bookmarkEnd w:id="184"/>
      <w:bookmarkEnd w:id="185"/>
      <w:bookmarkEnd w:id="186"/>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187" w:name="_Toc407625671"/>
      <w:bookmarkStart w:id="188" w:name="_Toc417033552"/>
      <w:bookmarkStart w:id="189" w:name="_Toc33775839"/>
      <w:r>
        <w:rPr>
          <w:rStyle w:val="CharSectno"/>
        </w:rPr>
        <w:t>46</w:t>
      </w:r>
      <w:r>
        <w:t>.</w:t>
      </w:r>
      <w:r>
        <w:tab/>
        <w:t>Replacement exemptions</w:t>
      </w:r>
      <w:bookmarkEnd w:id="187"/>
      <w:bookmarkEnd w:id="188"/>
      <w:bookmarkEnd w:id="189"/>
    </w:p>
    <w:p>
      <w:pPr>
        <w:pStyle w:val="Subsection"/>
      </w:pPr>
      <w:r>
        <w:tab/>
      </w:r>
      <w:r>
        <w:tab/>
        <w:t>If a departmental exemption is amended under this Division, the Director General must give a replacement exemption to the applicant.</w:t>
      </w:r>
    </w:p>
    <w:p>
      <w:pPr>
        <w:pStyle w:val="Heading3"/>
      </w:pPr>
      <w:bookmarkStart w:id="190" w:name="_Toc407625672"/>
      <w:bookmarkStart w:id="191" w:name="_Toc417033369"/>
      <w:bookmarkStart w:id="192" w:name="_Toc417033553"/>
      <w:bookmarkStart w:id="193" w:name="_Toc33775840"/>
      <w:r>
        <w:rPr>
          <w:rStyle w:val="CharDivNo"/>
        </w:rPr>
        <w:t>Division 2</w:t>
      </w:r>
      <w:r>
        <w:t> — </w:t>
      </w:r>
      <w:r>
        <w:rPr>
          <w:rStyle w:val="CharDivText"/>
        </w:rPr>
        <w:t>Provisions about departmental exemptions</w:t>
      </w:r>
      <w:bookmarkEnd w:id="190"/>
      <w:bookmarkEnd w:id="191"/>
      <w:bookmarkEnd w:id="192"/>
      <w:bookmarkEnd w:id="193"/>
    </w:p>
    <w:p>
      <w:pPr>
        <w:pStyle w:val="Heading5"/>
      </w:pPr>
      <w:bookmarkStart w:id="194" w:name="_Toc407625673"/>
      <w:bookmarkStart w:id="195" w:name="_Toc417033554"/>
      <w:bookmarkStart w:id="196" w:name="_Toc33775841"/>
      <w:r>
        <w:rPr>
          <w:rStyle w:val="CharSectno"/>
        </w:rPr>
        <w:t>47</w:t>
      </w:r>
      <w:r>
        <w:t>.</w:t>
      </w:r>
      <w:r>
        <w:tab/>
        <w:t>Form of a departmental exemption</w:t>
      </w:r>
      <w:bookmarkEnd w:id="194"/>
      <w:bookmarkEnd w:id="195"/>
      <w:bookmarkEnd w:id="196"/>
    </w:p>
    <w:p>
      <w:pPr>
        <w:pStyle w:val="Subsection"/>
      </w:pPr>
      <w:r>
        <w:tab/>
      </w:r>
      <w:r>
        <w:tab/>
        <w:t>A departmental exemption must be in writing.</w:t>
      </w:r>
    </w:p>
    <w:p>
      <w:pPr>
        <w:pStyle w:val="Heading5"/>
      </w:pPr>
      <w:bookmarkStart w:id="197" w:name="_Toc407625674"/>
      <w:bookmarkStart w:id="198" w:name="_Toc417033555"/>
      <w:bookmarkStart w:id="199" w:name="_Toc33775842"/>
      <w:r>
        <w:rPr>
          <w:rStyle w:val="CharSectno"/>
        </w:rPr>
        <w:t>48</w:t>
      </w:r>
      <w:r>
        <w:t>.</w:t>
      </w:r>
      <w:r>
        <w:tab/>
        <w:t>Effect of a departmental exemption</w:t>
      </w:r>
      <w:bookmarkEnd w:id="197"/>
      <w:bookmarkEnd w:id="198"/>
      <w:bookmarkEnd w:id="199"/>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 48 amended in Gazette 23 Dec 2005 p. 6282.]</w:t>
      </w:r>
    </w:p>
    <w:p>
      <w:pPr>
        <w:pStyle w:val="Heading5"/>
      </w:pPr>
      <w:bookmarkStart w:id="200" w:name="_Toc407625675"/>
      <w:bookmarkStart w:id="201" w:name="_Toc417033556"/>
      <w:bookmarkStart w:id="202" w:name="_Toc33775843"/>
      <w:r>
        <w:rPr>
          <w:rStyle w:val="CharSectno"/>
        </w:rPr>
        <w:t>49</w:t>
      </w:r>
      <w:r>
        <w:t>.</w:t>
      </w:r>
      <w:r>
        <w:tab/>
        <w:t>Duration of a departmental exemption</w:t>
      </w:r>
      <w:bookmarkEnd w:id="200"/>
      <w:bookmarkEnd w:id="201"/>
      <w:bookmarkEnd w:id="202"/>
    </w:p>
    <w:p>
      <w:pPr>
        <w:pStyle w:val="Subsection"/>
      </w:pPr>
      <w:r>
        <w:tab/>
      </w:r>
      <w:r>
        <w:tab/>
        <w:t>A departmental exemption remains in force for the period stated in it.</w:t>
      </w:r>
    </w:p>
    <w:p>
      <w:pPr>
        <w:pStyle w:val="Heading5"/>
      </w:pPr>
      <w:bookmarkStart w:id="203" w:name="_Toc407625676"/>
      <w:bookmarkStart w:id="204" w:name="_Toc417033557"/>
      <w:bookmarkStart w:id="205" w:name="_Toc33775844"/>
      <w:r>
        <w:rPr>
          <w:rStyle w:val="CharSectno"/>
        </w:rPr>
        <w:t>50</w:t>
      </w:r>
      <w:r>
        <w:t>.</w:t>
      </w:r>
      <w:r>
        <w:tab/>
        <w:t>Conditional departmental exemptions</w:t>
      </w:r>
      <w:bookmarkEnd w:id="203"/>
      <w:bookmarkEnd w:id="204"/>
      <w:bookmarkEnd w:id="205"/>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206" w:name="_Toc407625677"/>
      <w:bookmarkStart w:id="207" w:name="_Toc417033558"/>
      <w:bookmarkStart w:id="208" w:name="_Toc33775845"/>
      <w:r>
        <w:rPr>
          <w:rStyle w:val="CharSectno"/>
        </w:rPr>
        <w:t>51</w:t>
      </w:r>
      <w:r>
        <w:t>.</w:t>
      </w:r>
      <w:r>
        <w:tab/>
        <w:t>Replacement exemptions</w:t>
      </w:r>
      <w:bookmarkEnd w:id="206"/>
      <w:bookmarkEnd w:id="207"/>
      <w:bookmarkEnd w:id="208"/>
    </w:p>
    <w:p>
      <w:pPr>
        <w:pStyle w:val="Subsection"/>
      </w:pPr>
      <w:r>
        <w:tab/>
      </w:r>
      <w:r>
        <w:tab/>
        <w:t xml:space="preserve">If the Director General is satisfied that a departmental exemption has been defaced, destroyed, lost or stolen, the Director General must give a replacement exemption to the exemption holder on payment of the relevant fee prescribed in the </w:t>
      </w:r>
      <w:r>
        <w:rPr>
          <w:i/>
          <w:iCs/>
        </w:rPr>
        <w:t>Road Traffic (Charges and Fees) Regulations 2006</w:t>
      </w:r>
      <w:r>
        <w:t>.</w:t>
      </w:r>
    </w:p>
    <w:p>
      <w:pPr>
        <w:pStyle w:val="Footnotesection"/>
      </w:pPr>
      <w:r>
        <w:tab/>
        <w:t>[Regulation 51 amended in Gazette 28 Nov 2006 p. 4896.]</w:t>
      </w:r>
    </w:p>
    <w:p>
      <w:pPr>
        <w:pStyle w:val="Heading5"/>
      </w:pPr>
      <w:bookmarkStart w:id="209" w:name="_Toc407625678"/>
      <w:bookmarkStart w:id="210" w:name="_Toc417033559"/>
      <w:bookmarkStart w:id="211" w:name="_Toc33775846"/>
      <w:r>
        <w:rPr>
          <w:rStyle w:val="CharSectno"/>
        </w:rPr>
        <w:t>52</w:t>
      </w:r>
      <w:r>
        <w:t>.</w:t>
      </w:r>
      <w:r>
        <w:tab/>
        <w:t>Driver to produce exemption on request</w:t>
      </w:r>
      <w:bookmarkEnd w:id="209"/>
      <w:bookmarkEnd w:id="210"/>
      <w:bookmarkEnd w:id="211"/>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212" w:name="_Toc407625679"/>
      <w:bookmarkStart w:id="213" w:name="_Toc417033376"/>
      <w:bookmarkStart w:id="214" w:name="_Toc417033560"/>
      <w:bookmarkStart w:id="215" w:name="_Toc33775847"/>
      <w:r>
        <w:rPr>
          <w:rStyle w:val="CharDivNo"/>
        </w:rPr>
        <w:t>Division 3</w:t>
      </w:r>
      <w:r>
        <w:t> — </w:t>
      </w:r>
      <w:r>
        <w:rPr>
          <w:rStyle w:val="CharDivText"/>
        </w:rPr>
        <w:t>Amending and revoking departmental exemptions other than on application</w:t>
      </w:r>
      <w:bookmarkEnd w:id="212"/>
      <w:bookmarkEnd w:id="213"/>
      <w:bookmarkEnd w:id="214"/>
      <w:bookmarkEnd w:id="215"/>
    </w:p>
    <w:p>
      <w:pPr>
        <w:pStyle w:val="Heading5"/>
      </w:pPr>
      <w:bookmarkStart w:id="216" w:name="_Toc407625680"/>
      <w:bookmarkStart w:id="217" w:name="_Toc417033561"/>
      <w:bookmarkStart w:id="218" w:name="_Toc33775848"/>
      <w:r>
        <w:rPr>
          <w:rStyle w:val="CharSectno"/>
        </w:rPr>
        <w:t>53</w:t>
      </w:r>
      <w:r>
        <w:t>.</w:t>
      </w:r>
      <w:r>
        <w:tab/>
        <w:t>Grounds for amending a departmental exemption</w:t>
      </w:r>
      <w:bookmarkEnd w:id="216"/>
      <w:bookmarkEnd w:id="217"/>
      <w:bookmarkEnd w:id="218"/>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219" w:name="_Toc407625681"/>
      <w:bookmarkStart w:id="220" w:name="_Toc417033562"/>
      <w:bookmarkStart w:id="221" w:name="_Toc33775849"/>
      <w:r>
        <w:rPr>
          <w:rStyle w:val="CharSectno"/>
        </w:rPr>
        <w:t>54</w:t>
      </w:r>
      <w:r>
        <w:t>.</w:t>
      </w:r>
      <w:r>
        <w:tab/>
        <w:t>Grounds for revoking a departmental exemption</w:t>
      </w:r>
      <w:bookmarkEnd w:id="219"/>
      <w:bookmarkEnd w:id="220"/>
      <w:bookmarkEnd w:id="221"/>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222" w:name="_Toc407625682"/>
      <w:bookmarkStart w:id="223" w:name="_Toc417033563"/>
      <w:bookmarkStart w:id="224" w:name="_Toc33775850"/>
      <w:r>
        <w:rPr>
          <w:rStyle w:val="CharSectno"/>
        </w:rPr>
        <w:t>55</w:t>
      </w:r>
      <w:r>
        <w:t>.</w:t>
      </w:r>
      <w:r>
        <w:tab/>
        <w:t>Amending or revoking a departmental exemption in urgent circumstances</w:t>
      </w:r>
      <w:bookmarkEnd w:id="222"/>
      <w:bookmarkEnd w:id="223"/>
      <w:bookmarkEnd w:id="224"/>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225" w:name="_Toc407625683"/>
      <w:bookmarkStart w:id="226" w:name="_Toc417033564"/>
      <w:bookmarkStart w:id="227" w:name="_Toc33775851"/>
      <w:r>
        <w:rPr>
          <w:rStyle w:val="CharSectno"/>
        </w:rPr>
        <w:t>56</w:t>
      </w:r>
      <w:r>
        <w:t>.</w:t>
      </w:r>
      <w:r>
        <w:tab/>
        <w:t>Amending or revoking a departmental exemption other than in urgent circumstances</w:t>
      </w:r>
      <w:bookmarkEnd w:id="225"/>
      <w:bookmarkEnd w:id="226"/>
      <w:bookmarkEnd w:id="227"/>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rStyle w:val="CharDefText"/>
        </w:rPr>
        <w:t>proposed action</w:t>
      </w:r>
      <w:r>
        <w:t>).</w:t>
      </w:r>
    </w:p>
    <w:p>
      <w:pPr>
        <w:pStyle w:val="Subsection"/>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228" w:name="_Toc407625684"/>
      <w:bookmarkStart w:id="229" w:name="_Toc417033565"/>
      <w:bookmarkStart w:id="230" w:name="_Toc33775852"/>
      <w:r>
        <w:rPr>
          <w:rStyle w:val="CharSectno"/>
        </w:rPr>
        <w:t>57</w:t>
      </w:r>
      <w:r>
        <w:t>.</w:t>
      </w:r>
      <w:r>
        <w:tab/>
        <w:t>When amendment or revocation takes effect</w:t>
      </w:r>
      <w:bookmarkEnd w:id="228"/>
      <w:bookmarkEnd w:id="229"/>
      <w:bookmarkEnd w:id="230"/>
    </w:p>
    <w:p>
      <w:pPr>
        <w:pStyle w:val="Subsection"/>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231" w:name="_Toc407625685"/>
      <w:bookmarkStart w:id="232" w:name="_Toc417033566"/>
      <w:bookmarkStart w:id="233" w:name="_Toc33775853"/>
      <w:r>
        <w:rPr>
          <w:rStyle w:val="CharSectno"/>
        </w:rPr>
        <w:t>58</w:t>
      </w:r>
      <w:r>
        <w:t>.</w:t>
      </w:r>
      <w:r>
        <w:tab/>
        <w:t>Return of an amended or revoked departmental exemption</w:t>
      </w:r>
      <w:bookmarkEnd w:id="231"/>
      <w:bookmarkEnd w:id="232"/>
      <w:bookmarkEnd w:id="233"/>
    </w:p>
    <w:p>
      <w:pPr>
        <w:pStyle w:val="Subsection"/>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pPr>
      <w:r>
        <w:tab/>
        <w:t>(2)</w:t>
      </w:r>
      <w:r>
        <w:tab/>
        <w:t>The time stated in the notice must be a reasonable time (of at least 7 days) after the notice is given to the exemption holder.</w:t>
      </w:r>
    </w:p>
    <w:p>
      <w:pPr>
        <w:pStyle w:val="Subsection"/>
        <w:keepLines/>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234" w:name="_Toc407625686"/>
      <w:bookmarkStart w:id="235" w:name="_Toc417033383"/>
      <w:bookmarkStart w:id="236" w:name="_Toc417033567"/>
      <w:bookmarkStart w:id="237" w:name="_Toc33775854"/>
      <w:r>
        <w:rPr>
          <w:rStyle w:val="CharDivNo"/>
        </w:rPr>
        <w:t>Division 4</w:t>
      </w:r>
      <w:r>
        <w:t> — </w:t>
      </w:r>
      <w:r>
        <w:rPr>
          <w:rStyle w:val="CharDivText"/>
        </w:rPr>
        <w:t>Reconsideration and review of decisions about departmental exemptions</w:t>
      </w:r>
      <w:bookmarkEnd w:id="234"/>
      <w:bookmarkEnd w:id="235"/>
      <w:bookmarkEnd w:id="236"/>
      <w:bookmarkEnd w:id="237"/>
    </w:p>
    <w:p>
      <w:pPr>
        <w:pStyle w:val="Heading5"/>
      </w:pPr>
      <w:bookmarkStart w:id="238" w:name="_Toc407625687"/>
      <w:bookmarkStart w:id="239" w:name="_Toc417033568"/>
      <w:bookmarkStart w:id="240" w:name="_Toc33775855"/>
      <w:r>
        <w:rPr>
          <w:rStyle w:val="CharSectno"/>
        </w:rPr>
        <w:t>59</w:t>
      </w:r>
      <w:r>
        <w:t>.</w:t>
      </w:r>
      <w:r>
        <w:tab/>
        <w:t>Decisions may be reconsidered</w:t>
      </w:r>
      <w:bookmarkEnd w:id="238"/>
      <w:bookmarkEnd w:id="239"/>
      <w:bookmarkEnd w:id="240"/>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rStyle w:val="CharDefText"/>
        </w:rPr>
        <w:t>initial decision</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Magistrates Court</w:t>
      </w:r>
      <w:r>
        <w:rPr>
          <w:vertAlign w:val="superscript"/>
        </w:rPr>
        <w:t> 2</w:t>
      </w:r>
      <w:r>
        <w:t xml:space="preserve"> to have the decision reviewed by the Magistrates Court</w:t>
      </w:r>
      <w:r>
        <w:rPr>
          <w:vertAlign w:val="superscript"/>
        </w:rPr>
        <w:t> 2</w:t>
      </w:r>
      <w:r>
        <w:t>.</w:t>
      </w:r>
    </w:p>
    <w:p>
      <w:pPr>
        <w:pStyle w:val="Heading5"/>
      </w:pPr>
      <w:bookmarkStart w:id="241" w:name="_Toc407625688"/>
      <w:bookmarkStart w:id="242" w:name="_Toc417033569"/>
      <w:bookmarkStart w:id="243" w:name="_Toc33775856"/>
      <w:r>
        <w:rPr>
          <w:rStyle w:val="CharSectno"/>
        </w:rPr>
        <w:t>60</w:t>
      </w:r>
      <w:r>
        <w:t>.</w:t>
      </w:r>
      <w:r>
        <w:tab/>
        <w:t>Review of decisions</w:t>
      </w:r>
      <w:bookmarkEnd w:id="241"/>
      <w:bookmarkEnd w:id="242"/>
      <w:bookmarkEnd w:id="243"/>
    </w:p>
    <w:p>
      <w:pPr>
        <w:pStyle w:val="Subsection"/>
      </w:pPr>
      <w:r>
        <w:tab/>
      </w:r>
      <w:r>
        <w:tab/>
        <w:t>Application may be made to the Magistrates Court</w:t>
      </w:r>
      <w:r>
        <w:rPr>
          <w:vertAlign w:val="superscript"/>
        </w:rPr>
        <w:t> 2</w:t>
      </w:r>
      <w:r>
        <w:t xml:space="preserve"> for review of a decision that has been reconsidered by the Director General under regulation 59.</w:t>
      </w:r>
    </w:p>
    <w:p>
      <w:pPr>
        <w:pStyle w:val="Heading2"/>
      </w:pPr>
      <w:bookmarkStart w:id="244" w:name="_Toc407625689"/>
      <w:bookmarkStart w:id="245" w:name="_Toc417033386"/>
      <w:bookmarkStart w:id="246" w:name="_Toc417033570"/>
      <w:bookmarkStart w:id="247" w:name="_Toc33775857"/>
      <w:r>
        <w:rPr>
          <w:rStyle w:val="CharPartNo"/>
        </w:rPr>
        <w:t>Part 7</w:t>
      </w:r>
      <w:r>
        <w:rPr>
          <w:rStyle w:val="CharDivNo"/>
        </w:rPr>
        <w:t xml:space="preserve"> </w:t>
      </w:r>
      <w:r>
        <w:t>—</w:t>
      </w:r>
      <w:r>
        <w:rPr>
          <w:rStyle w:val="CharDivText"/>
        </w:rPr>
        <w:t xml:space="preserve"> </w:t>
      </w:r>
      <w:r>
        <w:rPr>
          <w:rStyle w:val="CharPartText"/>
        </w:rPr>
        <w:t>Ordering vehicles off the road</w:t>
      </w:r>
      <w:bookmarkEnd w:id="244"/>
      <w:bookmarkEnd w:id="245"/>
      <w:bookmarkEnd w:id="246"/>
      <w:bookmarkEnd w:id="247"/>
    </w:p>
    <w:p>
      <w:pPr>
        <w:pStyle w:val="Heading5"/>
      </w:pPr>
      <w:bookmarkStart w:id="248" w:name="_Toc407625690"/>
      <w:bookmarkStart w:id="249" w:name="_Toc417033571"/>
      <w:bookmarkStart w:id="250" w:name="_Toc33775858"/>
      <w:r>
        <w:rPr>
          <w:rStyle w:val="CharSectno"/>
        </w:rPr>
        <w:t>61</w:t>
      </w:r>
      <w:r>
        <w:t>.</w:t>
      </w:r>
      <w:r>
        <w:tab/>
        <w:t>Compliance notices</w:t>
      </w:r>
      <w:bookmarkEnd w:id="248"/>
      <w:bookmarkEnd w:id="249"/>
      <w:bookmarkEnd w:id="250"/>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251" w:name="_Toc407625691"/>
      <w:bookmarkStart w:id="252" w:name="_Toc417033572"/>
      <w:bookmarkStart w:id="253" w:name="_Toc33775859"/>
      <w:r>
        <w:rPr>
          <w:rStyle w:val="CharSectno"/>
        </w:rPr>
        <w:t>62</w:t>
      </w:r>
      <w:r>
        <w:t>.</w:t>
      </w:r>
      <w:r>
        <w:tab/>
        <w:t>Police inspection powers</w:t>
      </w:r>
      <w:bookmarkEnd w:id="251"/>
      <w:bookmarkEnd w:id="252"/>
      <w:bookmarkEnd w:id="253"/>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keepNext/>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254" w:name="_Toc407625692"/>
      <w:bookmarkStart w:id="255" w:name="_Toc417033573"/>
      <w:bookmarkStart w:id="256" w:name="_Toc33775860"/>
      <w:r>
        <w:rPr>
          <w:rStyle w:val="CharSectno"/>
        </w:rPr>
        <w:t>63</w:t>
      </w:r>
      <w:r>
        <w:t>.</w:t>
      </w:r>
      <w:r>
        <w:tab/>
        <w:t>Form of compliance notice</w:t>
      </w:r>
      <w:bookmarkEnd w:id="254"/>
      <w:bookmarkEnd w:id="255"/>
      <w:bookmarkEnd w:id="256"/>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pPr>
      <w:bookmarkStart w:id="257" w:name="_Toc407625693"/>
      <w:bookmarkStart w:id="258" w:name="_Toc417033574"/>
      <w:bookmarkStart w:id="259" w:name="_Toc33775861"/>
      <w:r>
        <w:rPr>
          <w:rStyle w:val="CharSectno"/>
        </w:rPr>
        <w:t>64</w:t>
      </w:r>
      <w:r>
        <w:t>.</w:t>
      </w:r>
      <w:r>
        <w:tab/>
        <w:t>Service of compliance notices</w:t>
      </w:r>
      <w:bookmarkEnd w:id="257"/>
      <w:bookmarkEnd w:id="258"/>
      <w:bookmarkEnd w:id="259"/>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keepLines/>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keepNext/>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 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260" w:name="_Toc407625694"/>
      <w:bookmarkStart w:id="261" w:name="_Toc417033575"/>
      <w:bookmarkStart w:id="262" w:name="_Toc33775862"/>
      <w:r>
        <w:rPr>
          <w:rStyle w:val="CharSectno"/>
        </w:rPr>
        <w:t>65</w:t>
      </w:r>
      <w:r>
        <w:t>.</w:t>
      </w:r>
      <w:r>
        <w:tab/>
        <w:t>Duration of compliance notice</w:t>
      </w:r>
      <w:bookmarkEnd w:id="260"/>
      <w:bookmarkEnd w:id="261"/>
      <w:bookmarkEnd w:id="262"/>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r>
      <w:r>
        <w:rPr>
          <w:rStyle w:val="CharDefText"/>
        </w:rPr>
        <w:t>authorised police officer</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w:t>
      </w:r>
      <w:r>
        <w:noBreakHyphen/>
        <w:t>1.]</w:t>
      </w:r>
    </w:p>
    <w:p>
      <w:pPr>
        <w:pStyle w:val="Heading5"/>
        <w:spacing w:before="240"/>
      </w:pPr>
      <w:bookmarkStart w:id="263" w:name="_Toc407625695"/>
      <w:bookmarkStart w:id="264" w:name="_Toc417033576"/>
      <w:bookmarkStart w:id="265" w:name="_Toc33775863"/>
      <w:r>
        <w:rPr>
          <w:rStyle w:val="CharSectno"/>
        </w:rPr>
        <w:t>66</w:t>
      </w:r>
      <w:r>
        <w:t>.</w:t>
      </w:r>
      <w:r>
        <w:tab/>
        <w:t>Contravention of compliance notice or direction</w:t>
      </w:r>
      <w:bookmarkEnd w:id="263"/>
      <w:bookmarkEnd w:id="264"/>
      <w:bookmarkEnd w:id="265"/>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pPr>
      <w:r>
        <w:tab/>
        <w:t>Minimum penalty: 12 PU.</w:t>
      </w:r>
    </w:p>
    <w:p>
      <w:pPr>
        <w:pStyle w:val="Penstart"/>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pPr>
      <w:r>
        <w:tab/>
        <w:t>Penalty for an offence under subregulation (3), if the direction is given for a purpose referred to in section 111(2)(m)(i) or (ii) of the Act:</w:t>
      </w:r>
    </w:p>
    <w:p>
      <w:pPr>
        <w:pStyle w:val="Penpara"/>
      </w:pPr>
      <w:r>
        <w:tab/>
        <w:t>(a)</w:t>
      </w:r>
      <w:r>
        <w:tab/>
        <w:t>for a first offence —</w:t>
      </w:r>
    </w:p>
    <w:p>
      <w:pPr>
        <w:pStyle w:val="Pensubpara"/>
      </w:pPr>
      <w:r>
        <w:tab/>
        <w:t>(i)</w:t>
      </w:r>
      <w:r>
        <w:tab/>
        <w:t>minimum penalty: 12 PU;</w:t>
      </w:r>
    </w:p>
    <w:p>
      <w:pPr>
        <w:pStyle w:val="Pensubpara"/>
      </w:pPr>
      <w:r>
        <w:tab/>
        <w:t>(ii)</w:t>
      </w:r>
      <w:r>
        <w:tab/>
        <w:t>maximum penalty: 24 PU;</w:t>
      </w:r>
    </w:p>
    <w:p>
      <w:pPr>
        <w:pStyle w:val="Penpara"/>
        <w:keepNext/>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266" w:name="_Toc407625696"/>
      <w:bookmarkStart w:id="267" w:name="_Toc417033577"/>
      <w:bookmarkStart w:id="268" w:name="_Toc33775864"/>
      <w:r>
        <w:rPr>
          <w:rStyle w:val="CharSectno"/>
        </w:rPr>
        <w:t>67</w:t>
      </w:r>
      <w:r>
        <w:t>.</w:t>
      </w:r>
      <w:r>
        <w:tab/>
        <w:t>Exercise of powers under this Part</w:t>
      </w:r>
      <w:bookmarkEnd w:id="266"/>
      <w:bookmarkEnd w:id="267"/>
      <w:bookmarkEnd w:id="268"/>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269" w:name="_Toc407625697"/>
      <w:bookmarkStart w:id="270" w:name="_Toc417033394"/>
      <w:bookmarkStart w:id="271" w:name="_Toc417033578"/>
      <w:bookmarkStart w:id="272" w:name="_Toc33775865"/>
      <w:r>
        <w:rPr>
          <w:rStyle w:val="CharPartNo"/>
        </w:rPr>
        <w:t>Part 8</w:t>
      </w:r>
      <w:r>
        <w:rPr>
          <w:rStyle w:val="CharDivNo"/>
        </w:rPr>
        <w:t xml:space="preserve"> </w:t>
      </w:r>
      <w:r>
        <w:t>—</w:t>
      </w:r>
      <w:r>
        <w:rPr>
          <w:rStyle w:val="CharDivText"/>
        </w:rPr>
        <w:t xml:space="preserve"> </w:t>
      </w:r>
      <w:r>
        <w:rPr>
          <w:rStyle w:val="CharPartText"/>
        </w:rPr>
        <w:t>Miscellaneous</w:t>
      </w:r>
      <w:bookmarkEnd w:id="269"/>
      <w:bookmarkEnd w:id="270"/>
      <w:bookmarkEnd w:id="271"/>
      <w:bookmarkEnd w:id="272"/>
    </w:p>
    <w:p>
      <w:pPr>
        <w:pStyle w:val="Heading5"/>
      </w:pPr>
      <w:bookmarkStart w:id="273" w:name="_Toc407625698"/>
      <w:bookmarkStart w:id="274" w:name="_Toc417033579"/>
      <w:bookmarkStart w:id="275" w:name="_Toc33775866"/>
      <w:r>
        <w:rPr>
          <w:rStyle w:val="CharSectno"/>
        </w:rPr>
        <w:t>68</w:t>
      </w:r>
      <w:r>
        <w:t>.</w:t>
      </w:r>
      <w:r>
        <w:tab/>
        <w:t>Tampering with a speed limiting device</w:t>
      </w:r>
      <w:bookmarkEnd w:id="273"/>
      <w:bookmarkEnd w:id="274"/>
      <w:bookmarkEnd w:id="275"/>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276" w:name="_Toc407625699"/>
      <w:bookmarkStart w:id="277" w:name="_Toc417033580"/>
      <w:bookmarkStart w:id="278" w:name="_Toc33775867"/>
      <w:r>
        <w:rPr>
          <w:rStyle w:val="CharSectno"/>
        </w:rPr>
        <w:t>69</w:t>
      </w:r>
      <w:r>
        <w:t>.</w:t>
      </w:r>
      <w:r>
        <w:tab/>
        <w:t>Alteration of vehicles</w:t>
      </w:r>
      <w:bookmarkEnd w:id="276"/>
      <w:bookmarkEnd w:id="277"/>
      <w:bookmarkEnd w:id="278"/>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rPr>
          <w:b/>
          <w:bCs/>
        </w:rPr>
      </w:pPr>
      <w:r>
        <w:tab/>
        <w:t>Modified penalty: 2 PU.</w:t>
      </w:r>
      <w:r>
        <w:rPr>
          <w:b/>
          <w:bCs/>
        </w:rPr>
        <w:t xml:space="preserve"> </w:t>
      </w:r>
    </w:p>
    <w:p>
      <w:pPr>
        <w:pStyle w:val="MiscellaneousHeading"/>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after="30" w:line="240" w:lineRule="auto"/>
              <w:rPr>
                <w:b/>
              </w:rPr>
            </w:pPr>
          </w:p>
        </w:tc>
        <w:tc>
          <w:tcPr>
            <w:tcW w:w="5528" w:type="dxa"/>
            <w:tcBorders>
              <w:top w:val="single" w:sz="4" w:space="0" w:color="auto"/>
              <w:bottom w:val="single" w:sz="4" w:space="0" w:color="auto"/>
            </w:tcBorders>
          </w:tcPr>
          <w:p>
            <w:pPr>
              <w:pStyle w:val="Table"/>
              <w:spacing w:after="30" w:line="240" w:lineRule="auto"/>
              <w:ind w:left="34"/>
              <w:rPr>
                <w:b/>
              </w:rPr>
            </w:pPr>
            <w:r>
              <w:rPr>
                <w:b/>
              </w:rPr>
              <w:t>Alteration</w:t>
            </w:r>
          </w:p>
        </w:tc>
      </w:tr>
      <w:tr>
        <w:tc>
          <w:tcPr>
            <w:tcW w:w="567" w:type="dxa"/>
            <w:tcBorders>
              <w:top w:val="single" w:sz="4" w:space="0" w:color="auto"/>
            </w:tcBorders>
          </w:tcPr>
          <w:p>
            <w:pPr>
              <w:pStyle w:val="Table"/>
              <w:spacing w:after="30" w:line="240" w:lineRule="auto"/>
            </w:pPr>
            <w:r>
              <w:t>1.</w:t>
            </w:r>
          </w:p>
        </w:tc>
        <w:tc>
          <w:tcPr>
            <w:tcW w:w="5528" w:type="dxa"/>
            <w:tcBorders>
              <w:top w:val="single" w:sz="4" w:space="0" w:color="auto"/>
            </w:tcBorders>
          </w:tcPr>
          <w:p>
            <w:pPr>
              <w:pStyle w:val="Table"/>
              <w:spacing w:after="30" w:line="240" w:lineRule="auto"/>
            </w:pPr>
            <w:r>
              <w:t>Fitting an engine of greater displacement volume than an engine that was available as an option for the vehicle with the same braking system.</w:t>
            </w:r>
          </w:p>
        </w:tc>
      </w:tr>
      <w:tr>
        <w:tc>
          <w:tcPr>
            <w:tcW w:w="567" w:type="dxa"/>
          </w:tcPr>
          <w:p>
            <w:pPr>
              <w:pStyle w:val="Table"/>
              <w:spacing w:after="30" w:line="240" w:lineRule="auto"/>
            </w:pPr>
            <w:r>
              <w:t>2.</w:t>
            </w:r>
          </w:p>
        </w:tc>
        <w:tc>
          <w:tcPr>
            <w:tcW w:w="5528" w:type="dxa"/>
          </w:tcPr>
          <w:p>
            <w:pPr>
              <w:pStyle w:val="Table"/>
              <w:spacing w:after="30"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after="30" w:line="240" w:lineRule="auto"/>
            </w:pPr>
            <w:r>
              <w:t>3.</w:t>
            </w:r>
          </w:p>
        </w:tc>
        <w:tc>
          <w:tcPr>
            <w:tcW w:w="5528" w:type="dxa"/>
          </w:tcPr>
          <w:p>
            <w:pPr>
              <w:pStyle w:val="Table"/>
              <w:spacing w:after="30" w:line="240" w:lineRule="auto"/>
            </w:pPr>
            <w:r>
              <w:t xml:space="preserve">Fitting any wheel rim with more than a single weld around the circumference, or which does not conform to one of the dimensional standards for wheel rims set down in the </w:t>
            </w:r>
            <w:smartTag w:uri="urn:schemas-microsoft-com:office:smarttags" w:element="City">
              <w:r>
                <w:t>Tyre</w:t>
              </w:r>
            </w:smartTag>
            <w:r>
              <w:t xml:space="preserve"> and Rim Standards Manual issued by the </w:t>
            </w:r>
            <w:smartTag w:uri="urn:schemas-microsoft-com:office:smarttags" w:element="place">
              <w:smartTag w:uri="urn:schemas-microsoft-com:office:smarttags" w:element="City">
                <w:r>
                  <w:t>Tyre</w:t>
                </w:r>
              </w:smartTag>
            </w:smartTag>
            <w:r>
              <w:t xml:space="preserve"> and Rim Association.</w:t>
            </w:r>
          </w:p>
        </w:tc>
      </w:tr>
      <w:tr>
        <w:tc>
          <w:tcPr>
            <w:tcW w:w="567" w:type="dxa"/>
          </w:tcPr>
          <w:p>
            <w:pPr>
              <w:pStyle w:val="Table"/>
              <w:spacing w:after="30" w:line="240" w:lineRule="auto"/>
            </w:pPr>
            <w:r>
              <w:t>4.</w:t>
            </w:r>
          </w:p>
        </w:tc>
        <w:tc>
          <w:tcPr>
            <w:tcW w:w="5528" w:type="dxa"/>
          </w:tcPr>
          <w:p>
            <w:pPr>
              <w:pStyle w:val="Table"/>
              <w:spacing w:after="30" w:line="240" w:lineRule="auto"/>
            </w:pPr>
            <w:r>
              <w:t>Widening the wheel track of front or rear wheels by more than 25 mm beyond the maximum specified by the vehicle manufacturer.</w:t>
            </w:r>
          </w:p>
        </w:tc>
      </w:tr>
      <w:tr>
        <w:tc>
          <w:tcPr>
            <w:tcW w:w="567" w:type="dxa"/>
          </w:tcPr>
          <w:p>
            <w:pPr>
              <w:pStyle w:val="Table"/>
              <w:spacing w:after="30" w:line="240" w:lineRule="auto"/>
            </w:pPr>
            <w:r>
              <w:t>5.</w:t>
            </w:r>
          </w:p>
        </w:tc>
        <w:tc>
          <w:tcPr>
            <w:tcW w:w="5528" w:type="dxa"/>
          </w:tcPr>
          <w:p>
            <w:pPr>
              <w:pStyle w:val="Table"/>
              <w:spacing w:after="30" w:line="240" w:lineRule="auto"/>
            </w:pPr>
            <w:r>
              <w:t>Fitting spacers between wheels and hubs additional to any provided by the vehicle manufacturer.</w:t>
            </w:r>
          </w:p>
        </w:tc>
      </w:tr>
      <w:tr>
        <w:tc>
          <w:tcPr>
            <w:tcW w:w="567" w:type="dxa"/>
          </w:tcPr>
          <w:p>
            <w:pPr>
              <w:pStyle w:val="Table"/>
              <w:spacing w:after="30" w:line="240" w:lineRule="auto"/>
            </w:pPr>
            <w:r>
              <w:t>6.</w:t>
            </w:r>
          </w:p>
        </w:tc>
        <w:tc>
          <w:tcPr>
            <w:tcW w:w="5528" w:type="dxa"/>
          </w:tcPr>
          <w:p>
            <w:pPr>
              <w:pStyle w:val="Table"/>
              <w:spacing w:after="3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after="30" w:line="240" w:lineRule="auto"/>
            </w:pPr>
            <w:r>
              <w:t>7.</w:t>
            </w:r>
          </w:p>
        </w:tc>
        <w:tc>
          <w:tcPr>
            <w:tcW w:w="5528" w:type="dxa"/>
          </w:tcPr>
          <w:p>
            <w:pPr>
              <w:pStyle w:val="Table"/>
              <w:spacing w:after="30" w:line="240" w:lineRule="auto"/>
            </w:pPr>
            <w:r>
              <w:t xml:space="preserve">Fitting tyres other than those appropriate to the wheel rim as specified in the </w:t>
            </w:r>
            <w:smartTag w:uri="urn:schemas-microsoft-com:office:smarttags" w:element="City">
              <w:r>
                <w:t>Tyre</w:t>
              </w:r>
            </w:smartTag>
            <w:r>
              <w:t xml:space="preserve"> and Rim Standards Manual issued by the </w:t>
            </w:r>
            <w:smartTag w:uri="urn:schemas-microsoft-com:office:smarttags" w:element="place">
              <w:smartTag w:uri="urn:schemas-microsoft-com:office:smarttags" w:element="City">
                <w:r>
                  <w:t>Tyre</w:t>
                </w:r>
              </w:smartTag>
            </w:smartTag>
            <w:r>
              <w:t xml:space="preserve"> and Rim Association.</w:t>
            </w:r>
          </w:p>
        </w:tc>
      </w:tr>
      <w:tr>
        <w:tc>
          <w:tcPr>
            <w:tcW w:w="567" w:type="dxa"/>
          </w:tcPr>
          <w:p>
            <w:pPr>
              <w:pStyle w:val="Table"/>
              <w:spacing w:after="30" w:line="240" w:lineRule="auto"/>
            </w:pPr>
            <w:r>
              <w:t>8.</w:t>
            </w:r>
          </w:p>
        </w:tc>
        <w:tc>
          <w:tcPr>
            <w:tcW w:w="5528" w:type="dxa"/>
          </w:tcPr>
          <w:p>
            <w:pPr>
              <w:pStyle w:val="Table"/>
              <w:spacing w:after="3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after="30" w:line="240" w:lineRule="auto"/>
            </w:pPr>
            <w:r>
              <w:t>9.</w:t>
            </w:r>
          </w:p>
        </w:tc>
        <w:tc>
          <w:tcPr>
            <w:tcW w:w="5528" w:type="dxa"/>
          </w:tcPr>
          <w:p>
            <w:pPr>
              <w:pStyle w:val="Table"/>
              <w:spacing w:after="3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after="30" w:line="240" w:lineRule="auto"/>
            </w:pPr>
            <w:r>
              <w:t>10.</w:t>
            </w:r>
          </w:p>
        </w:tc>
        <w:tc>
          <w:tcPr>
            <w:tcW w:w="5528" w:type="dxa"/>
          </w:tcPr>
          <w:p>
            <w:pPr>
              <w:pStyle w:val="Table"/>
              <w:spacing w:after="30" w:line="240" w:lineRule="auto"/>
            </w:pPr>
            <w:r>
              <w:t>Welding or heating any axle, stub axle, steering arm or steering knuckle support.</w:t>
            </w:r>
          </w:p>
        </w:tc>
      </w:tr>
      <w:tr>
        <w:tc>
          <w:tcPr>
            <w:tcW w:w="567" w:type="dxa"/>
            <w:tcBorders>
              <w:bottom w:val="single" w:sz="4" w:space="0" w:color="auto"/>
            </w:tcBorders>
          </w:tcPr>
          <w:p>
            <w:pPr>
              <w:pStyle w:val="Table"/>
              <w:spacing w:after="30" w:line="240" w:lineRule="auto"/>
            </w:pPr>
            <w:r>
              <w:t>11.</w:t>
            </w:r>
          </w:p>
        </w:tc>
        <w:tc>
          <w:tcPr>
            <w:tcW w:w="5528" w:type="dxa"/>
            <w:tcBorders>
              <w:bottom w:val="single" w:sz="4" w:space="0" w:color="auto"/>
            </w:tcBorders>
          </w:tcPr>
          <w:p>
            <w:pPr>
              <w:pStyle w:val="Table"/>
              <w:spacing w:after="30" w:line="240" w:lineRule="auto"/>
            </w:pPr>
            <w:r>
              <w:t>Lengthening or shortening the chassis frame, or the body structure in the case of a vehicle of mono (chassis</w:t>
            </w:r>
            <w:r>
              <w:noBreakHyphen/>
              <w:t>less) construction.</w:t>
            </w:r>
          </w:p>
        </w:tc>
      </w:tr>
    </w:tbl>
    <w:p>
      <w:pPr>
        <w:pStyle w:val="Subsection"/>
        <w:keepNext/>
        <w:keepLines/>
      </w:pPr>
      <w:r>
        <w:tab/>
        <w:t>(2)</w:t>
      </w:r>
      <w:r>
        <w:tab/>
        <w:t>A person must not, without the approval of the Director General, alter a motor vehicle or trailer not being a car or a derivative of a car from —</w:t>
      </w:r>
    </w:p>
    <w:p>
      <w:pPr>
        <w:pStyle w:val="Indenta"/>
        <w:keepNext/>
        <w:keepLines/>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pPr>
      <w:r>
        <w:tab/>
        <w:t>Penalty: 16 PU.</w:t>
      </w:r>
    </w:p>
    <w:p>
      <w:pPr>
        <w:pStyle w:val="Penstart"/>
      </w:pPr>
      <w:r>
        <w:tab/>
        <w:t>Modified penalty: 2 PU.</w:t>
      </w:r>
    </w:p>
    <w:p>
      <w:pPr>
        <w:pStyle w:val="Subsection"/>
      </w:pPr>
      <w:r>
        <w:tab/>
        <w:t>(3)</w:t>
      </w:r>
      <w:r>
        <w:tab/>
        <w:t xml:space="preserve">Where the Director General approves of any modifications under subregulation (1) or (2), a vehicle modification permit is to be issued by the Director General, upon receipt by the Director General of the relevant fee prescribed in the </w:t>
      </w:r>
      <w:r>
        <w:rPr>
          <w:i/>
          <w:iCs/>
        </w:rPr>
        <w:t>Road Traffic (Charges and Fees) Regulations 2006</w:t>
      </w:r>
      <w:r>
        <w:t>.</w:t>
      </w:r>
    </w:p>
    <w:p>
      <w:pPr>
        <w:pStyle w:val="Subsection"/>
      </w:pPr>
      <w:r>
        <w:tab/>
        <w:t>(4)</w:t>
      </w:r>
      <w:r>
        <w:tab/>
        <w:t>A person must not change or alter the body or equipment of a motor vehicle in such a way as adversely to affect the safe operation of the vehicle.</w:t>
      </w:r>
    </w:p>
    <w:p>
      <w:pPr>
        <w:pStyle w:val="Penstart"/>
      </w:pPr>
      <w:r>
        <w:tab/>
        <w:t>Penalty: 16 PU.</w:t>
      </w:r>
    </w:p>
    <w:p>
      <w:pPr>
        <w:pStyle w:val="Penstart"/>
      </w:pPr>
      <w:r>
        <w:tab/>
        <w:t>Modified penalty: 2 PU.</w:t>
      </w:r>
    </w:p>
    <w:p>
      <w:pPr>
        <w:pStyle w:val="Subsection"/>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pPr>
      <w:r>
        <w:tab/>
        <w:t>Penalty: 16 PU.</w:t>
      </w:r>
    </w:p>
    <w:p>
      <w:pPr>
        <w:pStyle w:val="Penstart"/>
      </w:pPr>
      <w:r>
        <w:tab/>
        <w:t>Modified penalty: 2 PU.</w:t>
      </w:r>
    </w:p>
    <w:p>
      <w:pPr>
        <w:pStyle w:val="Subsection"/>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pPr>
      <w:r>
        <w:tab/>
        <w:t>Penalty: 16 PU.</w:t>
      </w:r>
    </w:p>
    <w:p>
      <w:pPr>
        <w:pStyle w:val="Penstart"/>
      </w:pPr>
      <w:r>
        <w:tab/>
        <w:t>Modified penalty: 2 PU.</w:t>
      </w:r>
    </w:p>
    <w:p>
      <w:pPr>
        <w:pStyle w:val="Subsection"/>
        <w:keepNext/>
        <w:keepLines/>
      </w:pPr>
      <w:r>
        <w:tab/>
        <w:t>(7)</w:t>
      </w:r>
      <w:r>
        <w:tab/>
        <w:t>In this regulation —</w:t>
      </w:r>
    </w:p>
    <w:p>
      <w:pPr>
        <w:pStyle w:val="Defstart"/>
        <w:keepNext/>
        <w:keepLines/>
      </w:pPr>
      <w:r>
        <w:tab/>
      </w:r>
      <w:r>
        <w:rPr>
          <w:rStyle w:val="CharDefText"/>
        </w:rPr>
        <w:t>derivative of a car</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 26 May 2006 p. 1884; 28 Nov 2006 p. 4896.]</w:t>
      </w:r>
    </w:p>
    <w:p>
      <w:pPr>
        <w:pStyle w:val="Heading5"/>
      </w:pPr>
      <w:bookmarkStart w:id="279" w:name="_Toc407625700"/>
      <w:bookmarkStart w:id="280" w:name="_Toc417033581"/>
      <w:bookmarkStart w:id="281" w:name="_Toc33775868"/>
      <w:r>
        <w:rPr>
          <w:rStyle w:val="CharSectno"/>
        </w:rPr>
        <w:t>70</w:t>
      </w:r>
      <w:r>
        <w:t>.</w:t>
      </w:r>
      <w:r>
        <w:tab/>
        <w:t>Particulars of vehicles to be supplied</w:t>
      </w:r>
      <w:bookmarkEnd w:id="279"/>
      <w:bookmarkEnd w:id="280"/>
      <w:bookmarkEnd w:id="281"/>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282" w:name="_Toc407625701"/>
      <w:bookmarkStart w:id="283" w:name="_Toc417033582"/>
      <w:bookmarkStart w:id="284" w:name="_Toc33775869"/>
      <w:r>
        <w:rPr>
          <w:rStyle w:val="CharSectno"/>
        </w:rPr>
        <w:t>71</w:t>
      </w:r>
      <w:r>
        <w:t>.</w:t>
      </w:r>
      <w:r>
        <w:tab/>
        <w:t>Infringement notice penalties</w:t>
      </w:r>
      <w:bookmarkEnd w:id="282"/>
      <w:bookmarkEnd w:id="283"/>
      <w:bookmarkEnd w:id="284"/>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85" w:name="_Toc407625702"/>
      <w:bookmarkStart w:id="286" w:name="_Toc417033399"/>
      <w:bookmarkStart w:id="287" w:name="_Toc417033583"/>
      <w:bookmarkStart w:id="288" w:name="_Toc33775870"/>
      <w:r>
        <w:rPr>
          <w:rStyle w:val="CharSchNo"/>
        </w:rPr>
        <w:t>Schedule 1</w:t>
      </w:r>
      <w:r>
        <w:t> — </w:t>
      </w:r>
      <w:r>
        <w:rPr>
          <w:rStyle w:val="CharSchText"/>
        </w:rPr>
        <w:t>Mass and loading requirements</w:t>
      </w:r>
      <w:bookmarkEnd w:id="285"/>
      <w:bookmarkEnd w:id="286"/>
      <w:bookmarkEnd w:id="287"/>
      <w:bookmarkEnd w:id="288"/>
    </w:p>
    <w:p>
      <w:pPr>
        <w:pStyle w:val="yShoulderClause"/>
      </w:pPr>
      <w:r>
        <w:t>[Part 3]</w:t>
      </w:r>
    </w:p>
    <w:p>
      <w:pPr>
        <w:pStyle w:val="yHeading3"/>
        <w:spacing w:before="200"/>
      </w:pPr>
      <w:bookmarkStart w:id="289" w:name="_Toc407625703"/>
      <w:bookmarkStart w:id="290" w:name="_Toc417033400"/>
      <w:bookmarkStart w:id="291" w:name="_Toc417033584"/>
      <w:bookmarkStart w:id="292" w:name="_Toc33775871"/>
      <w:r>
        <w:rPr>
          <w:rStyle w:val="CharSDivNo"/>
        </w:rPr>
        <w:t>Division 1</w:t>
      </w:r>
      <w:r>
        <w:t> — </w:t>
      </w:r>
      <w:r>
        <w:rPr>
          <w:rStyle w:val="CharSDivText"/>
        </w:rPr>
        <w:t>Mass limits for heavy vehicles</w:t>
      </w:r>
      <w:bookmarkEnd w:id="289"/>
      <w:bookmarkEnd w:id="290"/>
      <w:bookmarkEnd w:id="291"/>
      <w:bookmarkEnd w:id="292"/>
    </w:p>
    <w:p>
      <w:pPr>
        <w:pStyle w:val="yHeading5"/>
        <w:spacing w:before="160"/>
      </w:pPr>
      <w:bookmarkStart w:id="293" w:name="_Toc407625704"/>
      <w:bookmarkStart w:id="294" w:name="_Toc417033585"/>
      <w:bookmarkStart w:id="295" w:name="_Toc33775872"/>
      <w:r>
        <w:rPr>
          <w:rStyle w:val="CharSClsNo"/>
        </w:rPr>
        <w:t>1</w:t>
      </w:r>
      <w:r>
        <w:t>.</w:t>
      </w:r>
      <w:r>
        <w:tab/>
        <w:t>Mass limit for a single vehicle</w:t>
      </w:r>
      <w:bookmarkEnd w:id="293"/>
      <w:bookmarkEnd w:id="294"/>
      <w:bookmarkEnd w:id="295"/>
    </w:p>
    <w:p>
      <w:pPr>
        <w:pStyle w:val="ySubsection"/>
      </w:pPr>
      <w:r>
        <w:tab/>
      </w:r>
      <w:r>
        <w:tab/>
        <w:t>The total mass of a vehicle and any load must not exceed the vehicle’s GVM.</w:t>
      </w:r>
    </w:p>
    <w:p>
      <w:pPr>
        <w:pStyle w:val="yHeading5"/>
        <w:spacing w:before="160"/>
      </w:pPr>
      <w:bookmarkStart w:id="296" w:name="_Toc407625705"/>
      <w:bookmarkStart w:id="297" w:name="_Toc417033586"/>
      <w:bookmarkStart w:id="298" w:name="_Toc33775873"/>
      <w:r>
        <w:rPr>
          <w:rStyle w:val="CharSClsNo"/>
        </w:rPr>
        <w:t>2</w:t>
      </w:r>
      <w:r>
        <w:t>.</w:t>
      </w:r>
      <w:r>
        <w:tab/>
        <w:t>Mass limits for tyres, wheels and axles</w:t>
      </w:r>
      <w:bookmarkEnd w:id="296"/>
      <w:bookmarkEnd w:id="297"/>
      <w:bookmarkEnd w:id="298"/>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Borders>
              <w:bottom w:val="single" w:sz="4" w:space="0" w:color="auto"/>
            </w:tcBorders>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Borders>
              <w:bottom w:val="single" w:sz="4" w:space="0" w:color="auto"/>
            </w:tcBorders>
          </w:tcPr>
          <w:p>
            <w:pPr>
              <w:pStyle w:val="yTable"/>
              <w:spacing w:before="40" w:after="20"/>
              <w:ind w:right="284"/>
              <w:jc w:val="right"/>
            </w:pPr>
            <w:r>
              <w:br/>
              <w:t>20.0</w:t>
            </w:r>
          </w:p>
        </w:tc>
      </w:tr>
    </w:tbl>
    <w:p>
      <w:pPr>
        <w:pStyle w:val="yHeading5"/>
        <w:spacing w:before="160"/>
      </w:pPr>
      <w:bookmarkStart w:id="299" w:name="_Toc407625706"/>
      <w:bookmarkStart w:id="300" w:name="_Toc417033587"/>
      <w:bookmarkStart w:id="301" w:name="_Toc33775874"/>
      <w:r>
        <w:rPr>
          <w:rStyle w:val="CharSClsNo"/>
        </w:rPr>
        <w:t>3</w:t>
      </w:r>
      <w:r>
        <w:t>.</w:t>
      </w:r>
      <w:r>
        <w:tab/>
        <w:t>Mass limits relating to axle spacing</w:t>
      </w:r>
      <w:bookmarkEnd w:id="299"/>
      <w:bookmarkEnd w:id="300"/>
      <w:bookmarkEnd w:id="301"/>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pPr>
      <w:r>
        <w:drawing>
          <wp:inline distT="0" distB="0" distL="0" distR="0">
            <wp:extent cx="2199640" cy="2139315"/>
            <wp:effectExtent l="0" t="0" r="0" b="0"/>
            <wp:docPr id="1" name="Picture 1" descr="Measurement fortble2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asurement fortble2 (cropp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99640" cy="2139315"/>
                    </a:xfrm>
                    <a:prstGeom prst="rect">
                      <a:avLst/>
                    </a:prstGeom>
                    <a:noFill/>
                    <a:ln>
                      <a:noFill/>
                    </a:ln>
                  </pic:spPr>
                </pic:pic>
              </a:graphicData>
            </a:graphic>
          </wp:inline>
        </w:drawing>
      </w:r>
    </w:p>
    <w:p>
      <w:pPr>
        <w:pStyle w:val="yMiscellaneousHeading"/>
        <w:keepLines/>
        <w:spacing w:before="120" w:after="120"/>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4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4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4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4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4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single" w:sz="4" w:space="0" w:color="auto"/>
            </w:tcBorders>
          </w:tcPr>
          <w:p>
            <w:pPr>
              <w:pStyle w:val="yTable"/>
              <w:tabs>
                <w:tab w:val="left" w:pos="601"/>
              </w:tabs>
              <w:spacing w:before="40" w:after="20"/>
            </w:pPr>
            <w:r>
              <w:tab/>
              <w:t>10.0</w:t>
            </w:r>
            <w:r>
              <w:tab/>
              <w:t xml:space="preserve">  —</w:t>
            </w:r>
          </w:p>
        </w:tc>
        <w:tc>
          <w:tcPr>
            <w:tcW w:w="1701" w:type="dxa"/>
            <w:gridSpan w:val="2"/>
            <w:tcBorders>
              <w:bottom w:val="single" w:sz="4" w:space="0" w:color="auto"/>
            </w:tcBorders>
          </w:tcPr>
          <w:p>
            <w:pPr>
              <w:pStyle w:val="yTable"/>
              <w:spacing w:before="40" w:after="20"/>
              <w:ind w:left="175" w:right="-108"/>
            </w:pPr>
            <w:r>
              <w:t>—   ..................</w:t>
            </w:r>
          </w:p>
        </w:tc>
        <w:tc>
          <w:tcPr>
            <w:tcW w:w="1559" w:type="dxa"/>
            <w:tcBorders>
              <w:bottom w:val="single" w:sz="4" w:space="0" w:color="auto"/>
            </w:tcBorders>
          </w:tcPr>
          <w:p>
            <w:pPr>
              <w:pStyle w:val="yTable"/>
              <w:spacing w:before="40" w:after="20"/>
              <w:jc w:val="center"/>
            </w:pPr>
            <w:r>
              <w:t>42.5</w:t>
            </w:r>
          </w:p>
        </w:tc>
      </w:tr>
    </w:tbl>
    <w:p>
      <w:pPr>
        <w:pStyle w:val="yHeading5"/>
        <w:spacing w:before="160"/>
      </w:pPr>
      <w:bookmarkStart w:id="302" w:name="_Toc407625707"/>
      <w:bookmarkStart w:id="303" w:name="_Toc417033588"/>
      <w:bookmarkStart w:id="304" w:name="_Toc33775875"/>
      <w:r>
        <w:rPr>
          <w:rStyle w:val="CharSClsNo"/>
        </w:rPr>
        <w:t>4</w:t>
      </w:r>
      <w:r>
        <w:t>.</w:t>
      </w:r>
      <w:r>
        <w:tab/>
        <w:t>Mass limits for combinations</w:t>
      </w:r>
      <w:bookmarkEnd w:id="302"/>
      <w:bookmarkEnd w:id="303"/>
      <w:bookmarkEnd w:id="304"/>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1.5pt">
            <v:imagedata r:id="rId21" o:title=""/>
          </v:shape>
        </w:pict>
      </w:r>
    </w:p>
    <w:p>
      <w:pPr>
        <w:pStyle w:val="ySubsection"/>
        <w:spacing w:before="120"/>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spacing w:before="6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200"/>
      </w:pPr>
      <w:bookmarkStart w:id="305" w:name="_Toc407625708"/>
      <w:bookmarkStart w:id="306" w:name="_Toc417033405"/>
      <w:bookmarkStart w:id="307" w:name="_Toc417033589"/>
      <w:bookmarkStart w:id="308" w:name="_Toc33775876"/>
      <w:r>
        <w:rPr>
          <w:rStyle w:val="CharSDivNo"/>
        </w:rPr>
        <w:t xml:space="preserve">Division 2 </w:t>
      </w:r>
      <w:r>
        <w:t>— </w:t>
      </w:r>
      <w:r>
        <w:rPr>
          <w:rStyle w:val="CharSDivText"/>
        </w:rPr>
        <w:t>Mass limits for light vehicles</w:t>
      </w:r>
      <w:bookmarkEnd w:id="305"/>
      <w:bookmarkEnd w:id="306"/>
      <w:bookmarkEnd w:id="307"/>
      <w:bookmarkEnd w:id="308"/>
    </w:p>
    <w:p>
      <w:pPr>
        <w:pStyle w:val="yHeading5"/>
        <w:spacing w:before="160"/>
        <w:rPr>
          <w:bCs/>
        </w:rPr>
      </w:pPr>
      <w:bookmarkStart w:id="309" w:name="_Toc407625709"/>
      <w:bookmarkStart w:id="310" w:name="_Toc417033590"/>
      <w:bookmarkStart w:id="311" w:name="_Toc33775877"/>
      <w:r>
        <w:rPr>
          <w:rStyle w:val="CharSClsNo"/>
          <w:bCs/>
        </w:rPr>
        <w:t>5</w:t>
      </w:r>
      <w:r>
        <w:rPr>
          <w:bCs/>
        </w:rPr>
        <w:t>.</w:t>
      </w:r>
      <w:r>
        <w:rPr>
          <w:bCs/>
        </w:rPr>
        <w:tab/>
        <w:t>Maximum loaded mass</w:t>
      </w:r>
      <w:bookmarkEnd w:id="309"/>
      <w:bookmarkEnd w:id="310"/>
      <w:bookmarkEnd w:id="311"/>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60"/>
      </w:pPr>
      <w:bookmarkStart w:id="312" w:name="_Toc407625710"/>
      <w:bookmarkStart w:id="313" w:name="_Toc417033591"/>
      <w:bookmarkStart w:id="314" w:name="_Toc33775878"/>
      <w:r>
        <w:rPr>
          <w:rStyle w:val="CharSClsNo"/>
        </w:rPr>
        <w:t>6</w:t>
      </w:r>
      <w:r>
        <w:t>.</w:t>
      </w:r>
      <w:r>
        <w:tab/>
        <w:t>Loaded mass of a trailer</w:t>
      </w:r>
      <w:bookmarkEnd w:id="312"/>
      <w:bookmarkEnd w:id="313"/>
      <w:bookmarkEnd w:id="314"/>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0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spacing w:before="60"/>
      </w:pPr>
      <w:r>
        <w:tab/>
        <w:t>(a)</w:t>
      </w:r>
      <w:r>
        <w:tab/>
        <w:t>if the trailer is equipped with brakes in accordance with Part 9 Division 3 of the Vehicle Standards — 1.5 times the unloaded mass of the vehicle; or</w:t>
      </w:r>
    </w:p>
    <w:p>
      <w:pPr>
        <w:pStyle w:val="yIndenta"/>
        <w:spacing w:before="60"/>
      </w:pPr>
      <w:r>
        <w:tab/>
        <w:t>(b)</w:t>
      </w:r>
      <w:r>
        <w:tab/>
        <w:t>if the trailer is not so equipped — the unloaded mass of the vehicle.</w:t>
      </w:r>
    </w:p>
    <w:p>
      <w:pPr>
        <w:pStyle w:val="yHeading3"/>
        <w:spacing w:before="200"/>
      </w:pPr>
      <w:bookmarkStart w:id="315" w:name="_Toc407625711"/>
      <w:bookmarkStart w:id="316" w:name="_Toc417033408"/>
      <w:bookmarkStart w:id="317" w:name="_Toc417033592"/>
      <w:bookmarkStart w:id="318" w:name="_Toc33775879"/>
      <w:r>
        <w:rPr>
          <w:rStyle w:val="CharSDivNo"/>
        </w:rPr>
        <w:t>Division 3</w:t>
      </w:r>
      <w:r>
        <w:t> — </w:t>
      </w:r>
      <w:r>
        <w:rPr>
          <w:rStyle w:val="CharSDivText"/>
        </w:rPr>
        <w:t>Size and projection of loads on heavy vehicles</w:t>
      </w:r>
      <w:bookmarkEnd w:id="315"/>
      <w:bookmarkEnd w:id="316"/>
      <w:bookmarkEnd w:id="317"/>
      <w:bookmarkEnd w:id="318"/>
    </w:p>
    <w:p>
      <w:pPr>
        <w:pStyle w:val="yHeading5"/>
        <w:spacing w:before="160"/>
      </w:pPr>
      <w:bookmarkStart w:id="319" w:name="_Toc407625712"/>
      <w:bookmarkStart w:id="320" w:name="_Toc417033593"/>
      <w:bookmarkStart w:id="321" w:name="_Toc33775880"/>
      <w:r>
        <w:rPr>
          <w:rStyle w:val="CharSClsNo"/>
        </w:rPr>
        <w:t>7</w:t>
      </w:r>
      <w:r>
        <w:t>.</w:t>
      </w:r>
      <w:r>
        <w:tab/>
        <w:t>Size limits</w:t>
      </w:r>
      <w:bookmarkEnd w:id="319"/>
      <w:bookmarkEnd w:id="320"/>
      <w:bookmarkEnd w:id="321"/>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pPr>
      <w:r>
        <w:drawing>
          <wp:inline distT="0" distB="0" distL="0" distR="0">
            <wp:extent cx="3657600" cy="22517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57600" cy="2251710"/>
                    </a:xfrm>
                    <a:prstGeom prst="rect">
                      <a:avLst/>
                    </a:prstGeom>
                    <a:noFill/>
                    <a:ln>
                      <a:noFill/>
                    </a:ln>
                  </pic:spPr>
                </pic:pic>
              </a:graphicData>
            </a:graphic>
          </wp:inline>
        </w:drawing>
      </w:r>
    </w:p>
    <w:p>
      <w:pPr>
        <w:pStyle w:val="yMiscellaneousHeading"/>
        <w:keepNext w:val="0"/>
        <w:spacing w:before="0"/>
        <w:ind w:left="958"/>
        <w:jc w:val="left"/>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78" w:hanging="357"/>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8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pPr>
      <w:r>
        <w:rPr>
          <w:sz w:val="20"/>
        </w:rPr>
        <w:drawing>
          <wp:inline distT="0" distB="0" distL="0" distR="0">
            <wp:extent cx="3804285" cy="1414780"/>
            <wp:effectExtent l="0" t="0" r="5715" b="0"/>
            <wp:docPr id="4" name="Picture 4" descr="CarCarriernew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Carriernewcropp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04285" cy="1414780"/>
                    </a:xfrm>
                    <a:prstGeom prst="rect">
                      <a:avLst/>
                    </a:prstGeom>
                    <a:noFill/>
                    <a:ln>
                      <a:noFill/>
                    </a:ln>
                  </pic:spPr>
                </pic:pic>
              </a:graphicData>
            </a:graphic>
          </wp:inline>
        </w:drawing>
      </w:r>
    </w:p>
    <w:p>
      <w:pPr>
        <w:pStyle w:val="yMiscellaneousHeading"/>
        <w:spacing w:before="120"/>
        <w:rPr>
          <w:b/>
          <w:bCs/>
        </w:rPr>
      </w:pPr>
      <w:r>
        <w:rPr>
          <w:b/>
          <w:bCs/>
        </w:rPr>
        <w:t>Maximum allowable dimensions of a loaded car carrier</w:t>
      </w:r>
    </w:p>
    <w:p>
      <w:pPr>
        <w:pStyle w:val="yHeading5"/>
        <w:spacing w:before="160"/>
      </w:pPr>
      <w:bookmarkStart w:id="322" w:name="_Toc407625713"/>
      <w:bookmarkStart w:id="323" w:name="_Toc417033594"/>
      <w:bookmarkStart w:id="324" w:name="_Toc33775881"/>
      <w:r>
        <w:rPr>
          <w:rStyle w:val="CharSClsNo"/>
        </w:rPr>
        <w:t>8</w:t>
      </w:r>
      <w:r>
        <w:t>.</w:t>
      </w:r>
      <w:r>
        <w:tab/>
        <w:t>Front and side projections</w:t>
      </w:r>
      <w:bookmarkEnd w:id="322"/>
      <w:bookmarkEnd w:id="323"/>
      <w:bookmarkEnd w:id="324"/>
    </w:p>
    <w:p>
      <w:pPr>
        <w:pStyle w:val="ySubsection"/>
        <w:spacing w:after="80"/>
      </w:pPr>
      <w:r>
        <w:tab/>
      </w:r>
      <w:r>
        <w:tab/>
        <w:t>A load on a vehicle must not project more than 1.2 m in front of the vehicle, or more than 150 mm from the outermost part of either side of it.</w:t>
      </w:r>
    </w:p>
    <w:p>
      <w:pPr>
        <w:pStyle w:val="Graphics"/>
        <w:jc w:val="center"/>
      </w:pPr>
      <w:r>
        <w:drawing>
          <wp:inline distT="0" distB="0" distL="0" distR="0">
            <wp:extent cx="1776730" cy="1604645"/>
            <wp:effectExtent l="0" t="0" r="0" b="0"/>
            <wp:docPr id="5" name="Picture 5" descr="Vehicle Loaded to width limts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hicle Loaded to width limts (cropp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76730" cy="1604645"/>
                    </a:xfrm>
                    <a:prstGeom prst="rect">
                      <a:avLst/>
                    </a:prstGeom>
                    <a:noFill/>
                    <a:ln>
                      <a:noFill/>
                    </a:ln>
                  </pic:spPr>
                </pic:pic>
              </a:graphicData>
            </a:graphic>
          </wp:inline>
        </w:drawing>
      </w:r>
    </w:p>
    <w:p>
      <w:pPr>
        <w:pStyle w:val="yMiscellaneousHeading"/>
        <w:keepNext w:val="0"/>
        <w:spacing w:before="120"/>
        <w:rPr>
          <w:b/>
          <w:bCs/>
        </w:rPr>
      </w:pPr>
      <w:r>
        <w:rPr>
          <w:b/>
          <w:bCs/>
        </w:rPr>
        <w:t xml:space="preserve">Vehicle loaded to width limits referred to in clause 7(1), </w:t>
      </w:r>
      <w:r>
        <w:rPr>
          <w:b/>
          <w:bCs/>
        </w:rPr>
        <w:br/>
        <w:t>with maximum side projection of load allowed under clause 8</w:t>
      </w:r>
    </w:p>
    <w:p>
      <w:pPr>
        <w:pStyle w:val="yHeading5"/>
        <w:spacing w:before="160"/>
      </w:pPr>
      <w:bookmarkStart w:id="325" w:name="_Toc407625714"/>
      <w:bookmarkStart w:id="326" w:name="_Toc417033595"/>
      <w:bookmarkStart w:id="327" w:name="_Toc33775882"/>
      <w:r>
        <w:rPr>
          <w:rStyle w:val="CharSClsNo"/>
        </w:rPr>
        <w:t>9</w:t>
      </w:r>
      <w:r>
        <w:t>.</w:t>
      </w:r>
      <w:r>
        <w:tab/>
        <w:t>Rear projections</w:t>
      </w:r>
      <w:bookmarkEnd w:id="325"/>
      <w:bookmarkEnd w:id="326"/>
      <w:bookmarkEnd w:id="327"/>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spacing w:before="120"/>
      </w:pPr>
      <w:r>
        <w:tab/>
        <w:t>(2)</w:t>
      </w:r>
      <w:r>
        <w:tab/>
        <w:t>In daytime, the warning signal must be a brightly coloured flag or piece of material, with each side at least 300 mm long.</w:t>
      </w:r>
    </w:p>
    <w:p>
      <w:pPr>
        <w:pStyle w:val="ySubsection"/>
        <w:spacing w:before="120"/>
      </w:pPr>
      <w:r>
        <w:tab/>
        <w:t>(3)</w:t>
      </w:r>
      <w:r>
        <w:tab/>
        <w:t>At night</w:t>
      </w:r>
      <w:r>
        <w:noBreakHyphen/>
        <w:t>time, the warning signal must be a light showing a clear red light visible at a distance of 200 m.</w:t>
      </w:r>
    </w:p>
    <w:p>
      <w:pPr>
        <w:pStyle w:val="yHeading5"/>
        <w:spacing w:before="160"/>
      </w:pPr>
      <w:bookmarkStart w:id="328" w:name="_Toc407625715"/>
      <w:bookmarkStart w:id="329" w:name="_Toc417033596"/>
      <w:bookmarkStart w:id="330" w:name="_Toc33775883"/>
      <w:r>
        <w:rPr>
          <w:rStyle w:val="CharSClsNo"/>
        </w:rPr>
        <w:t>10</w:t>
      </w:r>
      <w:r>
        <w:t>.</w:t>
      </w:r>
      <w:r>
        <w:tab/>
        <w:t>Dangerous projections</w:t>
      </w:r>
      <w:bookmarkEnd w:id="328"/>
      <w:bookmarkEnd w:id="329"/>
      <w:bookmarkEnd w:id="330"/>
    </w:p>
    <w:p>
      <w:pPr>
        <w:pStyle w:val="ySubsection"/>
        <w:spacing w:before="120"/>
      </w:pPr>
      <w:r>
        <w:tab/>
      </w:r>
      <w:r>
        <w:tab/>
        <w:t>A load on a vehicle must not project in a way that is dangerous to a person or to property, even if all dimension and warning requirements are met.</w:t>
      </w:r>
    </w:p>
    <w:p>
      <w:pPr>
        <w:pStyle w:val="yHeading3"/>
        <w:spacing w:before="200"/>
      </w:pPr>
      <w:bookmarkStart w:id="331" w:name="_Toc407625716"/>
      <w:bookmarkStart w:id="332" w:name="_Toc417033413"/>
      <w:bookmarkStart w:id="333" w:name="_Toc417033597"/>
      <w:bookmarkStart w:id="334" w:name="_Toc33775884"/>
      <w:r>
        <w:rPr>
          <w:rStyle w:val="CharSDivNo"/>
        </w:rPr>
        <w:t>Division 4</w:t>
      </w:r>
      <w:r>
        <w:t xml:space="preserve"> — </w:t>
      </w:r>
      <w:r>
        <w:rPr>
          <w:rStyle w:val="CharSDivText"/>
        </w:rPr>
        <w:t>Size and projection of loads on light vehicles</w:t>
      </w:r>
      <w:bookmarkEnd w:id="331"/>
      <w:bookmarkEnd w:id="332"/>
      <w:bookmarkEnd w:id="333"/>
      <w:bookmarkEnd w:id="334"/>
    </w:p>
    <w:p>
      <w:pPr>
        <w:pStyle w:val="yHeading5"/>
        <w:spacing w:before="160"/>
      </w:pPr>
      <w:bookmarkStart w:id="335" w:name="_Toc407625717"/>
      <w:bookmarkStart w:id="336" w:name="_Toc417033598"/>
      <w:bookmarkStart w:id="337" w:name="_Toc33775885"/>
      <w:r>
        <w:rPr>
          <w:rStyle w:val="CharSClsNo"/>
        </w:rPr>
        <w:t>11</w:t>
      </w:r>
      <w:r>
        <w:t>.</w:t>
      </w:r>
      <w:r>
        <w:tab/>
        <w:t>Size and projection of loads</w:t>
      </w:r>
      <w:bookmarkEnd w:id="335"/>
      <w:bookmarkEnd w:id="336"/>
      <w:bookmarkEnd w:id="337"/>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spacing w:before="120"/>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spacing w:before="6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w:t>
      </w:r>
      <w:r>
        <w:noBreakHyphen/>
        <w:t>9; 13 Dec 2005 p. 5991.]</w:t>
      </w:r>
    </w:p>
    <w:p>
      <w:pPr>
        <w:pStyle w:val="yHeading3"/>
        <w:spacing w:before="200"/>
      </w:pPr>
      <w:bookmarkStart w:id="338" w:name="_Toc407625718"/>
      <w:bookmarkStart w:id="339" w:name="_Toc417033415"/>
      <w:bookmarkStart w:id="340" w:name="_Toc417033599"/>
      <w:bookmarkStart w:id="341" w:name="_Toc33775886"/>
      <w:r>
        <w:rPr>
          <w:rStyle w:val="CharSDivNo"/>
        </w:rPr>
        <w:t>Division 5</w:t>
      </w:r>
      <w:r>
        <w:t> — </w:t>
      </w:r>
      <w:r>
        <w:rPr>
          <w:rStyle w:val="CharSDivText"/>
        </w:rPr>
        <w:t>Placing and securing loads</w:t>
      </w:r>
      <w:bookmarkEnd w:id="338"/>
      <w:bookmarkEnd w:id="339"/>
      <w:bookmarkEnd w:id="340"/>
      <w:bookmarkEnd w:id="341"/>
    </w:p>
    <w:p>
      <w:pPr>
        <w:pStyle w:val="yHeading5"/>
        <w:spacing w:before="160"/>
      </w:pPr>
      <w:bookmarkStart w:id="342" w:name="_Toc407625719"/>
      <w:bookmarkStart w:id="343" w:name="_Toc417033600"/>
      <w:bookmarkStart w:id="344" w:name="_Toc33775887"/>
      <w:r>
        <w:rPr>
          <w:rStyle w:val="CharSClsNo"/>
        </w:rPr>
        <w:t>12</w:t>
      </w:r>
      <w:r>
        <w:t>.</w:t>
      </w:r>
      <w:r>
        <w:tab/>
        <w:t>Loading obligations</w:t>
      </w:r>
      <w:bookmarkEnd w:id="342"/>
      <w:bookmarkEnd w:id="343"/>
      <w:bookmarkEnd w:id="344"/>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spacing w:before="160"/>
      </w:pPr>
      <w:bookmarkStart w:id="345" w:name="_Toc407625720"/>
      <w:bookmarkStart w:id="346" w:name="_Toc417033601"/>
      <w:bookmarkStart w:id="347" w:name="_Toc33775888"/>
      <w:r>
        <w:rPr>
          <w:rStyle w:val="CharSClsNo"/>
        </w:rPr>
        <w:t>13</w:t>
      </w:r>
      <w:r>
        <w:t>.</w:t>
      </w:r>
      <w:r>
        <w:tab/>
        <w:t>Trailers</w:t>
      </w:r>
      <w:bookmarkEnd w:id="345"/>
      <w:bookmarkEnd w:id="346"/>
      <w:bookmarkEnd w:id="347"/>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pPr>
      <w:bookmarkStart w:id="348" w:name="_Toc407625721"/>
      <w:bookmarkStart w:id="349" w:name="_Toc417033418"/>
      <w:bookmarkStart w:id="350" w:name="_Toc417033602"/>
      <w:bookmarkStart w:id="351" w:name="_Toc33775889"/>
      <w:r>
        <w:rPr>
          <w:rStyle w:val="CharSDivNo"/>
        </w:rPr>
        <w:t>Division 6</w:t>
      </w:r>
      <w:r>
        <w:t xml:space="preserve"> — </w:t>
      </w:r>
      <w:r>
        <w:rPr>
          <w:rStyle w:val="CharSDivText"/>
        </w:rPr>
        <w:t>Maximum numbers of omnibus passengers</w:t>
      </w:r>
      <w:bookmarkEnd w:id="348"/>
      <w:bookmarkEnd w:id="349"/>
      <w:bookmarkEnd w:id="350"/>
      <w:bookmarkEnd w:id="351"/>
    </w:p>
    <w:p>
      <w:pPr>
        <w:pStyle w:val="yHeading5"/>
        <w:spacing w:before="160"/>
      </w:pPr>
      <w:bookmarkStart w:id="352" w:name="_Toc407625722"/>
      <w:bookmarkStart w:id="353" w:name="_Toc417033603"/>
      <w:bookmarkStart w:id="354" w:name="_Toc33775890"/>
      <w:r>
        <w:rPr>
          <w:rStyle w:val="CharSClsNo"/>
        </w:rPr>
        <w:t>14</w:t>
      </w:r>
      <w:r>
        <w:t>.</w:t>
      </w:r>
      <w:r>
        <w:tab/>
        <w:t>Maximum passenger numbers</w:t>
      </w:r>
      <w:bookmarkEnd w:id="352"/>
      <w:bookmarkEnd w:id="353"/>
      <w:bookmarkEnd w:id="354"/>
    </w:p>
    <w:p>
      <w:pPr>
        <w:pStyle w:val="ySubsection"/>
        <w:spacing w:before="100"/>
      </w:pPr>
      <w:r>
        <w:tab/>
      </w:r>
      <w:r>
        <w:tab/>
        <w:t>The maximum number of passengers that an omnibus is permitted to carry is the number calculated in accordance with Part 15 Division 1 of the Vehicle Standards.</w:t>
      </w:r>
    </w:p>
    <w:p>
      <w:pPr>
        <w:pStyle w:val="yHeading3"/>
        <w:spacing w:before="200"/>
      </w:pPr>
      <w:bookmarkStart w:id="355" w:name="_Toc407625723"/>
      <w:bookmarkStart w:id="356" w:name="_Toc417033420"/>
      <w:bookmarkStart w:id="357" w:name="_Toc417033604"/>
      <w:bookmarkStart w:id="358" w:name="_Toc33775891"/>
      <w:r>
        <w:rPr>
          <w:rStyle w:val="CharSDivNo"/>
        </w:rPr>
        <w:t>Division 7</w:t>
      </w:r>
      <w:r>
        <w:t xml:space="preserve"> — </w:t>
      </w:r>
      <w:r>
        <w:rPr>
          <w:rStyle w:val="CharSDivText"/>
        </w:rPr>
        <w:t>Penalties for failure to comply with mass limits</w:t>
      </w:r>
      <w:bookmarkEnd w:id="355"/>
      <w:bookmarkEnd w:id="356"/>
      <w:bookmarkEnd w:id="357"/>
      <w:bookmarkEnd w:id="358"/>
    </w:p>
    <w:p>
      <w:pPr>
        <w:pStyle w:val="yMiscellaneousHeading"/>
        <w:spacing w:before="80"/>
        <w:rPr>
          <w:b/>
        </w:rPr>
      </w:pPr>
      <w:r>
        <w:rPr>
          <w:b/>
        </w:rPr>
        <w:t>Table 1 — Aggregate mass limits</w:t>
      </w:r>
    </w:p>
    <w:p>
      <w:pPr>
        <w:pStyle w:val="yShoulderClause"/>
        <w:spacing w:before="40" w:after="4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12"/>
              <w:jc w:val="center"/>
              <w:rPr>
                <w:b/>
              </w:rPr>
            </w:pPr>
            <w:r>
              <w:rPr>
                <w:b/>
              </w:rPr>
              <w:t>Excess mass (%)</w:t>
            </w:r>
          </w:p>
        </w:tc>
        <w:tc>
          <w:tcPr>
            <w:tcW w:w="3686" w:type="dxa"/>
            <w:gridSpan w:val="3"/>
            <w:tcBorders>
              <w:top w:val="single" w:sz="4" w:space="0" w:color="auto"/>
            </w:tcBorders>
          </w:tcPr>
          <w:p>
            <w:pPr>
              <w:pStyle w:val="yTable"/>
              <w:spacing w:before="20" w:after="12"/>
              <w:jc w:val="center"/>
              <w:rPr>
                <w:b/>
              </w:rPr>
            </w:pPr>
            <w:r>
              <w:rPr>
                <w:b/>
              </w:rPr>
              <w:t>Penalties (PU)</w:t>
            </w:r>
          </w:p>
        </w:tc>
      </w:tr>
      <w:tr>
        <w:trPr>
          <w:cantSplit/>
          <w:tblHeader/>
        </w:trPr>
        <w:tc>
          <w:tcPr>
            <w:tcW w:w="1276" w:type="dxa"/>
          </w:tcPr>
          <w:p>
            <w:pPr>
              <w:pStyle w:val="yTable"/>
              <w:spacing w:before="20" w:after="12"/>
              <w:rPr>
                <w:b/>
              </w:rPr>
            </w:pPr>
            <w:r>
              <w:rPr>
                <w:b/>
              </w:rPr>
              <w:t>Exceeding</w:t>
            </w:r>
          </w:p>
        </w:tc>
        <w:tc>
          <w:tcPr>
            <w:tcW w:w="1559" w:type="dxa"/>
          </w:tcPr>
          <w:p>
            <w:pPr>
              <w:pStyle w:val="yTable"/>
              <w:spacing w:before="20" w:after="12"/>
              <w:rPr>
                <w:b/>
              </w:rPr>
            </w:pPr>
            <w:r>
              <w:rPr>
                <w:b/>
              </w:rPr>
              <w:t>Not exceeding</w:t>
            </w:r>
          </w:p>
        </w:tc>
        <w:tc>
          <w:tcPr>
            <w:tcW w:w="1228" w:type="dxa"/>
          </w:tcPr>
          <w:p>
            <w:pPr>
              <w:pStyle w:val="yTable"/>
              <w:spacing w:before="20" w:after="12"/>
              <w:rPr>
                <w:b/>
              </w:rPr>
            </w:pPr>
            <w:r>
              <w:rPr>
                <w:b/>
              </w:rPr>
              <w:t>Modified</w:t>
            </w:r>
          </w:p>
        </w:tc>
        <w:tc>
          <w:tcPr>
            <w:tcW w:w="1229" w:type="dxa"/>
          </w:tcPr>
          <w:p>
            <w:pPr>
              <w:pStyle w:val="yTable"/>
              <w:spacing w:before="20" w:after="12"/>
              <w:rPr>
                <w:b/>
              </w:rPr>
            </w:pPr>
            <w:r>
              <w:rPr>
                <w:b/>
              </w:rPr>
              <w:t>Minimum</w:t>
            </w:r>
          </w:p>
        </w:tc>
        <w:tc>
          <w:tcPr>
            <w:tcW w:w="1229" w:type="dxa"/>
          </w:tcPr>
          <w:p>
            <w:pPr>
              <w:pStyle w:val="yTable"/>
              <w:spacing w:before="20" w:after="12"/>
              <w:rPr>
                <w:b/>
              </w:rPr>
            </w:pPr>
            <w:r>
              <w:rPr>
                <w:b/>
              </w:rPr>
              <w:t>Maximum</w:t>
            </w:r>
          </w:p>
        </w:tc>
      </w:tr>
      <w:tr>
        <w:trPr>
          <w:cantSplit/>
        </w:trPr>
        <w:tc>
          <w:tcPr>
            <w:tcW w:w="1276" w:type="dxa"/>
            <w:tcBorders>
              <w:top w:val="single" w:sz="4" w:space="0" w:color="auto"/>
            </w:tcBorders>
          </w:tcPr>
          <w:p>
            <w:pPr>
              <w:pStyle w:val="yTable"/>
              <w:spacing w:before="20" w:after="12"/>
              <w:ind w:left="317"/>
            </w:pPr>
            <w:r>
              <w:t>0</w:t>
            </w:r>
          </w:p>
        </w:tc>
        <w:tc>
          <w:tcPr>
            <w:tcW w:w="1559" w:type="dxa"/>
            <w:tcBorders>
              <w:top w:val="single" w:sz="4" w:space="0" w:color="auto"/>
            </w:tcBorders>
          </w:tcPr>
          <w:p>
            <w:pPr>
              <w:pStyle w:val="yTable"/>
              <w:spacing w:before="20" w:after="12"/>
              <w:jc w:val="center"/>
            </w:pPr>
            <w:r>
              <w:t>11</w:t>
            </w:r>
          </w:p>
        </w:tc>
        <w:tc>
          <w:tcPr>
            <w:tcW w:w="1228"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10</w:t>
            </w:r>
          </w:p>
        </w:tc>
      </w:tr>
      <w:tr>
        <w:trPr>
          <w:cantSplit/>
        </w:trPr>
        <w:tc>
          <w:tcPr>
            <w:tcW w:w="1276" w:type="dxa"/>
          </w:tcPr>
          <w:p>
            <w:pPr>
              <w:pStyle w:val="yTable"/>
              <w:spacing w:before="20" w:after="12"/>
              <w:ind w:left="317"/>
            </w:pPr>
            <w:r>
              <w:t>11</w:t>
            </w:r>
          </w:p>
        </w:tc>
        <w:tc>
          <w:tcPr>
            <w:tcW w:w="1559" w:type="dxa"/>
          </w:tcPr>
          <w:p>
            <w:pPr>
              <w:pStyle w:val="yTable"/>
              <w:spacing w:before="20" w:after="12"/>
              <w:jc w:val="center"/>
            </w:pPr>
            <w:r>
              <w:t>15</w:t>
            </w:r>
          </w:p>
        </w:tc>
        <w:tc>
          <w:tcPr>
            <w:tcW w:w="1228" w:type="dxa"/>
          </w:tcPr>
          <w:p>
            <w:pPr>
              <w:pStyle w:val="yTable"/>
              <w:spacing w:before="20" w:after="12"/>
              <w:ind w:left="459"/>
            </w:pPr>
            <w:r>
              <w:t>4</w:t>
            </w:r>
          </w:p>
        </w:tc>
        <w:tc>
          <w:tcPr>
            <w:tcW w:w="1229" w:type="dxa"/>
          </w:tcPr>
          <w:p>
            <w:pPr>
              <w:pStyle w:val="yTable"/>
              <w:spacing w:before="20" w:after="12"/>
              <w:jc w:val="center"/>
            </w:pPr>
            <w:r>
              <w:t>4</w:t>
            </w:r>
          </w:p>
        </w:tc>
        <w:tc>
          <w:tcPr>
            <w:tcW w:w="1229" w:type="dxa"/>
          </w:tcPr>
          <w:p>
            <w:pPr>
              <w:pStyle w:val="yTable"/>
              <w:spacing w:before="20" w:after="12"/>
              <w:jc w:val="center"/>
            </w:pPr>
            <w:r>
              <w:t>16</w:t>
            </w:r>
          </w:p>
        </w:tc>
      </w:tr>
      <w:tr>
        <w:trPr>
          <w:cantSplit/>
        </w:trPr>
        <w:tc>
          <w:tcPr>
            <w:tcW w:w="1276" w:type="dxa"/>
          </w:tcPr>
          <w:p>
            <w:pPr>
              <w:pStyle w:val="yTable"/>
              <w:spacing w:before="20" w:after="12"/>
              <w:ind w:left="317"/>
            </w:pPr>
            <w:r>
              <w:t>15</w:t>
            </w:r>
          </w:p>
        </w:tc>
        <w:tc>
          <w:tcPr>
            <w:tcW w:w="1559" w:type="dxa"/>
          </w:tcPr>
          <w:p>
            <w:pPr>
              <w:pStyle w:val="yTable"/>
              <w:spacing w:before="20" w:after="12"/>
              <w:jc w:val="center"/>
            </w:pPr>
            <w:r>
              <w:t>18</w:t>
            </w:r>
          </w:p>
        </w:tc>
        <w:tc>
          <w:tcPr>
            <w:tcW w:w="1228" w:type="dxa"/>
          </w:tcPr>
          <w:p>
            <w:pPr>
              <w:pStyle w:val="yTable"/>
              <w:spacing w:before="20" w:after="12"/>
              <w:ind w:left="459"/>
            </w:pPr>
            <w:r>
              <w:t>6</w:t>
            </w:r>
          </w:p>
        </w:tc>
        <w:tc>
          <w:tcPr>
            <w:tcW w:w="1229" w:type="dxa"/>
          </w:tcPr>
          <w:p>
            <w:pPr>
              <w:pStyle w:val="yTable"/>
              <w:spacing w:before="20" w:after="12"/>
              <w:jc w:val="center"/>
            </w:pPr>
            <w:r>
              <w:t>6</w:t>
            </w:r>
          </w:p>
        </w:tc>
        <w:tc>
          <w:tcPr>
            <w:tcW w:w="1229" w:type="dxa"/>
          </w:tcPr>
          <w:p>
            <w:pPr>
              <w:pStyle w:val="yTable"/>
              <w:spacing w:before="20" w:after="12"/>
              <w:jc w:val="center"/>
            </w:pPr>
            <w:r>
              <w:t>22</w:t>
            </w:r>
          </w:p>
        </w:tc>
      </w:tr>
      <w:tr>
        <w:trPr>
          <w:cantSplit/>
        </w:trPr>
        <w:tc>
          <w:tcPr>
            <w:tcW w:w="1276" w:type="dxa"/>
          </w:tcPr>
          <w:p>
            <w:pPr>
              <w:pStyle w:val="yTable"/>
              <w:spacing w:before="20" w:after="12"/>
              <w:ind w:left="317"/>
            </w:pPr>
            <w:r>
              <w:t>18</w:t>
            </w:r>
          </w:p>
        </w:tc>
        <w:tc>
          <w:tcPr>
            <w:tcW w:w="1559" w:type="dxa"/>
          </w:tcPr>
          <w:p>
            <w:pPr>
              <w:pStyle w:val="yTable"/>
              <w:spacing w:before="20" w:after="12"/>
              <w:jc w:val="center"/>
            </w:pPr>
            <w:r>
              <w:t>21</w:t>
            </w:r>
          </w:p>
        </w:tc>
        <w:tc>
          <w:tcPr>
            <w:tcW w:w="1228" w:type="dxa"/>
          </w:tcPr>
          <w:p>
            <w:pPr>
              <w:pStyle w:val="yTable"/>
              <w:spacing w:before="20" w:after="12"/>
              <w:ind w:left="459"/>
            </w:pPr>
            <w:r>
              <w:t>8</w:t>
            </w:r>
          </w:p>
        </w:tc>
        <w:tc>
          <w:tcPr>
            <w:tcW w:w="1229" w:type="dxa"/>
          </w:tcPr>
          <w:p>
            <w:pPr>
              <w:pStyle w:val="yTable"/>
              <w:spacing w:before="20" w:after="12"/>
              <w:jc w:val="center"/>
            </w:pPr>
            <w:r>
              <w:t>8</w:t>
            </w:r>
          </w:p>
        </w:tc>
        <w:tc>
          <w:tcPr>
            <w:tcW w:w="1229" w:type="dxa"/>
          </w:tcPr>
          <w:p>
            <w:pPr>
              <w:pStyle w:val="yTable"/>
              <w:spacing w:before="20" w:after="12"/>
              <w:jc w:val="center"/>
            </w:pPr>
            <w:r>
              <w:t>28</w:t>
            </w:r>
          </w:p>
        </w:tc>
      </w:tr>
      <w:tr>
        <w:trPr>
          <w:cantSplit/>
        </w:trPr>
        <w:tc>
          <w:tcPr>
            <w:tcW w:w="1276" w:type="dxa"/>
          </w:tcPr>
          <w:p>
            <w:pPr>
              <w:pStyle w:val="yTable"/>
              <w:spacing w:before="20" w:after="12"/>
              <w:ind w:left="317"/>
            </w:pPr>
            <w:r>
              <w:t>21</w:t>
            </w:r>
          </w:p>
        </w:tc>
        <w:tc>
          <w:tcPr>
            <w:tcW w:w="1559" w:type="dxa"/>
          </w:tcPr>
          <w:p>
            <w:pPr>
              <w:pStyle w:val="yTable"/>
              <w:spacing w:before="20" w:after="12"/>
              <w:jc w:val="center"/>
            </w:pPr>
            <w:r>
              <w:t>25</w:t>
            </w:r>
          </w:p>
        </w:tc>
        <w:tc>
          <w:tcPr>
            <w:tcW w:w="1228" w:type="dxa"/>
          </w:tcPr>
          <w:p>
            <w:pPr>
              <w:pStyle w:val="yTable"/>
              <w:spacing w:before="20" w:after="12"/>
              <w:ind w:left="459"/>
            </w:pPr>
            <w:r>
              <w:t>10</w:t>
            </w:r>
          </w:p>
        </w:tc>
        <w:tc>
          <w:tcPr>
            <w:tcW w:w="1229" w:type="dxa"/>
          </w:tcPr>
          <w:p>
            <w:pPr>
              <w:pStyle w:val="yTable"/>
              <w:spacing w:before="20" w:after="12"/>
              <w:jc w:val="center"/>
            </w:pPr>
            <w:r>
              <w:t>10</w:t>
            </w:r>
          </w:p>
        </w:tc>
        <w:tc>
          <w:tcPr>
            <w:tcW w:w="1229" w:type="dxa"/>
          </w:tcPr>
          <w:p>
            <w:pPr>
              <w:pStyle w:val="yTable"/>
              <w:spacing w:before="20" w:after="12"/>
              <w:jc w:val="center"/>
            </w:pPr>
            <w:r>
              <w:t>36</w:t>
            </w:r>
          </w:p>
        </w:tc>
      </w:tr>
      <w:tr>
        <w:trPr>
          <w:cantSplit/>
        </w:trPr>
        <w:tc>
          <w:tcPr>
            <w:tcW w:w="1276" w:type="dxa"/>
          </w:tcPr>
          <w:p>
            <w:pPr>
              <w:pStyle w:val="yTable"/>
              <w:spacing w:before="20" w:after="12"/>
              <w:ind w:left="317"/>
            </w:pPr>
            <w:r>
              <w:t>25</w:t>
            </w:r>
          </w:p>
        </w:tc>
        <w:tc>
          <w:tcPr>
            <w:tcW w:w="1559" w:type="dxa"/>
          </w:tcPr>
          <w:p>
            <w:pPr>
              <w:pStyle w:val="yTable"/>
              <w:spacing w:before="20" w:after="12"/>
              <w:jc w:val="center"/>
            </w:pPr>
            <w:r>
              <w:t>28</w:t>
            </w:r>
          </w:p>
        </w:tc>
        <w:tc>
          <w:tcPr>
            <w:tcW w:w="1228" w:type="dxa"/>
          </w:tcPr>
          <w:p>
            <w:pPr>
              <w:pStyle w:val="yTable"/>
              <w:spacing w:before="20" w:after="12"/>
              <w:ind w:left="459"/>
            </w:pPr>
            <w:r>
              <w:t>12</w:t>
            </w:r>
          </w:p>
        </w:tc>
        <w:tc>
          <w:tcPr>
            <w:tcW w:w="1229" w:type="dxa"/>
          </w:tcPr>
          <w:p>
            <w:pPr>
              <w:pStyle w:val="yTable"/>
              <w:spacing w:before="20" w:after="12"/>
              <w:jc w:val="center"/>
            </w:pPr>
            <w:r>
              <w:t>12</w:t>
            </w:r>
          </w:p>
        </w:tc>
        <w:tc>
          <w:tcPr>
            <w:tcW w:w="1229" w:type="dxa"/>
          </w:tcPr>
          <w:p>
            <w:pPr>
              <w:pStyle w:val="yTable"/>
              <w:spacing w:before="20" w:after="12"/>
              <w:jc w:val="center"/>
            </w:pPr>
            <w:r>
              <w:t>42</w:t>
            </w:r>
          </w:p>
        </w:tc>
      </w:tr>
      <w:tr>
        <w:trPr>
          <w:cantSplit/>
        </w:trPr>
        <w:tc>
          <w:tcPr>
            <w:tcW w:w="1276" w:type="dxa"/>
          </w:tcPr>
          <w:p>
            <w:pPr>
              <w:pStyle w:val="yTable"/>
              <w:spacing w:before="20" w:after="12"/>
              <w:ind w:left="317"/>
            </w:pPr>
            <w:r>
              <w:t>28</w:t>
            </w:r>
          </w:p>
        </w:tc>
        <w:tc>
          <w:tcPr>
            <w:tcW w:w="1559" w:type="dxa"/>
          </w:tcPr>
          <w:p>
            <w:pPr>
              <w:pStyle w:val="yTable"/>
              <w:spacing w:before="20" w:after="12"/>
              <w:jc w:val="center"/>
            </w:pPr>
            <w:r>
              <w:t>31</w:t>
            </w:r>
          </w:p>
        </w:tc>
        <w:tc>
          <w:tcPr>
            <w:tcW w:w="1228" w:type="dxa"/>
          </w:tcPr>
          <w:p>
            <w:pPr>
              <w:pStyle w:val="yTable"/>
              <w:spacing w:before="20" w:after="12"/>
              <w:ind w:left="459"/>
            </w:pPr>
            <w:r>
              <w:t>14</w:t>
            </w:r>
          </w:p>
        </w:tc>
        <w:tc>
          <w:tcPr>
            <w:tcW w:w="1229" w:type="dxa"/>
          </w:tcPr>
          <w:p>
            <w:pPr>
              <w:pStyle w:val="yTable"/>
              <w:spacing w:before="20" w:after="12"/>
              <w:jc w:val="center"/>
            </w:pPr>
            <w:r>
              <w:t>14</w:t>
            </w:r>
          </w:p>
        </w:tc>
        <w:tc>
          <w:tcPr>
            <w:tcW w:w="1229" w:type="dxa"/>
          </w:tcPr>
          <w:p>
            <w:pPr>
              <w:pStyle w:val="yTable"/>
              <w:spacing w:before="20" w:after="12"/>
              <w:jc w:val="center"/>
            </w:pPr>
            <w:r>
              <w:t>48</w:t>
            </w:r>
          </w:p>
        </w:tc>
      </w:tr>
      <w:tr>
        <w:trPr>
          <w:cantSplit/>
        </w:trPr>
        <w:tc>
          <w:tcPr>
            <w:tcW w:w="1276" w:type="dxa"/>
          </w:tcPr>
          <w:p>
            <w:pPr>
              <w:pStyle w:val="yTable"/>
              <w:spacing w:before="20" w:after="12"/>
              <w:ind w:left="317"/>
            </w:pPr>
            <w:r>
              <w:t>31</w:t>
            </w:r>
          </w:p>
        </w:tc>
        <w:tc>
          <w:tcPr>
            <w:tcW w:w="1559" w:type="dxa"/>
          </w:tcPr>
          <w:p>
            <w:pPr>
              <w:pStyle w:val="yTable"/>
              <w:spacing w:before="20" w:after="12"/>
              <w:jc w:val="center"/>
            </w:pPr>
            <w:r>
              <w:t>35</w:t>
            </w:r>
          </w:p>
        </w:tc>
        <w:tc>
          <w:tcPr>
            <w:tcW w:w="1228" w:type="dxa"/>
          </w:tcPr>
          <w:p>
            <w:pPr>
              <w:pStyle w:val="yTable"/>
              <w:spacing w:before="20" w:after="12"/>
              <w:ind w:left="459"/>
            </w:pPr>
            <w:r>
              <w:t>16</w:t>
            </w:r>
          </w:p>
        </w:tc>
        <w:tc>
          <w:tcPr>
            <w:tcW w:w="1229" w:type="dxa"/>
          </w:tcPr>
          <w:p>
            <w:pPr>
              <w:pStyle w:val="yTable"/>
              <w:spacing w:before="20" w:after="12"/>
              <w:jc w:val="center"/>
            </w:pPr>
            <w:r>
              <w:t>16</w:t>
            </w:r>
          </w:p>
        </w:tc>
        <w:tc>
          <w:tcPr>
            <w:tcW w:w="1229" w:type="dxa"/>
          </w:tcPr>
          <w:p>
            <w:pPr>
              <w:pStyle w:val="yTable"/>
              <w:spacing w:before="20" w:after="12"/>
              <w:jc w:val="center"/>
            </w:pPr>
            <w:r>
              <w:t>60</w:t>
            </w:r>
          </w:p>
        </w:tc>
      </w:tr>
      <w:tr>
        <w:trPr>
          <w:cantSplit/>
        </w:trPr>
        <w:tc>
          <w:tcPr>
            <w:tcW w:w="1276" w:type="dxa"/>
          </w:tcPr>
          <w:p>
            <w:pPr>
              <w:pStyle w:val="yTable"/>
              <w:spacing w:before="20" w:after="12"/>
              <w:ind w:left="317"/>
            </w:pPr>
            <w:r>
              <w:t>35</w:t>
            </w:r>
          </w:p>
        </w:tc>
        <w:tc>
          <w:tcPr>
            <w:tcW w:w="1559" w:type="dxa"/>
          </w:tcPr>
          <w:p>
            <w:pPr>
              <w:pStyle w:val="yTable"/>
              <w:spacing w:before="20" w:after="12"/>
              <w:jc w:val="center"/>
            </w:pPr>
            <w:r>
              <w:t>38</w:t>
            </w:r>
          </w:p>
        </w:tc>
        <w:tc>
          <w:tcPr>
            <w:tcW w:w="1228" w:type="dxa"/>
          </w:tcPr>
          <w:p>
            <w:pPr>
              <w:pStyle w:val="yTable"/>
              <w:spacing w:before="20" w:after="12"/>
              <w:ind w:left="459"/>
            </w:pPr>
            <w:r>
              <w:t>18</w:t>
            </w:r>
          </w:p>
        </w:tc>
        <w:tc>
          <w:tcPr>
            <w:tcW w:w="1229" w:type="dxa"/>
          </w:tcPr>
          <w:p>
            <w:pPr>
              <w:pStyle w:val="yTable"/>
              <w:spacing w:before="20" w:after="12"/>
              <w:jc w:val="center"/>
            </w:pPr>
            <w:r>
              <w:t>18</w:t>
            </w:r>
          </w:p>
        </w:tc>
        <w:tc>
          <w:tcPr>
            <w:tcW w:w="1229" w:type="dxa"/>
          </w:tcPr>
          <w:p>
            <w:pPr>
              <w:pStyle w:val="yTable"/>
              <w:spacing w:before="20" w:after="12"/>
              <w:jc w:val="center"/>
            </w:pPr>
            <w:r>
              <w:t>70</w:t>
            </w:r>
          </w:p>
        </w:tc>
      </w:tr>
      <w:tr>
        <w:trPr>
          <w:cantSplit/>
        </w:trPr>
        <w:tc>
          <w:tcPr>
            <w:tcW w:w="1276" w:type="dxa"/>
          </w:tcPr>
          <w:p>
            <w:pPr>
              <w:pStyle w:val="yTable"/>
              <w:spacing w:before="20" w:after="12"/>
              <w:ind w:left="317"/>
            </w:pPr>
            <w:r>
              <w:t>38</w:t>
            </w:r>
          </w:p>
        </w:tc>
        <w:tc>
          <w:tcPr>
            <w:tcW w:w="1559" w:type="dxa"/>
          </w:tcPr>
          <w:p>
            <w:pPr>
              <w:pStyle w:val="yTable"/>
              <w:spacing w:before="20" w:after="12"/>
              <w:jc w:val="center"/>
            </w:pPr>
            <w:r>
              <w:t>41</w:t>
            </w:r>
          </w:p>
        </w:tc>
        <w:tc>
          <w:tcPr>
            <w:tcW w:w="1228" w:type="dxa"/>
          </w:tcPr>
          <w:p>
            <w:pPr>
              <w:pStyle w:val="yTable"/>
              <w:spacing w:before="20" w:after="12"/>
              <w:ind w:left="459"/>
            </w:pPr>
            <w:r>
              <w:t>20</w:t>
            </w:r>
          </w:p>
        </w:tc>
        <w:tc>
          <w:tcPr>
            <w:tcW w:w="1229" w:type="dxa"/>
          </w:tcPr>
          <w:p>
            <w:pPr>
              <w:pStyle w:val="yTable"/>
              <w:spacing w:before="20" w:after="12"/>
              <w:jc w:val="center"/>
            </w:pPr>
            <w:r>
              <w:t>20</w:t>
            </w:r>
          </w:p>
        </w:tc>
        <w:tc>
          <w:tcPr>
            <w:tcW w:w="1229" w:type="dxa"/>
          </w:tcPr>
          <w:p>
            <w:pPr>
              <w:pStyle w:val="yTable"/>
              <w:spacing w:before="20" w:after="12"/>
              <w:jc w:val="center"/>
            </w:pPr>
            <w:r>
              <w:t>78</w:t>
            </w:r>
          </w:p>
        </w:tc>
      </w:tr>
      <w:tr>
        <w:trPr>
          <w:cantSplit/>
        </w:trPr>
        <w:tc>
          <w:tcPr>
            <w:tcW w:w="1276" w:type="dxa"/>
          </w:tcPr>
          <w:p>
            <w:pPr>
              <w:pStyle w:val="yTable"/>
              <w:spacing w:before="20" w:after="12"/>
              <w:ind w:left="317"/>
            </w:pPr>
            <w:r>
              <w:t>41</w:t>
            </w:r>
          </w:p>
        </w:tc>
        <w:tc>
          <w:tcPr>
            <w:tcW w:w="1559" w:type="dxa"/>
          </w:tcPr>
          <w:p>
            <w:pPr>
              <w:pStyle w:val="yTable"/>
              <w:spacing w:before="20" w:after="12"/>
              <w:jc w:val="center"/>
            </w:pPr>
            <w:r>
              <w:t>44</w:t>
            </w:r>
          </w:p>
        </w:tc>
        <w:tc>
          <w:tcPr>
            <w:tcW w:w="1228" w:type="dxa"/>
          </w:tcPr>
          <w:p>
            <w:pPr>
              <w:pStyle w:val="yTable"/>
              <w:spacing w:before="20" w:after="12"/>
              <w:ind w:left="459"/>
            </w:pPr>
          </w:p>
        </w:tc>
        <w:tc>
          <w:tcPr>
            <w:tcW w:w="1229" w:type="dxa"/>
          </w:tcPr>
          <w:p>
            <w:pPr>
              <w:pStyle w:val="yTable"/>
              <w:spacing w:before="20" w:after="12"/>
              <w:jc w:val="center"/>
            </w:pPr>
            <w:r>
              <w:t>22</w:t>
            </w:r>
          </w:p>
        </w:tc>
        <w:tc>
          <w:tcPr>
            <w:tcW w:w="1229" w:type="dxa"/>
          </w:tcPr>
          <w:p>
            <w:pPr>
              <w:pStyle w:val="yTable"/>
              <w:spacing w:before="20" w:after="12"/>
              <w:jc w:val="center"/>
            </w:pPr>
            <w:r>
              <w:t>86</w:t>
            </w:r>
          </w:p>
        </w:tc>
      </w:tr>
      <w:tr>
        <w:trPr>
          <w:cantSplit/>
        </w:trPr>
        <w:tc>
          <w:tcPr>
            <w:tcW w:w="1276" w:type="dxa"/>
          </w:tcPr>
          <w:p>
            <w:pPr>
              <w:pStyle w:val="yTable"/>
              <w:spacing w:before="20" w:after="12"/>
              <w:ind w:left="317"/>
            </w:pPr>
            <w:r>
              <w:t>44</w:t>
            </w:r>
          </w:p>
        </w:tc>
        <w:tc>
          <w:tcPr>
            <w:tcW w:w="1559" w:type="dxa"/>
          </w:tcPr>
          <w:p>
            <w:pPr>
              <w:pStyle w:val="yTable"/>
              <w:spacing w:before="20" w:after="12"/>
              <w:jc w:val="center"/>
            </w:pPr>
            <w:r>
              <w:t>47</w:t>
            </w:r>
          </w:p>
        </w:tc>
        <w:tc>
          <w:tcPr>
            <w:tcW w:w="1228" w:type="dxa"/>
          </w:tcPr>
          <w:p>
            <w:pPr>
              <w:pStyle w:val="yTable"/>
              <w:spacing w:before="20" w:after="12"/>
              <w:ind w:left="459"/>
            </w:pPr>
          </w:p>
        </w:tc>
        <w:tc>
          <w:tcPr>
            <w:tcW w:w="1229" w:type="dxa"/>
          </w:tcPr>
          <w:p>
            <w:pPr>
              <w:pStyle w:val="yTable"/>
              <w:spacing w:before="20" w:after="12"/>
              <w:jc w:val="center"/>
            </w:pPr>
            <w:r>
              <w:t>24</w:t>
            </w:r>
          </w:p>
        </w:tc>
        <w:tc>
          <w:tcPr>
            <w:tcW w:w="1229" w:type="dxa"/>
          </w:tcPr>
          <w:p>
            <w:pPr>
              <w:pStyle w:val="yTable"/>
              <w:spacing w:before="20" w:after="12"/>
              <w:jc w:val="center"/>
            </w:pPr>
            <w:r>
              <w:t>94</w:t>
            </w:r>
          </w:p>
        </w:tc>
      </w:tr>
      <w:tr>
        <w:trPr>
          <w:cantSplit/>
        </w:trPr>
        <w:tc>
          <w:tcPr>
            <w:tcW w:w="1276" w:type="dxa"/>
          </w:tcPr>
          <w:p>
            <w:pPr>
              <w:pStyle w:val="yTable"/>
              <w:spacing w:before="20" w:after="12"/>
              <w:ind w:left="317"/>
            </w:pPr>
            <w:r>
              <w:t>47</w:t>
            </w:r>
          </w:p>
        </w:tc>
        <w:tc>
          <w:tcPr>
            <w:tcW w:w="1559" w:type="dxa"/>
          </w:tcPr>
          <w:p>
            <w:pPr>
              <w:pStyle w:val="yTable"/>
              <w:spacing w:before="20" w:after="12"/>
              <w:jc w:val="center"/>
            </w:pPr>
            <w:r>
              <w:t>50</w:t>
            </w:r>
          </w:p>
        </w:tc>
        <w:tc>
          <w:tcPr>
            <w:tcW w:w="1228" w:type="dxa"/>
          </w:tcPr>
          <w:p>
            <w:pPr>
              <w:pStyle w:val="yTable"/>
              <w:spacing w:before="20" w:after="12"/>
              <w:ind w:left="459"/>
            </w:pPr>
          </w:p>
        </w:tc>
        <w:tc>
          <w:tcPr>
            <w:tcW w:w="1229" w:type="dxa"/>
          </w:tcPr>
          <w:p>
            <w:pPr>
              <w:pStyle w:val="yTable"/>
              <w:spacing w:before="20" w:after="12"/>
              <w:jc w:val="center"/>
            </w:pPr>
            <w:r>
              <w:t>26</w:t>
            </w:r>
          </w:p>
        </w:tc>
        <w:tc>
          <w:tcPr>
            <w:tcW w:w="1229" w:type="dxa"/>
          </w:tcPr>
          <w:p>
            <w:pPr>
              <w:pStyle w:val="yTable"/>
              <w:spacing w:before="20" w:after="12"/>
              <w:jc w:val="center"/>
            </w:pPr>
            <w:r>
              <w:t>102</w:t>
            </w:r>
          </w:p>
        </w:tc>
      </w:tr>
      <w:tr>
        <w:trPr>
          <w:cantSplit/>
        </w:trPr>
        <w:tc>
          <w:tcPr>
            <w:tcW w:w="1276" w:type="dxa"/>
          </w:tcPr>
          <w:p>
            <w:pPr>
              <w:pStyle w:val="yTable"/>
              <w:spacing w:before="20" w:after="12"/>
              <w:ind w:left="317"/>
            </w:pPr>
            <w:r>
              <w:t>50</w:t>
            </w:r>
          </w:p>
        </w:tc>
        <w:tc>
          <w:tcPr>
            <w:tcW w:w="1559" w:type="dxa"/>
          </w:tcPr>
          <w:p>
            <w:pPr>
              <w:pStyle w:val="yTable"/>
              <w:spacing w:before="20" w:after="12"/>
              <w:jc w:val="center"/>
            </w:pPr>
            <w:r>
              <w:t>53</w:t>
            </w:r>
          </w:p>
        </w:tc>
        <w:tc>
          <w:tcPr>
            <w:tcW w:w="1228" w:type="dxa"/>
          </w:tcPr>
          <w:p>
            <w:pPr>
              <w:pStyle w:val="yTable"/>
              <w:spacing w:before="20" w:after="12"/>
              <w:ind w:left="459"/>
            </w:pPr>
          </w:p>
        </w:tc>
        <w:tc>
          <w:tcPr>
            <w:tcW w:w="1229" w:type="dxa"/>
          </w:tcPr>
          <w:p>
            <w:pPr>
              <w:pStyle w:val="yTable"/>
              <w:spacing w:before="20" w:after="12"/>
              <w:jc w:val="center"/>
            </w:pPr>
            <w:r>
              <w:t>28</w:t>
            </w:r>
          </w:p>
        </w:tc>
        <w:tc>
          <w:tcPr>
            <w:tcW w:w="1229" w:type="dxa"/>
          </w:tcPr>
          <w:p>
            <w:pPr>
              <w:pStyle w:val="yTable"/>
              <w:spacing w:before="20" w:after="12"/>
              <w:jc w:val="center"/>
            </w:pPr>
            <w:r>
              <w:t>110</w:t>
            </w:r>
          </w:p>
        </w:tc>
      </w:tr>
      <w:tr>
        <w:trPr>
          <w:cantSplit/>
        </w:trPr>
        <w:tc>
          <w:tcPr>
            <w:tcW w:w="1276" w:type="dxa"/>
          </w:tcPr>
          <w:p>
            <w:pPr>
              <w:pStyle w:val="yTable"/>
              <w:spacing w:before="20" w:after="12"/>
              <w:ind w:left="317"/>
            </w:pPr>
            <w:r>
              <w:t>53</w:t>
            </w:r>
          </w:p>
        </w:tc>
        <w:tc>
          <w:tcPr>
            <w:tcW w:w="1559" w:type="dxa"/>
          </w:tcPr>
          <w:p>
            <w:pPr>
              <w:pStyle w:val="yTable"/>
              <w:spacing w:before="20" w:after="12"/>
              <w:jc w:val="center"/>
            </w:pPr>
            <w:r>
              <w:t>56</w:t>
            </w:r>
          </w:p>
        </w:tc>
        <w:tc>
          <w:tcPr>
            <w:tcW w:w="1228" w:type="dxa"/>
          </w:tcPr>
          <w:p>
            <w:pPr>
              <w:pStyle w:val="yTable"/>
              <w:spacing w:before="20" w:after="12"/>
              <w:ind w:left="459"/>
            </w:pPr>
          </w:p>
        </w:tc>
        <w:tc>
          <w:tcPr>
            <w:tcW w:w="1229" w:type="dxa"/>
          </w:tcPr>
          <w:p>
            <w:pPr>
              <w:pStyle w:val="yTable"/>
              <w:spacing w:before="20" w:after="12"/>
              <w:jc w:val="center"/>
            </w:pPr>
            <w:r>
              <w:t>30</w:t>
            </w:r>
          </w:p>
        </w:tc>
        <w:tc>
          <w:tcPr>
            <w:tcW w:w="1229" w:type="dxa"/>
          </w:tcPr>
          <w:p>
            <w:pPr>
              <w:pStyle w:val="yTable"/>
              <w:spacing w:before="20" w:after="12"/>
              <w:jc w:val="center"/>
            </w:pPr>
            <w:r>
              <w:t>118</w:t>
            </w:r>
          </w:p>
        </w:tc>
      </w:tr>
      <w:tr>
        <w:trPr>
          <w:cantSplit/>
        </w:trPr>
        <w:tc>
          <w:tcPr>
            <w:tcW w:w="1276" w:type="dxa"/>
          </w:tcPr>
          <w:p>
            <w:pPr>
              <w:pStyle w:val="yTable"/>
              <w:spacing w:before="20" w:after="12"/>
              <w:ind w:left="317"/>
            </w:pPr>
            <w:r>
              <w:t>56</w:t>
            </w:r>
          </w:p>
        </w:tc>
        <w:tc>
          <w:tcPr>
            <w:tcW w:w="1559" w:type="dxa"/>
          </w:tcPr>
          <w:p>
            <w:pPr>
              <w:pStyle w:val="yTable"/>
              <w:spacing w:before="20" w:after="12"/>
              <w:jc w:val="center"/>
            </w:pPr>
            <w:r>
              <w:t>59</w:t>
            </w:r>
          </w:p>
        </w:tc>
        <w:tc>
          <w:tcPr>
            <w:tcW w:w="1228" w:type="dxa"/>
          </w:tcPr>
          <w:p>
            <w:pPr>
              <w:pStyle w:val="yTable"/>
              <w:spacing w:before="20" w:after="12"/>
              <w:ind w:left="459"/>
            </w:pPr>
          </w:p>
        </w:tc>
        <w:tc>
          <w:tcPr>
            <w:tcW w:w="1229" w:type="dxa"/>
          </w:tcPr>
          <w:p>
            <w:pPr>
              <w:pStyle w:val="yTable"/>
              <w:spacing w:before="20" w:after="12"/>
              <w:jc w:val="center"/>
            </w:pPr>
            <w:r>
              <w:t>32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59</w:t>
            </w:r>
          </w:p>
        </w:tc>
        <w:tc>
          <w:tcPr>
            <w:tcW w:w="1559" w:type="dxa"/>
          </w:tcPr>
          <w:p>
            <w:pPr>
              <w:pStyle w:val="yTable"/>
              <w:spacing w:before="20" w:after="12"/>
              <w:jc w:val="center"/>
            </w:pPr>
            <w:r>
              <w:t>62</w:t>
            </w:r>
          </w:p>
        </w:tc>
        <w:tc>
          <w:tcPr>
            <w:tcW w:w="1228" w:type="dxa"/>
          </w:tcPr>
          <w:p>
            <w:pPr>
              <w:pStyle w:val="yTable"/>
              <w:spacing w:before="20" w:after="12"/>
              <w:ind w:left="459"/>
            </w:pPr>
          </w:p>
        </w:tc>
        <w:tc>
          <w:tcPr>
            <w:tcW w:w="1229" w:type="dxa"/>
          </w:tcPr>
          <w:p>
            <w:pPr>
              <w:pStyle w:val="yTable"/>
              <w:spacing w:before="20" w:after="12"/>
              <w:jc w:val="center"/>
            </w:pPr>
            <w:r>
              <w:t>34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62</w:t>
            </w:r>
          </w:p>
        </w:tc>
        <w:tc>
          <w:tcPr>
            <w:tcW w:w="1559" w:type="dxa"/>
          </w:tcPr>
          <w:p>
            <w:pPr>
              <w:pStyle w:val="yTable"/>
              <w:spacing w:before="20" w:after="12"/>
              <w:jc w:val="center"/>
            </w:pPr>
            <w:r>
              <w:t>65</w:t>
            </w:r>
          </w:p>
        </w:tc>
        <w:tc>
          <w:tcPr>
            <w:tcW w:w="1228" w:type="dxa"/>
          </w:tcPr>
          <w:p>
            <w:pPr>
              <w:pStyle w:val="yTable"/>
              <w:spacing w:before="20" w:after="12"/>
              <w:ind w:left="459"/>
            </w:pPr>
          </w:p>
        </w:tc>
        <w:tc>
          <w:tcPr>
            <w:tcW w:w="1229" w:type="dxa"/>
          </w:tcPr>
          <w:p>
            <w:pPr>
              <w:pStyle w:val="yTable"/>
              <w:spacing w:before="20" w:after="12"/>
              <w:jc w:val="center"/>
            </w:pPr>
            <w:r>
              <w:t>36</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65</w:t>
            </w:r>
          </w:p>
        </w:tc>
        <w:tc>
          <w:tcPr>
            <w:tcW w:w="1559" w:type="dxa"/>
          </w:tcPr>
          <w:p>
            <w:pPr>
              <w:pStyle w:val="yTable"/>
              <w:spacing w:before="20" w:after="12"/>
              <w:jc w:val="center"/>
            </w:pPr>
            <w:r>
              <w:t>68</w:t>
            </w:r>
          </w:p>
        </w:tc>
        <w:tc>
          <w:tcPr>
            <w:tcW w:w="1228" w:type="dxa"/>
          </w:tcPr>
          <w:p>
            <w:pPr>
              <w:pStyle w:val="yTable"/>
              <w:spacing w:before="20" w:after="12"/>
              <w:ind w:left="459"/>
            </w:pPr>
          </w:p>
        </w:tc>
        <w:tc>
          <w:tcPr>
            <w:tcW w:w="1229" w:type="dxa"/>
          </w:tcPr>
          <w:p>
            <w:pPr>
              <w:pStyle w:val="yTable"/>
              <w:spacing w:before="20" w:after="12"/>
              <w:jc w:val="center"/>
            </w:pPr>
            <w:r>
              <w:t>38</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68</w:t>
            </w:r>
          </w:p>
        </w:tc>
        <w:tc>
          <w:tcPr>
            <w:tcW w:w="1559" w:type="dxa"/>
          </w:tcPr>
          <w:p>
            <w:pPr>
              <w:pStyle w:val="yTable"/>
              <w:spacing w:before="20" w:after="12"/>
              <w:jc w:val="center"/>
            </w:pPr>
            <w:r>
              <w:t>71</w:t>
            </w:r>
          </w:p>
        </w:tc>
        <w:tc>
          <w:tcPr>
            <w:tcW w:w="1228" w:type="dxa"/>
          </w:tcPr>
          <w:p>
            <w:pPr>
              <w:pStyle w:val="yTable"/>
              <w:spacing w:before="20" w:after="12"/>
              <w:ind w:left="459"/>
            </w:pPr>
          </w:p>
        </w:tc>
        <w:tc>
          <w:tcPr>
            <w:tcW w:w="1229" w:type="dxa"/>
          </w:tcPr>
          <w:p>
            <w:pPr>
              <w:pStyle w:val="yTable"/>
              <w:spacing w:before="20" w:after="12"/>
              <w:jc w:val="center"/>
            </w:pPr>
            <w:r>
              <w:t>40</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71</w:t>
            </w:r>
          </w:p>
        </w:tc>
        <w:tc>
          <w:tcPr>
            <w:tcW w:w="1559" w:type="dxa"/>
          </w:tcPr>
          <w:p>
            <w:pPr>
              <w:pStyle w:val="yTable"/>
              <w:spacing w:before="20" w:after="12"/>
              <w:jc w:val="center"/>
            </w:pPr>
            <w:r>
              <w:t>74</w:t>
            </w:r>
          </w:p>
        </w:tc>
        <w:tc>
          <w:tcPr>
            <w:tcW w:w="1228" w:type="dxa"/>
          </w:tcPr>
          <w:p>
            <w:pPr>
              <w:pStyle w:val="yTable"/>
              <w:spacing w:before="20" w:after="12"/>
              <w:ind w:left="459"/>
            </w:pPr>
          </w:p>
        </w:tc>
        <w:tc>
          <w:tcPr>
            <w:tcW w:w="1229" w:type="dxa"/>
          </w:tcPr>
          <w:p>
            <w:pPr>
              <w:pStyle w:val="yTable"/>
              <w:spacing w:before="20" w:after="12"/>
              <w:jc w:val="center"/>
            </w:pPr>
            <w:r>
              <w:t>42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74</w:t>
            </w:r>
          </w:p>
        </w:tc>
        <w:tc>
          <w:tcPr>
            <w:tcW w:w="1559" w:type="dxa"/>
          </w:tcPr>
          <w:p>
            <w:pPr>
              <w:pStyle w:val="yTable"/>
              <w:spacing w:before="20" w:after="12"/>
              <w:jc w:val="center"/>
            </w:pPr>
            <w:r>
              <w:t>77</w:t>
            </w:r>
          </w:p>
        </w:tc>
        <w:tc>
          <w:tcPr>
            <w:tcW w:w="1228" w:type="dxa"/>
          </w:tcPr>
          <w:p>
            <w:pPr>
              <w:pStyle w:val="yTable"/>
              <w:spacing w:before="20" w:after="12"/>
              <w:ind w:left="459"/>
            </w:pPr>
          </w:p>
        </w:tc>
        <w:tc>
          <w:tcPr>
            <w:tcW w:w="1229" w:type="dxa"/>
          </w:tcPr>
          <w:p>
            <w:pPr>
              <w:pStyle w:val="yTable"/>
              <w:spacing w:before="20" w:after="12"/>
              <w:jc w:val="center"/>
            </w:pPr>
            <w:r>
              <w:t>44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77</w:t>
            </w:r>
          </w:p>
        </w:tc>
        <w:tc>
          <w:tcPr>
            <w:tcW w:w="1559" w:type="dxa"/>
          </w:tcPr>
          <w:p>
            <w:pPr>
              <w:pStyle w:val="yTable"/>
              <w:spacing w:before="20" w:after="12"/>
              <w:jc w:val="center"/>
            </w:pPr>
            <w:r>
              <w:t>80</w:t>
            </w:r>
          </w:p>
        </w:tc>
        <w:tc>
          <w:tcPr>
            <w:tcW w:w="1228" w:type="dxa"/>
          </w:tcPr>
          <w:p>
            <w:pPr>
              <w:pStyle w:val="yTable"/>
              <w:spacing w:before="20" w:after="12"/>
              <w:ind w:left="459"/>
            </w:pPr>
          </w:p>
        </w:tc>
        <w:tc>
          <w:tcPr>
            <w:tcW w:w="1229" w:type="dxa"/>
          </w:tcPr>
          <w:p>
            <w:pPr>
              <w:pStyle w:val="yTable"/>
              <w:spacing w:before="20" w:after="12"/>
              <w:jc w:val="center"/>
            </w:pPr>
            <w:r>
              <w:t>46</w:t>
            </w:r>
          </w:p>
        </w:tc>
        <w:tc>
          <w:tcPr>
            <w:tcW w:w="1229" w:type="dxa"/>
          </w:tcPr>
          <w:p>
            <w:pPr>
              <w:pStyle w:val="yTable"/>
              <w:spacing w:before="20" w:after="12"/>
              <w:jc w:val="center"/>
            </w:pPr>
            <w:r>
              <w:t>120</w:t>
            </w:r>
          </w:p>
        </w:tc>
      </w:tr>
      <w:tr>
        <w:trPr>
          <w:cantSplit/>
        </w:trPr>
        <w:tc>
          <w:tcPr>
            <w:tcW w:w="1276" w:type="dxa"/>
            <w:tcBorders>
              <w:bottom w:val="single" w:sz="4" w:space="0" w:color="auto"/>
            </w:tcBorders>
          </w:tcPr>
          <w:p>
            <w:pPr>
              <w:pStyle w:val="yTable"/>
              <w:spacing w:before="20" w:after="12"/>
              <w:ind w:left="317"/>
            </w:pPr>
            <w:r>
              <w:t>80</w:t>
            </w:r>
          </w:p>
        </w:tc>
        <w:tc>
          <w:tcPr>
            <w:tcW w:w="1559" w:type="dxa"/>
            <w:tcBorders>
              <w:bottom w:val="single" w:sz="4" w:space="0" w:color="auto"/>
            </w:tcBorders>
          </w:tcPr>
          <w:p>
            <w:pPr>
              <w:pStyle w:val="yTable"/>
              <w:spacing w:before="20" w:after="12"/>
              <w:jc w:val="center"/>
            </w:pPr>
          </w:p>
        </w:tc>
        <w:tc>
          <w:tcPr>
            <w:tcW w:w="1228" w:type="dxa"/>
            <w:tcBorders>
              <w:bottom w:val="single" w:sz="4" w:space="0" w:color="auto"/>
            </w:tcBorders>
          </w:tcPr>
          <w:p>
            <w:pPr>
              <w:pStyle w:val="yTable"/>
              <w:spacing w:before="20" w:after="12"/>
              <w:ind w:left="459"/>
            </w:pPr>
          </w:p>
        </w:tc>
        <w:tc>
          <w:tcPr>
            <w:tcW w:w="1229" w:type="dxa"/>
            <w:tcBorders>
              <w:bottom w:val="single" w:sz="4" w:space="0" w:color="auto"/>
            </w:tcBorders>
          </w:tcPr>
          <w:p>
            <w:pPr>
              <w:pStyle w:val="yTable"/>
              <w:spacing w:before="20" w:after="12"/>
              <w:jc w:val="center"/>
            </w:pPr>
            <w:r>
              <w:t>48</w:t>
            </w:r>
          </w:p>
        </w:tc>
        <w:tc>
          <w:tcPr>
            <w:tcW w:w="1229" w:type="dxa"/>
            <w:tcBorders>
              <w:bottom w:val="single" w:sz="4" w:space="0" w:color="auto"/>
            </w:tcBorders>
          </w:tcPr>
          <w:p>
            <w:pPr>
              <w:pStyle w:val="yTable"/>
              <w:spacing w:before="20" w:after="12"/>
              <w:jc w:val="center"/>
            </w:pPr>
            <w:r>
              <w:t>120</w:t>
            </w:r>
          </w:p>
        </w:tc>
      </w:tr>
    </w:tbl>
    <w:p>
      <w:pPr>
        <w:pStyle w:val="yFootnotesection"/>
        <w:spacing w:before="40"/>
      </w:pPr>
      <w:r>
        <w:tab/>
        <w:t>[Table 1 amended in Gazette 3 Jan 2005 p. 9.]</w:t>
      </w:r>
    </w:p>
    <w:p>
      <w:pPr>
        <w:pStyle w:val="yMiscellaneousHeading"/>
        <w:spacing w:before="12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pPr>
      <w:bookmarkStart w:id="359" w:name="_Toc407625724"/>
      <w:bookmarkStart w:id="360" w:name="_Toc417033421"/>
      <w:bookmarkStart w:id="361" w:name="_Toc417033605"/>
      <w:bookmarkStart w:id="362" w:name="_Toc33775892"/>
      <w:r>
        <w:rPr>
          <w:rStyle w:val="CharSchNo"/>
          <w:bCs/>
          <w:iCs/>
        </w:rPr>
        <w:t>Schedule 2</w:t>
      </w:r>
      <w:r>
        <w:rPr>
          <w:bCs/>
          <w:iCs/>
        </w:rPr>
        <w:t xml:space="preserve"> — </w:t>
      </w:r>
      <w:r>
        <w:rPr>
          <w:rStyle w:val="CharSchText"/>
          <w:bCs/>
          <w:iCs/>
        </w:rPr>
        <w:t>Oversize and overmass vehicles — conditions on exemptions</w:t>
      </w:r>
      <w:bookmarkEnd w:id="359"/>
      <w:bookmarkEnd w:id="360"/>
      <w:bookmarkEnd w:id="361"/>
      <w:bookmarkEnd w:id="362"/>
    </w:p>
    <w:p>
      <w:pPr>
        <w:pStyle w:val="yShoulderClause"/>
      </w:pPr>
      <w:r>
        <w:t>[Part 4]</w:t>
      </w:r>
    </w:p>
    <w:p>
      <w:pPr>
        <w:pStyle w:val="yHeading3"/>
        <w:spacing w:before="200"/>
      </w:pPr>
      <w:bookmarkStart w:id="363" w:name="_Toc407625725"/>
      <w:bookmarkStart w:id="364" w:name="_Toc417033422"/>
      <w:bookmarkStart w:id="365" w:name="_Toc417033606"/>
      <w:bookmarkStart w:id="366" w:name="_Toc33775893"/>
      <w:r>
        <w:rPr>
          <w:rStyle w:val="CharSDivNo"/>
        </w:rPr>
        <w:t>Division 1</w:t>
      </w:r>
      <w:r>
        <w:t xml:space="preserve"> — </w:t>
      </w:r>
      <w:r>
        <w:rPr>
          <w:rStyle w:val="CharSDivText"/>
        </w:rPr>
        <w:t>All vehicles travelling under a class 1 notice</w:t>
      </w:r>
      <w:bookmarkEnd w:id="363"/>
      <w:bookmarkEnd w:id="364"/>
      <w:bookmarkEnd w:id="365"/>
      <w:bookmarkEnd w:id="366"/>
    </w:p>
    <w:p>
      <w:pPr>
        <w:pStyle w:val="yHeading5"/>
        <w:spacing w:before="160"/>
      </w:pPr>
      <w:bookmarkStart w:id="367" w:name="_Toc407625726"/>
      <w:bookmarkStart w:id="368" w:name="_Toc417033607"/>
      <w:bookmarkStart w:id="369" w:name="_Toc33775894"/>
      <w:r>
        <w:rPr>
          <w:rStyle w:val="CharSClsNo"/>
        </w:rPr>
        <w:t>1</w:t>
      </w:r>
      <w:r>
        <w:t>.</w:t>
      </w:r>
      <w:r>
        <w:tab/>
        <w:t>Application of Division</w:t>
      </w:r>
      <w:bookmarkEnd w:id="367"/>
      <w:bookmarkEnd w:id="368"/>
      <w:bookmarkEnd w:id="369"/>
    </w:p>
    <w:p>
      <w:pPr>
        <w:pStyle w:val="ySubsection"/>
      </w:pPr>
      <w:r>
        <w:tab/>
      </w:r>
      <w:r>
        <w:tab/>
        <w:t>This Division applies to all vehicles travelling under a class 1 notice.</w:t>
      </w:r>
    </w:p>
    <w:p>
      <w:pPr>
        <w:pStyle w:val="yHeading5"/>
        <w:spacing w:before="160"/>
      </w:pPr>
      <w:bookmarkStart w:id="370" w:name="_Toc407625727"/>
      <w:bookmarkStart w:id="371" w:name="_Toc417033608"/>
      <w:bookmarkStart w:id="372" w:name="_Toc33775895"/>
      <w:r>
        <w:rPr>
          <w:rStyle w:val="CharSClsNo"/>
        </w:rPr>
        <w:t>2</w:t>
      </w:r>
      <w:r>
        <w:t>.</w:t>
      </w:r>
      <w:r>
        <w:tab/>
        <w:t>Mass limits relating to tyre width</w:t>
      </w:r>
      <w:bookmarkEnd w:id="370"/>
      <w:bookmarkEnd w:id="371"/>
      <w:bookmarkEnd w:id="372"/>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5"/>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5"/>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Borders>
              <w:bottom w:val="single" w:sz="4" w:space="0" w:color="auto"/>
            </w:tcBorders>
          </w:tcPr>
          <w:p>
            <w:pPr>
              <w:pStyle w:val="yTable"/>
              <w:keepNext/>
              <w:keepLines/>
              <w:spacing w:before="40" w:after="20"/>
              <w:ind w:right="34"/>
              <w:jc w:val="center"/>
            </w:pPr>
            <w:r>
              <w:t>508</w:t>
            </w:r>
          </w:p>
        </w:tc>
        <w:tc>
          <w:tcPr>
            <w:tcW w:w="1276" w:type="dxa"/>
            <w:tcBorders>
              <w:bottom w:val="single" w:sz="4" w:space="0" w:color="auto"/>
            </w:tcBorders>
          </w:tcPr>
          <w:p>
            <w:pPr>
              <w:pStyle w:val="yTable"/>
              <w:keepNext/>
              <w:keepLines/>
              <w:spacing w:before="40" w:after="20"/>
              <w:ind w:left="317"/>
            </w:pPr>
          </w:p>
        </w:tc>
        <w:tc>
          <w:tcPr>
            <w:tcW w:w="1275" w:type="dxa"/>
            <w:tcBorders>
              <w:bottom w:val="single" w:sz="4" w:space="0" w:color="auto"/>
            </w:tcBorders>
          </w:tcPr>
          <w:p>
            <w:pPr>
              <w:pStyle w:val="yTable"/>
              <w:keepNext/>
              <w:keepLines/>
              <w:spacing w:before="40" w:after="20"/>
              <w:jc w:val="center"/>
            </w:pPr>
            <w:r>
              <w:t>19.0</w:t>
            </w:r>
          </w:p>
        </w:tc>
        <w:tc>
          <w:tcPr>
            <w:tcW w:w="1857" w:type="dxa"/>
            <w:gridSpan w:val="2"/>
            <w:tcBorders>
              <w:bottom w:val="single" w:sz="4" w:space="0" w:color="auto"/>
            </w:tcBorders>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pPr>
      <w:r>
        <w:drawing>
          <wp:inline distT="0" distB="0" distL="0" distR="0">
            <wp:extent cx="1811655" cy="1371600"/>
            <wp:effectExtent l="0" t="0" r="0" b="0"/>
            <wp:docPr id="6" name="Picture 6"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11655" cy="1371600"/>
                    </a:xfrm>
                    <a:prstGeom prst="rect">
                      <a:avLst/>
                    </a:prstGeom>
                    <a:noFill/>
                    <a:ln>
                      <a:noFill/>
                    </a:ln>
                  </pic:spPr>
                </pic:pic>
              </a:graphicData>
            </a:graphic>
          </wp:inline>
        </w:drawing>
      </w:r>
    </w:p>
    <w:p>
      <w:pPr>
        <w:pStyle w:val="yMiscellaneousHeading"/>
        <w:spacing w:before="0" w:after="60"/>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pPr>
      <w:r>
        <w:drawing>
          <wp:inline distT="0" distB="0" distL="0" distR="0">
            <wp:extent cx="2018665" cy="1362710"/>
            <wp:effectExtent l="0" t="0" r="635" b="8890"/>
            <wp:docPr id="7" name="Picture 7" descr="Biasplyty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18665" cy="1362710"/>
                    </a:xfrm>
                    <a:prstGeom prst="rect">
                      <a:avLst/>
                    </a:prstGeom>
                    <a:noFill/>
                    <a:ln>
                      <a:noFill/>
                    </a:ln>
                  </pic:spPr>
                </pic:pic>
              </a:graphicData>
            </a:graphic>
          </wp:inline>
        </w:drawing>
      </w:r>
    </w:p>
    <w:p>
      <w:pPr>
        <w:pStyle w:val="yMiscellaneousHeading"/>
        <w:keepNext w:val="0"/>
        <w:spacing w:before="0" w:after="60"/>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spacing w:before="160"/>
      </w:pPr>
      <w:bookmarkStart w:id="373" w:name="_Toc407625728"/>
      <w:bookmarkStart w:id="374" w:name="_Toc417033609"/>
      <w:bookmarkStart w:id="375" w:name="_Toc33775896"/>
      <w:r>
        <w:rPr>
          <w:rStyle w:val="CharSClsNo"/>
        </w:rPr>
        <w:t>3</w:t>
      </w:r>
      <w:r>
        <w:t>.</w:t>
      </w:r>
      <w:r>
        <w:tab/>
        <w:t>Dimension limits</w:t>
      </w:r>
      <w:bookmarkEnd w:id="373"/>
      <w:bookmarkEnd w:id="374"/>
      <w:bookmarkEnd w:id="375"/>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spacing w:before="120" w:after="6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Borders>
              <w:bottom w:val="single" w:sz="4" w:space="0" w:color="auto"/>
            </w:tcBorders>
          </w:tcPr>
          <w:p>
            <w:pPr>
              <w:pStyle w:val="yTable"/>
              <w:tabs>
                <w:tab w:val="right" w:leader="dot" w:pos="2835"/>
              </w:tabs>
            </w:pPr>
            <w:r>
              <w:t xml:space="preserve">Special purpose vehicle </w:t>
            </w:r>
          </w:p>
        </w:tc>
        <w:tc>
          <w:tcPr>
            <w:tcW w:w="1842" w:type="dxa"/>
            <w:tcBorders>
              <w:bottom w:val="single" w:sz="4" w:space="0" w:color="auto"/>
            </w:tcBorders>
          </w:tcPr>
          <w:p>
            <w:pPr>
              <w:pStyle w:val="yTable"/>
              <w:tabs>
                <w:tab w:val="right" w:leader="dot" w:pos="1876"/>
              </w:tabs>
            </w:pPr>
            <w:r>
              <w:t>Projection in front of the centre of the steering wheel</w:t>
            </w:r>
          </w:p>
        </w:tc>
        <w:tc>
          <w:tcPr>
            <w:tcW w:w="1418" w:type="dxa"/>
            <w:tcBorders>
              <w:bottom w:val="single" w:sz="4" w:space="0" w:color="auto"/>
            </w:tcBorders>
          </w:tcPr>
          <w:p>
            <w:pPr>
              <w:pStyle w:val="yTable"/>
            </w:pPr>
            <w:r>
              <w:t>3.5</w:t>
            </w:r>
          </w:p>
        </w:tc>
      </w:tr>
    </w:tbl>
    <w:p>
      <w:pPr>
        <w:pStyle w:val="Graphics"/>
        <w:spacing w:before="120"/>
        <w:ind w:left="992"/>
      </w:pPr>
      <w:r>
        <w:drawing>
          <wp:inline distT="0" distB="0" distL="0" distR="0">
            <wp:extent cx="3605530" cy="1664970"/>
            <wp:effectExtent l="0" t="0" r="0" b="0"/>
            <wp:docPr id="8" name="Picture 8" descr="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05530" cy="1664970"/>
                    </a:xfrm>
                    <a:prstGeom prst="rect">
                      <a:avLst/>
                    </a:prstGeom>
                    <a:noFill/>
                    <a:ln>
                      <a:noFill/>
                    </a:ln>
                  </pic:spPr>
                </pic:pic>
              </a:graphicData>
            </a:graphic>
          </wp:inline>
        </w:drawing>
      </w:r>
    </w:p>
    <w:p>
      <w:pPr>
        <w:pStyle w:val="yMiscellaneousHeading"/>
        <w:spacing w:before="120" w:after="60"/>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spacing w:before="160"/>
      </w:pPr>
      <w:bookmarkStart w:id="376" w:name="_Toc407625729"/>
      <w:bookmarkStart w:id="377" w:name="_Toc417033610"/>
      <w:bookmarkStart w:id="378" w:name="_Toc33775897"/>
      <w:r>
        <w:rPr>
          <w:rStyle w:val="CharSClsNo"/>
        </w:rPr>
        <w:t>4</w:t>
      </w:r>
      <w:r>
        <w:t>.</w:t>
      </w:r>
      <w:r>
        <w:tab/>
        <w:t>Making an unloaded vehicle smaller</w:t>
      </w:r>
      <w:bookmarkEnd w:id="376"/>
      <w:bookmarkEnd w:id="377"/>
      <w:bookmarkEnd w:id="378"/>
    </w:p>
    <w:p>
      <w:pPr>
        <w:pStyle w:val="ySubsection"/>
      </w:pPr>
      <w:r>
        <w:tab/>
      </w:r>
      <w:r>
        <w:tab/>
        <w:t>An oversize vehicle without a load must be reduced to the smallest practicable dimensions, with any booms fully retracted.</w:t>
      </w:r>
    </w:p>
    <w:p>
      <w:pPr>
        <w:pStyle w:val="yHeading5"/>
        <w:spacing w:before="160"/>
      </w:pPr>
      <w:bookmarkStart w:id="379" w:name="_Toc407625730"/>
      <w:bookmarkStart w:id="380" w:name="_Toc417033611"/>
      <w:bookmarkStart w:id="381" w:name="_Toc33775898"/>
      <w:r>
        <w:rPr>
          <w:rStyle w:val="CharSClsNo"/>
        </w:rPr>
        <w:t>5</w:t>
      </w:r>
      <w:r>
        <w:t>.</w:t>
      </w:r>
      <w:r>
        <w:tab/>
        <w:t>Warning devices for oversize vehicles</w:t>
      </w:r>
      <w:bookmarkEnd w:id="379"/>
      <w:bookmarkEnd w:id="380"/>
      <w:bookmarkEnd w:id="381"/>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spacing w:before="160"/>
      </w:pPr>
      <w:bookmarkStart w:id="382" w:name="_Toc407625731"/>
      <w:bookmarkStart w:id="383" w:name="_Toc417033612"/>
      <w:bookmarkStart w:id="384" w:name="_Toc33775899"/>
      <w:r>
        <w:rPr>
          <w:rStyle w:val="CharSClsNo"/>
        </w:rPr>
        <w:t>6</w:t>
      </w:r>
      <w:r>
        <w:t>.</w:t>
      </w:r>
      <w:r>
        <w:tab/>
        <w:t>Additional warning devices at night</w:t>
      </w:r>
      <w:r>
        <w:noBreakHyphen/>
        <w:t>time</w:t>
      </w:r>
      <w:bookmarkEnd w:id="382"/>
      <w:bookmarkEnd w:id="383"/>
      <w:bookmarkEnd w:id="384"/>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spacing w:before="160"/>
      </w:pPr>
      <w:bookmarkStart w:id="385" w:name="_Toc407625732"/>
      <w:bookmarkStart w:id="386" w:name="_Toc417033613"/>
      <w:bookmarkStart w:id="387" w:name="_Toc33775900"/>
      <w:r>
        <w:rPr>
          <w:rStyle w:val="CharSClsNo"/>
        </w:rPr>
        <w:t>7</w:t>
      </w:r>
      <w:r>
        <w:t>.</w:t>
      </w:r>
      <w:r>
        <w:tab/>
        <w:t>Headlights</w:t>
      </w:r>
      <w:bookmarkEnd w:id="385"/>
      <w:bookmarkEnd w:id="386"/>
      <w:bookmarkEnd w:id="387"/>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spacing w:before="160"/>
      </w:pPr>
      <w:bookmarkStart w:id="388" w:name="_Toc407625733"/>
      <w:bookmarkStart w:id="389" w:name="_Toc417033614"/>
      <w:bookmarkStart w:id="390" w:name="_Toc33775901"/>
      <w:r>
        <w:rPr>
          <w:rStyle w:val="CharSClsNo"/>
        </w:rPr>
        <w:t>8</w:t>
      </w:r>
      <w:r>
        <w:t>.</w:t>
      </w:r>
      <w:r>
        <w:tab/>
        <w:t>Travel restrictions at night</w:t>
      </w:r>
      <w:r>
        <w:noBreakHyphen/>
        <w:t>time</w:t>
      </w:r>
      <w:bookmarkEnd w:id="388"/>
      <w:bookmarkEnd w:id="389"/>
      <w:bookmarkEnd w:id="390"/>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spacing w:before="160"/>
      </w:pPr>
      <w:bookmarkStart w:id="391" w:name="_Toc407625734"/>
      <w:bookmarkStart w:id="392" w:name="_Toc417033615"/>
      <w:bookmarkStart w:id="393" w:name="_Toc33775902"/>
      <w:r>
        <w:rPr>
          <w:rStyle w:val="CharSClsNo"/>
        </w:rPr>
        <w:t>9</w:t>
      </w:r>
      <w:r>
        <w:t>.</w:t>
      </w:r>
      <w:r>
        <w:tab/>
        <w:t>No travelling if low visibility</w:t>
      </w:r>
      <w:bookmarkEnd w:id="391"/>
      <w:bookmarkEnd w:id="392"/>
      <w:bookmarkEnd w:id="393"/>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spacing w:before="160"/>
      </w:pPr>
      <w:bookmarkStart w:id="394" w:name="_Toc407625735"/>
      <w:bookmarkStart w:id="395" w:name="_Toc417033616"/>
      <w:bookmarkStart w:id="396" w:name="_Toc33775903"/>
      <w:r>
        <w:rPr>
          <w:rStyle w:val="CharSClsNo"/>
        </w:rPr>
        <w:t>10</w:t>
      </w:r>
      <w:r>
        <w:t>.</w:t>
      </w:r>
      <w:r>
        <w:tab/>
        <w:t>Minimum following distance</w:t>
      </w:r>
      <w:bookmarkEnd w:id="394"/>
      <w:bookmarkEnd w:id="395"/>
      <w:bookmarkEnd w:id="396"/>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spacing w:before="160"/>
      </w:pPr>
      <w:bookmarkStart w:id="397" w:name="_Toc407625736"/>
      <w:bookmarkStart w:id="398" w:name="_Toc417033617"/>
      <w:bookmarkStart w:id="399" w:name="_Toc33775904"/>
      <w:r>
        <w:rPr>
          <w:rStyle w:val="CharSClsNo"/>
        </w:rPr>
        <w:t>11</w:t>
      </w:r>
      <w:r>
        <w:t>.</w:t>
      </w:r>
      <w:r>
        <w:tab/>
        <w:t>Assessing routes</w:t>
      </w:r>
      <w:bookmarkEnd w:id="397"/>
      <w:bookmarkEnd w:id="398"/>
      <w:bookmarkEnd w:id="399"/>
    </w:p>
    <w:p>
      <w:pPr>
        <w:pStyle w:val="ySubsection"/>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spacing w:before="200"/>
      </w:pPr>
      <w:bookmarkStart w:id="400" w:name="_Toc407625737"/>
      <w:bookmarkStart w:id="401" w:name="_Toc417033434"/>
      <w:bookmarkStart w:id="402" w:name="_Toc417033618"/>
      <w:bookmarkStart w:id="403" w:name="_Toc33775905"/>
      <w:r>
        <w:rPr>
          <w:rStyle w:val="CharSDivNo"/>
        </w:rPr>
        <w:t>Division 2</w:t>
      </w:r>
      <w:r>
        <w:t> — </w:t>
      </w:r>
      <w:r>
        <w:rPr>
          <w:rStyle w:val="CharSDivText"/>
        </w:rPr>
        <w:t>Load</w:t>
      </w:r>
      <w:r>
        <w:rPr>
          <w:rStyle w:val="CharSDivText"/>
        </w:rPr>
        <w:noBreakHyphen/>
        <w:t>carrying vehicles travelling under class 1 notice</w:t>
      </w:r>
      <w:bookmarkEnd w:id="400"/>
      <w:bookmarkEnd w:id="401"/>
      <w:bookmarkEnd w:id="402"/>
      <w:bookmarkEnd w:id="403"/>
    </w:p>
    <w:p>
      <w:pPr>
        <w:pStyle w:val="yHeading5"/>
        <w:spacing w:before="160"/>
      </w:pPr>
      <w:bookmarkStart w:id="404" w:name="_Toc407625738"/>
      <w:bookmarkStart w:id="405" w:name="_Toc417033619"/>
      <w:bookmarkStart w:id="406" w:name="_Toc33775906"/>
      <w:r>
        <w:rPr>
          <w:rStyle w:val="CharSClsNo"/>
        </w:rPr>
        <w:t>12</w:t>
      </w:r>
      <w:r>
        <w:t>.</w:t>
      </w:r>
      <w:r>
        <w:tab/>
        <w:t>Application of Division</w:t>
      </w:r>
      <w:bookmarkEnd w:id="404"/>
      <w:bookmarkEnd w:id="405"/>
      <w:bookmarkEnd w:id="406"/>
    </w:p>
    <w:p>
      <w:pPr>
        <w:pStyle w:val="ySubsection"/>
      </w:pPr>
      <w:r>
        <w:tab/>
      </w:r>
      <w:r>
        <w:tab/>
        <w:t>This Division applies only to load</w:t>
      </w:r>
      <w:r>
        <w:noBreakHyphen/>
        <w:t>carrying vehicles travelling under a class 1 notice.</w:t>
      </w:r>
    </w:p>
    <w:p>
      <w:pPr>
        <w:pStyle w:val="yHeading5"/>
        <w:spacing w:before="160"/>
      </w:pPr>
      <w:bookmarkStart w:id="407" w:name="_Toc407625739"/>
      <w:bookmarkStart w:id="408" w:name="_Toc417033620"/>
      <w:bookmarkStart w:id="409" w:name="_Toc33775907"/>
      <w:r>
        <w:rPr>
          <w:rStyle w:val="CharSClsNo"/>
        </w:rPr>
        <w:t>13</w:t>
      </w:r>
      <w:r>
        <w:t>.</w:t>
      </w:r>
      <w:r>
        <w:tab/>
        <w:t>Mass limits for axles and axle groups</w:t>
      </w:r>
      <w:bookmarkEnd w:id="407"/>
      <w:bookmarkEnd w:id="408"/>
      <w:bookmarkEnd w:id="409"/>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40"/>
              <w:rPr>
                <w:b/>
              </w:rPr>
            </w:pPr>
            <w:r>
              <w:rPr>
                <w:b/>
              </w:rPr>
              <w:t>Single axle or axle group</w:t>
            </w:r>
          </w:p>
        </w:tc>
        <w:tc>
          <w:tcPr>
            <w:tcW w:w="1417" w:type="dxa"/>
            <w:tcBorders>
              <w:top w:val="single" w:sz="4" w:space="0" w:color="auto"/>
              <w:bottom w:val="single" w:sz="4" w:space="0" w:color="auto"/>
            </w:tcBorders>
          </w:tcPr>
          <w:p>
            <w:pPr>
              <w:pStyle w:val="yTable"/>
              <w:spacing w:after="40"/>
              <w:ind w:right="-144"/>
              <w:jc w:val="center"/>
              <w:rPr>
                <w:b/>
              </w:rPr>
            </w:pPr>
            <w:r>
              <w:rPr>
                <w:b/>
              </w:rPr>
              <w:t>Mass limit (t)</w:t>
            </w:r>
          </w:p>
        </w:tc>
      </w:tr>
      <w:tr>
        <w:trPr>
          <w:cantSplit/>
        </w:trPr>
        <w:tc>
          <w:tcPr>
            <w:tcW w:w="4678" w:type="dxa"/>
          </w:tcPr>
          <w:p>
            <w:pPr>
              <w:pStyle w:val="yTable"/>
              <w:tabs>
                <w:tab w:val="right" w:leader="dot" w:pos="5170"/>
              </w:tabs>
              <w:spacing w:after="40"/>
              <w:ind w:left="317" w:right="459" w:hanging="317"/>
            </w:pPr>
            <w:r>
              <w:t>Steer axle with 2 tyres ....................................</w:t>
            </w:r>
          </w:p>
        </w:tc>
        <w:tc>
          <w:tcPr>
            <w:tcW w:w="1417" w:type="dxa"/>
          </w:tcPr>
          <w:p>
            <w:pPr>
              <w:pStyle w:val="yTable"/>
              <w:spacing w:after="40"/>
              <w:jc w:val="center"/>
            </w:pPr>
            <w:r>
              <w:t>6.0</w:t>
            </w:r>
          </w:p>
        </w:tc>
      </w:tr>
      <w:tr>
        <w:trPr>
          <w:cantSplit/>
        </w:trPr>
        <w:tc>
          <w:tcPr>
            <w:tcW w:w="4678" w:type="dxa"/>
          </w:tcPr>
          <w:p>
            <w:pPr>
              <w:pStyle w:val="yTable"/>
              <w:tabs>
                <w:tab w:val="right" w:leader="dot" w:pos="5170"/>
              </w:tabs>
              <w:spacing w:after="40"/>
              <w:ind w:left="317" w:right="459" w:hanging="317"/>
            </w:pPr>
            <w:r>
              <w:t>Twinsteer axle group without a load</w:t>
            </w:r>
            <w:r>
              <w:noBreakHyphen/>
              <w:t>sharing suspension system ....................................</w:t>
            </w:r>
          </w:p>
        </w:tc>
        <w:tc>
          <w:tcPr>
            <w:tcW w:w="1417" w:type="dxa"/>
          </w:tcPr>
          <w:p>
            <w:pPr>
              <w:pStyle w:val="yTable"/>
              <w:spacing w:after="40"/>
              <w:jc w:val="center"/>
            </w:pPr>
            <w:r>
              <w:br/>
              <w:t>10.0</w:t>
            </w:r>
          </w:p>
        </w:tc>
      </w:tr>
      <w:tr>
        <w:trPr>
          <w:cantSplit/>
        </w:trPr>
        <w:tc>
          <w:tcPr>
            <w:tcW w:w="4678" w:type="dxa"/>
          </w:tcPr>
          <w:p>
            <w:pPr>
              <w:pStyle w:val="yTable"/>
              <w:tabs>
                <w:tab w:val="right" w:leader="dot" w:pos="5170"/>
              </w:tabs>
              <w:spacing w:after="40"/>
              <w:ind w:left="317" w:right="459" w:hanging="317"/>
            </w:pPr>
            <w:r>
              <w:t>Twinsteer axle group with a load</w:t>
            </w:r>
            <w:r>
              <w:noBreakHyphen/>
              <w:t>sharing suspension system ....................................</w:t>
            </w:r>
          </w:p>
        </w:tc>
        <w:tc>
          <w:tcPr>
            <w:tcW w:w="1417" w:type="dxa"/>
          </w:tcPr>
          <w:p>
            <w:pPr>
              <w:pStyle w:val="yTable"/>
              <w:spacing w:after="40"/>
              <w:jc w:val="center"/>
            </w:pPr>
            <w:r>
              <w:br/>
              <w:t>11.0</w:t>
            </w:r>
          </w:p>
        </w:tc>
      </w:tr>
      <w:tr>
        <w:trPr>
          <w:cantSplit/>
        </w:trPr>
        <w:tc>
          <w:tcPr>
            <w:tcW w:w="4678" w:type="dxa"/>
          </w:tcPr>
          <w:p>
            <w:pPr>
              <w:pStyle w:val="yTable"/>
              <w:tabs>
                <w:tab w:val="right" w:leader="dot" w:pos="5170"/>
              </w:tabs>
              <w:spacing w:after="40"/>
              <w:ind w:left="317" w:right="459" w:hanging="317"/>
            </w:pPr>
            <w:r>
              <w:t>Single axle with 8 tyres ..................................</w:t>
            </w:r>
          </w:p>
        </w:tc>
        <w:tc>
          <w:tcPr>
            <w:tcW w:w="1417" w:type="dxa"/>
          </w:tcPr>
          <w:p>
            <w:pPr>
              <w:pStyle w:val="yTable"/>
              <w:spacing w:after="40"/>
              <w:jc w:val="center"/>
            </w:pPr>
            <w:r>
              <w:t>12.0</w:t>
            </w:r>
          </w:p>
        </w:tc>
      </w:tr>
      <w:tr>
        <w:trPr>
          <w:cantSplit/>
        </w:trPr>
        <w:tc>
          <w:tcPr>
            <w:tcW w:w="4678" w:type="dxa"/>
          </w:tcPr>
          <w:p>
            <w:pPr>
              <w:pStyle w:val="yTable"/>
              <w:tabs>
                <w:tab w:val="right" w:leader="dot" w:pos="5170"/>
              </w:tabs>
              <w:spacing w:after="40"/>
              <w:ind w:left="317" w:right="459" w:hanging="317"/>
            </w:pPr>
            <w:r>
              <w:t>Tandem axle group with 8 or more tyres, not on a trailer ................................................</w:t>
            </w:r>
          </w:p>
        </w:tc>
        <w:tc>
          <w:tcPr>
            <w:tcW w:w="1417" w:type="dxa"/>
          </w:tcPr>
          <w:p>
            <w:pPr>
              <w:pStyle w:val="yTable"/>
              <w:spacing w:after="40"/>
              <w:jc w:val="center"/>
            </w:pPr>
            <w:r>
              <w:br/>
              <w:t>18.5</w:t>
            </w:r>
          </w:p>
        </w:tc>
      </w:tr>
      <w:tr>
        <w:trPr>
          <w:cantSplit/>
        </w:trPr>
        <w:tc>
          <w:tcPr>
            <w:tcW w:w="4678" w:type="dxa"/>
          </w:tcPr>
          <w:p>
            <w:pPr>
              <w:pStyle w:val="yTable"/>
              <w:tabs>
                <w:tab w:val="right" w:leader="dot" w:pos="5170"/>
              </w:tabs>
              <w:spacing w:after="40"/>
              <w:ind w:left="317" w:right="459" w:hanging="317"/>
            </w:pPr>
            <w:r>
              <w:t>Tandem axle group with 16 or more tyres, on a trailer .....................................................</w:t>
            </w:r>
          </w:p>
        </w:tc>
        <w:tc>
          <w:tcPr>
            <w:tcW w:w="1417" w:type="dxa"/>
          </w:tcPr>
          <w:p>
            <w:pPr>
              <w:pStyle w:val="yTable"/>
              <w:spacing w:after="40"/>
              <w:jc w:val="center"/>
            </w:pPr>
            <w:r>
              <w:br/>
              <w:t>21.0</w:t>
            </w:r>
          </w:p>
        </w:tc>
      </w:tr>
      <w:tr>
        <w:trPr>
          <w:cantSplit/>
        </w:trPr>
        <w:tc>
          <w:tcPr>
            <w:tcW w:w="4678" w:type="dxa"/>
          </w:tcPr>
          <w:p>
            <w:pPr>
              <w:pStyle w:val="yTable"/>
              <w:tabs>
                <w:tab w:val="right" w:leader="dot" w:pos="5170"/>
              </w:tabs>
              <w:spacing w:after="40"/>
              <w:ind w:left="317" w:right="459" w:hanging="317"/>
            </w:pPr>
            <w:r>
              <w:t>Tri</w:t>
            </w:r>
            <w:r>
              <w:noBreakHyphen/>
              <w:t>axle group with 12 or more tyres .............</w:t>
            </w:r>
          </w:p>
        </w:tc>
        <w:tc>
          <w:tcPr>
            <w:tcW w:w="1417" w:type="dxa"/>
          </w:tcPr>
          <w:p>
            <w:pPr>
              <w:pStyle w:val="yTable"/>
              <w:spacing w:after="40"/>
              <w:jc w:val="center"/>
            </w:pPr>
            <w:r>
              <w:t>25.0</w:t>
            </w:r>
          </w:p>
        </w:tc>
      </w:tr>
      <w:tr>
        <w:trPr>
          <w:cantSplit/>
        </w:trPr>
        <w:tc>
          <w:tcPr>
            <w:tcW w:w="4678" w:type="dxa"/>
            <w:tcBorders>
              <w:bottom w:val="single" w:sz="4" w:space="0" w:color="auto"/>
            </w:tcBorders>
          </w:tcPr>
          <w:p>
            <w:pPr>
              <w:pStyle w:val="yTable"/>
              <w:tabs>
                <w:tab w:val="right" w:leader="dot" w:pos="5170"/>
              </w:tabs>
              <w:spacing w:after="40"/>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Borders>
              <w:bottom w:val="single" w:sz="4" w:space="0" w:color="auto"/>
            </w:tcBorders>
          </w:tcPr>
          <w:p>
            <w:pPr>
              <w:pStyle w:val="yTable"/>
              <w:spacing w:after="40"/>
              <w:jc w:val="center"/>
            </w:pPr>
            <w:r>
              <w:br/>
            </w:r>
            <w:r>
              <w:br/>
            </w:r>
            <w:r>
              <w:br/>
            </w:r>
            <w:r>
              <w:br/>
              <w:t>27.0</w:t>
            </w:r>
          </w:p>
        </w:tc>
      </w:tr>
    </w:tbl>
    <w:p>
      <w:pPr>
        <w:pStyle w:val="ySubsection"/>
        <w:spacing w:before="180"/>
      </w:pPr>
      <w:r>
        <w:tab/>
        <w:t>(2)</w:t>
      </w:r>
      <w:r>
        <w:tab/>
        <w:t>The sum of the mass on each of the combination’s single axles and axle groups must not exceed the sum of the mass limits specified for each of them in Table 4.</w:t>
      </w:r>
    </w:p>
    <w:p>
      <w:pPr>
        <w:pStyle w:val="ySubsection"/>
        <w:spacing w:before="18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pPr>
      <w:r>
        <w:tab/>
        <w:t>(b)</w:t>
      </w:r>
      <w:r>
        <w:tab/>
        <w:t>49.5 t decreased by 1 t for every 0.3 m by which the distance referred to in paragraph (a) is less than 6 m.</w:t>
      </w:r>
    </w:p>
    <w:p>
      <w:pPr>
        <w:pStyle w:val="yMiscellaneousHeading"/>
        <w:spacing w:before="120"/>
      </w:pPr>
      <w:r>
        <w:rPr>
          <w:noProof/>
        </w:rPr>
        <w:drawing>
          <wp:inline distT="0" distB="0" distL="0" distR="0">
            <wp:extent cx="2182495" cy="931545"/>
            <wp:effectExtent l="0" t="0" r="825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82495" cy="931545"/>
                    </a:xfrm>
                    <a:prstGeom prst="rect">
                      <a:avLst/>
                    </a:prstGeom>
                    <a:noFill/>
                    <a:ln>
                      <a:noFill/>
                    </a:ln>
                  </pic:spPr>
                </pic:pic>
              </a:graphicData>
            </a:graphic>
          </wp:inline>
        </w:drawing>
      </w:r>
    </w:p>
    <w:p>
      <w:pPr>
        <w:pStyle w:val="yMiscellaneousHeading"/>
        <w:spacing w:before="120"/>
        <w:ind w:left="120"/>
      </w:pPr>
      <w:r>
        <w:rPr>
          <w:noProof/>
        </w:rPr>
        <w:drawing>
          <wp:inline distT="0" distB="0" distL="0" distR="0">
            <wp:extent cx="2519045" cy="1000760"/>
            <wp:effectExtent l="0" t="0" r="0" b="8890"/>
            <wp:docPr id="10" name="Picture 10" descr="tr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ruck"/>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19045" cy="1000760"/>
                    </a:xfrm>
                    <a:prstGeom prst="rect">
                      <a:avLst/>
                    </a:prstGeom>
                    <a:noFill/>
                    <a:ln>
                      <a:noFill/>
                    </a:ln>
                  </pic:spPr>
                </pic:pic>
              </a:graphicData>
            </a:graphic>
          </wp:inline>
        </w:drawing>
      </w:r>
    </w:p>
    <w:p>
      <w:pPr>
        <w:pStyle w:val="yMiscellaneousHeading"/>
        <w:spacing w:before="120" w:after="60"/>
        <w:rPr>
          <w:b/>
          <w:bCs/>
        </w:rPr>
      </w:pPr>
      <w:r>
        <w:rPr>
          <w:b/>
          <w:bCs/>
        </w:rPr>
        <w:t>Distance for the purpose of clause 13(3)</w:t>
      </w:r>
    </w:p>
    <w:p>
      <w:pPr>
        <w:pStyle w:val="ySubsection"/>
        <w:spacing w:before="180"/>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spacing w:before="160"/>
      </w:pPr>
      <w:bookmarkStart w:id="410" w:name="_Toc407625740"/>
      <w:bookmarkStart w:id="411" w:name="_Toc417033621"/>
      <w:bookmarkStart w:id="412" w:name="_Toc33775908"/>
      <w:r>
        <w:rPr>
          <w:rStyle w:val="CharSClsNo"/>
        </w:rPr>
        <w:t>14</w:t>
      </w:r>
      <w:r>
        <w:t>.</w:t>
      </w:r>
      <w:r>
        <w:tab/>
        <w:t>Minimising width</w:t>
      </w:r>
      <w:bookmarkEnd w:id="410"/>
      <w:bookmarkEnd w:id="411"/>
      <w:bookmarkEnd w:id="412"/>
    </w:p>
    <w:p>
      <w:pPr>
        <w:pStyle w:val="ySubsection"/>
        <w:spacing w:before="180"/>
      </w:pPr>
      <w:r>
        <w:tab/>
        <w:t>(1)</w:t>
      </w:r>
      <w:r>
        <w:tab/>
        <w:t>If a load can be safely loaded in more than one way, it must be loaded in a way that minimises the width of the vehicle and its load.</w:t>
      </w:r>
    </w:p>
    <w:p>
      <w:pPr>
        <w:pStyle w:val="ySubsection"/>
        <w:spacing w:before="180"/>
      </w:pPr>
      <w:r>
        <w:tab/>
        <w:t>(2)</w:t>
      </w:r>
      <w:r>
        <w:tab/>
        <w:t>An unloaded low loader, low loader dolly or jinker, with 4 tyres on each axle, must not be wider than 2.5 m.</w:t>
      </w:r>
    </w:p>
    <w:p>
      <w:pPr>
        <w:pStyle w:val="ySubsection"/>
        <w:spacing w:before="180"/>
      </w:pPr>
      <w:r>
        <w:tab/>
        <w:t>(3)</w:t>
      </w:r>
      <w:r>
        <w:tab/>
        <w:t>An unloaded low loader, low loader dolly or jinker, with 8 tyres on each axle, must not be wider than 2.7 m.</w:t>
      </w:r>
    </w:p>
    <w:p>
      <w:pPr>
        <w:pStyle w:val="yHeading5"/>
        <w:spacing w:before="160"/>
      </w:pPr>
      <w:bookmarkStart w:id="413" w:name="_Toc407625741"/>
      <w:bookmarkStart w:id="414" w:name="_Toc417033622"/>
      <w:bookmarkStart w:id="415" w:name="_Toc33775909"/>
      <w:r>
        <w:rPr>
          <w:rStyle w:val="CharSClsNo"/>
        </w:rPr>
        <w:t>15</w:t>
      </w:r>
      <w:r>
        <w:t>.</w:t>
      </w:r>
      <w:r>
        <w:tab/>
        <w:t>Carrying goods in addition to a large indivisible item</w:t>
      </w:r>
      <w:bookmarkEnd w:id="413"/>
      <w:bookmarkEnd w:id="414"/>
      <w:bookmarkEnd w:id="415"/>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keepLines/>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spacing w:before="160"/>
      </w:pPr>
      <w:bookmarkStart w:id="416" w:name="_Toc407625742"/>
      <w:bookmarkStart w:id="417" w:name="_Toc417033623"/>
      <w:bookmarkStart w:id="418" w:name="_Toc33775910"/>
      <w:r>
        <w:rPr>
          <w:rStyle w:val="CharSClsNo"/>
        </w:rPr>
        <w:t>16</w:t>
      </w:r>
      <w:r>
        <w:t>.</w:t>
      </w:r>
      <w:r>
        <w:tab/>
        <w:t>Towing a low loader dolly with an unloaded low loader</w:t>
      </w:r>
      <w:bookmarkEnd w:id="416"/>
      <w:bookmarkEnd w:id="417"/>
      <w:bookmarkEnd w:id="418"/>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spacing w:before="200"/>
      </w:pPr>
      <w:bookmarkStart w:id="419" w:name="_Toc407625743"/>
      <w:bookmarkStart w:id="420" w:name="_Toc417033440"/>
      <w:bookmarkStart w:id="421" w:name="_Toc417033624"/>
      <w:bookmarkStart w:id="422" w:name="_Toc33775911"/>
      <w:r>
        <w:rPr>
          <w:rStyle w:val="CharSDivNo"/>
        </w:rPr>
        <w:t>Division 3</w:t>
      </w:r>
      <w:r>
        <w:t> — </w:t>
      </w:r>
      <w:r>
        <w:rPr>
          <w:rStyle w:val="CharSDivText"/>
        </w:rPr>
        <w:t>Special purpose vehicles travelling under a class 1 notice</w:t>
      </w:r>
      <w:bookmarkEnd w:id="419"/>
      <w:bookmarkEnd w:id="420"/>
      <w:bookmarkEnd w:id="421"/>
      <w:bookmarkEnd w:id="422"/>
    </w:p>
    <w:p>
      <w:pPr>
        <w:pStyle w:val="yHeading5"/>
        <w:spacing w:before="160"/>
      </w:pPr>
      <w:bookmarkStart w:id="423" w:name="_Toc407625744"/>
      <w:bookmarkStart w:id="424" w:name="_Toc417033625"/>
      <w:bookmarkStart w:id="425" w:name="_Toc33775912"/>
      <w:r>
        <w:rPr>
          <w:rStyle w:val="CharSClsNo"/>
        </w:rPr>
        <w:t>17</w:t>
      </w:r>
      <w:r>
        <w:t>.</w:t>
      </w:r>
      <w:r>
        <w:tab/>
        <w:t>Application of Division</w:t>
      </w:r>
      <w:bookmarkEnd w:id="423"/>
      <w:bookmarkEnd w:id="424"/>
      <w:bookmarkEnd w:id="425"/>
    </w:p>
    <w:p>
      <w:pPr>
        <w:pStyle w:val="ySubsection"/>
      </w:pPr>
      <w:r>
        <w:tab/>
      </w:r>
      <w:r>
        <w:tab/>
        <w:t>This Division applies only to special purpose vehicles travelling under a class 1 notice.</w:t>
      </w:r>
    </w:p>
    <w:p>
      <w:pPr>
        <w:pStyle w:val="yHeading5"/>
        <w:spacing w:before="160"/>
      </w:pPr>
      <w:bookmarkStart w:id="426" w:name="_Toc407625745"/>
      <w:bookmarkStart w:id="427" w:name="_Toc417033626"/>
      <w:bookmarkStart w:id="428" w:name="_Toc33775913"/>
      <w:r>
        <w:rPr>
          <w:rStyle w:val="CharSClsNo"/>
        </w:rPr>
        <w:t>18</w:t>
      </w:r>
      <w:r>
        <w:t>.</w:t>
      </w:r>
      <w:r>
        <w:tab/>
        <w:t>Mass limits for axles and axle groups</w:t>
      </w:r>
      <w:bookmarkEnd w:id="426"/>
      <w:bookmarkEnd w:id="427"/>
      <w:bookmarkEnd w:id="428"/>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Borders>
              <w:bottom w:val="single" w:sz="4" w:space="0" w:color="auto"/>
            </w:tcBorders>
          </w:tcPr>
          <w:p>
            <w:pPr>
              <w:pStyle w:val="yTable"/>
              <w:tabs>
                <w:tab w:val="right" w:leader="dot" w:pos="4853"/>
              </w:tabs>
            </w:pPr>
            <w:r>
              <w:t>Tri</w:t>
            </w:r>
            <w:r>
              <w:noBreakHyphen/>
              <w:t>axle group fitted with single tyres .................</w:t>
            </w:r>
          </w:p>
        </w:tc>
        <w:tc>
          <w:tcPr>
            <w:tcW w:w="1559" w:type="dxa"/>
            <w:tcBorders>
              <w:bottom w:val="single" w:sz="4" w:space="0" w:color="auto"/>
            </w:tcBorders>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spacing w:before="160"/>
      </w:pPr>
      <w:bookmarkStart w:id="429" w:name="_Toc407625746"/>
      <w:bookmarkStart w:id="430" w:name="_Toc417033627"/>
      <w:bookmarkStart w:id="431" w:name="_Toc33775914"/>
      <w:r>
        <w:rPr>
          <w:rStyle w:val="CharSClsNo"/>
        </w:rPr>
        <w:t>19</w:t>
      </w:r>
      <w:r>
        <w:t>.</w:t>
      </w:r>
      <w:r>
        <w:tab/>
        <w:t>Total mass limits for special purpose vehicles</w:t>
      </w:r>
      <w:bookmarkEnd w:id="429"/>
      <w:bookmarkEnd w:id="430"/>
      <w:bookmarkEnd w:id="431"/>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del w:id="432" w:author="Master Repository Process" w:date="2021-09-12T13:09:00Z">
        <w:r>
          <w:rPr>
            <w:position w:val="-10"/>
          </w:rPr>
          <w:pict>
            <v:shape id="_x0000_i1026" type="#_x0000_t75" style="width:99.75pt;height:17.25pt">
              <v:imagedata r:id="rId30" o:title=""/>
            </v:shape>
          </w:pict>
        </w:r>
      </w:del>
      <w:ins w:id="433" w:author="Master Repository Process" w:date="2021-09-12T13:09:00Z">
        <w:r>
          <w:rPr>
            <w:position w:val="-10"/>
          </w:rPr>
          <w:pict>
            <v:shape id="_x0000_i1027" type="#_x0000_t75" style="width:99.75pt;height:16.5pt">
              <v:imagedata r:id="rId30" o:title=""/>
            </v:shape>
          </w:pict>
        </w:r>
      </w:ins>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pict>
          <v:shape id="_x0000_i1028" type="#_x0000_t75" style="width:354pt;height:127.5pt">
            <v:imagedata r:id="rId31" o:title=""/>
          </v:shape>
        </w:pict>
      </w:r>
    </w:p>
    <w:p>
      <w:pPr>
        <w:pStyle w:val="yMiscellaneousHeading"/>
        <w:spacing w:before="120" w:after="60"/>
        <w:rPr>
          <w:b/>
          <w:bCs/>
        </w:rPr>
      </w:pPr>
      <w:r>
        <w:rPr>
          <w:b/>
          <w:bCs/>
        </w:rPr>
        <w:t>Distance “L” for the purpose of the formula in clause 19</w:t>
      </w:r>
    </w:p>
    <w:p>
      <w:pPr>
        <w:pStyle w:val="yHeading5"/>
        <w:spacing w:before="160"/>
      </w:pPr>
      <w:bookmarkStart w:id="434" w:name="_Toc407625747"/>
      <w:bookmarkStart w:id="435" w:name="_Toc417033628"/>
      <w:bookmarkStart w:id="436" w:name="_Toc33775915"/>
      <w:r>
        <w:rPr>
          <w:rStyle w:val="CharSClsNo"/>
        </w:rPr>
        <w:t>20</w:t>
      </w:r>
      <w:r>
        <w:t>.</w:t>
      </w:r>
      <w:r>
        <w:tab/>
        <w:t>Side lights for travel at night</w:t>
      </w:r>
      <w:r>
        <w:noBreakHyphen/>
        <w:t>time</w:t>
      </w:r>
      <w:bookmarkEnd w:id="434"/>
      <w:bookmarkEnd w:id="435"/>
      <w:bookmarkEnd w:id="436"/>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spacing w:before="160"/>
      </w:pPr>
      <w:bookmarkStart w:id="437" w:name="_Toc407625748"/>
      <w:bookmarkStart w:id="438" w:name="_Toc417033629"/>
      <w:bookmarkStart w:id="439" w:name="_Toc33775916"/>
      <w:r>
        <w:rPr>
          <w:rStyle w:val="CharSClsNo"/>
        </w:rPr>
        <w:t>21</w:t>
      </w:r>
      <w:r>
        <w:t>.</w:t>
      </w:r>
      <w:r>
        <w:tab/>
        <w:t>Markings for special purpose vehicles</w:t>
      </w:r>
      <w:bookmarkEnd w:id="437"/>
      <w:bookmarkEnd w:id="438"/>
      <w:bookmarkEnd w:id="439"/>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spacing w:before="160"/>
      </w:pPr>
      <w:bookmarkStart w:id="440" w:name="_Toc407625749"/>
      <w:bookmarkStart w:id="441" w:name="_Toc417033630"/>
      <w:bookmarkStart w:id="442" w:name="_Toc33775917"/>
      <w:r>
        <w:rPr>
          <w:rStyle w:val="CharSClsNo"/>
        </w:rPr>
        <w:t>22</w:t>
      </w:r>
      <w:r>
        <w:t>.</w:t>
      </w:r>
      <w:r>
        <w:tab/>
        <w:t>Prohibition on towing other vehicles</w:t>
      </w:r>
      <w:bookmarkEnd w:id="440"/>
      <w:bookmarkEnd w:id="441"/>
      <w:bookmarkEnd w:id="442"/>
    </w:p>
    <w:p>
      <w:pPr>
        <w:pStyle w:val="ySubsection"/>
        <w:spacing w:before="180"/>
      </w:pPr>
      <w:r>
        <w:tab/>
      </w:r>
      <w:r>
        <w:tab/>
        <w:t>A special purpose vehicle must not tow a vehicle.</w:t>
      </w:r>
    </w:p>
    <w:p>
      <w:pPr>
        <w:pStyle w:val="yHeading3"/>
        <w:spacing w:before="200"/>
      </w:pPr>
      <w:bookmarkStart w:id="443" w:name="_Toc407625750"/>
      <w:bookmarkStart w:id="444" w:name="_Toc417033447"/>
      <w:bookmarkStart w:id="445" w:name="_Toc417033631"/>
      <w:bookmarkStart w:id="446" w:name="_Toc33775918"/>
      <w:r>
        <w:rPr>
          <w:rStyle w:val="CharSDivNo"/>
        </w:rPr>
        <w:t>Division 4</w:t>
      </w:r>
      <w:r>
        <w:t> — </w:t>
      </w:r>
      <w:r>
        <w:rPr>
          <w:rStyle w:val="CharSDivText"/>
        </w:rPr>
        <w:t>Agricultural vehicles travelling under class 1 notices</w:t>
      </w:r>
      <w:bookmarkEnd w:id="443"/>
      <w:bookmarkEnd w:id="444"/>
      <w:bookmarkEnd w:id="445"/>
      <w:bookmarkEnd w:id="446"/>
    </w:p>
    <w:p>
      <w:pPr>
        <w:pStyle w:val="yHeading5"/>
        <w:spacing w:before="160"/>
      </w:pPr>
      <w:bookmarkStart w:id="447" w:name="_Toc407625751"/>
      <w:bookmarkStart w:id="448" w:name="_Toc417033632"/>
      <w:bookmarkStart w:id="449" w:name="_Toc33775919"/>
      <w:r>
        <w:rPr>
          <w:rStyle w:val="CharSClsNo"/>
        </w:rPr>
        <w:t>23</w:t>
      </w:r>
      <w:r>
        <w:t>.</w:t>
      </w:r>
      <w:r>
        <w:tab/>
        <w:t>Application of Division</w:t>
      </w:r>
      <w:bookmarkEnd w:id="447"/>
      <w:bookmarkEnd w:id="448"/>
      <w:bookmarkEnd w:id="449"/>
    </w:p>
    <w:p>
      <w:pPr>
        <w:pStyle w:val="ySubsection"/>
        <w:spacing w:before="180"/>
      </w:pPr>
      <w:r>
        <w:tab/>
      </w:r>
      <w:r>
        <w:tab/>
        <w:t>This Division applies only to agricultural vehicles and agricultural combinations.</w:t>
      </w:r>
    </w:p>
    <w:p>
      <w:pPr>
        <w:pStyle w:val="yHeading5"/>
        <w:spacing w:before="160"/>
      </w:pPr>
      <w:bookmarkStart w:id="450" w:name="_Toc407625752"/>
      <w:bookmarkStart w:id="451" w:name="_Toc417033633"/>
      <w:bookmarkStart w:id="452" w:name="_Toc33775920"/>
      <w:r>
        <w:rPr>
          <w:rStyle w:val="CharSClsNo"/>
        </w:rPr>
        <w:t>24</w:t>
      </w:r>
      <w:r>
        <w:t>.</w:t>
      </w:r>
      <w:r>
        <w:tab/>
        <w:t>Mass limits</w:t>
      </w:r>
      <w:bookmarkEnd w:id="450"/>
      <w:bookmarkEnd w:id="451"/>
      <w:bookmarkEnd w:id="452"/>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spacing w:before="120" w:after="6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2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20"/>
              <w:jc w:val="center"/>
              <w:rPr>
                <w:b/>
              </w:rPr>
            </w:pPr>
            <w:r>
              <w:rPr>
                <w:b/>
              </w:rPr>
              <w:t>Mass limit (t)</w:t>
            </w:r>
          </w:p>
        </w:tc>
      </w:tr>
      <w:tr>
        <w:trPr>
          <w:cantSplit/>
          <w:trHeight w:val="315"/>
        </w:trPr>
        <w:tc>
          <w:tcPr>
            <w:tcW w:w="4678" w:type="dxa"/>
          </w:tcPr>
          <w:p>
            <w:pPr>
              <w:pStyle w:val="yTable"/>
              <w:keepNext/>
              <w:keepLines/>
              <w:tabs>
                <w:tab w:val="right" w:leader="dot" w:pos="5103"/>
              </w:tabs>
              <w:spacing w:after="20"/>
              <w:ind w:left="318" w:hanging="318"/>
            </w:pPr>
            <w:r>
              <w:t>Axle fitted with 2 tyres ...........................................</w:t>
            </w:r>
          </w:p>
        </w:tc>
        <w:tc>
          <w:tcPr>
            <w:tcW w:w="1559" w:type="dxa"/>
          </w:tcPr>
          <w:p>
            <w:pPr>
              <w:pStyle w:val="yTable"/>
              <w:keepNext/>
              <w:keepLines/>
              <w:spacing w:after="20"/>
              <w:jc w:val="center"/>
            </w:pPr>
            <w: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less than 2.51 m ......................................</w:t>
            </w:r>
          </w:p>
        </w:tc>
        <w:tc>
          <w:tcPr>
            <w:tcW w:w="1559" w:type="dxa"/>
          </w:tcPr>
          <w:p>
            <w:pPr>
              <w:pStyle w:val="yTable"/>
              <w:keepNext/>
              <w:keepLines/>
              <w:spacing w:after="20"/>
              <w:jc w:val="center"/>
            </w:pPr>
            <w:r>
              <w:b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at least 2.51 m but not more than 3.5 m .................................................................</w:t>
            </w:r>
          </w:p>
        </w:tc>
        <w:tc>
          <w:tcPr>
            <w:tcW w:w="1559" w:type="dxa"/>
          </w:tcPr>
          <w:p>
            <w:pPr>
              <w:pStyle w:val="yTable"/>
              <w:keepNext/>
              <w:keepLines/>
              <w:spacing w:after="20"/>
              <w:jc w:val="center"/>
            </w:pPr>
            <w:r>
              <w:br/>
            </w:r>
            <w:r>
              <w:br/>
              <w:t>10.5</w:t>
            </w:r>
          </w:p>
        </w:tc>
      </w:tr>
      <w:tr>
        <w:trPr>
          <w:cantSplit/>
          <w:trHeight w:val="315"/>
        </w:trPr>
        <w:tc>
          <w:tcPr>
            <w:tcW w:w="4678" w:type="dxa"/>
            <w:tcBorders>
              <w:bottom w:val="single" w:sz="4" w:space="0" w:color="auto"/>
            </w:tcBorders>
          </w:tcPr>
          <w:p>
            <w:pPr>
              <w:pStyle w:val="yTable"/>
              <w:keepNext/>
              <w:keepLines/>
              <w:tabs>
                <w:tab w:val="right" w:leader="dot" w:pos="5103"/>
              </w:tabs>
              <w:spacing w:after="20"/>
              <w:ind w:left="318" w:hanging="318"/>
            </w:pPr>
            <w:r>
              <w:t>Axle fitted with 4 tyres and a ground contact width more than 3.5 m ......................................</w:t>
            </w:r>
          </w:p>
        </w:tc>
        <w:tc>
          <w:tcPr>
            <w:tcW w:w="1559" w:type="dxa"/>
            <w:tcBorders>
              <w:bottom w:val="single" w:sz="4" w:space="0" w:color="auto"/>
            </w:tcBorders>
          </w:tcPr>
          <w:p>
            <w:pPr>
              <w:pStyle w:val="yTable"/>
              <w:keepNext/>
              <w:keepLines/>
              <w:spacing w:after="20"/>
              <w:jc w:val="center"/>
            </w:pPr>
            <w:r>
              <w:br/>
              <w:t>12.0</w:t>
            </w:r>
          </w:p>
        </w:tc>
      </w:tr>
    </w:tbl>
    <w:p>
      <w:pPr>
        <w:pStyle w:val="yHeading5"/>
        <w:spacing w:before="160"/>
      </w:pPr>
      <w:bookmarkStart w:id="453" w:name="_Toc407625753"/>
      <w:bookmarkStart w:id="454" w:name="_Toc417033634"/>
      <w:bookmarkStart w:id="455" w:name="_Toc33775921"/>
      <w:r>
        <w:rPr>
          <w:rStyle w:val="CharSClsNo"/>
        </w:rPr>
        <w:t>25</w:t>
      </w:r>
      <w:r>
        <w:t>.</w:t>
      </w:r>
      <w:r>
        <w:tab/>
        <w:t>Dimension limits</w:t>
      </w:r>
      <w:bookmarkEnd w:id="453"/>
      <w:bookmarkEnd w:id="454"/>
      <w:bookmarkEnd w:id="455"/>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spacing w:after="20"/>
              <w:rPr>
                <w:b/>
              </w:rPr>
            </w:pPr>
            <w:r>
              <w:rPr>
                <w:b/>
              </w:rPr>
              <w:t>Area</w:t>
            </w:r>
          </w:p>
        </w:tc>
        <w:tc>
          <w:tcPr>
            <w:tcW w:w="1700" w:type="dxa"/>
            <w:tcBorders>
              <w:top w:val="single" w:sz="4" w:space="0" w:color="auto"/>
              <w:bottom w:val="single" w:sz="4" w:space="0" w:color="auto"/>
            </w:tcBorders>
          </w:tcPr>
          <w:p>
            <w:pPr>
              <w:pStyle w:val="yTable"/>
              <w:keepNext/>
              <w:keepLines/>
              <w:spacing w:after="20"/>
              <w:rPr>
                <w:b/>
              </w:rPr>
            </w:pPr>
            <w:r>
              <w:rPr>
                <w:b/>
              </w:rPr>
              <w:t>Width limit (m)</w:t>
            </w:r>
          </w:p>
        </w:tc>
      </w:tr>
      <w:tr>
        <w:trPr>
          <w:cantSplit/>
          <w:trHeight w:val="315"/>
        </w:trPr>
        <w:tc>
          <w:tcPr>
            <w:tcW w:w="2552" w:type="dxa"/>
          </w:tcPr>
          <w:p>
            <w:pPr>
              <w:pStyle w:val="yTable"/>
              <w:keepNext/>
              <w:keepLines/>
              <w:tabs>
                <w:tab w:val="right" w:leader="dot" w:pos="2160"/>
              </w:tabs>
              <w:spacing w:after="20"/>
            </w:pPr>
            <w:r>
              <w:t>Category 1 ......................</w:t>
            </w:r>
          </w:p>
        </w:tc>
        <w:tc>
          <w:tcPr>
            <w:tcW w:w="1700" w:type="dxa"/>
          </w:tcPr>
          <w:p>
            <w:pPr>
              <w:pStyle w:val="yTable"/>
              <w:keepNext/>
              <w:keepLines/>
              <w:spacing w:after="20"/>
              <w:jc w:val="center"/>
            </w:pPr>
            <w:r>
              <w:t>3.5</w:t>
            </w:r>
          </w:p>
        </w:tc>
      </w:tr>
      <w:tr>
        <w:trPr>
          <w:cantSplit/>
          <w:trHeight w:val="315"/>
        </w:trPr>
        <w:tc>
          <w:tcPr>
            <w:tcW w:w="2552" w:type="dxa"/>
          </w:tcPr>
          <w:p>
            <w:pPr>
              <w:pStyle w:val="yTable"/>
              <w:keepNext/>
              <w:keepLines/>
              <w:tabs>
                <w:tab w:val="right" w:leader="dot" w:pos="2160"/>
              </w:tabs>
              <w:spacing w:after="20"/>
            </w:pPr>
            <w:r>
              <w:t>Category 2 ......................</w:t>
            </w:r>
          </w:p>
        </w:tc>
        <w:tc>
          <w:tcPr>
            <w:tcW w:w="1700" w:type="dxa"/>
          </w:tcPr>
          <w:p>
            <w:pPr>
              <w:pStyle w:val="yTable"/>
              <w:keepNext/>
              <w:keepLines/>
              <w:spacing w:after="20"/>
              <w:jc w:val="center"/>
            </w:pPr>
            <w:r>
              <w:t>5.0</w:t>
            </w:r>
          </w:p>
        </w:tc>
      </w:tr>
      <w:tr>
        <w:trPr>
          <w:cantSplit/>
          <w:trHeight w:val="315"/>
        </w:trPr>
        <w:tc>
          <w:tcPr>
            <w:tcW w:w="2552" w:type="dxa"/>
            <w:tcBorders>
              <w:bottom w:val="single" w:sz="4" w:space="0" w:color="auto"/>
            </w:tcBorders>
          </w:tcPr>
          <w:p>
            <w:pPr>
              <w:pStyle w:val="yTable"/>
              <w:keepNext/>
              <w:keepLines/>
              <w:tabs>
                <w:tab w:val="right" w:leader="dot" w:pos="2160"/>
              </w:tabs>
              <w:spacing w:after="20"/>
            </w:pPr>
            <w:r>
              <w:t>Category 3 ......................</w:t>
            </w:r>
          </w:p>
        </w:tc>
        <w:tc>
          <w:tcPr>
            <w:tcW w:w="1700" w:type="dxa"/>
            <w:tcBorders>
              <w:bottom w:val="single" w:sz="4" w:space="0" w:color="auto"/>
            </w:tcBorders>
          </w:tcPr>
          <w:p>
            <w:pPr>
              <w:pStyle w:val="yTable"/>
              <w:keepNext/>
              <w:keepLines/>
              <w:spacing w:after="20"/>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spacing w:before="160"/>
      </w:pPr>
      <w:bookmarkStart w:id="456" w:name="_Toc407625754"/>
      <w:bookmarkStart w:id="457" w:name="_Toc417033635"/>
      <w:bookmarkStart w:id="458" w:name="_Toc33775922"/>
      <w:r>
        <w:rPr>
          <w:rStyle w:val="CharSClsNo"/>
        </w:rPr>
        <w:t>26</w:t>
      </w:r>
      <w:r>
        <w:t>.</w:t>
      </w:r>
      <w:r>
        <w:tab/>
        <w:t>Warning devices for agricultural vehicles</w:t>
      </w:r>
      <w:bookmarkEnd w:id="456"/>
      <w:bookmarkEnd w:id="457"/>
      <w:bookmarkEnd w:id="458"/>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spacing w:before="160"/>
      </w:pPr>
      <w:bookmarkStart w:id="459" w:name="_Toc407625755"/>
      <w:bookmarkStart w:id="460" w:name="_Toc417033636"/>
      <w:bookmarkStart w:id="461" w:name="_Toc33775923"/>
      <w:r>
        <w:rPr>
          <w:rStyle w:val="CharSClsNo"/>
        </w:rPr>
        <w:t>27</w:t>
      </w:r>
      <w:r>
        <w:t>.</w:t>
      </w:r>
      <w:r>
        <w:tab/>
        <w:t>Pilot vehicle requirements for agricultural vehicles</w:t>
      </w:r>
      <w:bookmarkEnd w:id="459"/>
      <w:bookmarkEnd w:id="460"/>
      <w:bookmarkEnd w:id="461"/>
    </w:p>
    <w:p>
      <w:pPr>
        <w:pStyle w:val="ySubsection"/>
      </w:pPr>
      <w:r>
        <w:tab/>
        <w:t>(1)</w:t>
      </w:r>
      <w:r>
        <w:tab/>
        <w:t>An agricultural vehicle or agricultural combination of a width described in Table 8 must be accompanied by pilot vehicles in accordance with the Table.</w:t>
      </w:r>
    </w:p>
    <w:p>
      <w:pPr>
        <w:pStyle w:val="yMiscellaneousHeading"/>
        <w:spacing w:before="120" w:after="6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Borders>
              <w:bottom w:val="single" w:sz="4" w:space="0" w:color="auto"/>
            </w:tcBorders>
          </w:tcPr>
          <w:p>
            <w:pPr>
              <w:pStyle w:val="yTable"/>
              <w:ind w:left="176" w:hanging="176"/>
            </w:pPr>
            <w:r>
              <w:t>If there is a clear view of approaching traffic for at least 500 m, but not on a major road ............................</w:t>
            </w:r>
          </w:p>
        </w:tc>
        <w:tc>
          <w:tcPr>
            <w:tcW w:w="1984" w:type="dxa"/>
            <w:tcBorders>
              <w:bottom w:val="single" w:sz="4" w:space="0" w:color="auto"/>
            </w:tcBorders>
          </w:tcPr>
          <w:p>
            <w:pPr>
              <w:pStyle w:val="yTable"/>
              <w:keepNext/>
              <w:keepLines/>
              <w:ind w:right="85"/>
            </w:pPr>
            <w:r>
              <w:br/>
            </w:r>
            <w:r>
              <w:br/>
            </w:r>
            <w:r>
              <w:br/>
              <w:t>nil ............................</w:t>
            </w:r>
          </w:p>
        </w:tc>
        <w:tc>
          <w:tcPr>
            <w:tcW w:w="1843" w:type="dxa"/>
            <w:tcBorders>
              <w:bottom w:val="single" w:sz="4" w:space="0" w:color="auto"/>
            </w:tcBorders>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spacing w:before="160"/>
      </w:pPr>
      <w:bookmarkStart w:id="462" w:name="_Toc407625756"/>
      <w:bookmarkStart w:id="463" w:name="_Toc417033637"/>
      <w:bookmarkStart w:id="464" w:name="_Toc33775924"/>
      <w:r>
        <w:rPr>
          <w:rStyle w:val="CharSClsNo"/>
        </w:rPr>
        <w:t>28</w:t>
      </w:r>
      <w:r>
        <w:t>.</w:t>
      </w:r>
      <w:r>
        <w:tab/>
        <w:t>Agricultural vehicles not to use freeways</w:t>
      </w:r>
      <w:bookmarkEnd w:id="462"/>
      <w:bookmarkEnd w:id="463"/>
      <w:bookmarkEnd w:id="464"/>
    </w:p>
    <w:p>
      <w:pPr>
        <w:pStyle w:val="ySubsection"/>
      </w:pPr>
      <w:r>
        <w:tab/>
      </w:r>
      <w:r>
        <w:tab/>
        <w:t>An oversize agricultural vehicle or agricultural combination must not be driven on a freeway.</w:t>
      </w:r>
    </w:p>
    <w:p>
      <w:pPr>
        <w:pStyle w:val="yHeading5"/>
        <w:spacing w:before="160"/>
      </w:pPr>
      <w:bookmarkStart w:id="465" w:name="_Toc407625757"/>
      <w:bookmarkStart w:id="466" w:name="_Toc417033638"/>
      <w:bookmarkStart w:id="467" w:name="_Toc33775925"/>
      <w:r>
        <w:rPr>
          <w:rStyle w:val="CharSClsNo"/>
        </w:rPr>
        <w:t>29</w:t>
      </w:r>
      <w:r>
        <w:t>.</w:t>
      </w:r>
      <w:r>
        <w:tab/>
        <w:t>Agricultural implements not to carry loads</w:t>
      </w:r>
      <w:bookmarkEnd w:id="465"/>
      <w:bookmarkEnd w:id="466"/>
      <w:bookmarkEnd w:id="467"/>
    </w:p>
    <w:p>
      <w:pPr>
        <w:pStyle w:val="ySubsection"/>
      </w:pPr>
      <w:r>
        <w:tab/>
      </w:r>
      <w:r>
        <w:tab/>
        <w:t>An agricultural implement must not carry a load.</w:t>
      </w:r>
    </w:p>
    <w:p>
      <w:pPr>
        <w:pStyle w:val="yHeading5"/>
        <w:spacing w:before="160"/>
      </w:pPr>
      <w:bookmarkStart w:id="468" w:name="_Toc407625758"/>
      <w:bookmarkStart w:id="469" w:name="_Toc417033639"/>
      <w:bookmarkStart w:id="470" w:name="_Toc33775926"/>
      <w:r>
        <w:rPr>
          <w:rStyle w:val="CharSClsNo"/>
        </w:rPr>
        <w:t>30</w:t>
      </w:r>
      <w:r>
        <w:t>.</w:t>
      </w:r>
      <w:r>
        <w:tab/>
        <w:t>Speed limits for agricultural implements without brakes</w:t>
      </w:r>
      <w:bookmarkEnd w:id="468"/>
      <w:bookmarkEnd w:id="469"/>
      <w:bookmarkEnd w:id="470"/>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spacing w:before="160"/>
      </w:pPr>
      <w:bookmarkStart w:id="471" w:name="_Toc407625759"/>
      <w:bookmarkStart w:id="472" w:name="_Toc417033640"/>
      <w:bookmarkStart w:id="473" w:name="_Toc33775927"/>
      <w:r>
        <w:rPr>
          <w:rStyle w:val="CharSClsNo"/>
        </w:rPr>
        <w:t>31</w:t>
      </w:r>
      <w:r>
        <w:t>.</w:t>
      </w:r>
      <w:r>
        <w:tab/>
        <w:t>Exemption from requirement for rear vision mirrors</w:t>
      </w:r>
      <w:bookmarkEnd w:id="471"/>
      <w:bookmarkEnd w:id="472"/>
      <w:bookmarkEnd w:id="473"/>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spacing w:before="200"/>
      </w:pPr>
      <w:bookmarkStart w:id="474" w:name="_Toc407625760"/>
      <w:bookmarkStart w:id="475" w:name="_Toc417033457"/>
      <w:bookmarkStart w:id="476" w:name="_Toc417033641"/>
      <w:bookmarkStart w:id="477" w:name="_Toc33775928"/>
      <w:r>
        <w:rPr>
          <w:rStyle w:val="CharSDivNo"/>
        </w:rPr>
        <w:t>Division 5</w:t>
      </w:r>
      <w:r>
        <w:t> — </w:t>
      </w:r>
      <w:r>
        <w:rPr>
          <w:rStyle w:val="CharSDivText"/>
        </w:rPr>
        <w:t>Pilot and escort vehicles</w:t>
      </w:r>
      <w:bookmarkEnd w:id="474"/>
      <w:bookmarkEnd w:id="475"/>
      <w:bookmarkEnd w:id="476"/>
      <w:bookmarkEnd w:id="477"/>
    </w:p>
    <w:p>
      <w:pPr>
        <w:pStyle w:val="yHeading5"/>
        <w:spacing w:before="160"/>
      </w:pPr>
      <w:bookmarkStart w:id="478" w:name="_Toc407625761"/>
      <w:bookmarkStart w:id="479" w:name="_Toc417033642"/>
      <w:bookmarkStart w:id="480" w:name="_Toc33775929"/>
      <w:r>
        <w:rPr>
          <w:rStyle w:val="CharSClsNo"/>
        </w:rPr>
        <w:t>32</w:t>
      </w:r>
      <w:r>
        <w:t>.</w:t>
      </w:r>
      <w:r>
        <w:tab/>
        <w:t>Application of Division</w:t>
      </w:r>
      <w:bookmarkEnd w:id="478"/>
      <w:bookmarkEnd w:id="479"/>
      <w:bookmarkEnd w:id="480"/>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spacing w:before="160"/>
      </w:pPr>
      <w:bookmarkStart w:id="481" w:name="_Toc407625762"/>
      <w:bookmarkStart w:id="482" w:name="_Toc417033643"/>
      <w:bookmarkStart w:id="483" w:name="_Toc33775930"/>
      <w:r>
        <w:rPr>
          <w:rStyle w:val="CharSClsNo"/>
        </w:rPr>
        <w:t>33</w:t>
      </w:r>
      <w:r>
        <w:t>.</w:t>
      </w:r>
      <w:r>
        <w:tab/>
        <w:t>Requirements for a pilot vehicle</w:t>
      </w:r>
      <w:bookmarkEnd w:id="481"/>
      <w:bookmarkEnd w:id="482"/>
      <w:bookmarkEnd w:id="483"/>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spacing w:before="60"/>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spacing w:before="160"/>
      </w:pPr>
      <w:bookmarkStart w:id="484" w:name="_Toc407625763"/>
      <w:bookmarkStart w:id="485" w:name="_Toc417033644"/>
      <w:bookmarkStart w:id="486" w:name="_Toc33775931"/>
      <w:r>
        <w:rPr>
          <w:rStyle w:val="CharSClsNo"/>
        </w:rPr>
        <w:t>34</w:t>
      </w:r>
      <w:r>
        <w:t>.</w:t>
      </w:r>
      <w:r>
        <w:tab/>
        <w:t>Requirements for an escort vehicle</w:t>
      </w:r>
      <w:bookmarkEnd w:id="484"/>
      <w:bookmarkEnd w:id="485"/>
      <w:bookmarkEnd w:id="486"/>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spacing w:before="160"/>
      </w:pPr>
      <w:bookmarkStart w:id="487" w:name="_Toc407625764"/>
      <w:bookmarkStart w:id="488" w:name="_Toc417033645"/>
      <w:bookmarkStart w:id="489" w:name="_Toc33775932"/>
      <w:r>
        <w:rPr>
          <w:rStyle w:val="CharSClsNo"/>
        </w:rPr>
        <w:t>35</w:t>
      </w:r>
      <w:r>
        <w:t>.</w:t>
      </w:r>
      <w:r>
        <w:tab/>
        <w:t>Headlights on a pilot vehicle or escort vehicle</w:t>
      </w:r>
      <w:bookmarkEnd w:id="487"/>
      <w:bookmarkEnd w:id="488"/>
      <w:bookmarkEnd w:id="489"/>
    </w:p>
    <w:p>
      <w:pPr>
        <w:pStyle w:val="ySubsection"/>
      </w:pPr>
      <w:r>
        <w:tab/>
      </w:r>
      <w:r>
        <w:tab/>
        <w:t>The low</w:t>
      </w:r>
      <w:r>
        <w:noBreakHyphen/>
        <w:t>beam headlights on a pilot vehicle or escort vehicle must be switched on when it is accompanying an oversize vehicle during the daytime.</w:t>
      </w:r>
    </w:p>
    <w:p>
      <w:pPr>
        <w:pStyle w:val="yHeading5"/>
        <w:spacing w:before="160"/>
      </w:pPr>
      <w:bookmarkStart w:id="490" w:name="_Toc407625765"/>
      <w:bookmarkStart w:id="491" w:name="_Toc417033646"/>
      <w:bookmarkStart w:id="492" w:name="_Toc33775933"/>
      <w:r>
        <w:rPr>
          <w:rStyle w:val="CharSClsNo"/>
        </w:rPr>
        <w:t>36</w:t>
      </w:r>
      <w:r>
        <w:t>.</w:t>
      </w:r>
      <w:r>
        <w:tab/>
        <w:t>What may a pilot vehicle or escort vehicle carry</w:t>
      </w:r>
      <w:bookmarkEnd w:id="490"/>
      <w:bookmarkEnd w:id="491"/>
      <w:bookmarkEnd w:id="492"/>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spacing w:before="160"/>
      </w:pPr>
      <w:bookmarkStart w:id="493" w:name="_Toc407625766"/>
      <w:bookmarkStart w:id="494" w:name="_Toc417033647"/>
      <w:bookmarkStart w:id="495" w:name="_Toc33775934"/>
      <w:r>
        <w:rPr>
          <w:rStyle w:val="CharSClsNo"/>
        </w:rPr>
        <w:t>37</w:t>
      </w:r>
      <w:r>
        <w:t>.</w:t>
      </w:r>
      <w:r>
        <w:tab/>
        <w:t>Where must a pilot vehicle be driven</w:t>
      </w:r>
      <w:bookmarkEnd w:id="493"/>
      <w:bookmarkEnd w:id="494"/>
      <w:bookmarkEnd w:id="495"/>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spacing w:before="160"/>
      </w:pPr>
      <w:bookmarkStart w:id="496" w:name="_Toc407625767"/>
      <w:bookmarkStart w:id="497" w:name="_Toc417033648"/>
      <w:bookmarkStart w:id="498" w:name="_Toc33775935"/>
      <w:r>
        <w:rPr>
          <w:rStyle w:val="CharSClsNo"/>
        </w:rPr>
        <w:t>38</w:t>
      </w:r>
      <w:r>
        <w:t>.</w:t>
      </w:r>
      <w:r>
        <w:tab/>
        <w:t>Communication between drivers</w:t>
      </w:r>
      <w:bookmarkEnd w:id="496"/>
      <w:bookmarkEnd w:id="497"/>
      <w:bookmarkEnd w:id="498"/>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spacing w:before="200"/>
      </w:pPr>
      <w:bookmarkStart w:id="499" w:name="_Toc407625768"/>
      <w:bookmarkStart w:id="500" w:name="_Toc417033465"/>
      <w:bookmarkStart w:id="501" w:name="_Toc417033649"/>
      <w:bookmarkStart w:id="502" w:name="_Toc33775936"/>
      <w:r>
        <w:rPr>
          <w:rStyle w:val="CharSDivNo"/>
        </w:rPr>
        <w:t>Division 6</w:t>
      </w:r>
      <w:r>
        <w:t> — </w:t>
      </w:r>
      <w:r>
        <w:rPr>
          <w:rStyle w:val="CharSDivText"/>
        </w:rPr>
        <w:t>Warning lights</w:t>
      </w:r>
      <w:bookmarkEnd w:id="499"/>
      <w:bookmarkEnd w:id="500"/>
      <w:bookmarkEnd w:id="501"/>
      <w:bookmarkEnd w:id="502"/>
    </w:p>
    <w:p>
      <w:pPr>
        <w:pStyle w:val="yHeading5"/>
        <w:spacing w:before="160"/>
      </w:pPr>
      <w:bookmarkStart w:id="503" w:name="_Toc407625769"/>
      <w:bookmarkStart w:id="504" w:name="_Toc417033650"/>
      <w:bookmarkStart w:id="505" w:name="_Toc33775937"/>
      <w:r>
        <w:rPr>
          <w:rStyle w:val="CharSClsNo"/>
        </w:rPr>
        <w:t>39</w:t>
      </w:r>
      <w:r>
        <w:t>.</w:t>
      </w:r>
      <w:r>
        <w:tab/>
        <w:t>Characteristics of warning lights</w:t>
      </w:r>
      <w:bookmarkEnd w:id="503"/>
      <w:bookmarkEnd w:id="504"/>
      <w:bookmarkEnd w:id="505"/>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spacing w:before="160"/>
      </w:pPr>
      <w:bookmarkStart w:id="506" w:name="_Toc407625770"/>
      <w:bookmarkStart w:id="507" w:name="_Toc417033651"/>
      <w:bookmarkStart w:id="508" w:name="_Toc33775938"/>
      <w:r>
        <w:rPr>
          <w:rStyle w:val="CharSClsNo"/>
        </w:rPr>
        <w:t>40</w:t>
      </w:r>
      <w:r>
        <w:t>.</w:t>
      </w:r>
      <w:r>
        <w:tab/>
        <w:t>Visibility of warning lights</w:t>
      </w:r>
      <w:bookmarkEnd w:id="506"/>
      <w:bookmarkEnd w:id="507"/>
      <w:bookmarkEnd w:id="508"/>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spacing w:before="160"/>
      </w:pPr>
      <w:bookmarkStart w:id="509" w:name="_Toc407625771"/>
      <w:bookmarkStart w:id="510" w:name="_Toc417033652"/>
      <w:bookmarkStart w:id="511" w:name="_Toc33775939"/>
      <w:r>
        <w:rPr>
          <w:rStyle w:val="CharSClsNo"/>
        </w:rPr>
        <w:t>41</w:t>
      </w:r>
      <w:r>
        <w:t>.</w:t>
      </w:r>
      <w:r>
        <w:tab/>
        <w:t>Warning lights to be on if required, and off if not</w:t>
      </w:r>
      <w:bookmarkEnd w:id="509"/>
      <w:bookmarkEnd w:id="510"/>
      <w:bookmarkEnd w:id="511"/>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spacing w:before="200"/>
      </w:pPr>
      <w:bookmarkStart w:id="512" w:name="_Toc407625772"/>
      <w:bookmarkStart w:id="513" w:name="_Toc417033469"/>
      <w:bookmarkStart w:id="514" w:name="_Toc417033653"/>
      <w:bookmarkStart w:id="515" w:name="_Toc33775940"/>
      <w:r>
        <w:rPr>
          <w:rStyle w:val="CharSDivNo"/>
        </w:rPr>
        <w:t>Division 7</w:t>
      </w:r>
      <w:r>
        <w:t> — </w:t>
      </w:r>
      <w:r>
        <w:rPr>
          <w:rStyle w:val="CharSDivText"/>
        </w:rPr>
        <w:t>Warning signs</w:t>
      </w:r>
      <w:bookmarkEnd w:id="512"/>
      <w:bookmarkEnd w:id="513"/>
      <w:bookmarkEnd w:id="514"/>
      <w:bookmarkEnd w:id="515"/>
    </w:p>
    <w:p>
      <w:pPr>
        <w:pStyle w:val="yHeading4"/>
      </w:pPr>
      <w:bookmarkStart w:id="516" w:name="_Toc407625773"/>
      <w:bookmarkStart w:id="517" w:name="_Toc417033470"/>
      <w:bookmarkStart w:id="518" w:name="_Toc417033654"/>
      <w:bookmarkStart w:id="519" w:name="_Toc33775941"/>
      <w:r>
        <w:t>Subdivision 1 — When this Division applies</w:t>
      </w:r>
      <w:bookmarkEnd w:id="516"/>
      <w:bookmarkEnd w:id="517"/>
      <w:bookmarkEnd w:id="518"/>
      <w:bookmarkEnd w:id="519"/>
    </w:p>
    <w:p>
      <w:pPr>
        <w:pStyle w:val="yHeading5"/>
        <w:spacing w:before="160"/>
      </w:pPr>
      <w:bookmarkStart w:id="520" w:name="_Toc407625774"/>
      <w:bookmarkStart w:id="521" w:name="_Toc417033655"/>
      <w:bookmarkStart w:id="522" w:name="_Toc33775942"/>
      <w:r>
        <w:rPr>
          <w:rStyle w:val="CharSClsNo"/>
        </w:rPr>
        <w:t>42</w:t>
      </w:r>
      <w:r>
        <w:t>.</w:t>
      </w:r>
      <w:r>
        <w:tab/>
        <w:t>What specifications must a warning sign comply with</w:t>
      </w:r>
      <w:bookmarkEnd w:id="520"/>
      <w:bookmarkEnd w:id="521"/>
      <w:bookmarkEnd w:id="522"/>
    </w:p>
    <w:p>
      <w:pPr>
        <w:pStyle w:val="ySubsection"/>
      </w:pPr>
      <w:r>
        <w:tab/>
      </w:r>
      <w:r>
        <w:tab/>
        <w:t>A warning sign on an oversize vehicle, an oversize agricultural vehicle or a pilot vehicle, must comply with the specifications in this Division.</w:t>
      </w:r>
    </w:p>
    <w:p>
      <w:pPr>
        <w:pStyle w:val="yHeading4"/>
      </w:pPr>
      <w:bookmarkStart w:id="523" w:name="_Toc407625775"/>
      <w:bookmarkStart w:id="524" w:name="_Toc417033472"/>
      <w:bookmarkStart w:id="525" w:name="_Toc417033656"/>
      <w:bookmarkStart w:id="526" w:name="_Toc33775943"/>
      <w:r>
        <w:t>Subdivision 2 — Oversize vehicles and pilot vehicles</w:t>
      </w:r>
      <w:bookmarkEnd w:id="523"/>
      <w:bookmarkEnd w:id="524"/>
      <w:bookmarkEnd w:id="525"/>
      <w:bookmarkEnd w:id="526"/>
    </w:p>
    <w:p>
      <w:pPr>
        <w:pStyle w:val="yHeading5"/>
        <w:spacing w:before="160"/>
      </w:pPr>
      <w:bookmarkStart w:id="527" w:name="_Toc407625776"/>
      <w:bookmarkStart w:id="528" w:name="_Toc417033657"/>
      <w:bookmarkStart w:id="529" w:name="_Toc33775944"/>
      <w:r>
        <w:rPr>
          <w:rStyle w:val="CharSClsNo"/>
        </w:rPr>
        <w:t>43</w:t>
      </w:r>
      <w:r>
        <w:t>.</w:t>
      </w:r>
      <w:r>
        <w:tab/>
        <w:t>Face of a warning sign</w:t>
      </w:r>
      <w:bookmarkEnd w:id="527"/>
      <w:bookmarkEnd w:id="528"/>
      <w:bookmarkEnd w:id="529"/>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spacing w:before="160"/>
      </w:pPr>
      <w:bookmarkStart w:id="530" w:name="_Toc407625777"/>
      <w:bookmarkStart w:id="531" w:name="_Toc417033658"/>
      <w:bookmarkStart w:id="532" w:name="_Toc33775945"/>
      <w:r>
        <w:rPr>
          <w:rStyle w:val="CharSClsNo"/>
        </w:rPr>
        <w:t>44</w:t>
      </w:r>
      <w:r>
        <w:t>.</w:t>
      </w:r>
      <w:r>
        <w:tab/>
        <w:t>Material for a warning sign</w:t>
      </w:r>
      <w:bookmarkEnd w:id="530"/>
      <w:bookmarkEnd w:id="531"/>
      <w:bookmarkEnd w:id="532"/>
    </w:p>
    <w:p>
      <w:pPr>
        <w:pStyle w:val="ySubsection"/>
        <w:spacing w:before="120"/>
      </w:pPr>
      <w:r>
        <w:tab/>
        <w:t>(1)</w:t>
      </w:r>
      <w:r>
        <w:tab/>
        <w:t>A warning sign must be made of stiff, flat, weatherproof material.</w:t>
      </w:r>
    </w:p>
    <w:p>
      <w:pPr>
        <w:pStyle w:val="ySubsection"/>
        <w:spacing w:before="120"/>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spacing w:before="120"/>
      </w:pPr>
      <w:r>
        <w:tab/>
        <w:t>(3)</w:t>
      </w:r>
      <w:r>
        <w:tab/>
        <w:t>A flexible warning sign must comply with all the other requirements as if it were a stiff sign.</w:t>
      </w:r>
    </w:p>
    <w:p>
      <w:pPr>
        <w:pStyle w:val="ySubsection"/>
        <w:spacing w:before="120"/>
      </w:pPr>
      <w:r>
        <w:tab/>
        <w:t>(4)</w:t>
      </w:r>
      <w:r>
        <w:tab/>
        <w:t>A flexible warning sign that is in such condition or state that its message cannot be easily read by other road users is deemed not to be a warning sign for the purposes of this Schedule.</w:t>
      </w:r>
    </w:p>
    <w:p>
      <w:pPr>
        <w:pStyle w:val="yHeading5"/>
        <w:spacing w:before="160"/>
      </w:pPr>
      <w:bookmarkStart w:id="533" w:name="_Toc407625778"/>
      <w:bookmarkStart w:id="534" w:name="_Toc417033659"/>
      <w:bookmarkStart w:id="535" w:name="_Toc33775946"/>
      <w:r>
        <w:rPr>
          <w:rStyle w:val="CharSClsNo"/>
        </w:rPr>
        <w:t>45</w:t>
      </w:r>
      <w:r>
        <w:t>.</w:t>
      </w:r>
      <w:r>
        <w:tab/>
        <w:t>Keeping warning signs clean</w:t>
      </w:r>
      <w:bookmarkEnd w:id="533"/>
      <w:bookmarkEnd w:id="534"/>
      <w:bookmarkEnd w:id="535"/>
    </w:p>
    <w:p>
      <w:pPr>
        <w:pStyle w:val="ySubsection"/>
      </w:pPr>
      <w:r>
        <w:tab/>
      </w:r>
      <w:r>
        <w:tab/>
        <w:t>A warning sign on a vehicle must be kept clean enough so that it can be easily read by other road users.</w:t>
      </w:r>
    </w:p>
    <w:p>
      <w:pPr>
        <w:pStyle w:val="yHeading5"/>
        <w:spacing w:before="160"/>
      </w:pPr>
      <w:bookmarkStart w:id="536" w:name="_Toc407625779"/>
      <w:bookmarkStart w:id="537" w:name="_Toc417033660"/>
      <w:bookmarkStart w:id="538" w:name="_Toc33775947"/>
      <w:r>
        <w:rPr>
          <w:rStyle w:val="CharSClsNo"/>
        </w:rPr>
        <w:t>46</w:t>
      </w:r>
      <w:r>
        <w:t>.</w:t>
      </w:r>
      <w:r>
        <w:tab/>
        <w:t>Warning sign must not be displayed if not required</w:t>
      </w:r>
      <w:bookmarkEnd w:id="536"/>
      <w:bookmarkEnd w:id="537"/>
      <w:bookmarkEnd w:id="538"/>
    </w:p>
    <w:p>
      <w:pPr>
        <w:pStyle w:val="ySubsection"/>
        <w:spacing w:before="120"/>
      </w:pPr>
      <w:r>
        <w:tab/>
      </w:r>
      <w:r>
        <w:tab/>
        <w:t>A warning sign must not be displayed on a vehicle that is not an oversize vehicle or a pilot vehicle.</w:t>
      </w:r>
    </w:p>
    <w:p>
      <w:pPr>
        <w:pStyle w:val="yHeading4"/>
      </w:pPr>
      <w:bookmarkStart w:id="539" w:name="_Toc407625780"/>
      <w:bookmarkStart w:id="540" w:name="_Toc417033477"/>
      <w:bookmarkStart w:id="541" w:name="_Toc417033661"/>
      <w:bookmarkStart w:id="542" w:name="_Toc33775948"/>
      <w:r>
        <w:t>Subdivision 3 — Oversize vehicles only</w:t>
      </w:r>
      <w:bookmarkEnd w:id="539"/>
      <w:bookmarkEnd w:id="540"/>
      <w:bookmarkEnd w:id="541"/>
      <w:bookmarkEnd w:id="542"/>
    </w:p>
    <w:p>
      <w:pPr>
        <w:pStyle w:val="yHeading5"/>
        <w:spacing w:before="160"/>
      </w:pPr>
      <w:bookmarkStart w:id="543" w:name="_Toc407625781"/>
      <w:bookmarkStart w:id="544" w:name="_Toc417033662"/>
      <w:bookmarkStart w:id="545" w:name="_Toc33775949"/>
      <w:r>
        <w:rPr>
          <w:rStyle w:val="CharSClsNo"/>
        </w:rPr>
        <w:t>47</w:t>
      </w:r>
      <w:r>
        <w:t>.</w:t>
      </w:r>
      <w:r>
        <w:tab/>
        <w:t>Size of a warning sign</w:t>
      </w:r>
      <w:bookmarkEnd w:id="543"/>
      <w:bookmarkEnd w:id="544"/>
      <w:bookmarkEnd w:id="545"/>
    </w:p>
    <w:p>
      <w:pPr>
        <w:pStyle w:val="ySubsection"/>
        <w:spacing w:before="120"/>
      </w:pPr>
      <w:r>
        <w:tab/>
        <w:t>(1)</w:t>
      </w:r>
      <w:r>
        <w:tab/>
        <w:t>A warning sign on an oversize vehicle must be at least 1200 mm long and at least 450 mm high.</w:t>
      </w:r>
    </w:p>
    <w:p>
      <w:pPr>
        <w:pStyle w:val="ySubsection"/>
        <w:spacing w:before="120"/>
      </w:pPr>
      <w:r>
        <w:tab/>
        <w:t>(2)</w:t>
      </w:r>
      <w:r>
        <w:tab/>
        <w:t>The sign may be split into 2 parts, in which case the combined length of its parts must be at least 1200 mm.</w:t>
      </w:r>
    </w:p>
    <w:p>
      <w:pPr>
        <w:pStyle w:val="yHeading5"/>
        <w:spacing w:before="160"/>
      </w:pPr>
      <w:bookmarkStart w:id="546" w:name="_Toc407625782"/>
      <w:bookmarkStart w:id="547" w:name="_Toc417033663"/>
      <w:bookmarkStart w:id="548" w:name="_Toc33775950"/>
      <w:r>
        <w:rPr>
          <w:rStyle w:val="CharSClsNo"/>
        </w:rPr>
        <w:t>48</w:t>
      </w:r>
      <w:r>
        <w:t>.</w:t>
      </w:r>
      <w:r>
        <w:tab/>
        <w:t>Face of a warning sign</w:t>
      </w:r>
      <w:bookmarkEnd w:id="546"/>
      <w:bookmarkEnd w:id="547"/>
      <w:bookmarkEnd w:id="548"/>
    </w:p>
    <w:p>
      <w:pPr>
        <w:pStyle w:val="ySubsection"/>
        <w:spacing w:before="120"/>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spacing w:after="120"/>
      </w:pPr>
      <w:r>
        <w:tab/>
        <w:t>(b)</w:t>
      </w:r>
      <w:r>
        <w:tab/>
        <w:t>there must be no border between the 2 parts, in spite of clause 43(2) and (3).</w:t>
      </w:r>
    </w:p>
    <w:p>
      <w:pPr>
        <w:jc w:val="center"/>
      </w:pPr>
      <w:r>
        <w:rPr>
          <w:noProof/>
        </w:rPr>
        <w:drawing>
          <wp:inline distT="0" distB="0" distL="0" distR="0">
            <wp:extent cx="3907790" cy="991870"/>
            <wp:effectExtent l="0" t="0" r="0" b="0"/>
            <wp:docPr id="13" name="Picture 13" descr="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oa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07790" cy="991870"/>
                    </a:xfrm>
                    <a:prstGeom prst="rect">
                      <a:avLst/>
                    </a:prstGeom>
                    <a:noFill/>
                    <a:ln>
                      <a:noFill/>
                    </a:ln>
                  </pic:spPr>
                </pic:pic>
              </a:graphicData>
            </a:graphic>
          </wp:inline>
        </w:drawing>
      </w:r>
    </w:p>
    <w:p>
      <w:pPr>
        <w:pStyle w:val="yMiscellaneousHeading"/>
        <w:spacing w:before="120" w:after="60"/>
        <w:rPr>
          <w:b/>
          <w:bCs/>
        </w:rPr>
      </w:pPr>
      <w:r>
        <w:rPr>
          <w:b/>
          <w:bCs/>
        </w:rPr>
        <w:t>Warning sign for an oversize vehicle</w:t>
      </w:r>
    </w:p>
    <w:p>
      <w:pPr>
        <w:pStyle w:val="yFootnotesection"/>
      </w:pPr>
      <w:r>
        <w:tab/>
        <w:t>[Clause 48 amended in Gazette 3 Jan 2005 p. 9.]</w:t>
      </w:r>
    </w:p>
    <w:p>
      <w:pPr>
        <w:pStyle w:val="yHeading5"/>
        <w:spacing w:before="160"/>
      </w:pPr>
      <w:bookmarkStart w:id="549" w:name="_Toc407625783"/>
      <w:bookmarkStart w:id="550" w:name="_Toc417033664"/>
      <w:bookmarkStart w:id="551" w:name="_Toc33775951"/>
      <w:r>
        <w:rPr>
          <w:rStyle w:val="CharSClsNo"/>
        </w:rPr>
        <w:t>49</w:t>
      </w:r>
      <w:r>
        <w:t>.</w:t>
      </w:r>
      <w:r>
        <w:tab/>
        <w:t>Mounting a warning sign</w:t>
      </w:r>
      <w:bookmarkEnd w:id="549"/>
      <w:bookmarkEnd w:id="550"/>
      <w:bookmarkEnd w:id="551"/>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pPr>
      <w:bookmarkStart w:id="552" w:name="_Toc407625784"/>
      <w:bookmarkStart w:id="553" w:name="_Toc417033481"/>
      <w:bookmarkStart w:id="554" w:name="_Toc417033665"/>
      <w:bookmarkStart w:id="555" w:name="_Toc33775952"/>
      <w:r>
        <w:t>Subdivision 4 — Pilot vehicles only</w:t>
      </w:r>
      <w:bookmarkEnd w:id="552"/>
      <w:bookmarkEnd w:id="553"/>
      <w:bookmarkEnd w:id="554"/>
      <w:bookmarkEnd w:id="555"/>
    </w:p>
    <w:p>
      <w:pPr>
        <w:pStyle w:val="yHeading5"/>
        <w:spacing w:before="160"/>
      </w:pPr>
      <w:bookmarkStart w:id="556" w:name="_Toc407625785"/>
      <w:bookmarkStart w:id="557" w:name="_Toc417033666"/>
      <w:bookmarkStart w:id="558" w:name="_Toc33775953"/>
      <w:r>
        <w:rPr>
          <w:rStyle w:val="CharSClsNo"/>
        </w:rPr>
        <w:t>50</w:t>
      </w:r>
      <w:r>
        <w:t>.</w:t>
      </w:r>
      <w:r>
        <w:tab/>
        <w:t>Size and shape of a warning sign</w:t>
      </w:r>
      <w:bookmarkEnd w:id="556"/>
      <w:bookmarkEnd w:id="557"/>
      <w:bookmarkEnd w:id="558"/>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spacing w:before="160"/>
      </w:pPr>
      <w:bookmarkStart w:id="559" w:name="_Toc407625786"/>
      <w:bookmarkStart w:id="560" w:name="_Toc417033667"/>
      <w:bookmarkStart w:id="561" w:name="_Toc33775954"/>
      <w:r>
        <w:rPr>
          <w:rStyle w:val="CharSClsNo"/>
        </w:rPr>
        <w:t>51</w:t>
      </w:r>
      <w:r>
        <w:t>.</w:t>
      </w:r>
      <w:r>
        <w:tab/>
        <w:t>Faces of a warning sign</w:t>
      </w:r>
      <w:bookmarkEnd w:id="559"/>
      <w:bookmarkEnd w:id="560"/>
      <w:bookmarkEnd w:id="561"/>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pPr>
      <w:r>
        <w:rPr>
          <w:noProof/>
        </w:rPr>
        <w:drawing>
          <wp:inline distT="0" distB="0" distL="0" distR="0">
            <wp:extent cx="3985260" cy="1501140"/>
            <wp:effectExtent l="0" t="0" r="0" b="3810"/>
            <wp:docPr id="14" name="Picture 14" descr="ro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oad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85260" cy="1501140"/>
                    </a:xfrm>
                    <a:prstGeom prst="rect">
                      <a:avLst/>
                    </a:prstGeom>
                    <a:noFill/>
                    <a:ln>
                      <a:noFill/>
                    </a:ln>
                  </pic:spPr>
                </pic:pic>
              </a:graphicData>
            </a:graphic>
          </wp:inline>
        </w:drawing>
      </w:r>
    </w:p>
    <w:p>
      <w:pPr>
        <w:pStyle w:val="yMiscellaneousHeading"/>
        <w:spacing w:before="120" w:after="60"/>
        <w:rPr>
          <w:b/>
          <w:bCs/>
        </w:rPr>
      </w:pPr>
      <w:r>
        <w:rPr>
          <w:b/>
          <w:bCs/>
        </w:rPr>
        <w:t>Warning sign for a pilot vehicle</w:t>
      </w:r>
    </w:p>
    <w:p>
      <w:pPr>
        <w:pStyle w:val="yFootnotesection"/>
      </w:pPr>
      <w:r>
        <w:tab/>
        <w:t>[Clause 51 amended in Gazette 3 Jan 2005 p. 9.]</w:t>
      </w:r>
    </w:p>
    <w:p>
      <w:pPr>
        <w:pStyle w:val="yHeading5"/>
        <w:spacing w:before="160"/>
      </w:pPr>
      <w:bookmarkStart w:id="562" w:name="_Toc407625787"/>
      <w:bookmarkStart w:id="563" w:name="_Toc417033668"/>
      <w:bookmarkStart w:id="564" w:name="_Toc33775955"/>
      <w:r>
        <w:rPr>
          <w:rStyle w:val="CharSClsNo"/>
        </w:rPr>
        <w:t>52</w:t>
      </w:r>
      <w:r>
        <w:t>.</w:t>
      </w:r>
      <w:r>
        <w:tab/>
        <w:t>Mounting a warning sign</w:t>
      </w:r>
      <w:bookmarkEnd w:id="562"/>
      <w:bookmarkEnd w:id="563"/>
      <w:bookmarkEnd w:id="564"/>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pPr>
      <w:r>
        <w:rPr>
          <w:noProof/>
        </w:rPr>
        <w:drawing>
          <wp:inline distT="0" distB="0" distL="0" distR="0">
            <wp:extent cx="2338070" cy="1250950"/>
            <wp:effectExtent l="0" t="0" r="5080" b="6350"/>
            <wp:docPr id="15" name="Picture 15" descr="roa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oad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38070" cy="1250950"/>
                    </a:xfrm>
                    <a:prstGeom prst="rect">
                      <a:avLst/>
                    </a:prstGeom>
                    <a:noFill/>
                    <a:ln>
                      <a:noFill/>
                    </a:ln>
                  </pic:spPr>
                </pic:pic>
              </a:graphicData>
            </a:graphic>
          </wp:inline>
        </w:drawing>
      </w:r>
    </w:p>
    <w:p>
      <w:pPr>
        <w:pStyle w:val="yMiscellaneousHeading"/>
        <w:spacing w:before="120" w:after="60"/>
        <w:rPr>
          <w:b/>
          <w:bCs/>
        </w:rPr>
      </w:pPr>
      <w:r>
        <w:rPr>
          <w:b/>
          <w:bCs/>
        </w:rPr>
        <w:t>Maximum slant of warning sign</w:t>
      </w:r>
    </w:p>
    <w:p>
      <w:pPr>
        <w:pStyle w:val="yHeading3"/>
      </w:pPr>
      <w:bookmarkStart w:id="565" w:name="_Toc407625788"/>
      <w:bookmarkStart w:id="566" w:name="_Toc417033485"/>
      <w:bookmarkStart w:id="567" w:name="_Toc417033669"/>
      <w:bookmarkStart w:id="568" w:name="_Toc33775956"/>
      <w:r>
        <w:rPr>
          <w:rStyle w:val="CharSDivNo"/>
        </w:rPr>
        <w:t>Division 8</w:t>
      </w:r>
      <w:r>
        <w:t> — </w:t>
      </w:r>
      <w:r>
        <w:rPr>
          <w:rStyle w:val="CharSDivText"/>
        </w:rPr>
        <w:t>Interpretation</w:t>
      </w:r>
      <w:bookmarkEnd w:id="565"/>
      <w:bookmarkEnd w:id="566"/>
      <w:bookmarkEnd w:id="567"/>
      <w:bookmarkEnd w:id="568"/>
    </w:p>
    <w:p>
      <w:pPr>
        <w:pStyle w:val="yHeading5"/>
        <w:spacing w:before="160"/>
      </w:pPr>
      <w:bookmarkStart w:id="569" w:name="_Toc407625789"/>
      <w:bookmarkStart w:id="570" w:name="_Toc417033670"/>
      <w:bookmarkStart w:id="571" w:name="_Toc33775957"/>
      <w:r>
        <w:rPr>
          <w:rStyle w:val="CharSClsNo"/>
        </w:rPr>
        <w:t>53</w:t>
      </w:r>
      <w:r>
        <w:t>.</w:t>
      </w:r>
      <w:r>
        <w:tab/>
        <w:t>Application to retractable axles</w:t>
      </w:r>
      <w:bookmarkEnd w:id="569"/>
      <w:bookmarkEnd w:id="570"/>
      <w:bookmarkEnd w:id="571"/>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spacing w:before="160"/>
      </w:pPr>
      <w:bookmarkStart w:id="572" w:name="_Toc407625790"/>
      <w:bookmarkStart w:id="573" w:name="_Toc417033671"/>
      <w:bookmarkStart w:id="574" w:name="_Toc33775958"/>
      <w:r>
        <w:rPr>
          <w:rStyle w:val="CharSClsNo"/>
        </w:rPr>
        <w:t>54</w:t>
      </w:r>
      <w:r>
        <w:t>.</w:t>
      </w:r>
      <w:r>
        <w:tab/>
        <w:t>Application of mass limits where more than one applies</w:t>
      </w:r>
      <w:bookmarkEnd w:id="572"/>
      <w:bookmarkEnd w:id="573"/>
      <w:bookmarkEnd w:id="574"/>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yScheduleHeading"/>
      </w:pPr>
      <w:bookmarkStart w:id="576" w:name="_Toc407625791"/>
      <w:bookmarkStart w:id="577" w:name="_Toc417033488"/>
      <w:bookmarkStart w:id="578" w:name="_Toc417033672"/>
      <w:bookmarkStart w:id="579" w:name="_Toc33775959"/>
      <w:r>
        <w:rPr>
          <w:rStyle w:val="CharSchNo"/>
        </w:rPr>
        <w:t>Glossary</w:t>
      </w:r>
      <w:bookmarkEnd w:id="576"/>
      <w:bookmarkEnd w:id="577"/>
      <w:bookmarkEnd w:id="578"/>
      <w:bookmarkEnd w:id="579"/>
      <w:r>
        <w:rPr>
          <w:rStyle w:val="CharSchText"/>
        </w:rPr>
        <w:t xml:space="preserve"> </w:t>
      </w:r>
    </w:p>
    <w:p>
      <w:pPr>
        <w:pStyle w:val="yShoulderClause"/>
      </w:pPr>
      <w:r>
        <w:t>[r. 3(2)]</w:t>
      </w:r>
    </w:p>
    <w:p>
      <w:pPr>
        <w:pStyle w:val="yHeading5"/>
        <w:spacing w:before="160"/>
      </w:pPr>
      <w:bookmarkStart w:id="580" w:name="_Toc407625792"/>
      <w:bookmarkStart w:id="581" w:name="_Toc417033673"/>
      <w:bookmarkStart w:id="582" w:name="_Toc33775960"/>
      <w:r>
        <w:rPr>
          <w:rStyle w:val="CharSClsNo"/>
        </w:rPr>
        <w:t>1</w:t>
      </w:r>
      <w:r>
        <w:t>.</w:t>
      </w:r>
      <w:r>
        <w:tab/>
        <w:t>Definitions</w:t>
      </w:r>
      <w:bookmarkEnd w:id="580"/>
      <w:bookmarkEnd w:id="581"/>
      <w:bookmarkEnd w:id="582"/>
    </w:p>
    <w:p>
      <w:pPr>
        <w:pStyle w:val="ySubsection"/>
      </w:pPr>
      <w:r>
        <w:tab/>
        <w:t>(1)</w:t>
      </w:r>
      <w:r>
        <w:tab/>
        <w:t>Unless the contrary intention appears, in these regulations and the Vehicle Standards —</w:t>
      </w:r>
    </w:p>
    <w:p>
      <w:pPr>
        <w:pStyle w:val="yDefstart"/>
      </w:pPr>
      <w:r>
        <w:tab/>
      </w:r>
      <w:r>
        <w:rPr>
          <w:rStyle w:val="CharDefText"/>
        </w:rPr>
        <w:t>50 mm kingpin</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rStyle w:val="CharDefText"/>
        </w:rPr>
        <w:t>75 mm kingpin</w:t>
      </w:r>
      <w:r>
        <w:t xml:space="preserve"> means a kingpin with the dimensions mentioned in rule 159(3) of the Vehicle Standards;</w:t>
      </w:r>
    </w:p>
    <w:p>
      <w:pPr>
        <w:pStyle w:val="yDefstart"/>
      </w:pPr>
      <w:r>
        <w:tab/>
      </w:r>
      <w:r>
        <w:rPr>
          <w:rStyle w:val="CharDefText"/>
        </w:rPr>
        <w:t>90 mm kingpin</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rStyle w:val="CharDefText"/>
        </w:rPr>
        <w:t>adopted standard</w:t>
      </w:r>
      <w:r>
        <w:t xml:space="preserve"> has the meaning given by rule 18 of the Vehicle Standards;</w:t>
      </w:r>
    </w:p>
    <w:p>
      <w:pPr>
        <w:pStyle w:val="yDefstart"/>
      </w:pPr>
      <w:r>
        <w:tab/>
      </w:r>
      <w:r>
        <w:rPr>
          <w:rStyle w:val="CharDefText"/>
        </w:rPr>
        <w:t>ADR</w:t>
      </w:r>
      <w:r>
        <w:rPr>
          <w:b/>
        </w:rPr>
        <w:t xml:space="preserve"> </w:t>
      </w:r>
      <w:r>
        <w:t>(which stands for “Australian Design Rule”) has the meaning given by rule 8 of the Vehicle Standards;</w:t>
      </w:r>
    </w:p>
    <w:p>
      <w:pPr>
        <w:pStyle w:val="yDefstart"/>
      </w:pPr>
      <w:r>
        <w:tab/>
      </w:r>
      <w:r>
        <w:rPr>
          <w:rStyle w:val="CharDefText"/>
        </w:rPr>
        <w:t>agricultural combination</w:t>
      </w:r>
      <w:r>
        <w:t xml:space="preserve"> means a combination that includes at least one agricultural vehicle;</w:t>
      </w:r>
    </w:p>
    <w:p>
      <w:pPr>
        <w:pStyle w:val="yDefstart"/>
      </w:pPr>
      <w:r>
        <w:tab/>
      </w:r>
      <w:r>
        <w:rPr>
          <w:rStyle w:val="CharDefText"/>
        </w:rPr>
        <w:t>agricultural implement</w:t>
      </w:r>
      <w:r>
        <w:t xml:space="preserve"> means a vehicle without its own motive power, built to perform agricultural tasks;</w:t>
      </w:r>
    </w:p>
    <w:p>
      <w:pPr>
        <w:pStyle w:val="yDefstart"/>
      </w:pPr>
      <w:r>
        <w:tab/>
      </w:r>
      <w:r>
        <w:rPr>
          <w:rStyle w:val="CharDefText"/>
        </w:rPr>
        <w:t>agricultural machine</w:t>
      </w:r>
      <w:r>
        <w:t xml:space="preserve"> means a machine with its own motive power, built to perform agricultural tasks;</w:t>
      </w:r>
    </w:p>
    <w:p>
      <w:pPr>
        <w:pStyle w:val="yDefstart"/>
      </w:pPr>
      <w:r>
        <w:tab/>
      </w:r>
      <w:r>
        <w:rPr>
          <w:rStyle w:val="CharDefText"/>
        </w:rPr>
        <w:t>agricultural vehicle</w:t>
      </w:r>
      <w:r>
        <w:t xml:space="preserve"> means an agricultural implement or agricultural machine;</w:t>
      </w:r>
    </w:p>
    <w:p>
      <w:pPr>
        <w:pStyle w:val="yDefstart"/>
      </w:pPr>
      <w:r>
        <w:tab/>
      </w:r>
      <w:r>
        <w:rPr>
          <w:rStyle w:val="CharDefText"/>
        </w:rPr>
        <w:t>air brake</w:t>
      </w:r>
      <w:r>
        <w:t xml:space="preserve"> means an air</w:t>
      </w:r>
      <w:r>
        <w:noBreakHyphen/>
        <w:t>operated or air</w:t>
      </w:r>
      <w:r>
        <w:noBreakHyphen/>
        <w:t>assisted brake;</w:t>
      </w:r>
    </w:p>
    <w:p>
      <w:pPr>
        <w:pStyle w:val="yDefstart"/>
      </w:pPr>
      <w:r>
        <w:tab/>
      </w:r>
      <w:r>
        <w:rPr>
          <w:rStyle w:val="CharDefText"/>
        </w:rPr>
        <w:t>approved air suspension system</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rStyle w:val="CharDefText"/>
        </w:rPr>
        <w:t>articulated bus</w:t>
      </w:r>
      <w:r>
        <w:t xml:space="preserve"> means a bus with at least 2 rigid sections that allow passengers access between the sections and are connected to allow rotary movement between the sections;</w:t>
      </w:r>
    </w:p>
    <w:p>
      <w:pPr>
        <w:pStyle w:val="yDefstart"/>
      </w:pPr>
      <w:r>
        <w:tab/>
      </w:r>
      <w:r>
        <w:rPr>
          <w:rStyle w:val="CharDefText"/>
        </w:rPr>
        <w:t>Australian Standard</w:t>
      </w:r>
      <w:r>
        <w:t xml:space="preserve"> means a standard approved for publication on behalf of the Standards Association International Limited (ACN 087 326 690)</w:t>
      </w:r>
      <w:r>
        <w:rPr>
          <w:vertAlign w:val="superscript"/>
        </w:rPr>
        <w:t> </w:t>
      </w:r>
      <w:r>
        <w:t>;</w:t>
      </w:r>
    </w:p>
    <w:p>
      <w:pPr>
        <w:pStyle w:val="yDefstart"/>
      </w:pPr>
      <w:r>
        <w:tab/>
      </w:r>
      <w:r>
        <w:rPr>
          <w:rStyle w:val="CharDefText"/>
        </w:rPr>
        <w:t>axle</w:t>
      </w:r>
      <w:r>
        <w:t xml:space="preserve"> means one or more shafts, positioned in a line across a vehicle, on which one or more wheels intended to support the vehicle turn;</w:t>
      </w:r>
    </w:p>
    <w:p>
      <w:pPr>
        <w:pStyle w:val="yDefstart"/>
      </w:pPr>
      <w:r>
        <w:tab/>
      </w:r>
      <w:r>
        <w:rPr>
          <w:rStyle w:val="CharDefText"/>
        </w:rPr>
        <w:t>axle group</w:t>
      </w:r>
      <w:r>
        <w:t xml:space="preserve"> means a single axle group, tandem axle group, twinsteer axle group, tri</w:t>
      </w:r>
      <w:r>
        <w:noBreakHyphen/>
        <w:t>axle group or quad</w:t>
      </w:r>
      <w:r>
        <w:noBreakHyphen/>
        <w:t>axle group;</w:t>
      </w:r>
    </w:p>
    <w:p>
      <w:pPr>
        <w:pStyle w:val="yDefstart"/>
        <w:spacing w:after="60"/>
      </w:pPr>
      <w:r>
        <w:tab/>
      </w:r>
      <w:r>
        <w:rPr>
          <w:rStyle w:val="CharDefText"/>
        </w:rPr>
        <w:t>B</w:t>
      </w:r>
      <w:r>
        <w:rPr>
          <w:rStyle w:val="CharDefText"/>
        </w:rPr>
        <w:noBreakHyphen/>
        <w:t>double</w:t>
      </w:r>
      <w:r>
        <w:t xml:space="preserve"> means a combination consisting of a prime mover towing 2 semi</w:t>
      </w:r>
      <w:r>
        <w:noBreakHyphen/>
        <w:t>trailers;</w:t>
      </w:r>
    </w:p>
    <w:p>
      <w:pPr>
        <w:pStyle w:val="Graphics"/>
      </w:pPr>
      <w:r>
        <w:drawing>
          <wp:inline distT="0" distB="0" distL="0" distR="0">
            <wp:extent cx="4658360" cy="836930"/>
            <wp:effectExtent l="0" t="0" r="889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58360" cy="836930"/>
                    </a:xfrm>
                    <a:prstGeom prst="rect">
                      <a:avLst/>
                    </a:prstGeom>
                    <a:noFill/>
                    <a:ln>
                      <a:noFill/>
                    </a:ln>
                  </pic:spPr>
                </pic:pic>
              </a:graphicData>
            </a:graphic>
          </wp:inline>
        </w:drawing>
      </w:r>
    </w:p>
    <w:p>
      <w:pPr>
        <w:pStyle w:val="yMiscellaneousHeading"/>
        <w:spacing w:before="120" w:after="60"/>
        <w:rPr>
          <w:b/>
          <w:bCs/>
        </w:rPr>
      </w:pPr>
      <w:r>
        <w:rPr>
          <w:b/>
          <w:bCs/>
        </w:rPr>
        <w:t>B</w:t>
      </w:r>
      <w:r>
        <w:rPr>
          <w:b/>
          <w:bCs/>
        </w:rPr>
        <w:noBreakHyphen/>
        <w:t>double</w:t>
      </w:r>
    </w:p>
    <w:p>
      <w:pPr>
        <w:pStyle w:val="yDefstart"/>
        <w:spacing w:before="120"/>
      </w:pPr>
      <w:r>
        <w:tab/>
      </w:r>
      <w:r>
        <w:rPr>
          <w:rStyle w:val="CharDefText"/>
        </w:rPr>
        <w:t>braking system</w:t>
      </w:r>
      <w:r>
        <w:t>, of a vehicle, means all the brakes of the vehicle and all the components of the mechanisms by which they are operated;</w:t>
      </w:r>
    </w:p>
    <w:p>
      <w:pPr>
        <w:pStyle w:val="yDefstart"/>
      </w:pPr>
      <w:r>
        <w:tab/>
      </w:r>
      <w:r>
        <w:rPr>
          <w:rStyle w:val="CharDefText"/>
        </w:rPr>
        <w:t>British Standard</w:t>
      </w:r>
      <w:r>
        <w:t xml:space="preserve"> means a standard approved for publication on behalf of the British Standards Institution, being an institution established under royal charter in the </w:t>
      </w:r>
      <w:smartTag w:uri="urn:schemas-microsoft-com:office:smarttags" w:element="place">
        <w:smartTag w:uri="urn:schemas-microsoft-com:office:smarttags" w:element="country-region">
          <w:r>
            <w:t>United Kingdom</w:t>
          </w:r>
        </w:smartTag>
      </w:smartTag>
      <w:r>
        <w:t>;</w:t>
      </w:r>
    </w:p>
    <w:p>
      <w:pPr>
        <w:pStyle w:val="yDefstart"/>
      </w:pPr>
      <w:r>
        <w:tab/>
      </w:r>
      <w:r>
        <w:rPr>
          <w:rStyle w:val="CharDefText"/>
        </w:rPr>
        <w:t>bus</w:t>
      </w:r>
      <w:r>
        <w:t xml:space="preserve"> means a motor vehicle built mainly to carry people that seats more than 9 adults (including the driver);</w:t>
      </w:r>
    </w:p>
    <w:p>
      <w:pPr>
        <w:pStyle w:val="yDefstart"/>
      </w:pPr>
      <w:r>
        <w:tab/>
      </w:r>
      <w:r>
        <w:rPr>
          <w:rStyle w:val="CharDefText"/>
        </w:rPr>
        <w:t>car</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pPr>
      <w:r>
        <w:tab/>
      </w:r>
      <w:r>
        <w:rPr>
          <w:rStyle w:val="CharDefText"/>
        </w:rPr>
        <w:t>centre</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rStyle w:val="CharDefText"/>
        </w:rPr>
        <w:t>centre</w:t>
      </w:r>
      <w:r>
        <w:t>, in relation to an axle group, means —</w:t>
      </w:r>
    </w:p>
    <w:p>
      <w:pPr>
        <w:pStyle w:val="yDefpara"/>
      </w:pPr>
      <w:r>
        <w:tab/>
        <w:t>(a)</w:t>
      </w:r>
      <w:r>
        <w:tab/>
        <w:t>a line midway between the centres of the outermost axles of the group; or</w:t>
      </w:r>
    </w:p>
    <w:p>
      <w:pPr>
        <w:pStyle w:val="yDefpara"/>
        <w:spacing w:after="80"/>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yMiscellaneousHeading"/>
        <w:spacing w:before="120" w:after="60"/>
        <w:rPr>
          <w:b/>
          <w:bCs/>
        </w:rPr>
      </w:pPr>
      <w:r>
        <w:rPr>
          <w:b/>
          <w:bCs/>
        </w:rPr>
        <w:t>Centre of an axle group</w:t>
      </w:r>
    </w:p>
    <w:p>
      <w:pPr>
        <w:pStyle w:val="Graphics"/>
        <w:jc w:val="center"/>
      </w:pPr>
      <w:r>
        <w:drawing>
          <wp:inline distT="0" distB="0" distL="0" distR="0">
            <wp:extent cx="2976245" cy="9055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76245" cy="905510"/>
                    </a:xfrm>
                    <a:prstGeom prst="rect">
                      <a:avLst/>
                    </a:prstGeom>
                    <a:noFill/>
                    <a:ln>
                      <a:noFill/>
                    </a:ln>
                  </pic:spPr>
                </pic:pic>
              </a:graphicData>
            </a:graphic>
          </wp:inline>
        </w:drawing>
      </w:r>
    </w:p>
    <w:p>
      <w:pPr>
        <w:pStyle w:val="Graphics"/>
        <w:jc w:val="center"/>
      </w:pPr>
      <w:r>
        <w:drawing>
          <wp:inline distT="0" distB="0" distL="0" distR="0">
            <wp:extent cx="2950210" cy="1181735"/>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50210" cy="1181735"/>
                    </a:xfrm>
                    <a:prstGeom prst="rect">
                      <a:avLst/>
                    </a:prstGeom>
                    <a:noFill/>
                    <a:ln>
                      <a:noFill/>
                    </a:ln>
                  </pic:spPr>
                </pic:pic>
              </a:graphicData>
            </a:graphic>
          </wp:inline>
        </w:drawing>
      </w:r>
    </w:p>
    <w:p>
      <w:pPr>
        <w:pStyle w:val="Graphics"/>
        <w:jc w:val="center"/>
      </w:pPr>
      <w:r>
        <w:drawing>
          <wp:inline distT="0" distB="0" distL="0" distR="0">
            <wp:extent cx="2976245" cy="1026795"/>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76245" cy="1026795"/>
                    </a:xfrm>
                    <a:prstGeom prst="rect">
                      <a:avLst/>
                    </a:prstGeom>
                    <a:noFill/>
                    <a:ln>
                      <a:noFill/>
                    </a:ln>
                  </pic:spPr>
                </pic:pic>
              </a:graphicData>
            </a:graphic>
          </wp:inline>
        </w:drawing>
      </w:r>
    </w:p>
    <w:p>
      <w:pPr>
        <w:pStyle w:val="Graphics"/>
        <w:jc w:val="center"/>
      </w:pPr>
      <w:r>
        <w:drawing>
          <wp:inline distT="0" distB="0" distL="0" distR="0">
            <wp:extent cx="2976245" cy="95758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76245" cy="957580"/>
                    </a:xfrm>
                    <a:prstGeom prst="rect">
                      <a:avLst/>
                    </a:prstGeom>
                    <a:noFill/>
                    <a:ln>
                      <a:noFill/>
                    </a:ln>
                  </pic:spPr>
                </pic:pic>
              </a:graphicData>
            </a:graphic>
          </wp:inline>
        </w:drawing>
      </w:r>
    </w:p>
    <w:p>
      <w:pPr>
        <w:pStyle w:val="yMiscellaneousBody"/>
        <w:jc w:val="center"/>
        <w:rPr>
          <w:b/>
          <w:bCs/>
        </w:rPr>
      </w:pPr>
      <w:r>
        <w:rPr>
          <w:b/>
          <w:bCs/>
        </w:rPr>
        <w:t>Quad</w:t>
      </w:r>
      <w:r>
        <w:rPr>
          <w:b/>
          <w:bCs/>
        </w:rPr>
        <w:noBreakHyphen/>
        <w:t>axle group</w:t>
      </w:r>
    </w:p>
    <w:p>
      <w:pPr>
        <w:pStyle w:val="yDefstart"/>
      </w:pPr>
      <w:r>
        <w:tab/>
      </w:r>
      <w:r>
        <w:rPr>
          <w:rStyle w:val="CharDefText"/>
        </w:rPr>
        <w:t>class 1 notice</w:t>
      </w:r>
      <w:r>
        <w:t xml:space="preserve"> means a notice issued under regulation 24;</w:t>
      </w:r>
    </w:p>
    <w:p>
      <w:pPr>
        <w:pStyle w:val="yDefstart"/>
      </w:pPr>
      <w:r>
        <w:tab/>
      </w:r>
      <w:r>
        <w:rPr>
          <w:rStyle w:val="CharDefText"/>
        </w:rPr>
        <w:t>class 1 permit</w:t>
      </w:r>
      <w:r>
        <w:rPr>
          <w:b/>
        </w:rPr>
        <w:t xml:space="preserve"> </w:t>
      </w:r>
      <w:r>
        <w:t>means a permit granted under regulation 25;</w:t>
      </w:r>
    </w:p>
    <w:p>
      <w:pPr>
        <w:pStyle w:val="yDefstart"/>
      </w:pPr>
      <w:r>
        <w:tab/>
      </w:r>
      <w:r>
        <w:rPr>
          <w:rStyle w:val="CharDefText"/>
        </w:rPr>
        <w:t>class 1 vehicle</w:t>
      </w:r>
      <w:r>
        <w:t xml:space="preserve"> means a restricted access vehicle —</w:t>
      </w:r>
    </w:p>
    <w:p>
      <w:pPr>
        <w:pStyle w:val="yDefpara"/>
      </w:pPr>
      <w:r>
        <w:tab/>
        <w:t>(a)</w:t>
      </w:r>
      <w:r>
        <w:tab/>
        <w:t>that is —</w:t>
      </w:r>
    </w:p>
    <w:p>
      <w:pPr>
        <w:pStyle w:val="yDefsubpara"/>
        <w:keepLines w:val="0"/>
      </w:pPr>
      <w:r>
        <w:tab/>
        <w:t>(i)</w:t>
      </w:r>
      <w:r>
        <w:tab/>
        <w:t>a special purpose vehicle;</w:t>
      </w:r>
    </w:p>
    <w:p>
      <w:pPr>
        <w:pStyle w:val="yDefsubpara"/>
        <w:keepLines w:val="0"/>
      </w:pPr>
      <w:r>
        <w:tab/>
        <w:t>(ii)</w:t>
      </w:r>
      <w:r>
        <w:tab/>
        <w:t>an agricultural machine or agricultural implement; or</w:t>
      </w:r>
    </w:p>
    <w:p>
      <w:pPr>
        <w:pStyle w:val="yDefsubpara"/>
        <w:keepLines w:val="0"/>
      </w:pPr>
      <w:r>
        <w:tab/>
        <w:t>(iii)</w:t>
      </w:r>
      <w:r>
        <w:tab/>
        <w:t>designed to carry, or is carrying, a large indivisible item;</w:t>
      </w:r>
    </w:p>
    <w:p>
      <w:pPr>
        <w:pStyle w:val="yDefpara"/>
      </w:pPr>
      <w:r>
        <w:tab/>
        <w:t>(b)</w:t>
      </w:r>
      <w:r>
        <w:tab/>
        <w:t>that is not —</w:t>
      </w:r>
    </w:p>
    <w:p>
      <w:pPr>
        <w:pStyle w:val="yDefsubpara"/>
        <w:keepLines w:val="0"/>
      </w:pPr>
      <w:r>
        <w:tab/>
        <w:t>(i)</w:t>
      </w:r>
      <w:r>
        <w:tab/>
        <w:t>a road train;</w:t>
      </w:r>
    </w:p>
    <w:p>
      <w:pPr>
        <w:pStyle w:val="yDefsubpara"/>
        <w:keepLines w:val="0"/>
      </w:pPr>
      <w:r>
        <w:tab/>
        <w:t>(ii)</w:t>
      </w:r>
      <w:r>
        <w:tab/>
        <w:t>a B</w:t>
      </w:r>
      <w:r>
        <w:noBreakHyphen/>
        <w:t>double; or</w:t>
      </w:r>
    </w:p>
    <w:p>
      <w:pPr>
        <w:pStyle w:val="yDefsubpara"/>
        <w:keepLines w:val="0"/>
      </w:pPr>
      <w:r>
        <w:tab/>
        <w:t>(iii)</w:t>
      </w:r>
      <w:r>
        <w:tab/>
        <w:t>carrying a freight container designed for multi</w:t>
      </w:r>
      <w:r>
        <w:noBreakHyphen/>
        <w:t>modal transport;</w:t>
      </w:r>
    </w:p>
    <w:p>
      <w:pPr>
        <w:pStyle w:val="yDefpara"/>
      </w:pPr>
      <w:r>
        <w:tab/>
      </w:r>
      <w:r>
        <w:tab/>
        <w:t>and</w:t>
      </w:r>
    </w:p>
    <w:p>
      <w:pPr>
        <w:pStyle w:val="yDefpara"/>
      </w:pPr>
      <w:r>
        <w:tab/>
        <w:t>(c)</w:t>
      </w:r>
      <w:r>
        <w:tab/>
        <w:t>that together with its load exceeds —</w:t>
      </w:r>
    </w:p>
    <w:p>
      <w:pPr>
        <w:pStyle w:val="yDefsubpara"/>
        <w:keepLines w:val="0"/>
      </w:pPr>
      <w:r>
        <w:tab/>
        <w:t>(i)</w:t>
      </w:r>
      <w:r>
        <w:tab/>
        <w:t>a mass limit in Schedule 1 Division 1 or 2;</w:t>
      </w:r>
    </w:p>
    <w:p>
      <w:pPr>
        <w:pStyle w:val="yDefsubpara"/>
        <w:keepLines w:val="0"/>
      </w:pPr>
      <w:r>
        <w:tab/>
        <w:t>(ii)</w:t>
      </w:r>
      <w:r>
        <w:tab/>
        <w:t>a dimension limit in the Vehicle Standards; or</w:t>
      </w:r>
    </w:p>
    <w:p>
      <w:pPr>
        <w:pStyle w:val="yDefsubpara"/>
        <w:keepLines w:val="0"/>
      </w:pPr>
      <w:r>
        <w:tab/>
        <w:t>(iii)</w:t>
      </w:r>
      <w:r>
        <w:tab/>
        <w:t>a dimension limit in Schedule 1 Division 3 or 4;</w:t>
      </w:r>
    </w:p>
    <w:p>
      <w:pPr>
        <w:pStyle w:val="yDefstart"/>
      </w:pPr>
      <w:r>
        <w:tab/>
      </w:r>
      <w:r>
        <w:rPr>
          <w:rStyle w:val="CharDefText"/>
        </w:rPr>
        <w:t>class 2 notice</w:t>
      </w:r>
      <w:r>
        <w:t xml:space="preserve"> means a notice published under regulation 29;</w:t>
      </w:r>
    </w:p>
    <w:p>
      <w:pPr>
        <w:pStyle w:val="yDefstart"/>
      </w:pPr>
      <w:r>
        <w:tab/>
      </w:r>
      <w:r>
        <w:rPr>
          <w:rStyle w:val="CharDefText"/>
        </w:rPr>
        <w:t>class 2 permit</w:t>
      </w:r>
      <w:r>
        <w:t xml:space="preserve"> means a permit issued under regulation 30;</w:t>
      </w:r>
    </w:p>
    <w:p>
      <w:pPr>
        <w:pStyle w:val="yDefstart"/>
      </w:pPr>
      <w:r>
        <w:tab/>
      </w:r>
      <w:r>
        <w:rPr>
          <w:rStyle w:val="CharDefText"/>
        </w:rPr>
        <w:t>class 2 vehicle</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rStyle w:val="CharDefText"/>
        </w:rPr>
        <w:t>class 3 notice</w:t>
      </w:r>
      <w:r>
        <w:t xml:space="preserve"> means a notice published under regulation 33;</w:t>
      </w:r>
    </w:p>
    <w:p>
      <w:pPr>
        <w:pStyle w:val="yDefstart"/>
      </w:pPr>
      <w:r>
        <w:tab/>
      </w:r>
      <w:r>
        <w:rPr>
          <w:rStyle w:val="CharDefText"/>
        </w:rPr>
        <w:t>class 3 permit</w:t>
      </w:r>
      <w:r>
        <w:t xml:space="preserve"> means a permit issued under regulation 34;</w:t>
      </w:r>
    </w:p>
    <w:p>
      <w:pPr>
        <w:pStyle w:val="yDefstart"/>
      </w:pPr>
      <w:r>
        <w:tab/>
      </w:r>
      <w:r>
        <w:rPr>
          <w:rStyle w:val="CharDefText"/>
        </w:rPr>
        <w:t>class 3 vehicle</w:t>
      </w:r>
      <w:r>
        <w:t xml:space="preserve"> means a restricted access vehicle other than a class 1 vehicle or a class 2 vehicle;</w:t>
      </w:r>
    </w:p>
    <w:p>
      <w:pPr>
        <w:pStyle w:val="yDefstart"/>
      </w:pPr>
      <w:r>
        <w:tab/>
      </w:r>
      <w:r>
        <w:rPr>
          <w:rStyle w:val="CharDefText"/>
        </w:rPr>
        <w:t>combination</w:t>
      </w:r>
      <w:r>
        <w:t xml:space="preserve"> means a group of vehicles consisting of a motor vehicle connected to one or more vehicles;</w:t>
      </w:r>
    </w:p>
    <w:p>
      <w:pPr>
        <w:pStyle w:val="yDefstart"/>
      </w:pPr>
      <w:r>
        <w:tab/>
      </w:r>
      <w:r>
        <w:rPr>
          <w:rStyle w:val="CharDefText"/>
        </w:rPr>
        <w:t>compliance notice</w:t>
      </w:r>
      <w:r>
        <w:t xml:space="preserve"> means a compliance notice issued under regulation 61;</w:t>
      </w:r>
    </w:p>
    <w:p>
      <w:pPr>
        <w:pStyle w:val="yDefstart"/>
      </w:pPr>
      <w:r>
        <w:tab/>
      </w:r>
      <w:r>
        <w:rPr>
          <w:rStyle w:val="CharDefText"/>
        </w:rPr>
        <w:t>complying bus</w:t>
      </w:r>
      <w:r>
        <w:t xml:space="preserve"> means a bus —</w:t>
      </w:r>
    </w:p>
    <w:p>
      <w:pPr>
        <w:pStyle w:val="yDefpara"/>
      </w:pPr>
      <w:r>
        <w:tab/>
        <w:t>(a)</w:t>
      </w:r>
      <w:r>
        <w:tab/>
        <w:t>with 2 or 3 axles and a single steer axle that —</w:t>
      </w:r>
    </w:p>
    <w:p>
      <w:pPr>
        <w:pStyle w:val="yDefsubpara"/>
        <w:keepLines w:val="0"/>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keepLines w:val="0"/>
      </w:pPr>
      <w:r>
        <w:tab/>
        <w:t>(ii)</w:t>
      </w:r>
      <w:r>
        <w:tab/>
        <w:t>meets the emergency exit specifications in ADR 44;</w:t>
      </w:r>
    </w:p>
    <w:p>
      <w:pPr>
        <w:pStyle w:val="yDefsubpara"/>
        <w:keepLines w:val="0"/>
      </w:pPr>
      <w:r>
        <w:tab/>
        <w:t>(iii)</w:t>
      </w:r>
      <w:r>
        <w:tab/>
        <w:t>meets the rollover strength specifications in ADR 59;</w:t>
      </w:r>
    </w:p>
    <w:p>
      <w:pPr>
        <w:pStyle w:val="yDefsubpara"/>
        <w:keepLines w:val="0"/>
      </w:pPr>
      <w:r>
        <w:tab/>
        <w:t>(iv)</w:t>
      </w:r>
      <w:r>
        <w:tab/>
        <w:t>meets the occupant protection specifications in ADR 68; and</w:t>
      </w:r>
    </w:p>
    <w:p>
      <w:pPr>
        <w:pStyle w:val="yDefsubpara"/>
        <w:keepLines w:val="0"/>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rStyle w:val="CharDefText"/>
        </w:rPr>
        <w:t>controlled access bus</w:t>
      </w:r>
      <w:r>
        <w:t xml:space="preserve"> means a bus, except an articulated bus, over 12.5 m long;</w:t>
      </w:r>
    </w:p>
    <w:p>
      <w:pPr>
        <w:pStyle w:val="yDefstart"/>
        <w:keepNext/>
        <w:keepLines/>
      </w:pPr>
      <w:r>
        <w:tab/>
      </w:r>
      <w:r>
        <w:rPr>
          <w:rStyle w:val="CharDefText"/>
        </w:rPr>
        <w:t>converter dolly</w:t>
      </w:r>
      <w:r>
        <w:t xml:space="preserve"> means a trailer with one axle group or single axle, and a fifth wheel coupling, designed to convert a semi</w:t>
      </w:r>
      <w:r>
        <w:noBreakHyphen/>
        <w:t>trailer into a dog trailer;</w:t>
      </w:r>
    </w:p>
    <w:p>
      <w:pPr>
        <w:pStyle w:val="Graphics"/>
        <w:jc w:val="center"/>
      </w:pPr>
      <w:r>
        <w:drawing>
          <wp:inline distT="0" distB="0" distL="0" distR="0">
            <wp:extent cx="2484120" cy="71628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84120" cy="716280"/>
                    </a:xfrm>
                    <a:prstGeom prst="rect">
                      <a:avLst/>
                    </a:prstGeom>
                    <a:noFill/>
                    <a:ln>
                      <a:noFill/>
                    </a:ln>
                  </pic:spPr>
                </pic:pic>
              </a:graphicData>
            </a:graphic>
          </wp:inline>
        </w:drawing>
      </w:r>
    </w:p>
    <w:p>
      <w:pPr>
        <w:pStyle w:val="yMiscellaneousHeading"/>
        <w:rPr>
          <w:b/>
          <w:bCs/>
        </w:rPr>
      </w:pPr>
      <w:r>
        <w:rPr>
          <w:b/>
          <w:bCs/>
        </w:rPr>
        <w:t>Converter dolly</w:t>
      </w:r>
    </w:p>
    <w:p>
      <w:pPr>
        <w:pStyle w:val="yDefstart"/>
        <w:spacing w:before="160"/>
      </w:pPr>
      <w:r>
        <w:tab/>
      </w:r>
      <w:r>
        <w:rPr>
          <w:rStyle w:val="CharDefText"/>
        </w:rPr>
        <w:t>dangerous goods</w:t>
      </w:r>
      <w:r>
        <w:t xml:space="preserve"> has the meaning given by regulation 2.2 of </w:t>
      </w:r>
      <w:r>
        <w:rPr>
          <w:i/>
        </w:rPr>
        <w:t>Dangerous Goods (Transport) (Road and Rail) Regulations 1999</w:t>
      </w:r>
      <w:r>
        <w:t>;</w:t>
      </w:r>
    </w:p>
    <w:p>
      <w:pPr>
        <w:pStyle w:val="yDefstart"/>
      </w:pPr>
      <w:r>
        <w:tab/>
      </w:r>
      <w:r>
        <w:rPr>
          <w:rStyle w:val="CharDefText"/>
        </w:rPr>
        <w:t>daytime</w:t>
      </w:r>
      <w:r>
        <w:t xml:space="preserve"> means the period from sunrise to sunset;</w:t>
      </w:r>
    </w:p>
    <w:p>
      <w:pPr>
        <w:pStyle w:val="yDefstart"/>
      </w:pPr>
      <w:r>
        <w:tab/>
      </w:r>
      <w:r>
        <w:rPr>
          <w:rStyle w:val="CharDefText"/>
        </w:rPr>
        <w:t>Department</w:t>
      </w:r>
      <w:r>
        <w:t xml:space="preserve"> means the department of the Public Service principally assisting in the administration of the Act;</w:t>
      </w:r>
    </w:p>
    <w:p>
      <w:pPr>
        <w:pStyle w:val="yDefstart"/>
      </w:pPr>
      <w:r>
        <w:tab/>
      </w:r>
      <w:r>
        <w:rPr>
          <w:rStyle w:val="CharDefText"/>
        </w:rPr>
        <w:t>departmental exemption</w:t>
      </w:r>
      <w:r>
        <w:t xml:space="preserve"> means an exemption under section 111AB of the Act granted by the Director General in accordance with Part 6;</w:t>
      </w:r>
    </w:p>
    <w:p>
      <w:pPr>
        <w:pStyle w:val="yDefstart"/>
      </w:pPr>
      <w:r>
        <w:tab/>
      </w:r>
      <w:r>
        <w:rPr>
          <w:rStyle w:val="CharDefText"/>
        </w:rPr>
        <w:t>dog trailer</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spacing w:before="120" w:after="80"/>
      </w:pPr>
      <w:r>
        <w:tab/>
        <w:t>(b)</w:t>
      </w:r>
      <w:r>
        <w:tab/>
        <w:t>one axle group or single axle at the rear;</w:t>
      </w:r>
    </w:p>
    <w:p>
      <w:pPr>
        <w:pStyle w:val="Graphics"/>
        <w:jc w:val="center"/>
      </w:pPr>
      <w:r>
        <w:drawing>
          <wp:inline distT="0" distB="0" distL="0" distR="0">
            <wp:extent cx="3700780" cy="102679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700780" cy="1026795"/>
                    </a:xfrm>
                    <a:prstGeom prst="rect">
                      <a:avLst/>
                    </a:prstGeom>
                    <a:noFill/>
                    <a:ln>
                      <a:noFill/>
                    </a:ln>
                  </pic:spPr>
                </pic:pic>
              </a:graphicData>
            </a:graphic>
          </wp:inline>
        </w:drawing>
      </w:r>
    </w:p>
    <w:p>
      <w:pPr>
        <w:pStyle w:val="yMiscellaneousHeading"/>
        <w:rPr>
          <w:b/>
          <w:bCs/>
        </w:rPr>
      </w:pPr>
      <w:r>
        <w:rPr>
          <w:b/>
          <w:bCs/>
        </w:rPr>
        <w:t>Dog trailer</w:t>
      </w:r>
    </w:p>
    <w:p>
      <w:pPr>
        <w:pStyle w:val="yDefstart"/>
        <w:spacing w:before="160"/>
      </w:pPr>
      <w:r>
        <w:tab/>
      </w:r>
      <w:r>
        <w:rPr>
          <w:rStyle w:val="CharDefText"/>
        </w:rPr>
        <w:t>drawbar</w:t>
      </w:r>
      <w:r>
        <w:t xml:space="preserve"> means a part of a trailer (except a semi</w:t>
      </w:r>
      <w:r>
        <w:noBreakHyphen/>
        <w:t>trailer) connecting the trailer body to a coupling for towing purposes;</w:t>
      </w:r>
    </w:p>
    <w:p>
      <w:pPr>
        <w:pStyle w:val="yDefstart"/>
      </w:pPr>
      <w:r>
        <w:tab/>
      </w:r>
      <w:r>
        <w:rPr>
          <w:rStyle w:val="CharDefText"/>
        </w:rPr>
        <w:t>drive</w:t>
      </w:r>
      <w:r>
        <w:t xml:space="preserve"> includes be in control of;</w:t>
      </w:r>
    </w:p>
    <w:p>
      <w:pPr>
        <w:pStyle w:val="yDefstart"/>
        <w:keepNext/>
      </w:pPr>
      <w:r>
        <w:tab/>
      </w:r>
      <w:r>
        <w:rPr>
          <w:rStyle w:val="CharDefText"/>
        </w:rPr>
        <w:t>driver</w:t>
      </w:r>
      <w:r>
        <w:t>, of a motor vehicle, means the person driving the vehicle;</w:t>
      </w:r>
    </w:p>
    <w:p>
      <w:pPr>
        <w:pStyle w:val="yDefstart"/>
        <w:keepNext/>
        <w:keepLines/>
      </w:pPr>
      <w:r>
        <w:tab/>
      </w:r>
      <w:r>
        <w:rPr>
          <w:rStyle w:val="CharDefText"/>
        </w:rPr>
        <w:t>emergency brake</w:t>
      </w:r>
      <w:r>
        <w:t xml:space="preserve"> means a brake designed to be used if a service brake fails;</w:t>
      </w:r>
    </w:p>
    <w:p>
      <w:pPr>
        <w:pStyle w:val="yDefstart"/>
      </w:pPr>
      <w:r>
        <w:tab/>
      </w:r>
      <w:r>
        <w:rPr>
          <w:rStyle w:val="CharDefText"/>
        </w:rPr>
        <w:t>emergency vehicle</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keepLines w:val="0"/>
      </w:pPr>
      <w:r>
        <w:tab/>
        <w:t>(i)</w:t>
      </w:r>
      <w:r>
        <w:tab/>
        <w:t xml:space="preserve">a fire brigade under the </w:t>
      </w:r>
      <w:r>
        <w:rPr>
          <w:i/>
        </w:rPr>
        <w:t>Fire Brigades Act 1942</w:t>
      </w:r>
      <w:r>
        <w:t>;</w:t>
      </w:r>
    </w:p>
    <w:p>
      <w:pPr>
        <w:pStyle w:val="yDefsubpara"/>
        <w:keepLines w:val="0"/>
      </w:pPr>
      <w:r>
        <w:tab/>
        <w:t>(ii)</w:t>
      </w:r>
      <w:r>
        <w:tab/>
        <w:t xml:space="preserve">a bush fire brigade under the </w:t>
      </w:r>
      <w:r>
        <w:rPr>
          <w:i/>
        </w:rPr>
        <w:t>Bush Fires Act 1954</w:t>
      </w:r>
      <w:r>
        <w:t>; or</w:t>
      </w:r>
    </w:p>
    <w:p>
      <w:pPr>
        <w:pStyle w:val="yDefsubpara"/>
      </w:pPr>
      <w:r>
        <w:tab/>
        <w:t>(iii)</w:t>
      </w:r>
      <w:r>
        <w:tab/>
        <w:t xml:space="preserve">the department of the Public Service principally assisting in the administration of the </w:t>
      </w:r>
      <w:r>
        <w:rPr>
          <w:i/>
        </w:rPr>
        <w:t>Fire and Emergency Services Act 1998</w:t>
      </w:r>
      <w:r>
        <w:t>,</w:t>
      </w:r>
    </w:p>
    <w:p>
      <w:pPr>
        <w:pStyle w:val="yDefpara"/>
      </w:pPr>
      <w:r>
        <w:tab/>
      </w:r>
      <w:r>
        <w:tab/>
        <w:t xml:space="preserve">and ordinarily used by members of the brigade or members of staff of </w:t>
      </w:r>
      <w:r>
        <w:rPr>
          <w:szCs w:val="22"/>
        </w:rPr>
        <w:t>that department</w:t>
      </w:r>
      <w:r>
        <w:t xml:space="preserve">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rStyle w:val="CharDefText"/>
        </w:rPr>
        <w:t>emission control system</w:t>
      </w:r>
      <w:r>
        <w:t>, for a vehicle, means an emission control system —</w:t>
      </w:r>
    </w:p>
    <w:p>
      <w:pPr>
        <w:pStyle w:val="yDefpara"/>
      </w:pPr>
      <w:r>
        <w:tab/>
        <w:t>(a)</w:t>
      </w:r>
      <w:r>
        <w:tab/>
        <w:t>fitted to the vehicle when it was built; or</w:t>
      </w:r>
    </w:p>
    <w:p>
      <w:pPr>
        <w:pStyle w:val="yDefpara"/>
      </w:pPr>
      <w:r>
        <w:tab/>
        <w:t>(b)</w:t>
      </w:r>
      <w:r>
        <w:tab/>
        <w:t>better than, or equivalent to, an emission control system fitted to the vehicle when it was built;</w:t>
      </w:r>
    </w:p>
    <w:p>
      <w:pPr>
        <w:pStyle w:val="yDefstart"/>
      </w:pPr>
      <w:r>
        <w:tab/>
      </w:r>
      <w:r>
        <w:rPr>
          <w:rStyle w:val="CharDefText"/>
        </w:rPr>
        <w:t>escort vehicle</w:t>
      </w:r>
      <w:r>
        <w:t xml:space="preserve"> means a motor vehicle that is being used —</w:t>
      </w:r>
    </w:p>
    <w:p>
      <w:pPr>
        <w:pStyle w:val="yDefpara"/>
      </w:pPr>
      <w:r>
        <w:tab/>
        <w:t>(a)</w:t>
      </w:r>
      <w:r>
        <w:tab/>
        <w:t>to transport a police officer, or other person authorised to direct traffic; and</w:t>
      </w:r>
    </w:p>
    <w:p>
      <w:pPr>
        <w:pStyle w:val="yDefpara"/>
        <w:keepNext/>
      </w:pPr>
      <w:r>
        <w:tab/>
        <w:t>(b)</w:t>
      </w:r>
      <w:r>
        <w:tab/>
        <w:t>to warn other road users of the presence of an oversize vehicle;</w:t>
      </w:r>
    </w:p>
    <w:p>
      <w:pPr>
        <w:pStyle w:val="yDefstart"/>
        <w:keepLines/>
      </w:pPr>
      <w:r>
        <w:tab/>
      </w:r>
      <w:r>
        <w:rPr>
          <w:rStyle w:val="CharDefText"/>
        </w:rPr>
        <w:t>fifth wheel coupling</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rStyle w:val="CharDefText"/>
        </w:rPr>
        <w:t>front fog light</w:t>
      </w:r>
      <w:r>
        <w:t xml:space="preserve"> means a light used to improve the illumination of the road in case of fog, snowfall, heavy rain or a dust storm;</w:t>
      </w:r>
    </w:p>
    <w:p>
      <w:pPr>
        <w:pStyle w:val="yDefstart"/>
      </w:pPr>
      <w:r>
        <w:tab/>
      </w:r>
      <w:r>
        <w:rPr>
          <w:rStyle w:val="CharDefText"/>
        </w:rPr>
        <w:t>GCM</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pPr>
      <w:r>
        <w:tab/>
        <w:t>(a)</w:t>
      </w:r>
      <w:r>
        <w:tab/>
        <w:t>as specified by the motor vehicle’s manufacturer —</w:t>
      </w:r>
    </w:p>
    <w:p>
      <w:pPr>
        <w:pStyle w:val="yDefsubpara"/>
        <w:keepLines w:val="0"/>
      </w:pPr>
      <w:r>
        <w:tab/>
        <w:t>(i)</w:t>
      </w:r>
      <w:r>
        <w:tab/>
        <w:t>on a plate fixed to the vehicle by the manufacturer; or</w:t>
      </w:r>
    </w:p>
    <w:p>
      <w:pPr>
        <w:pStyle w:val="yDefsubpara"/>
        <w:keepLines w:val="0"/>
      </w:pPr>
      <w:r>
        <w:tab/>
        <w:t>(ii)</w:t>
      </w:r>
      <w:r>
        <w:tab/>
        <w:t>if the manufacturer has not specified the sum of the maximum loaded mass on a plate fixed to the vehicle — in another place;</w:t>
      </w:r>
    </w:p>
    <w:p>
      <w:pPr>
        <w:pStyle w:val="yDefpara"/>
      </w:pPr>
      <w:r>
        <w:tab/>
      </w:r>
      <w:r>
        <w:tab/>
        <w:t>or</w:t>
      </w:r>
    </w:p>
    <w:p>
      <w:pPr>
        <w:pStyle w:val="yDefpara"/>
      </w:pPr>
      <w:r>
        <w:tab/>
        <w:t>(b)</w:t>
      </w:r>
      <w:r>
        <w:tab/>
        <w:t>as specified by the relevant authority if —</w:t>
      </w:r>
    </w:p>
    <w:p>
      <w:pPr>
        <w:pStyle w:val="yDefsubpara"/>
        <w:keepLines w:val="0"/>
      </w:pPr>
      <w:r>
        <w:tab/>
        <w:t>(i)</w:t>
      </w:r>
      <w:r>
        <w:tab/>
        <w:t>the manufacturer has not specified the sum of the maximum loaded mass;</w:t>
      </w:r>
    </w:p>
    <w:p>
      <w:pPr>
        <w:pStyle w:val="yDefsubpara"/>
        <w:keepLines w:val="0"/>
      </w:pPr>
      <w:r>
        <w:tab/>
        <w:t>(ii)</w:t>
      </w:r>
      <w:r>
        <w:tab/>
        <w:t>the manufacturer cannot be identified; or</w:t>
      </w:r>
    </w:p>
    <w:p>
      <w:pPr>
        <w:pStyle w:val="yDefsubpara"/>
        <w:keepLines w:val="0"/>
      </w:pPr>
      <w:r>
        <w:tab/>
        <w:t>(iii)</w:t>
      </w:r>
      <w:r>
        <w:tab/>
        <w:t>the vehicle has been modified to the extent that the manufacturer’s specification is no longer appropriate;</w:t>
      </w:r>
    </w:p>
    <w:p>
      <w:pPr>
        <w:pStyle w:val="yDefstart"/>
      </w:pPr>
      <w:r>
        <w:tab/>
      </w:r>
      <w:r>
        <w:rPr>
          <w:rStyle w:val="CharDefText"/>
        </w:rPr>
        <w:t>goods vehicle</w:t>
      </w:r>
      <w:r>
        <w:t xml:space="preserve"> means a motor vehicle built to be used primarily to carry goods or materials used in any trade, business or industry;</w:t>
      </w:r>
    </w:p>
    <w:p>
      <w:pPr>
        <w:pStyle w:val="yDefstart"/>
      </w:pPr>
      <w:r>
        <w:tab/>
      </w:r>
      <w:r>
        <w:rPr>
          <w:rStyle w:val="CharDefText"/>
        </w:rPr>
        <w:t>ground contact width</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120"/>
      </w:pPr>
      <w:r>
        <w:tab/>
        <w:t>(b)</w:t>
      </w:r>
      <w:r>
        <w:tab/>
        <w:t>in relation to an axle group, means the greatest ground contact width of all the axles in the group;</w:t>
      </w:r>
    </w:p>
    <w:p>
      <w:pPr>
        <w:pStyle w:val="Graphics"/>
        <w:keepNext/>
        <w:keepLines/>
        <w:jc w:val="center"/>
      </w:pPr>
      <w:r>
        <w:drawing>
          <wp:inline distT="0" distB="0" distL="0" distR="0">
            <wp:extent cx="2329180" cy="1501140"/>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329180" cy="1501140"/>
                    </a:xfrm>
                    <a:prstGeom prst="rect">
                      <a:avLst/>
                    </a:prstGeom>
                    <a:noFill/>
                    <a:ln>
                      <a:noFill/>
                    </a:ln>
                  </pic:spPr>
                </pic:pic>
              </a:graphicData>
            </a:graphic>
          </wp:inline>
        </w:drawing>
      </w:r>
    </w:p>
    <w:p>
      <w:pPr>
        <w:pStyle w:val="yMiscellaneousHeading"/>
        <w:rPr>
          <w:b/>
          <w:bCs/>
        </w:rPr>
      </w:pPr>
      <w:r>
        <w:rPr>
          <w:b/>
          <w:bCs/>
        </w:rPr>
        <w:t>Ground contact width of an axle</w:t>
      </w:r>
    </w:p>
    <w:p>
      <w:pPr>
        <w:pStyle w:val="yDefstart"/>
        <w:spacing w:before="160"/>
      </w:pPr>
      <w:r>
        <w:tab/>
      </w:r>
      <w:r>
        <w:rPr>
          <w:rStyle w:val="CharDefText"/>
        </w:rPr>
        <w:t>GTM</w:t>
      </w:r>
      <w:r>
        <w:t xml:space="preserve"> (which stands for “gross trailer mass”) means the mass transmitted to the ground by the axles of a trailer when the trailer is loaded to its GVM and connected to a towing vehicle;</w:t>
      </w:r>
    </w:p>
    <w:p>
      <w:pPr>
        <w:pStyle w:val="yDefstart"/>
      </w:pPr>
      <w:r>
        <w:tab/>
      </w:r>
      <w:r>
        <w:rPr>
          <w:rStyle w:val="CharDefText"/>
        </w:rPr>
        <w:t>GVM</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rStyle w:val="CharDefText"/>
        </w:rPr>
        <w:t>high</w:t>
      </w:r>
      <w:r>
        <w:rPr>
          <w:rStyle w:val="CharDefText"/>
        </w:rPr>
        <w:noBreakHyphen/>
        <w:t>beam</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yDefstart"/>
        <w:keepNext/>
        <w:keepLines/>
      </w:pPr>
      <w:r>
        <w:tab/>
      </w:r>
      <w:r>
        <w:rPr>
          <w:rStyle w:val="CharDefText"/>
        </w:rPr>
        <w:t>inspection station</w:t>
      </w:r>
      <w:r>
        <w:t xml:space="preserve"> means premises established by a person authorised under regulation 3A(1)(b) of the </w:t>
      </w:r>
      <w:r>
        <w:rPr>
          <w:i/>
        </w:rPr>
        <w:t>Road Traffic (Vehicle Licensing) Regulations 1975</w:t>
      </w:r>
      <w:r>
        <w:rPr>
          <w:vertAlign w:val="superscript"/>
        </w:rPr>
        <w:t> 3</w:t>
      </w:r>
      <w:r>
        <w:t>;</w:t>
      </w:r>
    </w:p>
    <w:p>
      <w:pPr>
        <w:pStyle w:val="yDefstart"/>
      </w:pPr>
      <w:r>
        <w:tab/>
      </w:r>
      <w:r>
        <w:rPr>
          <w:rStyle w:val="CharDefText"/>
        </w:rPr>
        <w:t>jinker</w:t>
      </w:r>
      <w:r>
        <w:t xml:space="preserve"> means an axle or axle group which is built to support part of a load, and is connected to the vehicle in front of it by a pole or cable or the load itself, if any;</w:t>
      </w:r>
    </w:p>
    <w:p>
      <w:pPr>
        <w:pStyle w:val="yDefstart"/>
      </w:pPr>
      <w:r>
        <w:tab/>
      </w:r>
      <w:r>
        <w:rPr>
          <w:rStyle w:val="CharDefText"/>
        </w:rPr>
        <w:t>large indivisible item</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keepNext/>
      </w:pPr>
      <w:r>
        <w:tab/>
      </w:r>
      <w:r>
        <w:rPr>
          <w:rStyle w:val="CharDefText"/>
        </w:rPr>
        <w:t>left</w:t>
      </w:r>
      <w:r>
        <w:t>, for a vehicle, means to the left of the centre of the vehicle when viewed by a person in the vehicle who is facing to the front of the vehicle;</w:t>
      </w:r>
    </w:p>
    <w:p>
      <w:pPr>
        <w:pStyle w:val="yDefstart"/>
      </w:pPr>
      <w:r>
        <w:tab/>
      </w:r>
      <w:r>
        <w:rPr>
          <w:rStyle w:val="CharDefText"/>
        </w:rPr>
        <w:t>load</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rStyle w:val="CharDefText"/>
        </w:rPr>
        <w:t>load</w:t>
      </w:r>
      <w:r>
        <w:rPr>
          <w:rStyle w:val="CharDefText"/>
        </w:rPr>
        <w:noBreakHyphen/>
        <w:t>carrying</w:t>
      </w:r>
      <w:r>
        <w:t>, in relation to a vehicle, means a vehicle that is carrying, or is built to carry, a load;</w:t>
      </w:r>
    </w:p>
    <w:p>
      <w:pPr>
        <w:pStyle w:val="yDefstart"/>
      </w:pPr>
      <w:r>
        <w:tab/>
      </w:r>
      <w:r>
        <w:rPr>
          <w:rStyle w:val="CharDefText"/>
        </w:rPr>
        <w:t>load</w:t>
      </w:r>
      <w:r>
        <w:rPr>
          <w:rStyle w:val="CharDefText"/>
        </w:rPr>
        <w:noBreakHyphen/>
        <w:t>sharing suspension system</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rStyle w:val="CharDefText"/>
        </w:rPr>
        <w:t>loaded mass</w:t>
      </w:r>
      <w:r>
        <w:t>, of a vehicle, means the total mass of the vehicle and its load;</w:t>
      </w:r>
    </w:p>
    <w:p>
      <w:pPr>
        <w:pStyle w:val="yDefstart"/>
        <w:keepLines/>
      </w:pPr>
      <w:r>
        <w:tab/>
      </w:r>
      <w:r>
        <w:rPr>
          <w:rStyle w:val="CharDefText"/>
        </w:rPr>
        <w:t>low</w:t>
      </w:r>
      <w:r>
        <w:rPr>
          <w:rStyle w:val="CharDefText"/>
        </w:rPr>
        <w:noBreakHyphen/>
        <w:t>beam</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keepNext/>
        <w:keepLines/>
        <w:spacing w:after="80"/>
      </w:pPr>
      <w:r>
        <w:tab/>
        <w:t>(b)</w:t>
      </w:r>
      <w:r>
        <w:tab/>
        <w:t>not more than 1 m higher than the level where the motor vehicle is standing, when measured 25 m in front of the vehicle;</w:t>
      </w:r>
    </w:p>
    <w:p>
      <w:pPr>
        <w:pStyle w:val="Graphics"/>
        <w:jc w:val="center"/>
      </w:pPr>
      <w:r>
        <w:drawing>
          <wp:inline distT="0" distB="0" distL="0" distR="0">
            <wp:extent cx="3355975" cy="8451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355975" cy="845185"/>
                    </a:xfrm>
                    <a:prstGeom prst="rect">
                      <a:avLst/>
                    </a:prstGeom>
                    <a:noFill/>
                    <a:ln>
                      <a:noFill/>
                    </a:ln>
                  </pic:spPr>
                </pic:pic>
              </a:graphicData>
            </a:graphic>
          </wp:inline>
        </w:drawing>
      </w:r>
    </w:p>
    <w:p>
      <w:pPr>
        <w:pStyle w:val="yMiscellaneousHeading"/>
        <w:rPr>
          <w:b/>
          <w:bCs/>
        </w:rPr>
      </w:pPr>
      <w:r>
        <w:rPr>
          <w:b/>
          <w:bCs/>
        </w:rPr>
        <w:t>A headlight in the low</w:t>
      </w:r>
      <w:r>
        <w:rPr>
          <w:b/>
          <w:bCs/>
        </w:rPr>
        <w:noBreakHyphen/>
        <w:t>beam position</w:t>
      </w:r>
    </w:p>
    <w:p>
      <w:pPr>
        <w:pStyle w:val="yDefstart"/>
        <w:spacing w:before="160"/>
      </w:pPr>
      <w:r>
        <w:tab/>
      </w:r>
      <w:r>
        <w:rPr>
          <w:rStyle w:val="CharDefText"/>
        </w:rPr>
        <w:t>low loader</w:t>
      </w:r>
      <w:r>
        <w:t xml:space="preserve"> means a gooseneck semi</w:t>
      </w:r>
      <w:r>
        <w:noBreakHyphen/>
        <w:t>trailer with a loading deck no more than 1 m above the ground;</w:t>
      </w:r>
    </w:p>
    <w:p>
      <w:pPr>
        <w:pStyle w:val="yDefstart"/>
      </w:pPr>
      <w:r>
        <w:tab/>
      </w:r>
      <w:r>
        <w:rPr>
          <w:rStyle w:val="CharDefText"/>
        </w:rPr>
        <w:t>low loader dolly</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rStyle w:val="CharDefText"/>
        </w:rPr>
        <w:t>Ministerial exemption</w:t>
      </w:r>
      <w:r>
        <w:t xml:space="preserve"> means a declaration under section 111AB of the Act made by the Minister in accordance with Part 5;</w:t>
      </w:r>
    </w:p>
    <w:p>
      <w:pPr>
        <w:pStyle w:val="yDefstart"/>
      </w:pPr>
      <w:r>
        <w:tab/>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rStyle w:val="CharDefText"/>
        </w:rPr>
        <w:t>motor bike</w:t>
      </w:r>
      <w:r>
        <w:t xml:space="preserve"> means a motor vehicle with 2 wheels, and includes a 2 wheeled motor vehicle with a sidecar attached to it that is supported by a third wheel;</w:t>
      </w:r>
    </w:p>
    <w:p>
      <w:pPr>
        <w:pStyle w:val="yDefstart"/>
      </w:pPr>
      <w:r>
        <w:tab/>
      </w:r>
      <w:r>
        <w:rPr>
          <w:rStyle w:val="CharDefText"/>
        </w:rPr>
        <w:t>motor trike</w:t>
      </w:r>
      <w:r>
        <w:t xml:space="preserve"> means a motor vehicle with 3 wheels, but does not include a 2 wheeled motor vehicle with a sidecar attached to it that is supported by a third wheel;</w:t>
      </w:r>
    </w:p>
    <w:p>
      <w:pPr>
        <w:pStyle w:val="yDefstart"/>
      </w:pPr>
      <w:r>
        <w:tab/>
      </w:r>
      <w:r>
        <w:rPr>
          <w:rStyle w:val="CharDefText"/>
        </w:rPr>
        <w:t>motor vehicle</w:t>
      </w:r>
      <w:r>
        <w:t xml:space="preserve"> means a vehicle built to be propelled by a motor that forms part of the vehicle;</w:t>
      </w:r>
    </w:p>
    <w:p>
      <w:pPr>
        <w:pStyle w:val="yDefstart"/>
      </w:pPr>
      <w:r>
        <w:tab/>
      </w:r>
      <w:r>
        <w:rPr>
          <w:rStyle w:val="CharDefText"/>
        </w:rPr>
        <w:t>mudguard</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rStyle w:val="CharDefText"/>
        </w:rPr>
        <w:t>national standard</w:t>
      </w:r>
      <w:r>
        <w:t xml:space="preserve"> has the meaning given by rule 9 of the Vehicle Standards;</w:t>
      </w:r>
    </w:p>
    <w:p>
      <w:pPr>
        <w:pStyle w:val="yDefstart"/>
      </w:pPr>
      <w:r>
        <w:tab/>
      </w:r>
      <w:r>
        <w:rPr>
          <w:rStyle w:val="CharDefText"/>
        </w:rPr>
        <w:t>night</w:t>
      </w:r>
      <w:r>
        <w:rPr>
          <w:rStyle w:val="CharDefText"/>
        </w:rPr>
        <w:noBreakHyphen/>
        <w:t>time</w:t>
      </w:r>
      <w:r>
        <w:t xml:space="preserve"> means the period between sunset and sunrise;</w:t>
      </w:r>
    </w:p>
    <w:p>
      <w:pPr>
        <w:pStyle w:val="yDefstart"/>
      </w:pPr>
      <w:r>
        <w:tab/>
      </w:r>
      <w:r>
        <w:rPr>
          <w:rStyle w:val="CharDefText"/>
        </w:rPr>
        <w:t>omnibus</w:t>
      </w:r>
      <w:r>
        <w:t xml:space="preserve"> means a motor vehicle that is equipped to seat more than 8 adult persons (including the driver) and that is used for the carriage of passengers for hire or reward;</w:t>
      </w:r>
    </w:p>
    <w:p>
      <w:pPr>
        <w:pStyle w:val="yDefstart"/>
      </w:pPr>
      <w:r>
        <w:tab/>
      </w:r>
      <w:r>
        <w:rPr>
          <w:rStyle w:val="CharDefText"/>
        </w:rPr>
        <w:t>operator</w:t>
      </w:r>
      <w:r>
        <w:t xml:space="preserve"> means a person who controls or directs the operations of a vehicle, or who is otherwise responsible for it;</w:t>
      </w:r>
    </w:p>
    <w:p>
      <w:pPr>
        <w:pStyle w:val="yDefstart"/>
      </w:pPr>
      <w:r>
        <w:tab/>
      </w:r>
      <w:r>
        <w:rPr>
          <w:rStyle w:val="CharDefText"/>
        </w:rPr>
        <w:t>overmass</w:t>
      </w:r>
      <w:r>
        <w:t>, in relation to a vehicle, means having a mass that, including the mass of any load, exceeds a relevant mass limit in Part 3 (whether or not the vehicle is also oversize);</w:t>
      </w:r>
    </w:p>
    <w:p>
      <w:pPr>
        <w:pStyle w:val="yDefstart"/>
      </w:pPr>
      <w:r>
        <w:tab/>
      </w:r>
      <w:r>
        <w:rPr>
          <w:rStyle w:val="CharDefText"/>
        </w:rPr>
        <w:t>oversize</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rStyle w:val="CharDefText"/>
        </w:rPr>
        <w:t>oversize tri</w:t>
      </w:r>
      <w:r>
        <w:rPr>
          <w:rStyle w:val="CharDefText"/>
        </w:rPr>
        <w:noBreakHyphen/>
        <w:t>axle group</w:t>
      </w:r>
      <w:r>
        <w:t xml:space="preserve"> means a group of 3 axles in which the horizontal distance between the centres of the outermost axles is more than 3.2 m;</w:t>
      </w:r>
    </w:p>
    <w:p>
      <w:pPr>
        <w:pStyle w:val="yDefstart"/>
        <w:spacing w:after="80"/>
      </w:pPr>
      <w:r>
        <w:tab/>
      </w:r>
      <w:r>
        <w:rPr>
          <w:rStyle w:val="CharDefText"/>
        </w:rPr>
        <w:t>pig trailer</w:t>
      </w:r>
      <w:r>
        <w:t xml:space="preserve"> means a trailer with one axle group or a single axle near the middle of its load</w:t>
      </w:r>
      <w:r>
        <w:noBreakHyphen/>
        <w:t>carrying surface, and connected to the towing vehicle by a drawbar;</w:t>
      </w:r>
    </w:p>
    <w:p>
      <w:pPr>
        <w:pStyle w:val="Graphics"/>
        <w:jc w:val="center"/>
      </w:pPr>
      <w:r>
        <w:drawing>
          <wp:inline distT="0" distB="0" distL="0" distR="0">
            <wp:extent cx="2303145" cy="905510"/>
            <wp:effectExtent l="0" t="0" r="1905"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303145" cy="905510"/>
                    </a:xfrm>
                    <a:prstGeom prst="rect">
                      <a:avLst/>
                    </a:prstGeom>
                    <a:noFill/>
                    <a:ln>
                      <a:noFill/>
                    </a:ln>
                  </pic:spPr>
                </pic:pic>
              </a:graphicData>
            </a:graphic>
          </wp:inline>
        </w:drawing>
      </w:r>
    </w:p>
    <w:p>
      <w:pPr>
        <w:pStyle w:val="yMiscellaneousHeading"/>
        <w:keepNext w:val="0"/>
        <w:spacing w:before="80"/>
        <w:rPr>
          <w:b/>
          <w:bCs/>
        </w:rPr>
      </w:pPr>
      <w:r>
        <w:rPr>
          <w:b/>
          <w:bCs/>
        </w:rPr>
        <w:t>Pig trailer</w:t>
      </w:r>
    </w:p>
    <w:p>
      <w:pPr>
        <w:pStyle w:val="yDefstart"/>
        <w:spacing w:before="120"/>
      </w:pPr>
      <w:r>
        <w:tab/>
      </w:r>
      <w:r>
        <w:rPr>
          <w:rStyle w:val="CharDefText"/>
        </w:rPr>
        <w:t>pilot vehicle</w:t>
      </w:r>
      <w:r>
        <w:t xml:space="preserve"> means a motor vehicle, other than an escort vehicle, being used to warn other road users of the presence of an oversize vehicle;</w:t>
      </w:r>
    </w:p>
    <w:p>
      <w:pPr>
        <w:pStyle w:val="yDefstart"/>
      </w:pPr>
      <w:r>
        <w:tab/>
      </w:r>
      <w:r>
        <w:rPr>
          <w:rStyle w:val="CharDefText"/>
        </w:rPr>
        <w:t>point of articulation</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pPr>
      <w:r>
        <w:tab/>
        <w:t>(e)</w:t>
      </w:r>
      <w:r>
        <w:tab/>
        <w:t>the coupling pivot point of a semi</w:t>
      </w:r>
      <w:r>
        <w:noBreakHyphen/>
        <w:t>trailer;</w:t>
      </w:r>
    </w:p>
    <w:p>
      <w:pPr>
        <w:pStyle w:val="Graphics"/>
        <w:jc w:val="center"/>
      </w:pPr>
      <w:r>
        <w:drawing>
          <wp:inline distT="0" distB="0" distL="0" distR="0">
            <wp:extent cx="2829560" cy="1112520"/>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29560" cy="1112520"/>
                    </a:xfrm>
                    <a:prstGeom prst="rect">
                      <a:avLst/>
                    </a:prstGeom>
                    <a:noFill/>
                    <a:ln>
                      <a:noFill/>
                    </a:ln>
                  </pic:spPr>
                </pic:pic>
              </a:graphicData>
            </a:graphic>
          </wp:inline>
        </w:drawing>
      </w:r>
    </w:p>
    <w:p>
      <w:pPr>
        <w:pStyle w:val="yMiscellaneousHeading"/>
        <w:spacing w:before="80"/>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Graphics"/>
        <w:jc w:val="center"/>
      </w:pPr>
      <w:r>
        <w:drawing>
          <wp:inline distT="0" distB="0" distL="0" distR="0">
            <wp:extent cx="3131185" cy="130238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31185" cy="1302385"/>
                    </a:xfrm>
                    <a:prstGeom prst="rect">
                      <a:avLst/>
                    </a:prstGeom>
                    <a:noFill/>
                    <a:ln>
                      <a:noFill/>
                    </a:ln>
                  </pic:spPr>
                </pic:pic>
              </a:graphicData>
            </a:graphic>
          </wp:inline>
        </w:drawing>
      </w:r>
    </w:p>
    <w:p>
      <w:pPr>
        <w:pStyle w:val="Graphics"/>
        <w:spacing w:before="120"/>
        <w:jc w:val="center"/>
        <w:rPr>
          <w:b/>
          <w:bCs/>
          <w:sz w:val="22"/>
        </w:rPr>
      </w:pPr>
      <w:r>
        <w:rPr>
          <w:b/>
          <w:bCs/>
          <w:sz w:val="22"/>
        </w:rPr>
        <w:t>Point of articulation — fifth wheel on a prime mover</w:t>
      </w:r>
    </w:p>
    <w:p>
      <w:pPr>
        <w:pStyle w:val="Graphics"/>
        <w:jc w:val="center"/>
      </w:pPr>
      <w:r>
        <w:drawing>
          <wp:inline distT="0" distB="0" distL="0" distR="0">
            <wp:extent cx="3209290" cy="1043940"/>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9290" cy="1043940"/>
                    </a:xfrm>
                    <a:prstGeom prst="rect">
                      <a:avLst/>
                    </a:prstGeom>
                    <a:noFill/>
                    <a:ln>
                      <a:noFill/>
                    </a:ln>
                  </pic:spPr>
                </pic:pic>
              </a:graphicData>
            </a:graphic>
          </wp:inline>
        </w:drawing>
      </w:r>
    </w:p>
    <w:p>
      <w:pPr>
        <w:pStyle w:val="yMiscellaneousHeading"/>
        <w:keepNext w:val="0"/>
        <w:spacing w:before="120"/>
        <w:rPr>
          <w:b/>
          <w:bCs/>
        </w:rPr>
      </w:pPr>
      <w:r>
        <w:rPr>
          <w:b/>
          <w:bCs/>
        </w:rPr>
        <w:t>Point of articulation — kingpin for fifth wheel</w:t>
      </w:r>
    </w:p>
    <w:p>
      <w:pPr>
        <w:pStyle w:val="yDefstart"/>
        <w:keepNext/>
        <w:spacing w:before="240"/>
      </w:pPr>
      <w:r>
        <w:tab/>
      </w:r>
      <w:r>
        <w:rPr>
          <w:rStyle w:val="CharDefText"/>
        </w:rPr>
        <w:t>pole</w:t>
      </w:r>
      <w:r>
        <w:rPr>
          <w:rStyle w:val="CharDefText"/>
        </w:rPr>
        <w:noBreakHyphen/>
        <w:t>type trailer</w:t>
      </w:r>
      <w:r>
        <w:t xml:space="preserve"> means a trailer that —</w:t>
      </w:r>
    </w:p>
    <w:p>
      <w:pPr>
        <w:pStyle w:val="yDefpara"/>
      </w:pPr>
      <w:r>
        <w:tab/>
        <w:t>(a)</w:t>
      </w:r>
      <w:r>
        <w:tab/>
        <w:t>is attached to a towing vehicle by a pole, or an attachment fitted to the pole; and</w:t>
      </w:r>
    </w:p>
    <w:p>
      <w:pPr>
        <w:pStyle w:val="yDefpara"/>
        <w:spacing w:after="80"/>
      </w:pPr>
      <w:r>
        <w:tab/>
        <w:t>(b)</w:t>
      </w:r>
      <w:r>
        <w:tab/>
        <w:t>is ordinarily used for transporting loads, such as logs, pipes, structural members, or other long objects, that can generally support themselves like beams between supports;</w:t>
      </w:r>
    </w:p>
    <w:p>
      <w:pPr>
        <w:pStyle w:val="Graphics"/>
        <w:jc w:val="center"/>
      </w:pPr>
      <w:r>
        <w:drawing>
          <wp:inline distT="0" distB="0" distL="0" distR="0">
            <wp:extent cx="3260725" cy="647065"/>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60725" cy="647065"/>
                    </a:xfrm>
                    <a:prstGeom prst="rect">
                      <a:avLst/>
                    </a:prstGeom>
                    <a:noFill/>
                    <a:ln>
                      <a:noFill/>
                    </a:ln>
                  </pic:spPr>
                </pic:pic>
              </a:graphicData>
            </a:graphic>
          </wp:inline>
        </w:drawing>
      </w:r>
    </w:p>
    <w:p>
      <w:pPr>
        <w:pStyle w:val="yMiscellaneousHeading"/>
        <w:spacing w:before="120"/>
        <w:rPr>
          <w:b/>
          <w:bCs/>
        </w:rPr>
      </w:pPr>
      <w:r>
        <w:rPr>
          <w:b/>
          <w:bCs/>
        </w:rPr>
        <w:t>Pole</w:t>
      </w:r>
      <w:r>
        <w:rPr>
          <w:b/>
          <w:bCs/>
        </w:rPr>
        <w:noBreakHyphen/>
        <w:t>type trailer</w:t>
      </w:r>
    </w:p>
    <w:p>
      <w:pPr>
        <w:pStyle w:val="yDefstart"/>
        <w:spacing w:before="160"/>
      </w:pPr>
      <w:r>
        <w:tab/>
      </w:r>
      <w:r>
        <w:rPr>
          <w:rStyle w:val="CharDefText"/>
        </w:rPr>
        <w:t>prime mover</w:t>
      </w:r>
      <w:r>
        <w:t xml:space="preserve"> means a motor vehicle built to tow a semi</w:t>
      </w:r>
      <w:r>
        <w:noBreakHyphen/>
        <w:t>trailer;</w:t>
      </w:r>
    </w:p>
    <w:p>
      <w:pPr>
        <w:pStyle w:val="yDefstart"/>
      </w:pPr>
      <w:r>
        <w:tab/>
      </w:r>
      <w:r>
        <w:rPr>
          <w:rStyle w:val="CharDefText"/>
        </w:rPr>
        <w:t>quad</w:t>
      </w:r>
      <w:r>
        <w:rPr>
          <w:rStyle w:val="CharDefText"/>
        </w:rPr>
        <w:noBreakHyphen/>
        <w:t>axle group</w:t>
      </w:r>
      <w:r>
        <w:t xml:space="preserve"> means a group of 4 axles in which the horizontal distance between the centres of the outermost axles is over 3.2 m, but not over 4.9 m;</w:t>
      </w:r>
    </w:p>
    <w:p>
      <w:pPr>
        <w:pStyle w:val="yDefstart"/>
      </w:pPr>
      <w:r>
        <w:tab/>
      </w:r>
      <w:r>
        <w:rPr>
          <w:rStyle w:val="CharDefText"/>
        </w:rPr>
        <w:t>RAV notice</w:t>
      </w:r>
      <w:r>
        <w:t xml:space="preserve"> means a class 1 notice, class 2 notice or class 3 notice;</w:t>
      </w:r>
    </w:p>
    <w:p>
      <w:pPr>
        <w:pStyle w:val="yDefstart"/>
      </w:pPr>
      <w:r>
        <w:tab/>
      </w:r>
      <w:r>
        <w:rPr>
          <w:rStyle w:val="CharDefText"/>
        </w:rPr>
        <w:t>RAV permit</w:t>
      </w:r>
      <w:r>
        <w:t xml:space="preserve"> means a class 1 permit, class 2 permit or class 3 permit;</w:t>
      </w:r>
    </w:p>
    <w:p>
      <w:pPr>
        <w:pStyle w:val="yDefstart"/>
      </w:pPr>
      <w:r>
        <w:tab/>
      </w:r>
      <w:r>
        <w:rPr>
          <w:rStyle w:val="CharDefText"/>
        </w:rPr>
        <w:t>rear fog light</w:t>
      </w:r>
      <w:r>
        <w:t xml:space="preserve"> means a light used on a vehicle to make it more easily visible from the rear in dense fog;</w:t>
      </w:r>
    </w:p>
    <w:p>
      <w:pPr>
        <w:pStyle w:val="yDefstart"/>
        <w:spacing w:after="80"/>
      </w:pPr>
      <w:r>
        <w:tab/>
      </w:r>
      <w:r>
        <w:rPr>
          <w:rStyle w:val="CharDefText"/>
        </w:rPr>
        <w:t>rear overhang</w:t>
      </w:r>
      <w:r>
        <w:t>, of a vehicle, means the distance between the rear overhang line and the rear of the vehicle;</w:t>
      </w:r>
    </w:p>
    <w:p>
      <w:pPr>
        <w:pStyle w:val="Graphics"/>
        <w:jc w:val="center"/>
      </w:pPr>
      <w:r>
        <w:drawing>
          <wp:inline distT="0" distB="0" distL="0" distR="0">
            <wp:extent cx="3217545" cy="1285240"/>
            <wp:effectExtent l="0" t="0" r="190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17545" cy="1285240"/>
                    </a:xfrm>
                    <a:prstGeom prst="rect">
                      <a:avLst/>
                    </a:prstGeom>
                    <a:noFill/>
                    <a:ln>
                      <a:noFill/>
                    </a:ln>
                  </pic:spPr>
                </pic:pic>
              </a:graphicData>
            </a:graphic>
          </wp:inline>
        </w:drawing>
      </w:r>
    </w:p>
    <w:p>
      <w:pPr>
        <w:pStyle w:val="yMiscellaneousBody"/>
        <w:jc w:val="center"/>
        <w:rPr>
          <w:b/>
          <w:bCs/>
        </w:rPr>
      </w:pPr>
      <w:r>
        <w:rPr>
          <w:b/>
          <w:bCs/>
        </w:rPr>
        <w:t>Rear overhang and rear overhang line</w:t>
      </w:r>
    </w:p>
    <w:p>
      <w:pPr>
        <w:pStyle w:val="Graphics"/>
        <w:jc w:val="center"/>
      </w:pPr>
      <w:r>
        <w:drawing>
          <wp:inline distT="0" distB="0" distL="0" distR="0">
            <wp:extent cx="3036570" cy="130238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036570" cy="1302385"/>
                    </a:xfrm>
                    <a:prstGeom prst="rect">
                      <a:avLst/>
                    </a:prstGeom>
                    <a:noFill/>
                    <a:ln>
                      <a:noFill/>
                    </a:ln>
                  </pic:spPr>
                </pic:pic>
              </a:graphicData>
            </a:graphic>
          </wp:inline>
        </w:drawing>
      </w:r>
    </w:p>
    <w:p>
      <w:pPr>
        <w:pStyle w:val="yMiscellaneousHeading"/>
        <w:spacing w:before="120"/>
        <w:rPr>
          <w:b/>
          <w:bCs/>
        </w:rPr>
      </w:pPr>
      <w:r>
        <w:rPr>
          <w:b/>
          <w:bCs/>
        </w:rPr>
        <w:t>Rear overhang and rear overhang line —</w:t>
      </w:r>
      <w:r>
        <w:rPr>
          <w:b/>
          <w:bCs/>
        </w:rPr>
        <w:br/>
        <w:t>vehicle with tri</w:t>
      </w:r>
      <w:r>
        <w:rPr>
          <w:b/>
          <w:bCs/>
        </w:rPr>
        <w:noBreakHyphen/>
        <w:t>axle group at rear</w:t>
      </w:r>
    </w:p>
    <w:p>
      <w:pPr>
        <w:pStyle w:val="Graphics"/>
        <w:jc w:val="center"/>
      </w:pPr>
      <w:r>
        <w:drawing>
          <wp:inline distT="0" distB="0" distL="0" distR="0">
            <wp:extent cx="3286760" cy="1017905"/>
            <wp:effectExtent l="0" t="0" r="889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86760" cy="1017905"/>
                    </a:xfrm>
                    <a:prstGeom prst="rect">
                      <a:avLst/>
                    </a:prstGeom>
                    <a:noFill/>
                    <a:ln>
                      <a:noFill/>
                    </a:ln>
                  </pic:spPr>
                </pic:pic>
              </a:graphicData>
            </a:graphic>
          </wp:inline>
        </w:drawing>
      </w:r>
    </w:p>
    <w:p>
      <w:pPr>
        <w:pStyle w:val="yMiscellaneousHeading"/>
        <w:rPr>
          <w:b/>
          <w:bCs/>
        </w:rPr>
      </w:pPr>
      <w:r>
        <w:rPr>
          <w:b/>
          <w:bCs/>
        </w:rPr>
        <w:t>Rear overhang and rear overhang line — semi</w:t>
      </w:r>
      <w:r>
        <w:rPr>
          <w:b/>
          <w:bCs/>
        </w:rPr>
        <w:noBreakHyphen/>
        <w:t>trailer</w:t>
      </w:r>
    </w:p>
    <w:p>
      <w:pPr>
        <w:pStyle w:val="yDefstart"/>
        <w:spacing w:before="160"/>
      </w:pPr>
      <w:r>
        <w:tab/>
      </w:r>
      <w:r>
        <w:rPr>
          <w:rStyle w:val="CharDefText"/>
        </w:rPr>
        <w:t>relevant authority</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r>
      <w:r>
        <w:rPr>
          <w:rStyle w:val="CharDefText"/>
        </w:rPr>
        <w:t>repairable write</w:t>
      </w:r>
      <w:r>
        <w:rPr>
          <w:rStyle w:val="CharDefText"/>
        </w:rPr>
        <w:noBreakHyphen/>
        <w:t>of</w:t>
      </w:r>
      <w:r>
        <w:rPr>
          <w:rStyle w:val="CharDefText"/>
          <w:spacing w:val="20"/>
        </w:rPr>
        <w:t>f</w:t>
      </w:r>
      <w:r>
        <w:t xml:space="preserve"> has the same meaning as in regulation 2 of the </w:t>
      </w:r>
      <w:r>
        <w:rPr>
          <w:i/>
        </w:rPr>
        <w:t>Road Traffic (Written</w:t>
      </w:r>
      <w:r>
        <w:rPr>
          <w:i/>
        </w:rPr>
        <w:noBreakHyphen/>
        <w:t>Off Vehicle Register) Regulations 2003</w:t>
      </w:r>
      <w:r>
        <w:t>;</w:t>
      </w:r>
    </w:p>
    <w:p>
      <w:pPr>
        <w:pStyle w:val="yDefstart"/>
      </w:pPr>
      <w:r>
        <w:tab/>
      </w:r>
      <w:r>
        <w:rPr>
          <w:rStyle w:val="CharDefText"/>
        </w:rPr>
        <w:t>restricted access vehicle</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rStyle w:val="CharDefText"/>
        </w:rPr>
        <w:t>retractable axle</w:t>
      </w:r>
      <w:r>
        <w:t xml:space="preserve"> means an axle that can be raised so that the tyres on the axle do not touch the ground;</w:t>
      </w:r>
    </w:p>
    <w:p>
      <w:pPr>
        <w:pStyle w:val="yDefstart"/>
      </w:pPr>
      <w:r>
        <w:tab/>
      </w:r>
      <w:r>
        <w:rPr>
          <w:rStyle w:val="CharDefText"/>
        </w:rPr>
        <w:t>right</w:t>
      </w:r>
      <w:r>
        <w:t>, for a vehicle, means to the right of the centre of the vehicle when viewed by a person in the vehicle who is facing to the front of the vehicle;</w:t>
      </w:r>
    </w:p>
    <w:p>
      <w:pPr>
        <w:pStyle w:val="yDefstart"/>
      </w:pPr>
      <w:r>
        <w:tab/>
      </w:r>
      <w:r>
        <w:rPr>
          <w:rStyle w:val="CharDefText"/>
        </w:rPr>
        <w:t>road tank vehicle</w:t>
      </w:r>
      <w:r>
        <w:t xml:space="preserve"> has the same meaning as in the sixth edition of the </w:t>
      </w:r>
      <w:r>
        <w:rPr>
          <w:i/>
        </w:rPr>
        <w:t>Australian Code for the Transport of Dangerous Goods by Road and Rail</w:t>
      </w:r>
      <w:r>
        <w:t>;</w:t>
      </w:r>
    </w:p>
    <w:p>
      <w:pPr>
        <w:pStyle w:val="yDefstart"/>
        <w:spacing w:after="80"/>
      </w:pPr>
      <w:r>
        <w:tab/>
      </w:r>
      <w:r>
        <w:rPr>
          <w:rStyle w:val="CharDefText"/>
        </w:rPr>
        <w:t>road train</w:t>
      </w:r>
      <w:r>
        <w:t xml:space="preserve"> means a combination, except a B</w:t>
      </w:r>
      <w:r>
        <w:noBreakHyphen/>
        <w:t>double, consisting of a motor vehicle towing at least 2 trailers (counting as a single trailer a converter dolly supporting a semi</w:t>
      </w:r>
      <w:r>
        <w:noBreakHyphen/>
        <w:t>trailer);</w:t>
      </w:r>
    </w:p>
    <w:p>
      <w:pPr>
        <w:pStyle w:val="Graphics"/>
        <w:jc w:val="center"/>
      </w:pPr>
      <w:r>
        <w:drawing>
          <wp:inline distT="0" distB="0" distL="0" distR="0">
            <wp:extent cx="3597275" cy="387985"/>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597275" cy="387985"/>
                    </a:xfrm>
                    <a:prstGeom prst="rect">
                      <a:avLst/>
                    </a:prstGeom>
                    <a:noFill/>
                    <a:ln>
                      <a:noFill/>
                    </a:ln>
                  </pic:spPr>
                </pic:pic>
              </a:graphicData>
            </a:graphic>
          </wp:inline>
        </w:drawing>
      </w:r>
    </w:p>
    <w:p>
      <w:pPr>
        <w:pStyle w:val="yMiscellaneousHeading"/>
        <w:rPr>
          <w:b/>
          <w:bCs/>
        </w:rPr>
      </w:pPr>
      <w:r>
        <w:rPr>
          <w:b/>
          <w:bCs/>
        </w:rPr>
        <w:t>Road train</w:t>
      </w:r>
    </w:p>
    <w:p>
      <w:pPr>
        <w:pStyle w:val="yDefstart"/>
        <w:keepNext/>
        <w:spacing w:before="160"/>
      </w:pPr>
      <w:r>
        <w:tab/>
      </w:r>
      <w:r>
        <w:rPr>
          <w:rStyle w:val="CharDefText"/>
        </w:rPr>
        <w:t>school bus</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rStyle w:val="CharDefText"/>
        </w:rPr>
        <w:t>second edition ADR</w:t>
      </w:r>
      <w:r>
        <w:t xml:space="preserve"> has the meaning given by rule 11 of the Vehicle Standards;</w:t>
      </w:r>
    </w:p>
    <w:p>
      <w:pPr>
        <w:pStyle w:val="yDefstart"/>
      </w:pPr>
      <w:r>
        <w:tab/>
      </w:r>
      <w:r>
        <w:rPr>
          <w:rStyle w:val="CharDefText"/>
        </w:rPr>
        <w:t>semi</w:t>
      </w:r>
      <w:r>
        <w:rPr>
          <w:rStyle w:val="CharDefText"/>
        </w:rPr>
        <w:noBreakHyphen/>
        <w:t>trailer</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rStyle w:val="CharDefText"/>
        </w:rPr>
        <w:t>service brake</w:t>
      </w:r>
      <w:r>
        <w:t>, for a vehicle, means the brake normally used to decelerate the vehicle;</w:t>
      </w:r>
    </w:p>
    <w:p>
      <w:pPr>
        <w:pStyle w:val="yDefstart"/>
      </w:pPr>
      <w:r>
        <w:tab/>
      </w:r>
      <w:r>
        <w:rPr>
          <w:rStyle w:val="CharDefText"/>
        </w:rPr>
        <w:t>single axle</w:t>
      </w:r>
      <w:r>
        <w:t xml:space="preserve"> means an axle not forming part of an axle group;</w:t>
      </w:r>
    </w:p>
    <w:p>
      <w:pPr>
        <w:pStyle w:val="yDefstart"/>
      </w:pPr>
      <w:r>
        <w:tab/>
      </w:r>
      <w:r>
        <w:rPr>
          <w:rStyle w:val="CharDefText"/>
        </w:rPr>
        <w:t>single axle group</w:t>
      </w:r>
      <w:r>
        <w:t xml:space="preserve"> means a group of at least 2 axles in which the horizontal distance between the centres of the outermost axles is under 1 m;</w:t>
      </w:r>
    </w:p>
    <w:p>
      <w:pPr>
        <w:pStyle w:val="yDefstart"/>
      </w:pPr>
      <w:r>
        <w:tab/>
      </w:r>
      <w:r>
        <w:rPr>
          <w:rStyle w:val="CharDefText"/>
        </w:rPr>
        <w:t>special purpose vehicle</w:t>
      </w:r>
      <w:r>
        <w:t xml:space="preserve"> means a motor vehicle, other than a tow truck or an agricultural vehicle, built for a purpose other than carrying a load, except for water in the case of concrete pumps and fire trucks;</w:t>
      </w:r>
    </w:p>
    <w:p>
      <w:pPr>
        <w:pStyle w:val="yDefstart"/>
      </w:pPr>
      <w:r>
        <w:rPr>
          <w:b/>
        </w:rPr>
        <w:tab/>
      </w:r>
      <w:r>
        <w:rPr>
          <w:rStyle w:val="CharDefText"/>
        </w:rPr>
        <w:t>statutory write</w:t>
      </w:r>
      <w:r>
        <w:rPr>
          <w:rStyle w:val="CharDefText"/>
        </w:rPr>
        <w:noBreakHyphen/>
        <w:t>of</w:t>
      </w:r>
      <w:r>
        <w:rPr>
          <w:rStyle w:val="CharDefText"/>
          <w:spacing w:val="40"/>
        </w:rPr>
        <w:t>f</w:t>
      </w:r>
      <w:r>
        <w:t xml:space="preserve"> has the same meaning as in regulation 7 of the </w:t>
      </w:r>
      <w:r>
        <w:rPr>
          <w:i/>
        </w:rPr>
        <w:t>Road Traffic (Written</w:t>
      </w:r>
      <w:r>
        <w:rPr>
          <w:i/>
        </w:rPr>
        <w:noBreakHyphen/>
        <w:t>Off Vehicle Register) Regulations 2003</w:t>
      </w:r>
      <w:r>
        <w:t>;</w:t>
      </w:r>
    </w:p>
    <w:p>
      <w:pPr>
        <w:pStyle w:val="yDefstart"/>
      </w:pPr>
      <w:r>
        <w:tab/>
      </w:r>
      <w:r>
        <w:rPr>
          <w:rStyle w:val="CharDefText"/>
        </w:rPr>
        <w:t>tandem axle group</w:t>
      </w:r>
      <w:r>
        <w:t xml:space="preserve"> means a group of at least 2 axles in which the horizontal distance between the centres of the outermost axles is at least 1 m, but not over 2 m;</w:t>
      </w:r>
    </w:p>
    <w:p>
      <w:pPr>
        <w:pStyle w:val="yDefstart"/>
      </w:pPr>
      <w:r>
        <w:tab/>
      </w:r>
      <w:r>
        <w:rPr>
          <w:rStyle w:val="CharDefText"/>
        </w:rPr>
        <w:t>third edition ADR</w:t>
      </w:r>
      <w:r>
        <w:t xml:space="preserve"> has the meaning given by rule 12 of the Vehicle Standards;</w:t>
      </w:r>
    </w:p>
    <w:p>
      <w:pPr>
        <w:pStyle w:val="yDefstart"/>
      </w:pPr>
      <w:r>
        <w:tab/>
      </w:r>
      <w:r>
        <w:rPr>
          <w:rStyle w:val="CharDefText"/>
        </w:rPr>
        <w:t>trailer</w:t>
      </w:r>
      <w:r>
        <w:t xml:space="preserve"> means a vehicle without its own motive power that is built to be towed, or is towed, by a motor vehicle, but does not include a motor vehicle that is being towed;</w:t>
      </w:r>
    </w:p>
    <w:p>
      <w:pPr>
        <w:pStyle w:val="yDefstart"/>
      </w:pPr>
      <w:r>
        <w:tab/>
      </w:r>
      <w:r>
        <w:rPr>
          <w:rStyle w:val="CharDefText"/>
        </w:rPr>
        <w:t>transport enforcement vehicle</w:t>
      </w:r>
      <w:r>
        <w:t xml:space="preserve"> means a vehicle in respect of which a declaration under subclause (3)(b) is in force;</w:t>
      </w:r>
    </w:p>
    <w:p>
      <w:pPr>
        <w:pStyle w:val="yDefstart"/>
      </w:pPr>
      <w:r>
        <w:tab/>
      </w:r>
      <w:r>
        <w:rPr>
          <w:rStyle w:val="CharDefText"/>
        </w:rPr>
        <w:t>tri</w:t>
      </w:r>
      <w:r>
        <w:rPr>
          <w:rStyle w:val="CharDefText"/>
        </w:rPr>
        <w:noBreakHyphen/>
        <w:t>axle group</w:t>
      </w:r>
      <w:r>
        <w:t xml:space="preserve"> means a group of at least 3 axles in which the horizontal distance between the centres of the outermost axles is over 2 m, but not over 3.2 m;</w:t>
      </w:r>
    </w:p>
    <w:p>
      <w:pPr>
        <w:pStyle w:val="yDefstart"/>
      </w:pPr>
      <w:r>
        <w:tab/>
      </w:r>
      <w:r>
        <w:rPr>
          <w:rStyle w:val="CharDefText"/>
        </w:rPr>
        <w:t>turntable</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rStyle w:val="CharDefText"/>
        </w:rPr>
        <w:t>twinsteer axle group</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pPr>
      <w:r>
        <w:tab/>
        <w:t>(c)</w:t>
      </w:r>
      <w:r>
        <w:tab/>
        <w:t>the horizontal distance between the centres of which is at least 1 m, but not over 2 m;</w:t>
      </w:r>
    </w:p>
    <w:p>
      <w:pPr>
        <w:pStyle w:val="Graphics"/>
        <w:jc w:val="center"/>
      </w:pPr>
      <w:r>
        <w:drawing>
          <wp:inline distT="0" distB="0" distL="0" distR="0">
            <wp:extent cx="2673985" cy="1518285"/>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673985" cy="1518285"/>
                    </a:xfrm>
                    <a:prstGeom prst="rect">
                      <a:avLst/>
                    </a:prstGeom>
                    <a:noFill/>
                    <a:ln>
                      <a:noFill/>
                    </a:ln>
                  </pic:spPr>
                </pic:pic>
              </a:graphicData>
            </a:graphic>
          </wp:inline>
        </w:drawing>
      </w:r>
    </w:p>
    <w:p>
      <w:pPr>
        <w:pStyle w:val="yDefstart"/>
      </w:pPr>
      <w: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rStyle w:val="CharDefText"/>
        </w:rPr>
        <w:t>vacuum brakes</w:t>
      </w:r>
      <w:r>
        <w:t xml:space="preserve"> means vacuum</w:t>
      </w:r>
      <w:r>
        <w:noBreakHyphen/>
        <w:t>operated or vacuum</w:t>
      </w:r>
      <w:r>
        <w:noBreakHyphen/>
        <w:t>assisted brakes;</w:t>
      </w:r>
    </w:p>
    <w:p>
      <w:pPr>
        <w:pStyle w:val="yDefstart"/>
      </w:pPr>
      <w:r>
        <w:tab/>
      </w:r>
      <w:r>
        <w:rPr>
          <w:rStyle w:val="CharDefText"/>
        </w:rPr>
        <w:t>vehicle</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rStyle w:val="CharDefText"/>
        </w:rPr>
        <w:t>vehicle examiner</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 xml:space="preserve">Road Traffic (Vehicle Licensing) Regulations 1975 </w:t>
      </w:r>
      <w:r>
        <w:rPr>
          <w:iCs/>
          <w:vertAlign w:val="superscript"/>
        </w:rPr>
        <w:t>3</w:t>
      </w:r>
      <w:r>
        <w:t>;</w:t>
      </w:r>
    </w:p>
    <w:p>
      <w:pPr>
        <w:pStyle w:val="yDefstart"/>
      </w:pPr>
      <w:r>
        <w:tab/>
      </w:r>
      <w:r>
        <w:rPr>
          <w:rStyle w:val="CharDefText"/>
        </w:rPr>
        <w:t>vehicle for which a person is responsible</w:t>
      </w:r>
      <w:r>
        <w:t xml:space="preserve"> means a vehicle for which the person is a responsible person;</w:t>
      </w:r>
    </w:p>
    <w:p>
      <w:pPr>
        <w:pStyle w:val="yDefstart"/>
      </w:pPr>
      <w:r>
        <w:tab/>
      </w:r>
      <w:r>
        <w:rPr>
          <w:rStyle w:val="CharDefText"/>
        </w:rPr>
        <w:t>vehicle registration authority</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rStyle w:val="CharDefText"/>
        </w:rPr>
        <w:t>Vehicle Standards</w:t>
      </w:r>
      <w:r>
        <w:t xml:space="preserve"> means the </w:t>
      </w:r>
      <w:r>
        <w:rPr>
          <w:i/>
        </w:rPr>
        <w:t>Road Traffic (Vehicle Standards) Rules 2002</w:t>
      </w:r>
      <w:r>
        <w:t>;</w:t>
      </w:r>
    </w:p>
    <w:p>
      <w:pPr>
        <w:pStyle w:val="yDefstart"/>
      </w:pPr>
      <w:r>
        <w:tab/>
      </w:r>
      <w:r>
        <w:rPr>
          <w:rStyle w:val="CharDefText"/>
        </w:rPr>
        <w:t>warning light</w:t>
      </w:r>
      <w:r>
        <w:t xml:space="preserve"> means a light that complies with the specifications in Schedule 2 Division 6;</w:t>
      </w:r>
    </w:p>
    <w:p>
      <w:pPr>
        <w:pStyle w:val="yDefstart"/>
      </w:pPr>
      <w:r>
        <w:tab/>
      </w:r>
      <w:r>
        <w:rPr>
          <w:rStyle w:val="CharDefText"/>
        </w:rPr>
        <w:t>warning sign</w:t>
      </w:r>
      <w:r>
        <w:t xml:space="preserve"> means a sign that complies with the specifications in Schedule 2 Division 7;</w:t>
      </w:r>
    </w:p>
    <w:p>
      <w:pPr>
        <w:pStyle w:val="yDefstart"/>
      </w:pPr>
      <w:r>
        <w:tab/>
      </w:r>
      <w:r>
        <w:rPr>
          <w:rStyle w:val="CharDefText"/>
        </w:rPr>
        <w:t>wheelbase</w:t>
      </w:r>
      <w:r>
        <w:t>, in relation to a vehicle, means the distance from the centre of the vehicle’s foremost axle to the rear overhang line;</w:t>
      </w:r>
    </w:p>
    <w:p>
      <w:pPr>
        <w:pStyle w:val="y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rStyle w:val="CharDefText"/>
        </w:rPr>
        <w:t>yellow</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w:t>
      </w:r>
      <w:r>
        <w:noBreakHyphen/>
        <w:t>2; 23 Dec 2005 p. 6283; 10 Jun 2008 p. 2465; 19 Feb 2013 p. 994.]</w:t>
      </w:r>
    </w:p>
    <w:p>
      <w:pPr>
        <w:pStyle w:val="yHeading5"/>
        <w:spacing w:before="160"/>
      </w:pPr>
      <w:bookmarkStart w:id="583" w:name="_Toc407625793"/>
      <w:bookmarkStart w:id="584" w:name="_Toc417033674"/>
      <w:bookmarkStart w:id="585" w:name="_Toc33775961"/>
      <w:r>
        <w:rPr>
          <w:rStyle w:val="CharSClsNo"/>
        </w:rPr>
        <w:t>2</w:t>
      </w:r>
      <w:r>
        <w:t>.</w:t>
      </w:r>
      <w:r>
        <w:tab/>
        <w:t>Diagrams</w:t>
      </w:r>
      <w:bookmarkEnd w:id="583"/>
      <w:bookmarkEnd w:id="584"/>
      <w:bookmarkEnd w:id="585"/>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p>
    <w:p>
      <w:pPr>
        <w:sectPr>
          <w:headerReference w:type="even" r:id="rId57"/>
          <w:headerReference w:type="default" r:id="rId58"/>
          <w:pgSz w:w="11907" w:h="16840" w:code="9"/>
          <w:pgMar w:top="2376" w:right="2405" w:bottom="3542" w:left="2405" w:header="706" w:footer="3380" w:gutter="0"/>
          <w:cols w:space="720"/>
          <w:noEndnote/>
          <w:docGrid w:linePitch="326"/>
        </w:sectPr>
      </w:pPr>
    </w:p>
    <w:p>
      <w:pPr>
        <w:pStyle w:val="nHeading2"/>
      </w:pPr>
      <w:bookmarkStart w:id="586" w:name="_Toc407625794"/>
      <w:bookmarkStart w:id="587" w:name="_Toc417033491"/>
      <w:bookmarkStart w:id="588" w:name="_Toc417033675"/>
      <w:bookmarkStart w:id="589" w:name="_Toc33775962"/>
      <w:r>
        <w:t>Notes</w:t>
      </w:r>
      <w:bookmarkEnd w:id="586"/>
      <w:bookmarkEnd w:id="587"/>
      <w:bookmarkEnd w:id="588"/>
      <w:bookmarkEnd w:id="58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Regulations 2002</w:t>
      </w:r>
      <w:r>
        <w:rPr>
          <w:snapToGrid w:val="0"/>
        </w:rPr>
        <w:t xml:space="preserve"> and includes the amendments made by the other written laws referred to in the following table</w:t>
      </w:r>
      <w:ins w:id="590" w:author="Master Repository Process" w:date="2021-09-12T13:09:00Z">
        <w:r>
          <w:rPr>
            <w:snapToGrid w:val="0"/>
          </w:rPr>
          <w:t> </w:t>
        </w:r>
        <w:r>
          <w:rPr>
            <w:snapToGrid w:val="0"/>
            <w:vertAlign w:val="superscript"/>
          </w:rPr>
          <w:t>1a</w:t>
        </w:r>
      </w:ins>
      <w:r>
        <w:rPr>
          <w:snapToGrid w:val="0"/>
        </w:rPr>
        <w:t>.  The table also contains information about any reprint.</w:t>
      </w:r>
    </w:p>
    <w:p>
      <w:pPr>
        <w:pStyle w:val="nHeading3"/>
      </w:pPr>
      <w:bookmarkStart w:id="591" w:name="_Toc407625795"/>
      <w:bookmarkStart w:id="592" w:name="_Toc417033676"/>
      <w:bookmarkStart w:id="593" w:name="_Toc33775963"/>
      <w:r>
        <w:t>Compilation table</w:t>
      </w:r>
      <w:bookmarkEnd w:id="591"/>
      <w:bookmarkEnd w:id="592"/>
      <w:bookmarkEnd w:id="5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Road Traffic (Vehicle Standards) Regulations 2002</w:t>
            </w:r>
          </w:p>
        </w:tc>
        <w:tc>
          <w:tcPr>
            <w:tcW w:w="1276" w:type="dxa"/>
            <w:tcBorders>
              <w:top w:val="single" w:sz="8" w:space="0" w:color="auto"/>
            </w:tcBorders>
          </w:tcPr>
          <w:p>
            <w:pPr>
              <w:pStyle w:val="nTable"/>
              <w:spacing w:after="40"/>
            </w:pPr>
            <w:r>
              <w:t>9 Aug 2002 p. 3903</w:t>
            </w:r>
            <w:r>
              <w:noBreakHyphen/>
              <w:t>4020</w:t>
            </w:r>
          </w:p>
        </w:tc>
        <w:tc>
          <w:tcPr>
            <w:tcW w:w="2693" w:type="dxa"/>
            <w:tcBorders>
              <w:top w:val="single" w:sz="8" w:space="0" w:color="auto"/>
            </w:tcBorders>
          </w:tcPr>
          <w:p>
            <w:pPr>
              <w:pStyle w:val="nTable"/>
              <w:spacing w:after="40"/>
            </w:pPr>
            <w:r>
              <w:t>1 Nov 2002 (see r. 2)</w:t>
            </w:r>
          </w:p>
        </w:tc>
      </w:tr>
      <w:tr>
        <w:tc>
          <w:tcPr>
            <w:tcW w:w="3118" w:type="dxa"/>
          </w:tcPr>
          <w:p>
            <w:pPr>
              <w:pStyle w:val="nTable"/>
              <w:spacing w:after="40"/>
            </w:pPr>
            <w:r>
              <w:rPr>
                <w:i/>
              </w:rPr>
              <w:t>Road Traffic (Vehicle Standards 2002) Amendment Regulations 2002</w:t>
            </w:r>
            <w:r>
              <w:t xml:space="preserve"> </w:t>
            </w:r>
          </w:p>
        </w:tc>
        <w:tc>
          <w:tcPr>
            <w:tcW w:w="1276" w:type="dxa"/>
          </w:tcPr>
          <w:p>
            <w:pPr>
              <w:pStyle w:val="nTable"/>
              <w:spacing w:after="40"/>
            </w:pPr>
            <w:r>
              <w:t>3 Jan 2003 p. 5</w:t>
            </w:r>
            <w:r>
              <w:noBreakHyphen/>
              <w:t>11</w:t>
            </w:r>
          </w:p>
        </w:tc>
        <w:tc>
          <w:tcPr>
            <w:tcW w:w="2693" w:type="dxa"/>
          </w:tcPr>
          <w:p>
            <w:pPr>
              <w:pStyle w:val="nTable"/>
              <w:spacing w:after="40"/>
            </w:pPr>
            <w:r>
              <w:t>3 Jan 2003</w:t>
            </w:r>
          </w:p>
        </w:tc>
      </w:tr>
      <w:tr>
        <w:tc>
          <w:tcPr>
            <w:tcW w:w="3118" w:type="dxa"/>
          </w:tcPr>
          <w:p>
            <w:pPr>
              <w:pStyle w:val="nTable"/>
              <w:spacing w:after="40"/>
              <w:rPr>
                <w:i/>
              </w:rPr>
            </w:pPr>
            <w:r>
              <w:rPr>
                <w:i/>
              </w:rPr>
              <w:t>Road Traffic (Vehicle Standards) Amendment Regulations 2003</w:t>
            </w:r>
          </w:p>
        </w:tc>
        <w:tc>
          <w:tcPr>
            <w:tcW w:w="1276" w:type="dxa"/>
          </w:tcPr>
          <w:p>
            <w:pPr>
              <w:pStyle w:val="nTable"/>
              <w:spacing w:after="40"/>
            </w:pPr>
            <w:r>
              <w:t>20 May 2003 p. 1806</w:t>
            </w:r>
            <w:r>
              <w:noBreakHyphen/>
              <w:t>7</w:t>
            </w:r>
          </w:p>
        </w:tc>
        <w:tc>
          <w:tcPr>
            <w:tcW w:w="2693" w:type="dxa"/>
          </w:tcPr>
          <w:p>
            <w:pPr>
              <w:pStyle w:val="nTable"/>
              <w:spacing w:after="40"/>
            </w:pPr>
            <w:r>
              <w:t>1 Jul 2003 (see r. 2)</w:t>
            </w:r>
          </w:p>
        </w:tc>
      </w:tr>
      <w:tr>
        <w:tc>
          <w:tcPr>
            <w:tcW w:w="3118" w:type="dxa"/>
          </w:tcPr>
          <w:p>
            <w:pPr>
              <w:pStyle w:val="nTable"/>
              <w:spacing w:after="40"/>
              <w:rPr>
                <w:i/>
              </w:rPr>
            </w:pPr>
            <w:r>
              <w:rPr>
                <w:i/>
              </w:rPr>
              <w:t>Road Traffic (Vehicle Standards) Amendment Regulations (No. 3) 2003</w:t>
            </w:r>
          </w:p>
        </w:tc>
        <w:tc>
          <w:tcPr>
            <w:tcW w:w="1276" w:type="dxa"/>
          </w:tcPr>
          <w:p>
            <w:pPr>
              <w:pStyle w:val="nTable"/>
              <w:spacing w:after="40"/>
            </w:pPr>
            <w:r>
              <w:t>31 Oct 2003 p. 4568</w:t>
            </w:r>
            <w:r>
              <w:noBreakHyphen/>
              <w:t>9</w:t>
            </w:r>
          </w:p>
        </w:tc>
        <w:tc>
          <w:tcPr>
            <w:tcW w:w="2693" w:type="dxa"/>
          </w:tcPr>
          <w:p>
            <w:pPr>
              <w:pStyle w:val="nTable"/>
              <w:spacing w:after="40"/>
            </w:pPr>
            <w:r>
              <w:t>31 Oct 2003</w:t>
            </w:r>
          </w:p>
        </w:tc>
      </w:tr>
      <w:tr>
        <w:tc>
          <w:tcPr>
            <w:tcW w:w="3118" w:type="dxa"/>
          </w:tcPr>
          <w:p>
            <w:pPr>
              <w:pStyle w:val="nTable"/>
              <w:spacing w:after="40"/>
              <w:rPr>
                <w:vertAlign w:val="superscript"/>
              </w:rPr>
            </w:pPr>
            <w:r>
              <w:rPr>
                <w:i/>
              </w:rPr>
              <w:t xml:space="preserve">Road Traffic (Vehicle Standards) Amendment Regulations (No. 2) 2004 </w:t>
            </w:r>
          </w:p>
        </w:tc>
        <w:tc>
          <w:tcPr>
            <w:tcW w:w="1276" w:type="dxa"/>
          </w:tcPr>
          <w:p>
            <w:pPr>
              <w:pStyle w:val="nTable"/>
              <w:spacing w:after="40"/>
            </w:pPr>
            <w:r>
              <w:t>28 May 2004 p. 1842</w:t>
            </w:r>
          </w:p>
        </w:tc>
        <w:tc>
          <w:tcPr>
            <w:tcW w:w="2693" w:type="dxa"/>
          </w:tcPr>
          <w:p>
            <w:pPr>
              <w:pStyle w:val="nTable"/>
              <w:spacing w:after="40"/>
            </w:pPr>
            <w:r>
              <w:t>1 Jul 2004 (see r. 2)</w:t>
            </w:r>
          </w:p>
        </w:tc>
      </w:tr>
      <w:tr>
        <w:tc>
          <w:tcPr>
            <w:tcW w:w="3118" w:type="dxa"/>
          </w:tcPr>
          <w:p>
            <w:pPr>
              <w:pStyle w:val="nTable"/>
              <w:spacing w:after="40"/>
              <w:rPr>
                <w:i/>
              </w:rPr>
            </w:pPr>
            <w:r>
              <w:rPr>
                <w:i/>
              </w:rPr>
              <w:t>Road Traffic (Vehicle Standards) Amendment Regulations (No. 3) 2005</w:t>
            </w:r>
          </w:p>
        </w:tc>
        <w:tc>
          <w:tcPr>
            <w:tcW w:w="1276" w:type="dxa"/>
          </w:tcPr>
          <w:p>
            <w:pPr>
              <w:pStyle w:val="nTable"/>
              <w:spacing w:after="40"/>
            </w:pPr>
            <w:r>
              <w:t>19 Apr 2005 p. 1302</w:t>
            </w:r>
            <w:r>
              <w:noBreakHyphen/>
              <w:t>3</w:t>
            </w:r>
          </w:p>
        </w:tc>
        <w:tc>
          <w:tcPr>
            <w:tcW w:w="2693" w:type="dxa"/>
          </w:tcPr>
          <w:p>
            <w:pPr>
              <w:pStyle w:val="nTable"/>
              <w:spacing w:after="40"/>
            </w:pPr>
            <w:r>
              <w:t>19 Apr 2005</w:t>
            </w:r>
          </w:p>
        </w:tc>
      </w:tr>
      <w:tr>
        <w:tc>
          <w:tcPr>
            <w:tcW w:w="3118" w:type="dxa"/>
          </w:tcPr>
          <w:p>
            <w:pPr>
              <w:pStyle w:val="nTable"/>
              <w:spacing w:after="40"/>
              <w:rPr>
                <w:i/>
              </w:rPr>
            </w:pPr>
            <w:r>
              <w:rPr>
                <w:i/>
              </w:rPr>
              <w:t>Road Traffic (Vehicle Standards) Amendment Regulations (No. 2) 2005</w:t>
            </w:r>
          </w:p>
        </w:tc>
        <w:tc>
          <w:tcPr>
            <w:tcW w:w="1276" w:type="dxa"/>
          </w:tcPr>
          <w:p>
            <w:pPr>
              <w:pStyle w:val="nTable"/>
              <w:spacing w:after="40"/>
            </w:pPr>
            <w:r>
              <w:t>27 May 2005 p. 2313</w:t>
            </w:r>
            <w:r>
              <w:noBreakHyphen/>
              <w:t>14</w:t>
            </w:r>
          </w:p>
        </w:tc>
        <w:tc>
          <w:tcPr>
            <w:tcW w:w="2693" w:type="dxa"/>
          </w:tcPr>
          <w:p>
            <w:pPr>
              <w:pStyle w:val="nTable"/>
              <w:spacing w:after="40"/>
            </w:pPr>
            <w:r>
              <w:t>27 May 2005</w:t>
            </w:r>
          </w:p>
        </w:tc>
      </w:tr>
      <w:tr>
        <w:tc>
          <w:tcPr>
            <w:tcW w:w="3118" w:type="dxa"/>
          </w:tcPr>
          <w:p>
            <w:pPr>
              <w:pStyle w:val="nTable"/>
              <w:spacing w:after="40"/>
              <w:rPr>
                <w:iCs/>
                <w:vertAlign w:val="superscript"/>
              </w:rPr>
            </w:pPr>
            <w:r>
              <w:rPr>
                <w:i/>
              </w:rPr>
              <w:t>Road Traffic (Vehicle Standards) Amendment Regulations (No. 5) 2005</w:t>
            </w:r>
          </w:p>
        </w:tc>
        <w:tc>
          <w:tcPr>
            <w:tcW w:w="1276" w:type="dxa"/>
          </w:tcPr>
          <w:p>
            <w:pPr>
              <w:pStyle w:val="nTable"/>
              <w:spacing w:after="40"/>
            </w:pPr>
            <w:r>
              <w:t>27 May 2005 p. 2314</w:t>
            </w:r>
            <w:r>
              <w:noBreakHyphen/>
              <w:t>15</w:t>
            </w:r>
          </w:p>
        </w:tc>
        <w:tc>
          <w:tcPr>
            <w:tcW w:w="2693" w:type="dxa"/>
          </w:tcPr>
          <w:p>
            <w:pPr>
              <w:pStyle w:val="nTable"/>
              <w:spacing w:after="40"/>
            </w:pPr>
            <w:r>
              <w:t>1 Jul 2005 (see r. 2)</w:t>
            </w:r>
          </w:p>
        </w:tc>
      </w:tr>
      <w:tr>
        <w:tc>
          <w:tcPr>
            <w:tcW w:w="3118" w:type="dxa"/>
          </w:tcPr>
          <w:p>
            <w:pPr>
              <w:pStyle w:val="nTable"/>
              <w:spacing w:after="40"/>
              <w:rPr>
                <w:i/>
              </w:rPr>
            </w:pPr>
            <w:r>
              <w:rPr>
                <w:i/>
              </w:rPr>
              <w:t>Road Traffic (Vehicle Standards) Amendment Regulations (No. 4) 2005</w:t>
            </w:r>
          </w:p>
        </w:tc>
        <w:tc>
          <w:tcPr>
            <w:tcW w:w="1276" w:type="dxa"/>
          </w:tcPr>
          <w:p>
            <w:pPr>
              <w:pStyle w:val="nTable"/>
              <w:spacing w:after="40"/>
            </w:pPr>
            <w:r>
              <w:t>16 Sep 2005 p. 4326</w:t>
            </w:r>
            <w:r>
              <w:noBreakHyphen/>
              <w:t>7</w:t>
            </w:r>
          </w:p>
        </w:tc>
        <w:tc>
          <w:tcPr>
            <w:tcW w:w="2693" w:type="dxa"/>
          </w:tcPr>
          <w:p>
            <w:pPr>
              <w:pStyle w:val="nTable"/>
              <w:spacing w:after="40"/>
            </w:pPr>
            <w:r>
              <w:t>16 Sep 2005</w:t>
            </w:r>
          </w:p>
        </w:tc>
      </w:tr>
      <w:tr>
        <w:trPr>
          <w:cantSplit/>
        </w:trPr>
        <w:tc>
          <w:tcPr>
            <w:tcW w:w="7087" w:type="dxa"/>
            <w:gridSpan w:val="3"/>
          </w:tcPr>
          <w:p>
            <w:pPr>
              <w:pStyle w:val="nTable"/>
              <w:spacing w:after="40"/>
            </w:pPr>
            <w:r>
              <w:rPr>
                <w:b/>
                <w:bCs/>
              </w:rPr>
              <w:t xml:space="preserve">Reprint 1: The </w:t>
            </w:r>
            <w:r>
              <w:rPr>
                <w:b/>
                <w:bCs/>
                <w:i/>
              </w:rPr>
              <w:t xml:space="preserve">Road Traffic (Vehicle Standards) Regulations 2002 </w:t>
            </w:r>
            <w:r>
              <w:rPr>
                <w:b/>
                <w:bCs/>
                <w:iCs/>
              </w:rPr>
              <w:t>as at 2 Dec 2005</w:t>
            </w:r>
            <w:r>
              <w:rPr>
                <w:iCs/>
              </w:rPr>
              <w:t xml:space="preserve"> (includes amendments listed above)</w:t>
            </w:r>
          </w:p>
        </w:tc>
      </w:tr>
      <w:tr>
        <w:trPr>
          <w:cantSplit/>
        </w:trPr>
        <w:tc>
          <w:tcPr>
            <w:tcW w:w="3118" w:type="dxa"/>
          </w:tcPr>
          <w:p>
            <w:pPr>
              <w:pStyle w:val="nTable"/>
              <w:spacing w:after="40"/>
              <w:rPr>
                <w:i/>
                <w:iCs/>
              </w:rPr>
            </w:pPr>
            <w:r>
              <w:rPr>
                <w:i/>
                <w:iCs/>
              </w:rPr>
              <w:t>Road Traffic (Vehicle Standards) Amendment Regulations 2005</w:t>
            </w:r>
          </w:p>
        </w:tc>
        <w:tc>
          <w:tcPr>
            <w:tcW w:w="1276" w:type="dxa"/>
          </w:tcPr>
          <w:p>
            <w:pPr>
              <w:pStyle w:val="nTable"/>
              <w:spacing w:after="40"/>
            </w:pPr>
            <w:r>
              <w:t>13 Dec 2005 p. 5988</w:t>
            </w:r>
            <w:r>
              <w:noBreakHyphen/>
              <w:t>92</w:t>
            </w:r>
          </w:p>
        </w:tc>
        <w:tc>
          <w:tcPr>
            <w:tcW w:w="2693" w:type="dxa"/>
          </w:tcPr>
          <w:p>
            <w:pPr>
              <w:pStyle w:val="nTable"/>
              <w:spacing w:after="40"/>
            </w:pPr>
            <w:r>
              <w:t>13 Dec 2005</w:t>
            </w:r>
          </w:p>
        </w:tc>
      </w:tr>
      <w:tr>
        <w:trPr>
          <w:cantSplit/>
        </w:trPr>
        <w:tc>
          <w:tcPr>
            <w:tcW w:w="3118" w:type="dxa"/>
          </w:tcPr>
          <w:p>
            <w:pPr>
              <w:pStyle w:val="nTable"/>
              <w:spacing w:after="40"/>
              <w:rPr>
                <w:i/>
                <w:iCs/>
              </w:rPr>
            </w:pPr>
            <w:r>
              <w:rPr>
                <w:i/>
                <w:iCs/>
              </w:rPr>
              <w:t>Road Traffic (Vehicle Standards) Amendment Regulations (No. 6) 2005</w:t>
            </w:r>
          </w:p>
        </w:tc>
        <w:tc>
          <w:tcPr>
            <w:tcW w:w="1276" w:type="dxa"/>
          </w:tcPr>
          <w:p>
            <w:pPr>
              <w:pStyle w:val="nTable"/>
              <w:spacing w:after="40"/>
            </w:pPr>
            <w:r>
              <w:t>23 Dec 2005 p. 6281</w:t>
            </w:r>
            <w:r>
              <w:noBreakHyphen/>
              <w:t>3</w:t>
            </w:r>
          </w:p>
        </w:tc>
        <w:tc>
          <w:tcPr>
            <w:tcW w:w="2693" w:type="dxa"/>
          </w:tcPr>
          <w:p>
            <w:pPr>
              <w:pStyle w:val="nTable"/>
              <w:spacing w:after="40"/>
            </w:pPr>
            <w:r>
              <w:t xml:space="preserve">1 Jan 2006 (see r. 2 and </w:t>
            </w:r>
            <w:r>
              <w:rPr>
                <w:i/>
                <w:iCs/>
              </w:rPr>
              <w:t>Gazette</w:t>
            </w:r>
            <w:r>
              <w:t xml:space="preserve"> 23 Dec 2005 p. 6244</w:t>
            </w:r>
            <w:r>
              <w:noBreakHyphen/>
              <w:t>5)</w:t>
            </w:r>
          </w:p>
        </w:tc>
      </w:tr>
      <w:tr>
        <w:trPr>
          <w:cantSplit/>
        </w:trPr>
        <w:tc>
          <w:tcPr>
            <w:tcW w:w="3118" w:type="dxa"/>
          </w:tcPr>
          <w:p>
            <w:pPr>
              <w:pStyle w:val="nTable"/>
              <w:spacing w:after="40"/>
              <w:rPr>
                <w:i/>
                <w:iCs/>
              </w:rPr>
            </w:pPr>
            <w:r>
              <w:rPr>
                <w:i/>
              </w:rPr>
              <w:t>Road Traffic (Vehicle Standards) Amendment Regulations (No. 2) 2006</w:t>
            </w:r>
            <w:r>
              <w:rPr>
                <w:iCs/>
              </w:rPr>
              <w:t xml:space="preserve"> </w:t>
            </w:r>
          </w:p>
        </w:tc>
        <w:tc>
          <w:tcPr>
            <w:tcW w:w="1276" w:type="dxa"/>
          </w:tcPr>
          <w:p>
            <w:pPr>
              <w:pStyle w:val="nTable"/>
              <w:spacing w:after="40"/>
            </w:pPr>
            <w:r>
              <w:t>26 May 2006 p. 1883</w:t>
            </w:r>
            <w:r>
              <w:noBreakHyphen/>
              <w:t>4</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Road Traffic (Vehicle Standards) Amendment Regulations (No. 3) 2006</w:t>
            </w:r>
          </w:p>
        </w:tc>
        <w:tc>
          <w:tcPr>
            <w:tcW w:w="1276" w:type="dxa"/>
          </w:tcPr>
          <w:p>
            <w:pPr>
              <w:pStyle w:val="nTable"/>
              <w:spacing w:after="40"/>
            </w:pPr>
            <w:r>
              <w:t>23 Jun 2006 p. 2225</w:t>
            </w:r>
            <w:r>
              <w:noBreakHyphen/>
              <w:t>6</w:t>
            </w:r>
          </w:p>
        </w:tc>
        <w:tc>
          <w:tcPr>
            <w:tcW w:w="2693" w:type="dxa"/>
          </w:tcPr>
          <w:p>
            <w:pPr>
              <w:pStyle w:val="nTable"/>
              <w:spacing w:after="40"/>
            </w:pPr>
            <w:r>
              <w:t>1 Jul 2006 (see r. 2)</w:t>
            </w:r>
          </w:p>
        </w:tc>
      </w:tr>
      <w:tr>
        <w:trPr>
          <w:cantSplit/>
        </w:trPr>
        <w:tc>
          <w:tcPr>
            <w:tcW w:w="3118" w:type="dxa"/>
          </w:tcPr>
          <w:p>
            <w:pPr>
              <w:pStyle w:val="nTable"/>
              <w:spacing w:after="40"/>
              <w:rPr>
                <w:i/>
              </w:rPr>
            </w:pPr>
            <w:r>
              <w:rPr>
                <w:i/>
                <w:iCs/>
              </w:rPr>
              <w:t>Road Traffic (Vehicle Standards) Amendment Regulations 2006</w:t>
            </w:r>
          </w:p>
        </w:tc>
        <w:tc>
          <w:tcPr>
            <w:tcW w:w="1276" w:type="dxa"/>
          </w:tcPr>
          <w:p>
            <w:pPr>
              <w:pStyle w:val="nTable"/>
              <w:spacing w:after="40"/>
            </w:pPr>
            <w:r>
              <w:t>28 Nov 2006 p. 4895</w:t>
            </w:r>
            <w:r>
              <w:noBreakHyphen/>
              <w:t>6</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7087" w:type="dxa"/>
            <w:gridSpan w:val="3"/>
          </w:tcPr>
          <w:p>
            <w:pPr>
              <w:pStyle w:val="nTable"/>
              <w:spacing w:after="40"/>
            </w:pPr>
            <w:r>
              <w:rPr>
                <w:b/>
                <w:bCs/>
              </w:rPr>
              <w:t xml:space="preserve">Reprint 2: The </w:t>
            </w:r>
            <w:r>
              <w:rPr>
                <w:b/>
                <w:bCs/>
                <w:i/>
              </w:rPr>
              <w:t xml:space="preserve">Road Traffic (Vehicle Standards) Regulations 2002 </w:t>
            </w:r>
            <w:r>
              <w:rPr>
                <w:b/>
                <w:bCs/>
                <w:iCs/>
              </w:rPr>
              <w:t>as at 12 Jan 2007</w:t>
            </w:r>
            <w:r>
              <w:rPr>
                <w:iCs/>
              </w:rPr>
              <w:t xml:space="preserve"> (includes amendments listed above)</w:t>
            </w:r>
          </w:p>
        </w:tc>
      </w:tr>
      <w:tr>
        <w:trPr>
          <w:cantSplit/>
        </w:trPr>
        <w:tc>
          <w:tcPr>
            <w:tcW w:w="3118" w:type="dxa"/>
          </w:tcPr>
          <w:p>
            <w:pPr>
              <w:pStyle w:val="nTable"/>
              <w:spacing w:after="40"/>
              <w:rPr>
                <w:i/>
              </w:rPr>
            </w:pPr>
            <w:r>
              <w:rPr>
                <w:i/>
              </w:rPr>
              <w:t xml:space="preserve">Road Traffic Consequential Amendment Regulations 2008 </w:t>
            </w:r>
            <w:r>
              <w:rPr>
                <w:iCs/>
              </w:rPr>
              <w:t>Pt. 5</w:t>
            </w:r>
          </w:p>
        </w:tc>
        <w:tc>
          <w:tcPr>
            <w:tcW w:w="1276" w:type="dxa"/>
          </w:tcPr>
          <w:p>
            <w:pPr>
              <w:pStyle w:val="nTable"/>
              <w:spacing w:after="40"/>
            </w:pPr>
            <w:r>
              <w:t>10 Jun 2008 p. 2449-67</w:t>
            </w:r>
          </w:p>
        </w:tc>
        <w:tc>
          <w:tcPr>
            <w:tcW w:w="2693" w:type="dxa"/>
          </w:tcPr>
          <w:p>
            <w:pPr>
              <w:pStyle w:val="nTable"/>
              <w:spacing w:after="40"/>
            </w:pP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iCs/>
              </w:rPr>
              <w:t>Road Traffic (Vehicle Standards) Amendment Regulations 2011</w:t>
            </w:r>
          </w:p>
        </w:tc>
        <w:tc>
          <w:tcPr>
            <w:tcW w:w="1276" w:type="dxa"/>
          </w:tcPr>
          <w:p>
            <w:pPr>
              <w:pStyle w:val="nTable"/>
              <w:spacing w:after="40"/>
            </w:pPr>
            <w:r>
              <w:t>25 Feb 2011 p. 659</w:t>
            </w:r>
          </w:p>
        </w:tc>
        <w:tc>
          <w:tcPr>
            <w:tcW w:w="2693" w:type="dxa"/>
          </w:tcPr>
          <w:p>
            <w:pPr>
              <w:pStyle w:val="nTable"/>
              <w:spacing w:after="40"/>
            </w:pPr>
            <w:r>
              <w:t>r. 1 and 2: 25 Feb 2011 (see r. 2(a));</w:t>
            </w:r>
            <w:r>
              <w:br/>
              <w:t>Regulations other than r. 1 and 2: 26 Feb 2011 (see r. 2(b))</w:t>
            </w:r>
          </w:p>
        </w:tc>
      </w:tr>
      <w:tr>
        <w:trPr>
          <w:cantSplit/>
        </w:trPr>
        <w:tc>
          <w:tcPr>
            <w:tcW w:w="3118" w:type="dxa"/>
            <w:shd w:val="clear" w:color="auto" w:fill="auto"/>
          </w:tcPr>
          <w:p>
            <w:pPr>
              <w:pStyle w:val="nTable"/>
              <w:spacing w:after="40"/>
              <w:rPr>
                <w:i/>
                <w:iCs/>
              </w:rPr>
            </w:pPr>
            <w:r>
              <w:rPr>
                <w:i/>
              </w:rPr>
              <w:t>Road Traffic (Vehicle Standards) Amendment Regulations 2012</w:t>
            </w:r>
          </w:p>
        </w:tc>
        <w:tc>
          <w:tcPr>
            <w:tcW w:w="1276" w:type="dxa"/>
            <w:shd w:val="clear" w:color="auto" w:fill="auto"/>
          </w:tcPr>
          <w:p>
            <w:pPr>
              <w:pStyle w:val="nTable"/>
              <w:spacing w:after="40"/>
            </w:pPr>
            <w:r>
              <w:t>14 Feb 2012 p. 675</w:t>
            </w:r>
            <w:r>
              <w:noBreakHyphen/>
              <w:t>6</w:t>
            </w:r>
          </w:p>
        </w:tc>
        <w:tc>
          <w:tcPr>
            <w:tcW w:w="2693" w:type="dxa"/>
            <w:shd w:val="clear" w:color="auto" w:fill="auto"/>
          </w:tcPr>
          <w:p>
            <w:pPr>
              <w:pStyle w:val="nTable"/>
              <w:spacing w:after="40"/>
            </w:pPr>
            <w:r>
              <w:rPr>
                <w:snapToGrid w:val="0"/>
                <w:spacing w:val="-2"/>
              </w:rPr>
              <w:t>r. 1 and 2: 14 Feb 2012 (see r. 2(a));</w:t>
            </w:r>
            <w:r>
              <w:rPr>
                <w:snapToGrid w:val="0"/>
                <w:spacing w:val="-2"/>
              </w:rPr>
              <w:br/>
              <w:t>Regulations other than r. 1 and 2: 15 Feb 2012 (see r. 2(b))</w:t>
            </w:r>
          </w:p>
        </w:tc>
      </w:tr>
      <w:tr>
        <w:trPr>
          <w:cantSplit/>
        </w:trPr>
        <w:tc>
          <w:tcPr>
            <w:tcW w:w="3118" w:type="dxa"/>
            <w:tcBorders>
              <w:bottom w:val="single" w:sz="8" w:space="0" w:color="auto"/>
            </w:tcBorders>
            <w:shd w:val="clear" w:color="auto" w:fill="auto"/>
          </w:tcPr>
          <w:p>
            <w:pPr>
              <w:pStyle w:val="nTable"/>
              <w:spacing w:after="40"/>
              <w:rPr>
                <w:i/>
              </w:rPr>
            </w:pPr>
            <w:r>
              <w:rPr>
                <w:i/>
              </w:rPr>
              <w:t>Road Traffic (Vehicle Standards) Amendment Regulations (No. 2) 2012</w:t>
            </w:r>
          </w:p>
        </w:tc>
        <w:tc>
          <w:tcPr>
            <w:tcW w:w="1276" w:type="dxa"/>
            <w:tcBorders>
              <w:bottom w:val="single" w:sz="8" w:space="0" w:color="auto"/>
            </w:tcBorders>
            <w:shd w:val="clear" w:color="auto" w:fill="auto"/>
          </w:tcPr>
          <w:p>
            <w:pPr>
              <w:pStyle w:val="nTable"/>
              <w:spacing w:after="40"/>
            </w:pPr>
            <w:r>
              <w:t>19 Feb 2013 p. 993-4</w:t>
            </w:r>
          </w:p>
        </w:tc>
        <w:tc>
          <w:tcPr>
            <w:tcW w:w="2693" w:type="dxa"/>
            <w:tcBorders>
              <w:bottom w:val="single" w:sz="8" w:space="0" w:color="auto"/>
            </w:tcBorders>
            <w:shd w:val="clear" w:color="auto" w:fill="auto"/>
          </w:tcPr>
          <w:p>
            <w:pPr>
              <w:pStyle w:val="nTable"/>
              <w:spacing w:after="40"/>
              <w:rPr>
                <w:snapToGrid w:val="0"/>
                <w:spacing w:val="-2"/>
              </w:rPr>
            </w:pPr>
            <w:r>
              <w:rPr>
                <w:snapToGrid w:val="0"/>
                <w:spacing w:val="-2"/>
              </w:rPr>
              <w:t>r. 1 and 2: 19 Feb 2013 (see r. 2(a));</w:t>
            </w:r>
            <w:r>
              <w:rPr>
                <w:snapToGrid w:val="0"/>
                <w:spacing w:val="-2"/>
              </w:rPr>
              <w:br/>
              <w:t>Regulations other than r. 1 and 2: 20 Feb 2013 (see r. 2(b))</w:t>
            </w:r>
          </w:p>
        </w:tc>
      </w:tr>
    </w:tbl>
    <w:p>
      <w:pPr>
        <w:pStyle w:val="nSubsection"/>
        <w:tabs>
          <w:tab w:val="clear" w:pos="454"/>
          <w:tab w:val="left" w:pos="567"/>
        </w:tabs>
        <w:spacing w:before="120"/>
        <w:ind w:left="567" w:hanging="567"/>
        <w:rPr>
          <w:ins w:id="594" w:author="Master Repository Process" w:date="2021-09-12T13:09:00Z"/>
          <w:snapToGrid w:val="0"/>
        </w:rPr>
      </w:pPr>
      <w:ins w:id="595" w:author="Master Repository Process" w:date="2021-09-12T13:0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96" w:author="Master Repository Process" w:date="2021-09-12T13:09:00Z"/>
        </w:rPr>
      </w:pPr>
      <w:bookmarkStart w:id="597" w:name="_Toc407625796"/>
      <w:bookmarkStart w:id="598" w:name="_Toc417033677"/>
      <w:ins w:id="599" w:author="Master Repository Process" w:date="2021-09-12T13:09:00Z">
        <w:r>
          <w:t>Provisions that have not come into operation</w:t>
        </w:r>
        <w:bookmarkEnd w:id="597"/>
        <w:bookmarkEnd w:id="598"/>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600" w:author="Master Repository Process" w:date="2021-09-12T13:09:00Z"/>
        </w:trPr>
        <w:tc>
          <w:tcPr>
            <w:tcW w:w="3119" w:type="dxa"/>
            <w:tcBorders>
              <w:top w:val="single" w:sz="8" w:space="0" w:color="auto"/>
              <w:bottom w:val="single" w:sz="8" w:space="0" w:color="auto"/>
            </w:tcBorders>
          </w:tcPr>
          <w:p>
            <w:pPr>
              <w:pStyle w:val="nTable"/>
              <w:spacing w:after="40"/>
              <w:ind w:right="113"/>
              <w:rPr>
                <w:ins w:id="601" w:author="Master Repository Process" w:date="2021-09-12T13:09:00Z"/>
                <w:b/>
                <w:i/>
              </w:rPr>
            </w:pPr>
            <w:ins w:id="602" w:author="Master Repository Process" w:date="2021-09-12T13:09:00Z">
              <w:r>
                <w:rPr>
                  <w:b/>
                  <w:i/>
                </w:rPr>
                <w:t>Citation</w:t>
              </w:r>
            </w:ins>
          </w:p>
        </w:tc>
        <w:tc>
          <w:tcPr>
            <w:tcW w:w="1276" w:type="dxa"/>
            <w:tcBorders>
              <w:top w:val="single" w:sz="8" w:space="0" w:color="auto"/>
              <w:bottom w:val="single" w:sz="8" w:space="0" w:color="auto"/>
            </w:tcBorders>
          </w:tcPr>
          <w:p>
            <w:pPr>
              <w:pStyle w:val="nTable"/>
              <w:spacing w:after="40"/>
              <w:rPr>
                <w:ins w:id="603" w:author="Master Repository Process" w:date="2021-09-12T13:09:00Z"/>
                <w:b/>
              </w:rPr>
            </w:pPr>
            <w:ins w:id="604" w:author="Master Repository Process" w:date="2021-09-12T13:09:00Z">
              <w:r>
                <w:rPr>
                  <w:b/>
                </w:rPr>
                <w:t>Gazettal</w:t>
              </w:r>
            </w:ins>
          </w:p>
        </w:tc>
        <w:tc>
          <w:tcPr>
            <w:tcW w:w="2693" w:type="dxa"/>
            <w:tcBorders>
              <w:top w:val="single" w:sz="8" w:space="0" w:color="auto"/>
              <w:bottom w:val="single" w:sz="8" w:space="0" w:color="auto"/>
            </w:tcBorders>
          </w:tcPr>
          <w:p>
            <w:pPr>
              <w:pStyle w:val="nTable"/>
              <w:spacing w:after="40"/>
              <w:rPr>
                <w:ins w:id="605" w:author="Master Repository Process" w:date="2021-09-12T13:09:00Z"/>
                <w:b/>
              </w:rPr>
            </w:pPr>
            <w:ins w:id="606" w:author="Master Repository Process" w:date="2021-09-12T13:09:00Z">
              <w:r>
                <w:rPr>
                  <w:b/>
                </w:rPr>
                <w:t>Commencement</w:t>
              </w:r>
            </w:ins>
          </w:p>
        </w:tc>
      </w:tr>
      <w:tr>
        <w:trPr>
          <w:cantSplit/>
          <w:ins w:id="607" w:author="Master Repository Process" w:date="2021-09-12T13:09:00Z"/>
        </w:trPr>
        <w:tc>
          <w:tcPr>
            <w:tcW w:w="3119" w:type="dxa"/>
            <w:tcBorders>
              <w:top w:val="single" w:sz="8" w:space="0" w:color="auto"/>
              <w:bottom w:val="single" w:sz="4" w:space="0" w:color="auto"/>
            </w:tcBorders>
          </w:tcPr>
          <w:p>
            <w:pPr>
              <w:pStyle w:val="nTable"/>
              <w:spacing w:after="40"/>
              <w:ind w:right="113"/>
              <w:rPr>
                <w:ins w:id="608" w:author="Master Repository Process" w:date="2021-09-12T13:09:00Z"/>
                <w:vertAlign w:val="superscript"/>
              </w:rPr>
            </w:pPr>
            <w:ins w:id="609" w:author="Master Repository Process" w:date="2021-09-12T13:09:00Z">
              <w:r>
                <w:rPr>
                  <w:i/>
                </w:rPr>
                <w:t>Road Traffic (Repeals and Amendment) Regulations 2014</w:t>
              </w:r>
              <w:r>
                <w:t> Pt. 2 </w:t>
              </w:r>
              <w:r>
                <w:rPr>
                  <w:vertAlign w:val="superscript"/>
                </w:rPr>
                <w:t>4</w:t>
              </w:r>
            </w:ins>
          </w:p>
        </w:tc>
        <w:tc>
          <w:tcPr>
            <w:tcW w:w="1276" w:type="dxa"/>
            <w:tcBorders>
              <w:top w:val="single" w:sz="8" w:space="0" w:color="auto"/>
              <w:bottom w:val="single" w:sz="4" w:space="0" w:color="auto"/>
            </w:tcBorders>
          </w:tcPr>
          <w:p>
            <w:pPr>
              <w:pStyle w:val="nTable"/>
              <w:spacing w:after="40"/>
              <w:rPr>
                <w:ins w:id="610" w:author="Master Repository Process" w:date="2021-09-12T13:09:00Z"/>
              </w:rPr>
            </w:pPr>
            <w:ins w:id="611" w:author="Master Repository Process" w:date="2021-09-12T13:09:00Z">
              <w:r>
                <w:t>23 Dec 2014 p. 4914</w:t>
              </w:r>
            </w:ins>
          </w:p>
        </w:tc>
        <w:tc>
          <w:tcPr>
            <w:tcW w:w="2693" w:type="dxa"/>
            <w:tcBorders>
              <w:top w:val="single" w:sz="8" w:space="0" w:color="auto"/>
              <w:bottom w:val="single" w:sz="4" w:space="0" w:color="auto"/>
            </w:tcBorders>
          </w:tcPr>
          <w:p>
            <w:pPr>
              <w:pStyle w:val="nTable"/>
              <w:spacing w:after="40"/>
              <w:rPr>
                <w:ins w:id="612" w:author="Master Repository Process" w:date="2021-09-12T13:09:00Z"/>
              </w:rPr>
            </w:pPr>
            <w:ins w:id="613" w:author="Master Repository Process" w:date="2021-09-12T13:09:00Z">
              <w:r>
                <w:t xml:space="preserve">Operative on the day fixed under the </w:t>
              </w:r>
              <w:r>
                <w:rPr>
                  <w:i/>
                </w:rPr>
                <w:t>Road Traffic (Administration) Act 2008</w:t>
              </w:r>
              <w:r>
                <w:t xml:space="preserve"> section 2(b) (see r. 2(b))</w:t>
              </w:r>
            </w:ins>
          </w:p>
        </w:tc>
      </w:tr>
    </w:tbl>
    <w:p>
      <w:pPr>
        <w:pStyle w:val="nSubsection"/>
      </w:pPr>
      <w:r>
        <w:rPr>
          <w:vertAlign w:val="superscript"/>
        </w:rPr>
        <w:t>2</w:t>
      </w:r>
      <w:r>
        <w:tab/>
        <w:t xml:space="preserve">Under the </w:t>
      </w:r>
      <w:r>
        <w:rPr>
          <w:i/>
          <w:iCs/>
        </w:rPr>
        <w:t>Courts Legislation Amendment and Repeal Act 2004</w:t>
      </w:r>
      <w:r>
        <w:t xml:space="preserve">  s. 10 a reference in a written law to the </w:t>
      </w:r>
      <w:smartTag w:uri="urn:schemas-microsoft-com:office:smarttags" w:element="Street">
        <w:smartTag w:uri="urn:schemas-microsoft-com:office:smarttags" w:element="address">
          <w:r>
            <w:t>Local Court</w:t>
          </w:r>
        </w:smartTag>
      </w:smartTag>
      <w:r>
        <w:t xml:space="preserve"> is, unless the contrary intention appears, to be read as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iCs/>
        </w:rPr>
        <w:t xml:space="preserve">Reprints Act 1984 </w:t>
      </w:r>
      <w:r>
        <w:t>s. 7(5)(a).</w:t>
      </w:r>
    </w:p>
    <w:p>
      <w:pPr>
        <w:pStyle w:val="nSubsection"/>
      </w:pPr>
      <w:r>
        <w:rPr>
          <w:vertAlign w:val="superscript"/>
        </w:rPr>
        <w:t>3</w:t>
      </w:r>
      <w:r>
        <w:tab/>
        <w:t xml:space="preserve">Formerly referred to as the </w:t>
      </w:r>
      <w:r>
        <w:rPr>
          <w:i/>
          <w:iCs/>
        </w:rPr>
        <w:t>Road Traffic (Licensing) Regulations 1975</w:t>
      </w:r>
      <w:r>
        <w:t xml:space="preserve">, the citation of which was changed to the </w:t>
      </w:r>
      <w:r>
        <w:rPr>
          <w:i/>
          <w:iCs/>
        </w:rPr>
        <w:t>Road Traffic (Vehicle Licensing) Regulations 1975</w:t>
      </w:r>
      <w:r>
        <w:t xml:space="preserve"> by the </w:t>
      </w:r>
      <w:r>
        <w:rPr>
          <w:i/>
          <w:iCs/>
        </w:rPr>
        <w:t>Road Traffic (Licensing) Amendment Regulations 2006</w:t>
      </w:r>
      <w:r>
        <w:t xml:space="preserve">.  The reference was changed under the </w:t>
      </w:r>
      <w:r>
        <w:rPr>
          <w:i/>
          <w:iCs/>
        </w:rPr>
        <w:t>Reprints Act 1984</w:t>
      </w:r>
      <w:r>
        <w:t xml:space="preserve"> s. 7(3)(gb).</w:t>
      </w:r>
    </w:p>
    <w:p>
      <w:pPr>
        <w:pStyle w:val="nSubsection"/>
        <w:keepNext/>
        <w:keepLines/>
        <w:rPr>
          <w:ins w:id="614" w:author="Master Repository Process" w:date="2021-09-12T13:09:00Z"/>
          <w:snapToGrid w:val="0"/>
        </w:rPr>
      </w:pPr>
      <w:ins w:id="615" w:author="Master Repository Process" w:date="2021-09-12T13:09:00Z">
        <w:r>
          <w:rPr>
            <w:snapToGrid w:val="0"/>
            <w:vertAlign w:val="superscript"/>
          </w:rPr>
          <w:t>4</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ins>
    </w:p>
    <w:p>
      <w:pPr>
        <w:pStyle w:val="BlankOpen"/>
        <w:rPr>
          <w:ins w:id="616" w:author="Master Repository Process" w:date="2021-09-12T13:09:00Z"/>
        </w:rPr>
      </w:pPr>
    </w:p>
    <w:p>
      <w:pPr>
        <w:pStyle w:val="nzHeading2"/>
        <w:rPr>
          <w:ins w:id="617" w:author="Master Repository Process" w:date="2021-09-12T13:09:00Z"/>
        </w:rPr>
      </w:pPr>
      <w:ins w:id="618" w:author="Master Repository Process" w:date="2021-09-12T13:09:00Z">
        <w:r>
          <w:rPr>
            <w:rStyle w:val="CharPartNo"/>
          </w:rPr>
          <w:t>Part 2</w:t>
        </w:r>
        <w:r>
          <w:rPr>
            <w:rStyle w:val="CharDivNo"/>
          </w:rPr>
          <w:t> </w:t>
        </w:r>
        <w:r>
          <w:t>—</w:t>
        </w:r>
        <w:r>
          <w:rPr>
            <w:rStyle w:val="CharDivText"/>
          </w:rPr>
          <w:t> </w:t>
        </w:r>
        <w:r>
          <w:rPr>
            <w:rStyle w:val="CharPartText"/>
          </w:rPr>
          <w:t>Regulations repealed</w:t>
        </w:r>
      </w:ins>
    </w:p>
    <w:p>
      <w:pPr>
        <w:pStyle w:val="nzHeading5"/>
        <w:rPr>
          <w:ins w:id="619" w:author="Master Repository Process" w:date="2021-09-12T13:09:00Z"/>
        </w:rPr>
      </w:pPr>
      <w:ins w:id="620" w:author="Master Repository Process" w:date="2021-09-12T13:09:00Z">
        <w:r>
          <w:rPr>
            <w:rStyle w:val="CharSectno"/>
          </w:rPr>
          <w:t>3</w:t>
        </w:r>
        <w:r>
          <w:t>.</w:t>
        </w:r>
        <w:r>
          <w:tab/>
          <w:t>Regulations repealed</w:t>
        </w:r>
      </w:ins>
    </w:p>
    <w:p>
      <w:pPr>
        <w:pStyle w:val="nzSubsection"/>
        <w:rPr>
          <w:ins w:id="621" w:author="Master Repository Process" w:date="2021-09-12T13:09:00Z"/>
        </w:rPr>
      </w:pPr>
      <w:ins w:id="622" w:author="Master Repository Process" w:date="2021-09-12T13:09:00Z">
        <w:r>
          <w:tab/>
        </w:r>
        <w:r>
          <w:tab/>
          <w:t>The regulations listed in the Table are repealed.</w:t>
        </w:r>
      </w:ins>
    </w:p>
    <w:p>
      <w:pPr>
        <w:pStyle w:val="THeadingNAm"/>
        <w:rPr>
          <w:ins w:id="623" w:author="Master Repository Process" w:date="2021-09-12T13:09:00Z"/>
        </w:rPr>
      </w:pPr>
      <w:ins w:id="624" w:author="Master Repository Process" w:date="2021-09-12T13:09: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tblGrid>
      <w:tr>
        <w:trPr>
          <w:cantSplit/>
          <w:ins w:id="625" w:author="Master Repository Process" w:date="2021-09-12T13:09:00Z"/>
        </w:trPr>
        <w:tc>
          <w:tcPr>
            <w:tcW w:w="3033" w:type="dxa"/>
          </w:tcPr>
          <w:p>
            <w:pPr>
              <w:pStyle w:val="TableNAm"/>
              <w:rPr>
                <w:ins w:id="626" w:author="Master Repository Process" w:date="2021-09-12T13:09:00Z"/>
              </w:rPr>
            </w:pPr>
            <w:ins w:id="627" w:author="Master Repository Process" w:date="2021-09-12T13:09:00Z">
              <w:r>
                <w:rPr>
                  <w:i/>
                </w:rPr>
                <w:t>Road Traffic (Vehicle Standards) Regulations 2002</w:t>
              </w:r>
            </w:ins>
          </w:p>
        </w:tc>
      </w:tr>
    </w:tbl>
    <w:p>
      <w:pPr>
        <w:pStyle w:val="BlankOpen"/>
        <w:rPr>
          <w:ins w:id="628" w:author="Master Repository Process" w:date="2021-09-12T13:09:00Z"/>
        </w:rPr>
      </w:pPr>
    </w:p>
    <w:p>
      <w:pPr>
        <w:pStyle w:val="BlankOpen"/>
        <w:rPr>
          <w:ins w:id="629" w:author="Master Repository Process" w:date="2021-09-12T13:09:00Z"/>
        </w:rPr>
      </w:pPr>
    </w:p>
    <w:p/>
    <w:p>
      <w:pPr>
        <w:sectPr>
          <w:headerReference w:type="even" r:id="rId59"/>
          <w:headerReference w:type="default" r:id="rId60"/>
          <w:headerReference w:type="first" r:id="rId61"/>
          <w:pgSz w:w="11907" w:h="16840" w:code="9"/>
          <w:pgMar w:top="2376" w:right="2404" w:bottom="3544" w:left="2404" w:header="720" w:footer="3380" w:gutter="0"/>
          <w:cols w:space="720"/>
          <w:noEndnote/>
          <w:docGrid w:linePitch="326"/>
        </w:sectPr>
      </w:pPr>
    </w:p>
    <w:p/>
    <w:sectPr>
      <w:headerReference w:type="even" r:id="rId62"/>
      <w:headerReference w:type="default" r:id="rId63"/>
      <w:footerReference w:type="even" r:id="rId64"/>
      <w:footerReference w:type="default" r:id="rId65"/>
      <w:headerReference w:type="first" r:id="rId66"/>
      <w:footerReference w:type="first" r:id="rId6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1548" w:type="dxa"/>
          <w:vAlign w:val="bottom"/>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cr/>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cr/>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Standards) Regulations 2002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Standards)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575" w:name="Schedule"/>
    <w:bookmarkEnd w:id="5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Standards) Regulations 2002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Oversize and overmass vehicles — conditions on exemptions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54</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54</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Standards)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Oversize and overmass vehicles — conditions on exemptions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54</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54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0" w:name="Compilation"/>
    <w:bookmarkEnd w:id="63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1" w:name="Coversheet"/>
    <w:bookmarkEnd w:id="6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7105240"/>
    <w:docVar w:name="WAFER_20140110162109" w:val="RemoveTocBookmarks,RemoveUnusedBookmarks,RemoveLanguageTags,UsedStyles,ResetPageSize,UpdateArrangement"/>
    <w:docVar w:name="WAFER_20140110162109_GUID" w:val="1d103725-c002-4bea-ad40-589f3d090a02"/>
    <w:docVar w:name="WAFER_20140110162248" w:val="RemoveTocBookmarks,RunningHeaders"/>
    <w:docVar w:name="WAFER_20140110162248_GUID" w:val="061e78ab-0a4f-44ae-8104-70b580e4a1be"/>
    <w:docVar w:name="WAFER_20141224101728" w:val="RemoveTocBookmarks,RemoveUnusedBookmarks,RemoveLanguageTags,UsedStyles,ResetPageSize,UpdateArrangement"/>
    <w:docVar w:name="WAFER_20141224101728_GUID" w:val="354829e4-6a4c-4679-97ba-ec00f1ee7bd6"/>
    <w:docVar w:name="WAFER_20141229140104" w:val="RemoveTocBookmarks,RunningHeaders"/>
    <w:docVar w:name="WAFER_20141229140104_GUID" w:val="a3d8000e-bb83-434b-be5a-2bd331d0a850"/>
    <w:docVar w:name="WAFER_20150417105240" w:val="ResetPageSize,UpdateArrangement,UpdateNTable"/>
    <w:docVar w:name="WAFER_20150417105240_GUID" w:val="e99fb910-9d1a-462c-a057-c37c6c6c73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E45846A9-6989-4EF5-A51F-84444CA5F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HeaderChar">
    <w:name w:val="Header Char"/>
    <w:basedOn w:val="DefaultParagraphFont"/>
    <w:link w:val="Header"/>
    <w:rPr>
      <w:rFonts w:ascii="NewCenturySchlbk" w:hAnsi="NewCenturySchlbk"/>
      <w:sz w:val="24"/>
    </w:rPr>
  </w:style>
  <w:style w:type="paragraph" w:customStyle="1" w:styleId="TableNAm">
    <w:name w:val="TableNAm"/>
    <w:basedOn w:val="Normal"/>
    <w:pPr>
      <w:tabs>
        <w:tab w:val="left" w:pos="567"/>
      </w:tabs>
      <w:spacing w:before="120"/>
    </w:pPr>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3.wmf"/><Relationship Id="rId42" Type="http://schemas.openxmlformats.org/officeDocument/2006/relationships/image" Target="media/image21.wmf"/><Relationship Id="rId47" Type="http://schemas.openxmlformats.org/officeDocument/2006/relationships/image" Target="media/image26.png"/><Relationship Id="rId63" Type="http://schemas.openxmlformats.org/officeDocument/2006/relationships/header" Target="header16.xml"/><Relationship Id="rId68"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1.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eader" Target="header9.xml"/><Relationship Id="rId40" Type="http://schemas.openxmlformats.org/officeDocument/2006/relationships/image" Target="media/image19.png"/><Relationship Id="rId45" Type="http://schemas.openxmlformats.org/officeDocument/2006/relationships/image" Target="media/image24.wmf"/><Relationship Id="rId53" Type="http://schemas.openxmlformats.org/officeDocument/2006/relationships/image" Target="media/image32.png"/><Relationship Id="rId58" Type="http://schemas.openxmlformats.org/officeDocument/2006/relationships/header" Target="header11.xml"/><Relationship Id="rId66" Type="http://schemas.openxmlformats.org/officeDocument/2006/relationships/header" Target="header17.xml"/><Relationship Id="rId5" Type="http://schemas.openxmlformats.org/officeDocument/2006/relationships/footnotes" Target="footnotes.xml"/><Relationship Id="rId61" Type="http://schemas.openxmlformats.org/officeDocument/2006/relationships/header" Target="header14.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wmf"/><Relationship Id="rId35" Type="http://schemas.openxmlformats.org/officeDocument/2006/relationships/header" Target="header7.xml"/><Relationship Id="rId43" Type="http://schemas.openxmlformats.org/officeDocument/2006/relationships/image" Target="media/image22.wmf"/><Relationship Id="rId48" Type="http://schemas.openxmlformats.org/officeDocument/2006/relationships/image" Target="media/image27.png"/><Relationship Id="rId56" Type="http://schemas.openxmlformats.org/officeDocument/2006/relationships/image" Target="media/image35.wmf"/><Relationship Id="rId64" Type="http://schemas.openxmlformats.org/officeDocument/2006/relationships/footer" Target="footer7.xml"/><Relationship Id="rId69" Type="http://schemas.microsoft.com/office/2011/relationships/people" Target="people.xml"/><Relationship Id="rId8" Type="http://schemas.openxmlformats.org/officeDocument/2006/relationships/header" Target="header1.xml"/><Relationship Id="rId51" Type="http://schemas.openxmlformats.org/officeDocument/2006/relationships/image" Target="media/image30.png"/><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header" Target="header12.xml"/><Relationship Id="rId67" Type="http://schemas.openxmlformats.org/officeDocument/2006/relationships/footer" Target="footer9.xml"/><Relationship Id="rId20" Type="http://schemas.openxmlformats.org/officeDocument/2006/relationships/image" Target="media/image2.jpeg"/><Relationship Id="rId41" Type="http://schemas.openxmlformats.org/officeDocument/2006/relationships/image" Target="media/image20.wmf"/><Relationship Id="rId54" Type="http://schemas.openxmlformats.org/officeDocument/2006/relationships/image" Target="media/image33.png"/><Relationship Id="rId62" Type="http://schemas.openxmlformats.org/officeDocument/2006/relationships/header" Target="header15.xm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10.wmf"/><Relationship Id="rId36" Type="http://schemas.openxmlformats.org/officeDocument/2006/relationships/header" Target="header8.xml"/><Relationship Id="rId49" Type="http://schemas.openxmlformats.org/officeDocument/2006/relationships/image" Target="media/image28.wmf"/><Relationship Id="rId57" Type="http://schemas.openxmlformats.org/officeDocument/2006/relationships/header" Target="header10.xml"/><Relationship Id="rId10" Type="http://schemas.openxmlformats.org/officeDocument/2006/relationships/footer" Target="footer1.xml"/><Relationship Id="rId31" Type="http://schemas.openxmlformats.org/officeDocument/2006/relationships/image" Target="media/image13.png"/><Relationship Id="rId44" Type="http://schemas.openxmlformats.org/officeDocument/2006/relationships/image" Target="media/image23.wmf"/><Relationship Id="rId52" Type="http://schemas.openxmlformats.org/officeDocument/2006/relationships/image" Target="media/image31.wmf"/><Relationship Id="rId60" Type="http://schemas.openxmlformats.org/officeDocument/2006/relationships/header" Target="header13.xml"/><Relationship Id="rId65"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image" Target="media/image18.wmf"/><Relationship Id="rId34" Type="http://schemas.openxmlformats.org/officeDocument/2006/relationships/image" Target="media/image16.jpeg"/><Relationship Id="rId50" Type="http://schemas.openxmlformats.org/officeDocument/2006/relationships/image" Target="media/image29.png"/><Relationship Id="rId55" Type="http://schemas.openxmlformats.org/officeDocument/2006/relationships/image" Target="media/image3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25882</Words>
  <Characters>120871</Characters>
  <Application>Microsoft Office Word</Application>
  <DocSecurity>0</DocSecurity>
  <Lines>4029</Lines>
  <Paragraphs>2717</Paragraphs>
  <ScaleCrop>false</ScaleCrop>
  <HeadingPairs>
    <vt:vector size="2" baseType="variant">
      <vt:variant>
        <vt:lpstr>Title</vt:lpstr>
      </vt:variant>
      <vt:variant>
        <vt:i4>1</vt:i4>
      </vt:variant>
    </vt:vector>
  </HeadingPairs>
  <TitlesOfParts>
    <vt:vector size="1" baseType="lpstr">
      <vt:lpstr>Road Traffic (Vehicle Standards) Regulations 2002</vt:lpstr>
    </vt:vector>
  </TitlesOfParts>
  <Manager/>
  <Company/>
  <LinksUpToDate>false</LinksUpToDate>
  <CharactersWithSpaces>144036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02-f0-03 - 02-g0-01</dc:title>
  <dc:subject/>
  <dc:creator/>
  <cp:keywords/>
  <dc:description/>
  <cp:lastModifiedBy>Master Repository Process</cp:lastModifiedBy>
  <cp:revision>2</cp:revision>
  <cp:lastPrinted>2007-01-18T01:43:00Z</cp:lastPrinted>
  <dcterms:created xsi:type="dcterms:W3CDTF">2021-09-12T05:09:00Z</dcterms:created>
  <dcterms:modified xsi:type="dcterms:W3CDTF">2021-09-12T05:09:00Z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20141223</vt:lpwstr>
  </property>
  <property fmtid="{D5CDD505-2E9C-101B-9397-08002B2CF9AE}" pid="4" name="DocumentType">
    <vt:lpwstr>Reg</vt:lpwstr>
  </property>
  <property fmtid="{D5CDD505-2E9C-101B-9397-08002B2CF9AE}" pid="5" name="OwlsUID">
    <vt:i4>1827</vt:i4>
  </property>
  <property fmtid="{D5CDD505-2E9C-101B-9397-08002B2CF9AE}" pid="6" name="ReprintNo">
    <vt:lpwstr>2</vt:lpwstr>
  </property>
  <property fmtid="{D5CDD505-2E9C-101B-9397-08002B2CF9AE}" pid="7" name="FromSuffix">
    <vt:lpwstr>02-f0-03</vt:lpwstr>
  </property>
  <property fmtid="{D5CDD505-2E9C-101B-9397-08002B2CF9AE}" pid="8" name="FromAsAtDate">
    <vt:lpwstr>20 Feb 2013</vt:lpwstr>
  </property>
  <property fmtid="{D5CDD505-2E9C-101B-9397-08002B2CF9AE}" pid="9" name="ToSuffix">
    <vt:lpwstr>02-g0-01</vt:lpwstr>
  </property>
  <property fmtid="{D5CDD505-2E9C-101B-9397-08002B2CF9AE}" pid="10" name="ToAsAtDate">
    <vt:lpwstr>23 Dec 2014</vt:lpwstr>
  </property>
</Properties>
</file>