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2013</w:t>
      </w:r>
      <w:r>
        <w:fldChar w:fldCharType="end"/>
      </w:r>
      <w:r>
        <w:t xml:space="preserve">, </w:t>
      </w:r>
      <w:r>
        <w:fldChar w:fldCharType="begin"/>
      </w:r>
      <w:r>
        <w:instrText xml:space="preserve"> DocProperty FromSuffix </w:instrText>
      </w:r>
      <w:r>
        <w:fldChar w:fldCharType="separate"/>
      </w:r>
      <w:r>
        <w:t>05-i0-01</w:t>
      </w:r>
      <w:r>
        <w:fldChar w:fldCharType="end"/>
      </w:r>
      <w:r>
        <w:t>] and [</w:t>
      </w:r>
      <w:r>
        <w:fldChar w:fldCharType="begin"/>
      </w:r>
      <w:r>
        <w:instrText xml:space="preserve"> DocProperty ToAsAtDate</w:instrText>
      </w:r>
      <w:r>
        <w:fldChar w:fldCharType="separate"/>
      </w:r>
      <w:r>
        <w:t>13 Feb 2015</w:t>
      </w:r>
      <w:r>
        <w:fldChar w:fldCharType="end"/>
      </w:r>
      <w:r>
        <w:t xml:space="preserve">, </w:t>
      </w:r>
      <w:r>
        <w:fldChar w:fldCharType="begin"/>
      </w:r>
      <w:r>
        <w:instrText xml:space="preserve"> DocProperty ToSuffix</w:instrText>
      </w:r>
      <w:r>
        <w:fldChar w:fldCharType="separate"/>
      </w:r>
      <w:r>
        <w:t>06-a0-04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5-12-17T10:29:00Z"/>
        </w:trPr>
        <w:tc>
          <w:tcPr>
            <w:tcW w:w="2434" w:type="dxa"/>
            <w:vMerge w:val="restart"/>
          </w:tcPr>
          <w:p>
            <w:pPr>
              <w:rPr>
                <w:ins w:id="2" w:author="svcMRProcess" w:date="2015-12-17T10:29:00Z"/>
              </w:rPr>
            </w:pPr>
          </w:p>
        </w:tc>
        <w:tc>
          <w:tcPr>
            <w:tcW w:w="2434" w:type="dxa"/>
            <w:vMerge w:val="restart"/>
          </w:tcPr>
          <w:p>
            <w:pPr>
              <w:jc w:val="center"/>
              <w:rPr>
                <w:ins w:id="3" w:author="svcMRProcess" w:date="2015-12-17T10:29:00Z"/>
              </w:rPr>
            </w:pPr>
            <w:ins w:id="4" w:author="svcMRProcess" w:date="2015-12-17T10:29: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5-12-17T10:29:00Z"/>
              </w:rPr>
            </w:pPr>
            <w:ins w:id="6" w:author="svcMRProcess" w:date="2015-12-17T10:29:00Z">
              <w:r>
                <w:rPr>
                  <w:b/>
                  <w:sz w:val="22"/>
                </w:rPr>
                <w:t xml:space="preserve">Reprinted under the </w:t>
              </w:r>
              <w:r>
                <w:rPr>
                  <w:b/>
                  <w:i/>
                  <w:sz w:val="22"/>
                </w:rPr>
                <w:t>Reprints Act 1984</w:t>
              </w:r>
              <w:r>
                <w:rPr>
                  <w:b/>
                  <w:sz w:val="22"/>
                </w:rPr>
                <w:t xml:space="preserve"> as</w:t>
              </w:r>
            </w:ins>
          </w:p>
        </w:tc>
      </w:tr>
      <w:tr>
        <w:trPr>
          <w:cantSplit/>
          <w:ins w:id="7" w:author="svcMRProcess" w:date="2015-12-17T10:29:00Z"/>
        </w:trPr>
        <w:tc>
          <w:tcPr>
            <w:tcW w:w="2434" w:type="dxa"/>
            <w:vMerge/>
          </w:tcPr>
          <w:p>
            <w:pPr>
              <w:rPr>
                <w:ins w:id="8" w:author="svcMRProcess" w:date="2015-12-17T10:29:00Z"/>
              </w:rPr>
            </w:pPr>
          </w:p>
        </w:tc>
        <w:tc>
          <w:tcPr>
            <w:tcW w:w="2434" w:type="dxa"/>
            <w:vMerge/>
          </w:tcPr>
          <w:p>
            <w:pPr>
              <w:jc w:val="center"/>
              <w:rPr>
                <w:ins w:id="9" w:author="svcMRProcess" w:date="2015-12-17T10:29:00Z"/>
              </w:rPr>
            </w:pPr>
          </w:p>
        </w:tc>
        <w:tc>
          <w:tcPr>
            <w:tcW w:w="2434" w:type="dxa"/>
          </w:tcPr>
          <w:p>
            <w:pPr>
              <w:keepNext/>
              <w:rPr>
                <w:ins w:id="10" w:author="svcMRProcess" w:date="2015-12-17T10:29:00Z"/>
                <w:b/>
                <w:sz w:val="22"/>
              </w:rPr>
            </w:pPr>
            <w:ins w:id="11" w:author="svcMRProcess" w:date="2015-12-17T10:29:00Z">
              <w:r>
                <w:rPr>
                  <w:b/>
                  <w:sz w:val="22"/>
                </w:rPr>
                <w:t>at 13 February 2015</w:t>
              </w:r>
            </w:ins>
          </w:p>
        </w:tc>
      </w:tr>
    </w:tbl>
    <w:p>
      <w:pPr>
        <w:pStyle w:val="WA"/>
        <w:spacing w:before="12"/>
      </w:pPr>
      <w:r>
        <w:t>Western Australia</w:t>
      </w:r>
    </w:p>
    <w:p>
      <w:pPr>
        <w:pStyle w:val="NameofActReg"/>
      </w:pPr>
      <w:r>
        <w:t>Firearms Act 1973</w:t>
      </w:r>
    </w:p>
    <w:p>
      <w:pPr>
        <w:pStyle w:val="LongTitle"/>
        <w:rPr>
          <w:snapToGrid w:val="0"/>
        </w:rPr>
      </w:pPr>
      <w:r>
        <w:rPr>
          <w:snapToGrid w:val="0"/>
        </w:rPr>
        <w:t>A</w:t>
      </w:r>
      <w:bookmarkStart w:id="12" w:name="_GoBack"/>
      <w:bookmarkEnd w:id="12"/>
      <w:r>
        <w:rPr>
          <w:snapToGrid w:val="0"/>
        </w:rPr>
        <w:t xml:space="preserve">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and for incidental and other purposes.</w:t>
      </w:r>
    </w:p>
    <w:p>
      <w:pPr>
        <w:pStyle w:val="Heading5"/>
        <w:spacing w:before="480"/>
        <w:rPr>
          <w:snapToGrid w:val="0"/>
        </w:rPr>
      </w:pPr>
      <w:bookmarkStart w:id="13" w:name="_Toc378252189"/>
      <w:bookmarkStart w:id="14" w:name="_Toc412544117"/>
      <w:r>
        <w:rPr>
          <w:rStyle w:val="CharSectno"/>
        </w:rPr>
        <w:t>1</w:t>
      </w:r>
      <w:r>
        <w:rPr>
          <w:snapToGrid w:val="0"/>
        </w:rPr>
        <w:t>.</w:t>
      </w:r>
      <w:r>
        <w:rPr>
          <w:snapToGrid w:val="0"/>
        </w:rPr>
        <w:tab/>
        <w:t>Short title</w:t>
      </w:r>
      <w:bookmarkEnd w:id="13"/>
      <w:bookmarkEnd w:id="14"/>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spacing w:before="240"/>
        <w:rPr>
          <w:snapToGrid w:val="0"/>
        </w:rPr>
      </w:pPr>
      <w:bookmarkStart w:id="15" w:name="_Toc378252190"/>
      <w:bookmarkStart w:id="16" w:name="_Toc412544118"/>
      <w:r>
        <w:rPr>
          <w:rStyle w:val="CharSectno"/>
        </w:rPr>
        <w:t>2</w:t>
      </w:r>
      <w:r>
        <w:rPr>
          <w:snapToGrid w:val="0"/>
        </w:rPr>
        <w:t>.</w:t>
      </w:r>
      <w:r>
        <w:rPr>
          <w:snapToGrid w:val="0"/>
        </w:rPr>
        <w:tab/>
        <w:t>Commencement</w:t>
      </w:r>
      <w:bookmarkEnd w:id="15"/>
      <w:bookmarkEnd w:id="16"/>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bCs/>
        </w:rPr>
        <w:t>3</w:t>
      </w:r>
      <w:r>
        <w:rPr>
          <w:b/>
        </w:rPr>
        <w:t>.</w:t>
      </w:r>
      <w:r>
        <w:tab/>
        <w:t>Omitted under the Reprints Act 1984 s. 7(4)(f).]</w:t>
      </w:r>
    </w:p>
    <w:p>
      <w:pPr>
        <w:pStyle w:val="Heading5"/>
        <w:spacing w:before="240"/>
        <w:rPr>
          <w:snapToGrid w:val="0"/>
        </w:rPr>
      </w:pPr>
      <w:bookmarkStart w:id="17" w:name="_Toc378252191"/>
      <w:bookmarkStart w:id="18" w:name="_Toc412544119"/>
      <w:r>
        <w:rPr>
          <w:rStyle w:val="CharSectno"/>
        </w:rPr>
        <w:t>4</w:t>
      </w:r>
      <w:r>
        <w:rPr>
          <w:snapToGrid w:val="0"/>
        </w:rPr>
        <w:t>.</w:t>
      </w:r>
      <w:r>
        <w:rPr>
          <w:snapToGrid w:val="0"/>
        </w:rPr>
        <w:tab/>
        <w:t>Terms used</w:t>
      </w:r>
      <w:bookmarkEnd w:id="17"/>
      <w:bookmarkEnd w:id="18"/>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r>
      <w:r>
        <w:rPr>
          <w:rStyle w:val="CharDefText"/>
        </w:rPr>
        <w:t>approved</w:t>
      </w:r>
      <w:r>
        <w:t xml:space="preserve"> means approved by the Commissioner;</w:t>
      </w:r>
    </w:p>
    <w:p>
      <w:pPr>
        <w:pStyle w:val="Defstart"/>
        <w:keepNex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r>
      <w:r>
        <w:rPr>
          <w:rStyle w:val="CharDefText"/>
        </w:rPr>
        <w:t>handgun</w:t>
      </w:r>
      <w:r>
        <w:t xml:space="preserve"> means any lethal firearm and any other weapon of any length of barrel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r>
      <w:r>
        <w:rPr>
          <w:rStyle w:val="CharDefText"/>
        </w:rPr>
        <w:t>holder</w:t>
      </w:r>
      <w:r>
        <w:t>, in the context of an approval given under this Act, means the person to whom the approval relates;</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designed to discharge or propel paintball pellets;</w:t>
      </w:r>
    </w:p>
    <w:p>
      <w:pPr>
        <w:pStyle w:val="Defstar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pPr>
        <w:pStyle w:val="Defstart"/>
      </w:pPr>
      <w:r>
        <w:rPr>
          <w:b/>
        </w:rPr>
        <w:tab/>
      </w:r>
      <w:r>
        <w:rPr>
          <w:rStyle w:val="CharDefText"/>
        </w:rPr>
        <w:t>section</w:t>
      </w:r>
      <w:r>
        <w:t xml:space="preserve"> means section of this Act.</w:t>
      </w:r>
    </w:p>
    <w:p>
      <w:pPr>
        <w:pStyle w:val="Footnotesection"/>
      </w:pPr>
      <w:r>
        <w:tab/>
        <w:t xml:space="preserve">[Section 4 amended by No. 59 of 1996 s. 4 and 40; No. 18 of 1999 s. 21; No. 69 of 2004 s. 4 and 8(1); No. 22 of 2008 </w:t>
      </w:r>
      <w:del w:id="19" w:author="svcMRProcess" w:date="2015-12-17T10:29:00Z">
        <w:r>
          <w:delText>s. 162</w:delText>
        </w:r>
      </w:del>
      <w:ins w:id="20" w:author="svcMRProcess" w:date="2015-12-17T10:29:00Z">
        <w:r>
          <w:t>Sch. 3 cl. 20</w:t>
        </w:r>
      </w:ins>
      <w:r>
        <w:t>; No. 35 of 2010 s. 64.]</w:t>
      </w:r>
    </w:p>
    <w:p>
      <w:pPr>
        <w:pStyle w:val="Heading5"/>
        <w:rPr>
          <w:snapToGrid w:val="0"/>
        </w:rPr>
      </w:pPr>
      <w:bookmarkStart w:id="21" w:name="_Toc378252192"/>
      <w:bookmarkStart w:id="22" w:name="_Toc412544120"/>
      <w:r>
        <w:rPr>
          <w:rStyle w:val="CharSectno"/>
        </w:rPr>
        <w:t>5</w:t>
      </w:r>
      <w:r>
        <w:rPr>
          <w:snapToGrid w:val="0"/>
        </w:rPr>
        <w:t>.</w:t>
      </w:r>
      <w:r>
        <w:rPr>
          <w:snapToGrid w:val="0"/>
        </w:rPr>
        <w:tab/>
        <w:t>Administration</w:t>
      </w:r>
      <w:bookmarkEnd w:id="21"/>
      <w:bookmarkEnd w:id="22"/>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 xml:space="preserve">[Section 5 amended by No. 98 of 1985 s. 3; No. 69 of 2004 s. 8(2); No. 77 of 2006 </w:t>
      </w:r>
      <w:del w:id="23" w:author="svcMRProcess" w:date="2015-12-17T10:29:00Z">
        <w:r>
          <w:delText>s. 17</w:delText>
        </w:r>
      </w:del>
      <w:ins w:id="24" w:author="svcMRProcess" w:date="2015-12-17T10:29:00Z">
        <w:r>
          <w:t>Sch. 1 cl. 66</w:t>
        </w:r>
      </w:ins>
      <w:r>
        <w:t>.]</w:t>
      </w:r>
    </w:p>
    <w:p>
      <w:pPr>
        <w:pStyle w:val="Heading5"/>
        <w:rPr>
          <w:snapToGrid w:val="0"/>
        </w:rPr>
      </w:pPr>
      <w:bookmarkStart w:id="25" w:name="_Toc378252193"/>
      <w:bookmarkStart w:id="26" w:name="_Toc412544121"/>
      <w:r>
        <w:rPr>
          <w:rStyle w:val="CharSectno"/>
        </w:rPr>
        <w:t>5A</w:t>
      </w:r>
      <w:r>
        <w:rPr>
          <w:snapToGrid w:val="0"/>
        </w:rPr>
        <w:t>.</w:t>
      </w:r>
      <w:r>
        <w:rPr>
          <w:snapToGrid w:val="0"/>
        </w:rPr>
        <w:tab/>
        <w:t>Delegation of Commissioner’s power to give licences, permits and approvals</w:t>
      </w:r>
      <w:bookmarkEnd w:id="25"/>
      <w:bookmarkEnd w:id="26"/>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[Section 5A inserted by No. 59 of 1996 s. 5(1).]</w:t>
      </w:r>
    </w:p>
    <w:p>
      <w:pPr>
        <w:pStyle w:val="Ednotesection"/>
      </w:pPr>
      <w:r>
        <w:t>[</w:t>
      </w:r>
      <w:r>
        <w:rPr>
          <w:b/>
        </w:rPr>
        <w:t>5B.</w:t>
      </w:r>
      <w:r>
        <w:rPr>
          <w:b/>
        </w:rPr>
        <w:tab/>
      </w:r>
      <w:r>
        <w:t>Deleted by No. 69 of 2004 s. 9.]</w:t>
      </w:r>
    </w:p>
    <w:p>
      <w:pPr>
        <w:pStyle w:val="Heading5"/>
        <w:rPr>
          <w:snapToGrid w:val="0"/>
        </w:rPr>
      </w:pPr>
      <w:bookmarkStart w:id="27" w:name="_Toc378252194"/>
      <w:bookmarkStart w:id="28" w:name="_Toc412544122"/>
      <w:r>
        <w:rPr>
          <w:rStyle w:val="CharSectno"/>
        </w:rPr>
        <w:t>6</w:t>
      </w:r>
      <w:r>
        <w:rPr>
          <w:snapToGrid w:val="0"/>
        </w:rPr>
        <w:t>.</w:t>
      </w:r>
      <w:r>
        <w:rPr>
          <w:snapToGrid w:val="0"/>
        </w:rPr>
        <w:tab/>
        <w:t>Prohibition</w:t>
      </w:r>
      <w:bookmarkEnd w:id="27"/>
      <w:bookmarkEnd w:id="28"/>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w:t>
      </w:r>
      <w:ins w:id="29" w:author="svcMRProcess" w:date="2015-12-17T10:29:00Z">
        <w:r>
          <w:rPr>
            <w:snapToGrid w:val="0"/>
          </w:rPr>
          <w:t xml:space="preserve"> or</w:t>
        </w:r>
      </w:ins>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[Section 6 amended by No. 35 of 1980 s. 3; No. 70 of 1987 s. 4; No. 59 of 1996 s. 7 and 45; No. 4 of 2004 s. 58; No. 69 of 2004 s. 10.]</w:t>
      </w:r>
    </w:p>
    <w:p>
      <w:pPr>
        <w:pStyle w:val="Heading5"/>
        <w:rPr>
          <w:snapToGrid w:val="0"/>
        </w:rPr>
      </w:pPr>
      <w:bookmarkStart w:id="30" w:name="_Toc378252195"/>
      <w:bookmarkStart w:id="31" w:name="_Toc412544123"/>
      <w:r>
        <w:rPr>
          <w:rStyle w:val="CharSectno"/>
        </w:rPr>
        <w:t>7</w:t>
      </w:r>
      <w:r>
        <w:rPr>
          <w:snapToGrid w:val="0"/>
        </w:rPr>
        <w:t>.</w:t>
      </w:r>
      <w:r>
        <w:rPr>
          <w:snapToGrid w:val="0"/>
        </w:rPr>
        <w:tab/>
        <w:t>Governor may order delivery of firearms by dealers and manufacturers in cases of emergency</w:t>
      </w:r>
      <w:bookmarkEnd w:id="30"/>
      <w:bookmarkEnd w:id="31"/>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[Section 7 amended by No. 70 of 1987 s. 5; No. 59 of 1996 s. 46; No. 4 of 2004 s. 58.]</w:t>
      </w:r>
    </w:p>
    <w:p>
      <w:pPr>
        <w:pStyle w:val="Heading5"/>
        <w:rPr>
          <w:snapToGrid w:val="0"/>
        </w:rPr>
      </w:pPr>
      <w:bookmarkStart w:id="32" w:name="_Toc378252196"/>
      <w:bookmarkStart w:id="33" w:name="_Toc412544124"/>
      <w:r>
        <w:rPr>
          <w:rStyle w:val="CharSectno"/>
        </w:rPr>
        <w:t>8</w:t>
      </w:r>
      <w:r>
        <w:rPr>
          <w:snapToGrid w:val="0"/>
        </w:rPr>
        <w:t>.</w:t>
      </w:r>
      <w:r>
        <w:rPr>
          <w:snapToGrid w:val="0"/>
        </w:rPr>
        <w:tab/>
        <w:t>Exemptions from licensing requirements</w:t>
      </w:r>
      <w:bookmarkEnd w:id="32"/>
      <w:bookmarkEnd w:id="33"/>
    </w:p>
    <w:p>
      <w:pPr>
        <w:pStyle w:val="Subsection"/>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rPr>
      </w:pPr>
      <w:r>
        <w:rPr>
          <w:snapToGrid w:val="0"/>
          <w:spacing w:val="-4"/>
        </w:rPr>
        <w:tab/>
      </w:r>
      <w:r>
        <w:rPr>
          <w:snapToGrid w:val="0"/>
        </w:rPr>
        <w:t>(h)</w:t>
      </w:r>
      <w:r>
        <w:rPr>
          <w:snapToGrid w:val="0"/>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rPr>
      </w:pPr>
      <w:r>
        <w:rPr>
          <w:snapToGrid w:val="0"/>
        </w:rPr>
        <w:tab/>
        <w:t>(i)</w:t>
      </w:r>
      <w:r>
        <w:rPr>
          <w:snapToGrid w:val="0"/>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pPr>
      <w:r>
        <w:rPr>
          <w:b/>
        </w:rPr>
        <w:tab/>
      </w:r>
      <w:r>
        <w:rPr>
          <w:rStyle w:val="CharDefText"/>
        </w:rPr>
        <w:t>family member</w:t>
      </w:r>
      <w:r>
        <w:t>, in relation to a person, means —</w:t>
      </w:r>
    </w:p>
    <w:p>
      <w:pPr>
        <w:pStyle w:val="Defpara"/>
      </w:pPr>
      <w:r>
        <w:tab/>
        <w:t>(a)</w:t>
      </w:r>
      <w:r>
        <w:tab/>
        <w:t>the spouse or de facto partner of the person;</w:t>
      </w:r>
      <w:ins w:id="34" w:author="svcMRProcess" w:date="2015-12-17T10:29:00Z">
        <w:r>
          <w:t xml:space="preserve"> or</w:t>
        </w:r>
      </w:ins>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[Section 8 amended by No. 59 of 1996 s. 8; No. 28 of 2003 s. 59; No. 69 of 2004 s. 5, 8(3) and 11.]</w:t>
      </w:r>
    </w:p>
    <w:p>
      <w:pPr>
        <w:pStyle w:val="Heading5"/>
        <w:rPr>
          <w:snapToGrid w:val="0"/>
        </w:rPr>
      </w:pPr>
      <w:bookmarkStart w:id="35" w:name="_Toc378252197"/>
      <w:bookmarkStart w:id="36" w:name="_Toc412544125"/>
      <w:r>
        <w:rPr>
          <w:rStyle w:val="CharSectno"/>
        </w:rPr>
        <w:t>9</w:t>
      </w:r>
      <w:r>
        <w:rPr>
          <w:snapToGrid w:val="0"/>
        </w:rPr>
        <w:t>.</w:t>
      </w:r>
      <w:r>
        <w:rPr>
          <w:snapToGrid w:val="0"/>
        </w:rPr>
        <w:tab/>
        <w:t>Licences</w:t>
      </w:r>
      <w:del w:id="37" w:author="svcMRProcess" w:date="2015-12-17T10:29:00Z">
        <w:r>
          <w:rPr>
            <w:snapToGrid w:val="0"/>
          </w:rPr>
          <w:delText xml:space="preserve"> etc.</w:delText>
        </w:r>
      </w:del>
      <w:ins w:id="38" w:author="svcMRProcess" w:date="2015-12-17T10:29:00Z">
        <w:r>
          <w:rPr>
            <w:snapToGrid w:val="0"/>
          </w:rPr>
          <w:t>, permits, approvals</w:t>
        </w:r>
      </w:ins>
      <w:r>
        <w:rPr>
          <w:snapToGrid w:val="0"/>
        </w:rPr>
        <w:t xml:space="preserve"> not transferable</w:t>
      </w:r>
      <w:bookmarkEnd w:id="35"/>
      <w:bookmarkEnd w:id="36"/>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39" w:name="_Toc378252198"/>
      <w:bookmarkStart w:id="40" w:name="_Toc412544126"/>
      <w:r>
        <w:rPr>
          <w:rStyle w:val="CharSectno"/>
        </w:rPr>
        <w:t>9A</w:t>
      </w:r>
      <w:r>
        <w:rPr>
          <w:snapToGrid w:val="0"/>
        </w:rPr>
        <w:t>.</w:t>
      </w:r>
      <w:r>
        <w:rPr>
          <w:snapToGrid w:val="0"/>
        </w:rPr>
        <w:tab/>
        <w:t>Duration and renewal of licences</w:t>
      </w:r>
      <w:bookmarkEnd w:id="39"/>
      <w:bookmarkEnd w:id="40"/>
    </w:p>
    <w:p>
      <w:pPr>
        <w:pStyle w:val="Subsection"/>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2004</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by No. 59 of 1996 s. 9; amended by No. 69 of 2004 s. 12.]</w:t>
      </w:r>
    </w:p>
    <w:p>
      <w:pPr>
        <w:pStyle w:val="Heading5"/>
        <w:rPr>
          <w:snapToGrid w:val="0"/>
        </w:rPr>
      </w:pPr>
      <w:bookmarkStart w:id="41" w:name="_Toc378252199"/>
      <w:bookmarkStart w:id="42" w:name="_Toc412544127"/>
      <w:r>
        <w:rPr>
          <w:rStyle w:val="CharSectno"/>
        </w:rPr>
        <w:t>10</w:t>
      </w:r>
      <w:r>
        <w:rPr>
          <w:snapToGrid w:val="0"/>
        </w:rPr>
        <w:t>.</w:t>
      </w:r>
      <w:r>
        <w:rPr>
          <w:snapToGrid w:val="0"/>
        </w:rPr>
        <w:tab/>
        <w:t>Minimum age of licensee or permit holder</w:t>
      </w:r>
      <w:bookmarkEnd w:id="41"/>
      <w:bookmarkEnd w:id="42"/>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by No. 59 of 1996 s. 10.]</w:t>
      </w:r>
    </w:p>
    <w:p>
      <w:pPr>
        <w:pStyle w:val="Heading5"/>
        <w:rPr>
          <w:snapToGrid w:val="0"/>
        </w:rPr>
      </w:pPr>
      <w:bookmarkStart w:id="43" w:name="_Toc378252200"/>
      <w:bookmarkStart w:id="44" w:name="_Toc412544128"/>
      <w:r>
        <w:rPr>
          <w:rStyle w:val="CharSectno"/>
        </w:rPr>
        <w:t>10A</w:t>
      </w:r>
      <w:r>
        <w:rPr>
          <w:snapToGrid w:val="0"/>
        </w:rPr>
        <w:t>.</w:t>
      </w:r>
      <w:r>
        <w:rPr>
          <w:snapToGrid w:val="0"/>
        </w:rPr>
        <w:tab/>
        <w:t>Training courses</w:t>
      </w:r>
      <w:bookmarkEnd w:id="43"/>
      <w:bookmarkEnd w:id="44"/>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by No. 59 of 1996 s. 11.]</w:t>
      </w:r>
    </w:p>
    <w:p>
      <w:pPr>
        <w:pStyle w:val="Heading5"/>
        <w:rPr>
          <w:snapToGrid w:val="0"/>
        </w:rPr>
      </w:pPr>
      <w:bookmarkStart w:id="45" w:name="_Toc378252201"/>
      <w:bookmarkStart w:id="46" w:name="_Toc412544129"/>
      <w:r>
        <w:rPr>
          <w:rStyle w:val="CharSectno"/>
        </w:rPr>
        <w:t>11</w:t>
      </w:r>
      <w:r>
        <w:rPr>
          <w:snapToGrid w:val="0"/>
        </w:rPr>
        <w:t>.</w:t>
      </w:r>
      <w:r>
        <w:rPr>
          <w:snapToGrid w:val="0"/>
        </w:rPr>
        <w:tab/>
        <w:t>Exercise of Commissioner’s discretion</w:t>
      </w:r>
      <w:bookmarkEnd w:id="45"/>
      <w:bookmarkEnd w:id="46"/>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w:t>
      </w:r>
      <w:ins w:id="47" w:author="svcMRProcess" w:date="2015-12-17T10:29:00Z">
        <w:r>
          <w:rPr>
            <w:snapToGrid w:val="0"/>
          </w:rPr>
          <w:t xml:space="preserve"> or</w:t>
        </w:r>
      </w:ins>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w:t>
      </w:r>
      <w:ins w:id="48" w:author="svcMRProcess" w:date="2015-12-17T10:29:00Z">
        <w:r>
          <w:rPr>
            <w:snapToGrid w:val="0"/>
          </w:rPr>
          <w:t xml:space="preserve"> or</w:t>
        </w:r>
      </w:ins>
    </w:p>
    <w:p>
      <w:pPr>
        <w:pStyle w:val="Indenti"/>
        <w:rPr>
          <w:snapToGrid w:val="0"/>
        </w:rPr>
      </w:pPr>
      <w:r>
        <w:rPr>
          <w:snapToGrid w:val="0"/>
        </w:rPr>
        <w:tab/>
        <w:t>(ii)</w:t>
      </w:r>
      <w:r>
        <w:rPr>
          <w:snapToGrid w:val="0"/>
        </w:rPr>
        <w:tab/>
        <w:t>the person was convicted of an offence involving violence;</w:t>
      </w:r>
      <w:ins w:id="49" w:author="svcMRProcess" w:date="2015-12-17T10:29:00Z">
        <w:r>
          <w:rPr>
            <w:snapToGrid w:val="0"/>
          </w:rPr>
          <w:t xml:space="preserve"> or</w:t>
        </w:r>
      </w:ins>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w:t>
      </w:r>
      <w:ins w:id="50" w:author="svcMRProcess" w:date="2015-12-17T10:29:00Z">
        <w:r>
          <w:rPr>
            <w:snapToGrid w:val="0"/>
          </w:rPr>
          <w:t xml:space="preserve"> or</w:t>
        </w:r>
      </w:ins>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w:t>
      </w:r>
      <w:del w:id="51" w:author="svcMRProcess" w:date="2015-12-17T10:29:00Z">
        <w:r>
          <w:delText xml:space="preserve"> </w:delText>
        </w:r>
      </w:del>
      <w:ins w:id="52" w:author="svcMRProcess" w:date="2015-12-17T10:29:00Z">
        <w:r>
          <w:t> </w:t>
        </w:r>
      </w:ins>
      <w:r>
        <w:t>XXXV; or</w:t>
      </w:r>
    </w:p>
    <w:p>
      <w:pPr>
        <w:pStyle w:val="Defpara"/>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ins w:id="53" w:author="svcMRProcess" w:date="2015-12-17T10:29:00Z">
        <w:r>
          <w:rPr>
            <w:snapToGrid w:val="0"/>
          </w:rPr>
          <w:t xml:space="preserve"> or</w:t>
        </w:r>
      </w:ins>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by No. 59 of 1996 s. 12; amended by No. 69 of 2004 s. 13.]</w:t>
      </w:r>
    </w:p>
    <w:p>
      <w:pPr>
        <w:pStyle w:val="Heading5"/>
        <w:rPr>
          <w:snapToGrid w:val="0"/>
        </w:rPr>
      </w:pPr>
      <w:bookmarkStart w:id="54" w:name="_Toc378252202"/>
      <w:bookmarkStart w:id="55" w:name="_Toc412544130"/>
      <w:r>
        <w:rPr>
          <w:rStyle w:val="CharSectno"/>
        </w:rPr>
        <w:t>11A</w:t>
      </w:r>
      <w:r>
        <w:rPr>
          <w:snapToGrid w:val="0"/>
        </w:rPr>
        <w:t>.</w:t>
      </w:r>
      <w:r>
        <w:rPr>
          <w:snapToGrid w:val="0"/>
        </w:rPr>
        <w:tab/>
        <w:t>Genuine reason required in all cases</w:t>
      </w:r>
      <w:bookmarkEnd w:id="54"/>
      <w:bookmarkEnd w:id="55"/>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rPr>
          <w:snapToGrid w:val="0"/>
        </w:rPr>
      </w:pPr>
      <w:r>
        <w:rPr>
          <w:snapToGrid w:val="0"/>
        </w:rPr>
        <w:tab/>
        <w:t>(2)</w:t>
      </w:r>
      <w:r>
        <w:rPr>
          <w:snapToGrid w:val="0"/>
        </w:rPr>
        <w:tab/>
        <w:t>A person has a genuine reason for acquiring or possessing a firearm or 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ins w:id="56" w:author="svcMRProcess" w:date="2015-12-17T10:29:00Z">
        <w:r>
          <w:rPr>
            <w:snapToGrid w:val="0"/>
          </w:rPr>
          <w:t xml:space="preserve"> or</w:t>
        </w:r>
      </w:ins>
    </w:p>
    <w:p>
      <w:pPr>
        <w:pStyle w:val="Indenta"/>
        <w:spacing w:before="60"/>
        <w:rPr>
          <w:snapToGrid w:val="0"/>
        </w:rPr>
      </w:pPr>
      <w:r>
        <w:rPr>
          <w:snapToGrid w:val="0"/>
        </w:rPr>
        <w:tab/>
        <w:t>(b)</w:t>
      </w:r>
      <w:r>
        <w:rPr>
          <w:snapToGrid w:val="0"/>
        </w:rPr>
        <w:tab/>
        <w:t>it is for use by the person as a member of an organisation approved under this paragraph;</w:t>
      </w:r>
      <w:ins w:id="57" w:author="svcMRProcess" w:date="2015-12-17T10:29:00Z">
        <w:r>
          <w:rPr>
            <w:snapToGrid w:val="0"/>
          </w:rPr>
          <w:t xml:space="preserve"> or</w:t>
        </w:r>
      </w:ins>
    </w:p>
    <w:p>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ins w:id="58" w:author="svcMRProcess" w:date="2015-12-17T10:29:00Z">
        <w:r>
          <w:rPr>
            <w:snapToGrid w:val="0"/>
          </w:rPr>
          <w:t xml:space="preserve"> or </w:t>
        </w:r>
      </w:ins>
    </w:p>
    <w:p>
      <w:pPr>
        <w:pStyle w:val="Indenta"/>
        <w:spacing w:before="60"/>
        <w:rPr>
          <w:snapToGrid w:val="0"/>
        </w:rPr>
      </w:pPr>
      <w:r>
        <w:rPr>
          <w:snapToGrid w:val="0"/>
        </w:rPr>
        <w:tab/>
        <w:t>(d)</w:t>
      </w:r>
      <w:r>
        <w:rPr>
          <w:snapToGrid w:val="0"/>
        </w:rPr>
        <w:tab/>
        <w:t>it is required by the person in the course of the person’s occupation;</w:t>
      </w:r>
      <w:ins w:id="59" w:author="svcMRProcess" w:date="2015-12-17T10:29:00Z">
        <w:r>
          <w:rPr>
            <w:snapToGrid w:val="0"/>
          </w:rPr>
          <w:t xml:space="preserve"> or</w:t>
        </w:r>
      </w:ins>
    </w:p>
    <w:p>
      <w:pPr>
        <w:pStyle w:val="Indenta"/>
      </w:pPr>
      <w:r>
        <w:tab/>
        <w:t>(da)</w:t>
      </w:r>
      <w:r>
        <w:tab/>
        <w:t>in the case of a prescribed paintball gun, it is required by the person to conduct or engage in paintball in accordance with this Act;</w:t>
      </w:r>
      <w:ins w:id="60" w:author="svcMRProcess" w:date="2015-12-17T10:29:00Z">
        <w:r>
          <w:t xml:space="preserve"> or</w:t>
        </w:r>
      </w:ins>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by No. 59 of 1996 s. 12; amended by No. 69 of 2004 s. 6 and 14.]</w:t>
      </w:r>
    </w:p>
    <w:p>
      <w:pPr>
        <w:pStyle w:val="Heading5"/>
        <w:rPr>
          <w:snapToGrid w:val="0"/>
        </w:rPr>
      </w:pPr>
      <w:bookmarkStart w:id="61" w:name="_Toc378252203"/>
      <w:bookmarkStart w:id="62" w:name="_Toc412544131"/>
      <w:r>
        <w:rPr>
          <w:rStyle w:val="CharSectno"/>
        </w:rPr>
        <w:t>11B</w:t>
      </w:r>
      <w:r>
        <w:rPr>
          <w:snapToGrid w:val="0"/>
        </w:rPr>
        <w:t>.</w:t>
      </w:r>
      <w:r>
        <w:rPr>
          <w:snapToGrid w:val="0"/>
        </w:rPr>
        <w:tab/>
        <w:t>Genuine need required in some cases</w:t>
      </w:r>
      <w:bookmarkEnd w:id="61"/>
      <w:bookmarkEnd w:id="62"/>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by No. 59 of 1996 s. 12.]</w:t>
      </w:r>
    </w:p>
    <w:p>
      <w:pPr>
        <w:pStyle w:val="Heading5"/>
        <w:rPr>
          <w:snapToGrid w:val="0"/>
        </w:rPr>
      </w:pPr>
      <w:bookmarkStart w:id="63" w:name="_Toc378252204"/>
      <w:bookmarkStart w:id="64" w:name="_Toc412544132"/>
      <w:r>
        <w:rPr>
          <w:rStyle w:val="CharSectno"/>
        </w:rPr>
        <w:t>11C</w:t>
      </w:r>
      <w:r>
        <w:rPr>
          <w:snapToGrid w:val="0"/>
        </w:rPr>
        <w:t>.</w:t>
      </w:r>
      <w:r>
        <w:rPr>
          <w:snapToGrid w:val="0"/>
        </w:rPr>
        <w:tab/>
        <w:t>Other restrictions</w:t>
      </w:r>
      <w:bookmarkEnd w:id="63"/>
      <w:bookmarkEnd w:id="64"/>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by No. 59 of 1996 s. 12.]</w:t>
      </w:r>
    </w:p>
    <w:p>
      <w:pPr>
        <w:pStyle w:val="Heading5"/>
        <w:rPr>
          <w:snapToGrid w:val="0"/>
        </w:rPr>
      </w:pPr>
      <w:bookmarkStart w:id="65" w:name="_Toc378252205"/>
      <w:bookmarkStart w:id="66" w:name="_Toc412544133"/>
      <w:r>
        <w:rPr>
          <w:rStyle w:val="CharSectno"/>
        </w:rPr>
        <w:t>12</w:t>
      </w:r>
      <w:r>
        <w:rPr>
          <w:snapToGrid w:val="0"/>
        </w:rPr>
        <w:t>.</w:t>
      </w:r>
      <w:r>
        <w:rPr>
          <w:snapToGrid w:val="0"/>
        </w:rPr>
        <w:tab/>
        <w:t>Unsafe or unserviceable firearms</w:t>
      </w:r>
      <w:bookmarkEnd w:id="65"/>
      <w:bookmarkEnd w:id="66"/>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by No. 59 of 1996 s. 13.]</w:t>
      </w:r>
    </w:p>
    <w:p>
      <w:pPr>
        <w:pStyle w:val="Ednotesection"/>
      </w:pPr>
      <w:r>
        <w:t>[</w:t>
      </w:r>
      <w:r>
        <w:rPr>
          <w:b/>
        </w:rPr>
        <w:t>13, 14.</w:t>
      </w:r>
      <w:r>
        <w:tab/>
        <w:t>Deleted by No. 59 of 1996 s. 5(2).]</w:t>
      </w:r>
    </w:p>
    <w:p>
      <w:pPr>
        <w:pStyle w:val="Heading5"/>
        <w:rPr>
          <w:snapToGrid w:val="0"/>
        </w:rPr>
      </w:pPr>
      <w:bookmarkStart w:id="67" w:name="_Toc378252206"/>
      <w:bookmarkStart w:id="68" w:name="_Toc412544134"/>
      <w:r>
        <w:rPr>
          <w:rStyle w:val="CharSectno"/>
        </w:rPr>
        <w:t>15</w:t>
      </w:r>
      <w:r>
        <w:rPr>
          <w:snapToGrid w:val="0"/>
        </w:rPr>
        <w:t>.</w:t>
      </w:r>
      <w:r>
        <w:rPr>
          <w:snapToGrid w:val="0"/>
        </w:rPr>
        <w:tab/>
        <w:t>Firearm collections</w:t>
      </w:r>
      <w:bookmarkEnd w:id="67"/>
      <w:bookmarkEnd w:id="68"/>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spacing w:before="180"/>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spacing w:before="180"/>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spacing w:before="180"/>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spacing w:before="180"/>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keepLines/>
        <w:spacing w:before="180"/>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ind w:left="890" w:hanging="890"/>
      </w:pPr>
      <w:r>
        <w:tab/>
        <w:t>[Section 15 inserted by No. 59 of 1996 s. 14; amended by No. 69 of 2004 s. 15(1) and (2).]</w:t>
      </w:r>
    </w:p>
    <w:p>
      <w:pPr>
        <w:pStyle w:val="Heading5"/>
      </w:pPr>
      <w:bookmarkStart w:id="69" w:name="_Toc378252207"/>
      <w:bookmarkStart w:id="70" w:name="_Toc412544135"/>
      <w:r>
        <w:rPr>
          <w:rStyle w:val="CharSectno"/>
        </w:rPr>
        <w:t>15A</w:t>
      </w:r>
      <w:r>
        <w:t>.</w:t>
      </w:r>
      <w:r>
        <w:tab/>
        <w:t>Accredited societies of collectors</w:t>
      </w:r>
      <w:bookmarkEnd w:id="69"/>
      <w:bookmarkEnd w:id="70"/>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ind w:left="890" w:hanging="890"/>
      </w:pPr>
      <w:r>
        <w:tab/>
        <w:t>[Section 15A inserted by No. 69 of 2004 s. 16.]</w:t>
      </w:r>
    </w:p>
    <w:p>
      <w:pPr>
        <w:pStyle w:val="Heading5"/>
        <w:rPr>
          <w:snapToGrid w:val="0"/>
        </w:rPr>
      </w:pPr>
      <w:bookmarkStart w:id="71" w:name="_Toc378252208"/>
      <w:bookmarkStart w:id="72" w:name="_Toc412544136"/>
      <w:r>
        <w:rPr>
          <w:rStyle w:val="CharSectno"/>
        </w:rPr>
        <w:t>15B</w:t>
      </w:r>
      <w:r>
        <w:t>.</w:t>
      </w:r>
      <w:r>
        <w:tab/>
        <w:t>Information from accredited society of collectors</w:t>
      </w:r>
      <w:bookmarkEnd w:id="71"/>
      <w:bookmarkEnd w:id="72"/>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73" w:name="_Toc378252209"/>
      <w:bookmarkStart w:id="74" w:name="_Toc412544137"/>
      <w:r>
        <w:rPr>
          <w:rStyle w:val="CharSectno"/>
        </w:rPr>
        <w:t>16</w:t>
      </w:r>
      <w:r>
        <w:rPr>
          <w:snapToGrid w:val="0"/>
        </w:rPr>
        <w:t>.</w:t>
      </w:r>
      <w:r>
        <w:rPr>
          <w:snapToGrid w:val="0"/>
        </w:rPr>
        <w:tab/>
        <w:t>Licences</w:t>
      </w:r>
      <w:bookmarkEnd w:id="73"/>
      <w:bookmarkEnd w:id="74"/>
    </w:p>
    <w:p>
      <w:pPr>
        <w:pStyle w:val="Subsection"/>
        <w:rPr>
          <w:snapToGrid w:val="0"/>
        </w:rPr>
      </w:pPr>
      <w:r>
        <w:rPr>
          <w:snapToGrid w:val="0"/>
        </w:rPr>
        <w:tab/>
        <w:t>(1)</w:t>
      </w:r>
      <w:r>
        <w:rPr>
          <w:snapToGrid w:val="0"/>
        </w:rPr>
        <w:tab/>
        <w:t>The licences which may be issued under this Act are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ins w:id="75" w:author="svcMRProcess" w:date="2015-12-17T10:29:00Z">
        <w:r>
          <w:rPr>
            <w:snapToGrid w:val="0"/>
          </w:rPr>
          <w:t xml:space="preserve"> and</w:t>
        </w:r>
      </w:ins>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ins w:id="76" w:author="svcMRProcess" w:date="2015-12-17T10:29:00Z">
        <w:r>
          <w:rPr>
            <w:snapToGrid w:val="0"/>
          </w:rPr>
          <w:t xml:space="preserve"> and</w:t>
        </w:r>
      </w:ins>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w:t>
      </w:r>
      <w:ins w:id="77" w:author="svcMRProcess" w:date="2015-12-17T10:29:00Z">
        <w:r>
          <w:rPr>
            <w:snapToGrid w:val="0"/>
          </w:rPr>
          <w:t xml:space="preserve"> and</w:t>
        </w:r>
      </w:ins>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ins w:id="78" w:author="svcMRProcess" w:date="2015-12-17T10:29:00Z">
        <w:r>
          <w:rPr>
            <w:snapToGrid w:val="0"/>
          </w:rPr>
          <w:t xml:space="preserve"> and</w:t>
        </w:r>
      </w:ins>
    </w:p>
    <w:p>
      <w:pPr>
        <w:pStyle w:val="Indenta"/>
        <w:rPr>
          <w:snapToGrid w:val="0"/>
        </w:rPr>
      </w:pPr>
      <w:r>
        <w:rPr>
          <w:snapToGrid w:val="0"/>
        </w:rPr>
        <w:tab/>
        <w:t>(e)</w:t>
      </w:r>
      <w:r>
        <w:rPr>
          <w:snapToGrid w:val="0"/>
        </w:rPr>
        <w:tab/>
        <w:t>a Repairer’s Licence, which entitles the holder to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ins w:id="79" w:author="svcMRProcess" w:date="2015-12-17T10:29:00Z">
        <w:r>
          <w:rPr>
            <w:snapToGrid w:val="0"/>
          </w:rPr>
          <w:t xml:space="preserve"> and</w:t>
        </w:r>
      </w:ins>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ins w:id="80" w:author="svcMRProcess" w:date="2015-12-17T10:29:00Z">
        <w:r>
          <w:rPr>
            <w:snapToGrid w:val="0"/>
          </w:rPr>
          <w:t xml:space="preserve"> and</w:t>
        </w:r>
      </w:ins>
    </w:p>
    <w:p>
      <w:pPr>
        <w:pStyle w:val="Indenta"/>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w:t>
      </w:r>
    </w:p>
    <w:p>
      <w:pPr>
        <w:pStyle w:val="Indenta"/>
        <w:spacing w:before="60"/>
        <w:rPr>
          <w:snapToGrid w:val="0"/>
        </w:rPr>
      </w:pPr>
      <w:r>
        <w:rPr>
          <w:snapToGrid w:val="0"/>
        </w:rPr>
        <w:tab/>
        <w:t>(a)</w:t>
      </w:r>
      <w:r>
        <w:rPr>
          <w:snapToGrid w:val="0"/>
        </w:rPr>
        <w:tab/>
        <w:t>an employee of that organisation;</w:t>
      </w:r>
      <w:ins w:id="81" w:author="svcMRProcess" w:date="2015-12-17T10:29:00Z">
        <w:r>
          <w:rPr>
            <w:snapToGrid w:val="0"/>
          </w:rPr>
          <w:t xml:space="preserve"> or</w:t>
        </w:r>
      </w:ins>
    </w:p>
    <w:p>
      <w:pPr>
        <w:pStyle w:val="Indenta"/>
        <w:spacing w:before="60"/>
        <w:rPr>
          <w:snapToGrid w:val="0"/>
        </w:rPr>
      </w:pPr>
      <w:r>
        <w:rPr>
          <w:snapToGrid w:val="0"/>
        </w:rPr>
        <w:tab/>
        <w:t>(b)</w:t>
      </w:r>
      <w:r>
        <w:rPr>
          <w:snapToGrid w:val="0"/>
        </w:rPr>
        <w:tab/>
        <w:t>in respect to any particular act or omission authorised by the organisation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[Section 16 amended by No. 59 of 1996 s. 15; No. 27 of 1996 s. 96.]</w:t>
      </w:r>
    </w:p>
    <w:p>
      <w:pPr>
        <w:pStyle w:val="Heading5"/>
        <w:rPr>
          <w:snapToGrid w:val="0"/>
        </w:rPr>
      </w:pPr>
      <w:bookmarkStart w:id="82" w:name="_Toc378252210"/>
      <w:bookmarkStart w:id="83" w:name="_Toc412544138"/>
      <w:r>
        <w:rPr>
          <w:rStyle w:val="CharSectno"/>
        </w:rPr>
        <w:t>16A</w:t>
      </w:r>
      <w:r>
        <w:rPr>
          <w:snapToGrid w:val="0"/>
        </w:rPr>
        <w:t>.</w:t>
      </w:r>
      <w:r>
        <w:rPr>
          <w:snapToGrid w:val="0"/>
        </w:rPr>
        <w:tab/>
        <w:t>Possession of firearms by security officers</w:t>
      </w:r>
      <w:bookmarkEnd w:id="82"/>
      <w:bookmarkEnd w:id="83"/>
    </w:p>
    <w:p>
      <w:pPr>
        <w:pStyle w:val="Subsection"/>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w:t>
      </w:r>
      <w:r>
        <w:t>, or a permit issued under section 25,</w:t>
      </w:r>
      <w:r>
        <w:rPr>
          <w:snapToGrid w:val="0"/>
        </w:rPr>
        <w:t xml:space="preserve"> of that Act.</w:t>
      </w:r>
    </w:p>
    <w:p>
      <w:pPr>
        <w:pStyle w:val="Footnotesection"/>
      </w:pPr>
      <w:r>
        <w:tab/>
        <w:t>[Section 16A inserted by No. 27 of 1996 s. 96; amended by No. 59 of 1996 s. 16; No. 4 of 2008 s. 81.]</w:t>
      </w:r>
    </w:p>
    <w:p>
      <w:pPr>
        <w:pStyle w:val="Heading5"/>
        <w:rPr>
          <w:snapToGrid w:val="0"/>
        </w:rPr>
      </w:pPr>
      <w:bookmarkStart w:id="84" w:name="_Toc378252211"/>
      <w:bookmarkStart w:id="85" w:name="_Toc412544139"/>
      <w:r>
        <w:rPr>
          <w:rStyle w:val="CharSectno"/>
        </w:rPr>
        <w:t>17</w:t>
      </w:r>
      <w:r>
        <w:rPr>
          <w:snapToGrid w:val="0"/>
        </w:rPr>
        <w:t>.</w:t>
      </w:r>
      <w:r>
        <w:rPr>
          <w:snapToGrid w:val="0"/>
        </w:rPr>
        <w:tab/>
        <w:t>Temporary permits</w:t>
      </w:r>
      <w:bookmarkEnd w:id="84"/>
      <w:bookmarkEnd w:id="85"/>
    </w:p>
    <w:p>
      <w:pPr>
        <w:pStyle w:val="Subsection"/>
        <w:rPr>
          <w:snapToGrid w:val="0"/>
        </w:rPr>
      </w:pPr>
      <w:r>
        <w:rPr>
          <w:snapToGrid w:val="0"/>
        </w:rPr>
        <w:tab/>
        <w:t>(1)</w:t>
      </w:r>
      <w:r>
        <w:rPr>
          <w:snapToGrid w:val="0"/>
        </w:rPr>
        <w:tab/>
        <w:t>Subject to subsection (3), a permit to possess a firearm or ammunition temporarily may be granted by the Commissioner to a person —</w:t>
      </w:r>
    </w:p>
    <w:p>
      <w:pPr>
        <w:pStyle w:val="Indenta"/>
        <w:rPr>
          <w:snapToGrid w:val="0"/>
        </w:rPr>
      </w:pPr>
      <w:r>
        <w:rPr>
          <w:snapToGrid w:val="0"/>
        </w:rPr>
        <w:tab/>
        <w:t>(a)</w:t>
      </w:r>
      <w:r>
        <w:rPr>
          <w:snapToGrid w:val="0"/>
        </w:rPr>
        <w:tab/>
        <w:t>for the purpose of any test or demonstration of it;</w:t>
      </w:r>
      <w:ins w:id="86" w:author="svcMRProcess" w:date="2015-12-17T10:29:00Z">
        <w:r>
          <w:rPr>
            <w:snapToGrid w:val="0"/>
          </w:rPr>
          <w:t xml:space="preserve"> or</w:t>
        </w:r>
      </w:ins>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ins w:id="87" w:author="svcMRProcess" w:date="2015-12-17T10:29:00Z">
        <w:r>
          <w:rPr>
            <w:snapToGrid w:val="0"/>
          </w:rPr>
          <w:t xml:space="preserve"> or</w:t>
        </w:r>
      </w:ins>
    </w:p>
    <w:p>
      <w:pPr>
        <w:pStyle w:val="Indenta"/>
        <w:rPr>
          <w:snapToGrid w:val="0"/>
        </w:rPr>
      </w:pPr>
      <w:r>
        <w:rPr>
          <w:snapToGrid w:val="0"/>
        </w:rPr>
        <w:tab/>
        <w:t>(c)</w:t>
      </w:r>
      <w:r>
        <w:rPr>
          <w:snapToGrid w:val="0"/>
        </w:rPr>
        <w:tab/>
        <w:t>for the purposes of transit;</w:t>
      </w:r>
      <w:ins w:id="88" w:author="svcMRProcess" w:date="2015-12-17T10:29:00Z">
        <w:r>
          <w:rPr>
            <w:snapToGrid w:val="0"/>
          </w:rPr>
          <w:t xml:space="preserve"> or</w:t>
        </w:r>
      </w:ins>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keepNext/>
        <w:keepLines/>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by No. 59 of 2004 s. 141.]</w:t>
      </w:r>
    </w:p>
    <w:p>
      <w:pPr>
        <w:pStyle w:val="Heading5"/>
        <w:rPr>
          <w:snapToGrid w:val="0"/>
        </w:rPr>
      </w:pPr>
      <w:bookmarkStart w:id="89" w:name="_Toc378252212"/>
      <w:bookmarkStart w:id="90" w:name="_Toc412544140"/>
      <w:r>
        <w:rPr>
          <w:rStyle w:val="CharSectno"/>
        </w:rPr>
        <w:t>17A</w:t>
      </w:r>
      <w:r>
        <w:rPr>
          <w:snapToGrid w:val="0"/>
        </w:rPr>
        <w:t>.</w:t>
      </w:r>
      <w:r>
        <w:rPr>
          <w:snapToGrid w:val="0"/>
        </w:rPr>
        <w:tab/>
        <w:t>Interstate group permits</w:t>
      </w:r>
      <w:bookmarkEnd w:id="89"/>
      <w:bookmarkEnd w:id="90"/>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rPr>
          <w:snapToGrid w:val="0"/>
        </w:rPr>
      </w:pPr>
      <w:r>
        <w:rPr>
          <w:snapToGrid w:val="0"/>
        </w:rPr>
        <w:tab/>
      </w:r>
      <w:r>
        <w:rPr>
          <w:snapToGrid w:val="0"/>
        </w:rPr>
        <w:tab/>
        <w:t>grant to the club, body or organisation an interstate group permit.</w:t>
      </w:r>
    </w:p>
    <w:p>
      <w:pPr>
        <w:pStyle w:val="Subsection"/>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w:t>
      </w:r>
      <w:ins w:id="91" w:author="svcMRProcess" w:date="2015-12-17T10:29:00Z">
        <w:r>
          <w:rPr>
            <w:snapToGrid w:val="0"/>
          </w:rPr>
          <w:t xml:space="preserve"> and</w:t>
        </w:r>
      </w:ins>
    </w:p>
    <w:p>
      <w:pPr>
        <w:pStyle w:val="Indenta"/>
        <w:rPr>
          <w:snapToGrid w:val="0"/>
        </w:rPr>
      </w:pPr>
      <w:r>
        <w:rPr>
          <w:snapToGrid w:val="0"/>
        </w:rPr>
        <w:tab/>
        <w:t>(b)</w:t>
      </w:r>
      <w:r>
        <w:rPr>
          <w:snapToGrid w:val="0"/>
        </w:rPr>
        <w:tab/>
        <w:t>shall be issued to the club, body or organisation on whose behalf the application for the permit has been made;</w:t>
      </w:r>
      <w:ins w:id="92" w:author="svcMRProcess" w:date="2015-12-17T10:29:00Z">
        <w:r>
          <w:rPr>
            <w:snapToGrid w:val="0"/>
          </w:rPr>
          <w:t xml:space="preserve"> and</w:t>
        </w:r>
      </w:ins>
    </w:p>
    <w:p>
      <w:pPr>
        <w:pStyle w:val="Indenta"/>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 xml:space="preserve">An interstate group permit entitles the persons named in the permit to possess or carry the firearms named and identified in the permit and ammunition for that firearm as if each such person were the holder of a </w:t>
      </w:r>
      <w:del w:id="93" w:author="svcMRProcess" w:date="2015-12-17T10:29:00Z">
        <w:r>
          <w:rPr>
            <w:snapToGrid w:val="0"/>
          </w:rPr>
          <w:delText>firearm licence</w:delText>
        </w:r>
      </w:del>
      <w:ins w:id="94" w:author="svcMRProcess" w:date="2015-12-17T10:29:00Z">
        <w:r>
          <w:rPr>
            <w:snapToGrid w:val="0"/>
          </w:rPr>
          <w:t>Firearm Licence</w:t>
        </w:r>
      </w:ins>
      <w:r>
        <w:rPr>
          <w:snapToGrid w:val="0"/>
        </w:rPr>
        <w:t xml:space="preserve"> for the period specified in the permit.</w:t>
      </w:r>
    </w:p>
    <w:p>
      <w:pPr>
        <w:pStyle w:val="Footnotesection"/>
      </w:pPr>
      <w:r>
        <w:tab/>
        <w:t>[Section 17A inserted by No. 61 of 1976 s. 2.]</w:t>
      </w:r>
    </w:p>
    <w:p>
      <w:pPr>
        <w:pStyle w:val="Heading5"/>
        <w:spacing w:before="240"/>
        <w:rPr>
          <w:snapToGrid w:val="0"/>
        </w:rPr>
      </w:pPr>
      <w:bookmarkStart w:id="95" w:name="_Toc378252213"/>
      <w:bookmarkStart w:id="96" w:name="_Toc412544141"/>
      <w:r>
        <w:rPr>
          <w:rStyle w:val="CharSectno"/>
        </w:rPr>
        <w:t>17B</w:t>
      </w:r>
      <w:r>
        <w:rPr>
          <w:snapToGrid w:val="0"/>
        </w:rPr>
        <w:t>.</w:t>
      </w:r>
      <w:r>
        <w:rPr>
          <w:snapToGrid w:val="0"/>
        </w:rPr>
        <w:tab/>
        <w:t xml:space="preserve">Minister may authorise </w:t>
      </w:r>
      <w:del w:id="97" w:author="svcMRProcess" w:date="2015-12-17T10:29:00Z">
        <w:r>
          <w:rPr>
            <w:snapToGrid w:val="0"/>
          </w:rPr>
          <w:delText>officers or employees of Agriculture Protection Board</w:delText>
        </w:r>
      </w:del>
      <w:ins w:id="98" w:author="svcMRProcess" w:date="2015-12-17T10:29:00Z">
        <w:r>
          <w:rPr>
            <w:snapToGrid w:val="0"/>
          </w:rPr>
          <w:t>agriculture inspector</w:t>
        </w:r>
      </w:ins>
      <w:r>
        <w:rPr>
          <w:snapToGrid w:val="0"/>
        </w:rPr>
        <w:t xml:space="preserve"> to possess, carry and use silencers</w:t>
      </w:r>
      <w:bookmarkEnd w:id="95"/>
      <w:bookmarkEnd w:id="96"/>
    </w:p>
    <w:p>
      <w:pPr>
        <w:pStyle w:val="Subsection"/>
        <w:rPr>
          <w:snapToGrid w:val="0"/>
        </w:rPr>
      </w:pPr>
      <w:r>
        <w:rPr>
          <w:snapToGrid w:val="0"/>
        </w:rPr>
        <w:tab/>
        <w:t>(1)</w:t>
      </w:r>
      <w:r>
        <w:rPr>
          <w:snapToGrid w:val="0"/>
        </w:rPr>
        <w:tab/>
        <w:t xml:space="preserve">Subject to this section, the Minister may grant authority in writing to an approved </w:t>
      </w:r>
      <w:r>
        <w:t>agriculture inspector</w:t>
      </w:r>
      <w:r>
        <w:rPr>
          <w:snapToGrid w:val="0"/>
        </w:rPr>
        <w:t xml:space="preserve">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 xml:space="preserve">An </w:t>
      </w:r>
      <w:r>
        <w:t>agriculture inspector</w:t>
      </w:r>
      <w:r>
        <w:rPr>
          <w:snapToGrid w:val="0"/>
        </w:rPr>
        <w:t xml:space="preserve"> to whom an authority has been granted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 and</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 and</w:t>
      </w:r>
    </w:p>
    <w:p>
      <w:pPr>
        <w:pStyle w:val="Indenta"/>
      </w:pPr>
      <w:r>
        <w:tab/>
        <w:t>(c)</w:t>
      </w:r>
      <w:r>
        <w:tab/>
        <w:t xml:space="preserve">shall not use a silencer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 and</w:t>
      </w:r>
    </w:p>
    <w:p>
      <w:pPr>
        <w:pStyle w:val="Indenta"/>
        <w:rPr>
          <w:snapToGrid w:val="0"/>
        </w:rPr>
      </w:pPr>
      <w:r>
        <w:rPr>
          <w:snapToGrid w:val="0"/>
        </w:rPr>
        <w:tab/>
        <w:t>(d)</w:t>
      </w:r>
      <w:r>
        <w:rPr>
          <w:snapToGrid w:val="0"/>
        </w:rPr>
        <w:tab/>
        <w:t>shall take all reasonable precautions to ensure the safekeeping of a silencer possessed, carried or used by him; and</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spacing w:before="180"/>
        <w:rPr>
          <w:snapToGrid w:val="0"/>
        </w:rPr>
      </w:pPr>
      <w:r>
        <w:rPr>
          <w:snapToGrid w:val="0"/>
        </w:rPr>
        <w:tab/>
        <w:t>(4)</w:t>
      </w:r>
      <w:r>
        <w:rPr>
          <w:snapToGrid w:val="0"/>
        </w:rPr>
        <w:tab/>
        <w:t xml:space="preserve">If an </w:t>
      </w:r>
      <w:r>
        <w:t>agriculture inspector</w:t>
      </w:r>
      <w:r>
        <w:rPr>
          <w:snapToGrid w:val="0"/>
        </w:rPr>
        <w:t xml:space="preserve"> to whom an authority has been granted fails to perform any of the duties imposed on him by subsection (3) or ceases to be permitted by </w:t>
      </w:r>
      <w:r>
        <w:t>the Director General</w:t>
      </w:r>
      <w:r>
        <w:rPr>
          <w:snapToGrid w:val="0"/>
        </w:rPr>
        <w:t xml:space="preserve"> to possess, carry or use a .22 calibre rifle under the Corporate Licence referred to in subsection (7), his authority is rendered void.</w:t>
      </w:r>
    </w:p>
    <w:p>
      <w:pPr>
        <w:pStyle w:val="Subsection"/>
        <w:spacing w:before="180"/>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 or</w:t>
      </w:r>
    </w:p>
    <w:p>
      <w:pPr>
        <w:pStyle w:val="Indenta"/>
        <w:rPr>
          <w:snapToGrid w:val="0"/>
        </w:rPr>
      </w:pPr>
      <w:r>
        <w:rPr>
          <w:snapToGrid w:val="0"/>
        </w:rPr>
        <w:tab/>
        <w:t>(b)</w:t>
      </w:r>
      <w:r>
        <w:rPr>
          <w:snapToGrid w:val="0"/>
        </w:rPr>
        <w:tab/>
        <w:t>its revocation under subsection (2); or</w:t>
      </w:r>
    </w:p>
    <w:p>
      <w:pPr>
        <w:pStyle w:val="Indenta"/>
        <w:rPr>
          <w:snapToGrid w:val="0"/>
        </w:rPr>
      </w:pPr>
      <w:r>
        <w:rPr>
          <w:snapToGrid w:val="0"/>
        </w:rPr>
        <w:tab/>
        <w:t>(c)</w:t>
      </w:r>
      <w:r>
        <w:rPr>
          <w:snapToGrid w:val="0"/>
        </w:rPr>
        <w:tab/>
        <w:t>its being rendered void by virtue of subsection (4); or</w:t>
      </w:r>
    </w:p>
    <w:p>
      <w:pPr>
        <w:pStyle w:val="Indenta"/>
        <w:keepNext/>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 xml:space="preserve">For the purposes of section 22, neither the approval of an </w:t>
      </w:r>
      <w:r>
        <w:t>agriculture inspector</w:t>
      </w:r>
      <w:r>
        <w:rPr>
          <w:snapToGrid w:val="0"/>
        </w:rPr>
        <w:t xml:space="preserve">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 xml:space="preserve">This section has effect only while </w:t>
      </w:r>
      <w:r>
        <w:t>the department</w:t>
      </w:r>
      <w:r>
        <w:rPr>
          <w:snapToGrid w:val="0"/>
        </w:rPr>
        <w:t xml:space="preserve"> is the holder of a valid Corporate Licence entitling the department to possess .22 calibre rifles, together with ammunition therefor.</w:t>
      </w:r>
    </w:p>
    <w:p>
      <w:pPr>
        <w:pStyle w:val="Subsection"/>
        <w:rPr>
          <w:snapToGrid w:val="0"/>
        </w:rPr>
      </w:pPr>
      <w:r>
        <w:rPr>
          <w:snapToGrid w:val="0"/>
        </w:rPr>
        <w:tab/>
        <w:t>(8)</w:t>
      </w:r>
      <w:r>
        <w:rPr>
          <w:snapToGrid w:val="0"/>
        </w:rPr>
        <w:tab/>
        <w:t>In this section —</w:t>
      </w:r>
    </w:p>
    <w:p>
      <w:pPr>
        <w:pStyle w:val="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16(1)(c);</w:t>
      </w:r>
    </w:p>
    <w:p>
      <w:pPr>
        <w:pStyle w:val="Defstart"/>
      </w:pPr>
      <w:r>
        <w:tab/>
      </w:r>
      <w:r>
        <w:rPr>
          <w:rStyle w:val="CharDefText"/>
        </w:rPr>
        <w:t>department</w:t>
      </w:r>
      <w:r>
        <w:t xml:space="preserve"> means the department principally assisting in the administration of the </w:t>
      </w:r>
      <w:r>
        <w:rPr>
          <w:i/>
        </w:rPr>
        <w:t>Biosecurity and Agriculture Management Act 2007</w:t>
      </w:r>
      <w:r>
        <w:t>;</w:t>
      </w:r>
    </w:p>
    <w:p>
      <w:pPr>
        <w:pStyle w:val="Defstart"/>
      </w:pPr>
      <w:r>
        <w:rPr>
          <w:b/>
        </w:rPr>
        <w:tab/>
      </w:r>
      <w:r>
        <w:rPr>
          <w:rStyle w:val="CharDefText"/>
        </w:rPr>
        <w:t>silencer</w:t>
      </w:r>
      <w:r>
        <w:t xml:space="preserve"> means contrivance commonly known as a silencer, or contrivance of a similar nature.</w:t>
      </w:r>
    </w:p>
    <w:p>
      <w:pPr>
        <w:pStyle w:val="Footnotesection"/>
      </w:pPr>
      <w:r>
        <w:tab/>
        <w:t>[Section 17B inserted by No. 3 of 1983 s. 2; amended by No. 59 of 1996 s. 17; No. 24 of 2007 s. 30A (as inserted by No. 46 of 2010 s. 59); No. 46 of 2010 s. 69.]</w:t>
      </w:r>
    </w:p>
    <w:p>
      <w:pPr>
        <w:pStyle w:val="Heading5"/>
        <w:spacing w:before="240"/>
        <w:rPr>
          <w:snapToGrid w:val="0"/>
        </w:rPr>
      </w:pPr>
      <w:bookmarkStart w:id="99" w:name="_Toc378252214"/>
      <w:bookmarkStart w:id="100" w:name="_Toc412544142"/>
      <w:r>
        <w:rPr>
          <w:rStyle w:val="CharSectno"/>
        </w:rPr>
        <w:t>18</w:t>
      </w:r>
      <w:r>
        <w:rPr>
          <w:snapToGrid w:val="0"/>
        </w:rPr>
        <w:t>.</w:t>
      </w:r>
      <w:r>
        <w:rPr>
          <w:snapToGrid w:val="0"/>
        </w:rPr>
        <w:tab/>
        <w:t>Licensing procedure</w:t>
      </w:r>
      <w:bookmarkEnd w:id="99"/>
      <w:bookmarkEnd w:id="100"/>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spacing w:before="120"/>
        <w:ind w:left="0" w:firstLine="0"/>
      </w:pPr>
      <w:r>
        <w:tab/>
        <w:t>[(2), (3)</w:t>
      </w:r>
      <w:r>
        <w:tab/>
        <w:t>deleted]</w:t>
      </w:r>
    </w:p>
    <w:p>
      <w:pPr>
        <w:pStyle w:val="Subsection"/>
        <w:keepNext/>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pPr>
        <w:pStyle w:val="Indenta"/>
        <w:rPr>
          <w:snapToGrid w:val="0"/>
        </w:rPr>
      </w:pPr>
      <w:r>
        <w:rPr>
          <w:snapToGrid w:val="0"/>
        </w:rPr>
        <w:tab/>
        <w:t>(a)</w:t>
      </w:r>
      <w:r>
        <w:rPr>
          <w:snapToGrid w:val="0"/>
        </w:rPr>
        <w:tab/>
        <w:t xml:space="preserve">reference has been made where practicable to relevant criminal records held by the police forces in this State and elsewhere in </w:t>
      </w:r>
      <w:smartTag w:uri="urn:schemas-microsoft-com:office:smarttags" w:element="place">
        <w:smartTag w:uri="urn:schemas-microsoft-com:office:smarttags" w:element="country-region">
          <w:r>
            <w:rPr>
              <w:snapToGrid w:val="0"/>
            </w:rPr>
            <w:t>Australia</w:t>
          </w:r>
        </w:smartTag>
      </w:smartTag>
      <w:r>
        <w:rPr>
          <w:snapToGrid w:val="0"/>
        </w:rPr>
        <w:t>;</w:t>
      </w:r>
      <w:ins w:id="101" w:author="svcMRProcess" w:date="2015-12-17T10:29:00Z">
        <w:r>
          <w:rPr>
            <w:snapToGrid w:val="0"/>
          </w:rPr>
          <w:t xml:space="preserve"> and</w:t>
        </w:r>
      </w:ins>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w:t>
      </w:r>
      <w:ins w:id="102" w:author="svcMRProcess" w:date="2015-12-17T10:29:00Z">
        <w:r>
          <w:rPr>
            <w:snapToGrid w:val="0"/>
          </w:rPr>
          <w:t xml:space="preserve"> and</w:t>
        </w:r>
      </w:ins>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by No. 61 of 1976 s. 3; No. 59 of 1996 s. 18; No. 69 of 2004 s. 17.]</w:t>
      </w:r>
    </w:p>
    <w:p>
      <w:pPr>
        <w:pStyle w:val="Heading5"/>
        <w:rPr>
          <w:snapToGrid w:val="0"/>
        </w:rPr>
      </w:pPr>
      <w:bookmarkStart w:id="103" w:name="_Toc378252215"/>
      <w:bookmarkStart w:id="104" w:name="_Toc412544143"/>
      <w:r>
        <w:rPr>
          <w:rStyle w:val="CharSectno"/>
        </w:rPr>
        <w:t>19</w:t>
      </w:r>
      <w:r>
        <w:rPr>
          <w:snapToGrid w:val="0"/>
        </w:rPr>
        <w:t>.</w:t>
      </w:r>
      <w:r>
        <w:rPr>
          <w:snapToGrid w:val="0"/>
        </w:rPr>
        <w:tab/>
        <w:t>Licensing offences</w:t>
      </w:r>
      <w:bookmarkEnd w:id="103"/>
      <w:bookmarkEnd w:id="10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w:t>
      </w:r>
      <w:ins w:id="105" w:author="svcMRProcess" w:date="2015-12-17T10:29:00Z">
        <w:r>
          <w:rPr>
            <w:snapToGrid w:val="0"/>
          </w:rPr>
          <w:t xml:space="preserve"> or</w:t>
        </w:r>
      </w:ins>
    </w:p>
    <w:p>
      <w:pPr>
        <w:pStyle w:val="Indenta"/>
        <w:rPr>
          <w:snapToGrid w:val="0"/>
        </w:rPr>
      </w:pPr>
      <w:r>
        <w:rPr>
          <w:snapToGrid w:val="0"/>
        </w:rPr>
        <w:tab/>
        <w:t>(b)</w:t>
      </w:r>
      <w:r>
        <w:rPr>
          <w:snapToGrid w:val="0"/>
        </w:rPr>
        <w:tab/>
        <w:t>purchases or otherwise comes into possession of; or</w:t>
      </w:r>
    </w:p>
    <w:p>
      <w:pPr>
        <w:pStyle w:val="Indenta"/>
        <w:keepNext/>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keepLines/>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spacing w:before="120"/>
      </w:pPr>
      <w:r>
        <w:tab/>
        <w:t>(1ab)</w:t>
      </w:r>
      <w:r>
        <w:tab/>
        <w:t>A person who is guilty of a crime under subsection (1)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spacing w:before="120"/>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at the time of the offence the offender —</w:t>
      </w:r>
    </w:p>
    <w:p>
      <w:pPr>
        <w:pStyle w:val="Indenti"/>
        <w:spacing w:before="60"/>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w:t>
      </w:r>
      <w:ins w:id="106" w:author="svcMRProcess" w:date="2015-12-17T10:29:00Z">
        <w:r>
          <w:t xml:space="preserve"> or</w:t>
        </w:r>
      </w:ins>
    </w:p>
    <w:p>
      <w:pPr>
        <w:pStyle w:val="Indenta"/>
      </w:pPr>
      <w:r>
        <w:tab/>
        <w:t>(b)</w:t>
      </w:r>
      <w:r>
        <w:tab/>
        <w:t>the firearm was a handgun or a prescribed firearm;</w:t>
      </w:r>
      <w:ins w:id="107" w:author="svcMRProcess" w:date="2015-12-17T10:29:00Z">
        <w:r>
          <w:t xml:space="preserve"> or</w:t>
        </w:r>
      </w:ins>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ins w:id="108" w:author="svcMRProcess" w:date="2015-12-17T10:29:00Z">
        <w:r>
          <w:rPr>
            <w:snapToGrid w:val="0"/>
          </w:rPr>
          <w:t xml:space="preserve"> or</w:t>
        </w:r>
      </w:ins>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spacing w:before="60"/>
      </w:pPr>
      <w:r>
        <w:tab/>
        <w:t>Penalty:</w:t>
      </w:r>
    </w:p>
    <w:p>
      <w:pPr>
        <w:pStyle w:val="Penpara"/>
        <w:spacing w:before="60"/>
      </w:pPr>
      <w:r>
        <w:tab/>
        <w:t>(a)</w:t>
      </w:r>
      <w:r>
        <w:tab/>
        <w:t>if the firearm concerned was a handgun or a prescribed firearm, imprisonment for 5 years;</w:t>
      </w:r>
    </w:p>
    <w:p>
      <w:pPr>
        <w:pStyle w:val="Penpara"/>
        <w:spacing w:before="60"/>
      </w:pPr>
      <w:r>
        <w:tab/>
        <w:t>(b)</w:t>
      </w:r>
      <w:r>
        <w:tab/>
        <w:t>in any other case, imprisonment for 3 years or a fine of $12 000.</w:t>
      </w:r>
    </w:p>
    <w:p>
      <w:pPr>
        <w:pStyle w:val="Ednotesubsection"/>
        <w:spacing w:before="100"/>
      </w:pPr>
      <w:r>
        <w:tab/>
        <w:t>[(3)</w:t>
      </w:r>
      <w:r>
        <w:tab/>
        <w:t>deleted]</w:t>
      </w:r>
    </w:p>
    <w:p>
      <w:pPr>
        <w:pStyle w:val="Subsection"/>
        <w:spacing w:before="120"/>
        <w:rPr>
          <w:snapToGrid w:val="0"/>
        </w:rPr>
      </w:pPr>
      <w:r>
        <w:rPr>
          <w:snapToGrid w:val="0"/>
        </w:rPr>
        <w:tab/>
        <w:t>(4)</w:t>
      </w:r>
      <w:r>
        <w:rPr>
          <w:snapToGrid w:val="0"/>
        </w:rPr>
        <w:tab/>
        <w:t>A person who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repairs on behalf of another;</w:t>
      </w:r>
    </w:p>
    <w:p>
      <w:pPr>
        <w:pStyle w:val="Indenta"/>
        <w:spacing w:before="60"/>
        <w:rPr>
          <w:snapToGrid w:val="0"/>
        </w:rPr>
      </w:pPr>
      <w:r>
        <w:rPr>
          <w:snapToGrid w:val="0"/>
        </w:rPr>
        <w:tab/>
        <w:t>(c)</w:t>
      </w:r>
      <w:r>
        <w:rPr>
          <w:snapToGrid w:val="0"/>
        </w:rPr>
        <w:tab/>
        <w:t>manufactures,</w:t>
      </w:r>
    </w:p>
    <w:p>
      <w:pPr>
        <w:pStyle w:val="Subsection"/>
        <w:spacing w:before="120"/>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spacing w:before="60"/>
        <w:rPr>
          <w:snapToGrid w:val="0"/>
        </w:rPr>
      </w:pPr>
      <w:r>
        <w:rPr>
          <w:snapToGrid w:val="0"/>
        </w:rPr>
        <w:tab/>
        <w:t>Penalty: $2 000.</w:t>
      </w:r>
    </w:p>
    <w:p>
      <w:pPr>
        <w:pStyle w:val="Footnotesection"/>
        <w:spacing w:before="60"/>
        <w:ind w:left="890" w:hanging="890"/>
      </w:pPr>
      <w:r>
        <w:tab/>
        <w:t>[Section 19 amended by No. 54 of 1978 s. 2; No. 70 of 1987 s. 6; No. 59 of 1996 s. 19, 47 and 50(1); No. 50 of 2003 s. 62(2); No. 4 of 2004 s.  58; No. 69 of 2004 s. 18 and 31.]</w:t>
      </w:r>
    </w:p>
    <w:p>
      <w:pPr>
        <w:pStyle w:val="Heading5"/>
        <w:keepNext w:val="0"/>
        <w:keepLines w:val="0"/>
        <w:pageBreakBefore/>
        <w:spacing w:before="0"/>
      </w:pPr>
      <w:bookmarkStart w:id="109" w:name="_Toc378252216"/>
      <w:bookmarkStart w:id="110" w:name="_Toc412544144"/>
      <w:r>
        <w:rPr>
          <w:rStyle w:val="CharSectno"/>
        </w:rPr>
        <w:t>19AA</w:t>
      </w:r>
      <w:r>
        <w:t>.</w:t>
      </w:r>
      <w:r>
        <w:tab/>
        <w:t>Certain offences of lesser severity</w:t>
      </w:r>
      <w:bookmarkEnd w:id="109"/>
      <w:bookmarkEnd w:id="110"/>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by No. 69 of 2004 s. 19; amended by No. 8 of 2009 s. 58.]</w:t>
      </w:r>
    </w:p>
    <w:p>
      <w:pPr>
        <w:pStyle w:val="Heading5"/>
        <w:rPr>
          <w:snapToGrid w:val="0"/>
        </w:rPr>
      </w:pPr>
      <w:bookmarkStart w:id="111" w:name="_Toc378252217"/>
      <w:bookmarkStart w:id="112" w:name="_Toc412544145"/>
      <w:r>
        <w:rPr>
          <w:rStyle w:val="CharSectno"/>
        </w:rPr>
        <w:t>19A</w:t>
      </w:r>
      <w:r>
        <w:rPr>
          <w:snapToGrid w:val="0"/>
        </w:rPr>
        <w:t>.</w:t>
      </w:r>
      <w:r>
        <w:rPr>
          <w:snapToGrid w:val="0"/>
        </w:rPr>
        <w:tab/>
        <w:t>Infringement notice</w:t>
      </w:r>
      <w:bookmarkEnd w:id="111"/>
      <w:bookmarkEnd w:id="112"/>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ins w:id="113" w:author="svcMRProcess" w:date="2015-12-17T10:29:00Z">
        <w:r>
          <w:rPr>
            <w:snapToGrid w:val="0"/>
          </w:rPr>
          <w:t xml:space="preserve"> and</w:t>
        </w:r>
      </w:ins>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ind w:left="890" w:hanging="890"/>
      </w:pPr>
      <w:r>
        <w:tab/>
        <w:t>[Section 19A inserted by No. 61 of 1976 s. 4; amended by No. 35 of 1980 s. 4; No. 59 of 1996 s. 20; No. 84 of 2004 s. 80.]</w:t>
      </w:r>
    </w:p>
    <w:p>
      <w:pPr>
        <w:pStyle w:val="Heading5"/>
        <w:rPr>
          <w:snapToGrid w:val="0"/>
        </w:rPr>
      </w:pPr>
      <w:bookmarkStart w:id="114" w:name="_Toc378252218"/>
      <w:bookmarkStart w:id="115" w:name="_Toc412544146"/>
      <w:r>
        <w:rPr>
          <w:rStyle w:val="CharSectno"/>
        </w:rPr>
        <w:t>20</w:t>
      </w:r>
      <w:r>
        <w:rPr>
          <w:snapToGrid w:val="0"/>
        </w:rPr>
        <w:t>.</w:t>
      </w:r>
      <w:r>
        <w:rPr>
          <w:snapToGrid w:val="0"/>
        </w:rPr>
        <w:tab/>
        <w:t>Revocation</w:t>
      </w:r>
      <w:del w:id="116" w:author="svcMRProcess" w:date="2015-12-17T10:29:00Z">
        <w:r>
          <w:rPr>
            <w:snapToGrid w:val="0"/>
          </w:rPr>
          <w:delText xml:space="preserve"> etc.</w:delText>
        </w:r>
      </w:del>
      <w:ins w:id="117" w:author="svcMRProcess" w:date="2015-12-17T10:29:00Z">
        <w:r>
          <w:rPr>
            <w:snapToGrid w:val="0"/>
          </w:rPr>
          <w:t>, cancellation, refusal to renew and variation</w:t>
        </w:r>
      </w:ins>
      <w:bookmarkEnd w:id="114"/>
      <w:bookmarkEnd w:id="115"/>
    </w:p>
    <w:p>
      <w:pPr>
        <w:pStyle w:val="Subsection"/>
        <w:rPr>
          <w:snapToGrid w:val="0"/>
        </w:rPr>
      </w:pPr>
      <w:r>
        <w:rPr>
          <w:snapToGrid w:val="0"/>
        </w:rPr>
        <w:tab/>
        <w:t>(1)</w:t>
      </w:r>
      <w:r>
        <w:rPr>
          <w:snapToGrid w:val="0"/>
        </w:rPr>
        <w:tab/>
        <w:t>Where the Commissioner is satisfied —</w:t>
      </w:r>
    </w:p>
    <w:p>
      <w:pPr>
        <w:pStyle w:val="Indenta"/>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w:t>
      </w:r>
      <w:ins w:id="118" w:author="svcMRProcess" w:date="2015-12-17T10:29:00Z">
        <w:r>
          <w:rPr>
            <w:snapToGrid w:val="0"/>
          </w:rPr>
          <w:t xml:space="preserve"> or</w:t>
        </w:r>
      </w:ins>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ins w:id="119" w:author="svcMRProcess" w:date="2015-12-17T10:29:00Z"/>
          <w:snapToGrid w:val="0"/>
        </w:rPr>
      </w:pPr>
      <w:ins w:id="120" w:author="svcMRProcess" w:date="2015-12-17T10:29:00Z">
        <w:r>
          <w:rPr>
            <w:snapToGrid w:val="0"/>
          </w:rPr>
          <w:tab/>
        </w:r>
        <w:r>
          <w:rPr>
            <w:snapToGrid w:val="0"/>
          </w:rPr>
          <w:tab/>
          <w:t>or</w:t>
        </w:r>
      </w:ins>
    </w:p>
    <w:p>
      <w:pPr>
        <w:pStyle w:val="Indenta"/>
        <w:rPr>
          <w:snapToGrid w:val="0"/>
        </w:rPr>
      </w:pPr>
      <w:r>
        <w:rPr>
          <w:snapToGrid w:val="0"/>
        </w:rPr>
        <w:tab/>
        <w:t>(aa)</w:t>
      </w:r>
      <w:r>
        <w:rPr>
          <w:snapToGrid w:val="0"/>
        </w:rPr>
        <w:tab/>
        <w:t>that harm may be suffered by any person as a result of a person retaining or regaining possession of a firearm or ammunition;</w:t>
      </w:r>
      <w:ins w:id="121" w:author="svcMRProcess" w:date="2015-12-17T10:29:00Z">
        <w:r>
          <w:rPr>
            <w:snapToGrid w:val="0"/>
          </w:rPr>
          <w:t xml:space="preserve"> or</w:t>
        </w:r>
      </w:ins>
    </w:p>
    <w:p>
      <w:pPr>
        <w:pStyle w:val="Indenta"/>
        <w:rPr>
          <w:snapToGrid w:val="0"/>
        </w:rPr>
      </w:pPr>
      <w:r>
        <w:rPr>
          <w:snapToGrid w:val="0"/>
        </w:rPr>
        <w:tab/>
        <w:t>(ab)</w:t>
      </w:r>
      <w:r>
        <w:rPr>
          <w:snapToGrid w:val="0"/>
        </w:rPr>
        <w:tab/>
        <w:t>that a licence or permit was issued, or an approval was given, incorrectly because of an administrative or procedural error;</w:t>
      </w:r>
      <w:ins w:id="122" w:author="svcMRProcess" w:date="2015-12-17T10:29:00Z">
        <w:r>
          <w:rPr>
            <w:snapToGrid w:val="0"/>
          </w:rPr>
          <w:t xml:space="preserve"> or</w:t>
        </w:r>
      </w:ins>
    </w:p>
    <w:p>
      <w:pPr>
        <w:pStyle w:val="Indenta"/>
        <w:rPr>
          <w:snapToGrid w:val="0"/>
        </w:rPr>
      </w:pPr>
      <w:r>
        <w:rPr>
          <w:snapToGrid w:val="0"/>
        </w:rPr>
        <w:tab/>
        <w:t>(ac)</w:t>
      </w:r>
      <w:r>
        <w:rPr>
          <w:snapToGrid w:val="0"/>
        </w:rPr>
        <w:tab/>
        <w:t>that to do so is in the public interest;</w:t>
      </w:r>
      <w:ins w:id="123" w:author="svcMRProcess" w:date="2015-12-17T10:29:00Z">
        <w:r>
          <w:rPr>
            <w:snapToGrid w:val="0"/>
          </w:rPr>
          <w:t xml:space="preserve"> or</w:t>
        </w:r>
      </w:ins>
    </w:p>
    <w:p>
      <w:pPr>
        <w:pStyle w:val="Indenta"/>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ins w:id="124" w:author="svcMRProcess" w:date="2015-12-17T10:29:00Z">
        <w:r>
          <w:rPr>
            <w:snapToGrid w:val="0"/>
          </w:rPr>
          <w:t xml:space="preserve"> or</w:t>
        </w:r>
      </w:ins>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ins w:id="125" w:author="svcMRProcess" w:date="2015-12-17T10:29:00Z"/>
          <w:snapToGrid w:val="0"/>
        </w:rPr>
      </w:pPr>
      <w:ins w:id="126" w:author="svcMRProcess" w:date="2015-12-17T10:29:00Z">
        <w:r>
          <w:rPr>
            <w:snapToGrid w:val="0"/>
          </w:rPr>
          <w:tab/>
        </w:r>
        <w:r>
          <w:rPr>
            <w:snapToGrid w:val="0"/>
          </w:rPr>
          <w:tab/>
          <w:t>or</w:t>
        </w:r>
      </w:ins>
    </w:p>
    <w:p>
      <w:pPr>
        <w:pStyle w:val="Indenta"/>
        <w:rPr>
          <w:snapToGrid w:val="0"/>
        </w:rPr>
      </w:pPr>
      <w:r>
        <w:rPr>
          <w:snapToGrid w:val="0"/>
        </w:rPr>
        <w:tab/>
        <w:t>(b)</w:t>
      </w:r>
      <w:r>
        <w:rPr>
          <w:snapToGrid w:val="0"/>
        </w:rPr>
        <w:tab/>
        <w:t>that a particular firearm is unsafe or unfit for use;</w:t>
      </w:r>
      <w:ins w:id="127" w:author="svcMRProcess" w:date="2015-12-17T10:29:00Z">
        <w:r>
          <w:rPr>
            <w:snapToGrid w:val="0"/>
          </w:rPr>
          <w:t xml:space="preserve"> or</w:t>
        </w:r>
      </w:ins>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rPr>
          <w:snapToGrid w:val="0"/>
        </w:rPr>
      </w:pPr>
      <w:r>
        <w:rPr>
          <w:snapToGrid w:val="0"/>
        </w:rPr>
        <w:tab/>
        <w:t>(2)</w:t>
      </w:r>
      <w:r>
        <w:rPr>
          <w:snapToGrid w:val="0"/>
        </w:rPr>
        <w:tab/>
        <w:t>A restriction, limitation or condition imposed under this Act may be varied from time to time.</w:t>
      </w:r>
    </w:p>
    <w:p>
      <w:pPr>
        <w:pStyle w:val="Subsection"/>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by No. 90 of 1994 s. 4; No. 59 of 1996 s. 21.]</w:t>
      </w:r>
    </w:p>
    <w:p>
      <w:pPr>
        <w:pStyle w:val="Heading5"/>
        <w:spacing w:before="180"/>
        <w:rPr>
          <w:snapToGrid w:val="0"/>
        </w:rPr>
      </w:pPr>
      <w:bookmarkStart w:id="128" w:name="_Toc378252219"/>
      <w:bookmarkStart w:id="129" w:name="_Toc412544147"/>
      <w:r>
        <w:rPr>
          <w:rStyle w:val="CharSectno"/>
        </w:rPr>
        <w:t>21</w:t>
      </w:r>
      <w:r>
        <w:rPr>
          <w:snapToGrid w:val="0"/>
        </w:rPr>
        <w:t>.</w:t>
      </w:r>
      <w:r>
        <w:rPr>
          <w:snapToGrid w:val="0"/>
        </w:rPr>
        <w:tab/>
        <w:t>Restrictions, limitations and conditions</w:t>
      </w:r>
      <w:bookmarkEnd w:id="128"/>
      <w:bookmarkEnd w:id="129"/>
    </w:p>
    <w:p>
      <w:pPr>
        <w:pStyle w:val="Subsection"/>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[Section 21 amended by No. 70 of 1987 s. 7; No. 59 of 1996 s. 22 and 50(3); No. 69 of 2004 s. 20.]</w:t>
      </w:r>
    </w:p>
    <w:p>
      <w:pPr>
        <w:pStyle w:val="Heading5"/>
        <w:spacing w:before="180"/>
        <w:rPr>
          <w:snapToGrid w:val="0"/>
        </w:rPr>
      </w:pPr>
      <w:bookmarkStart w:id="130" w:name="_Toc378252220"/>
      <w:bookmarkStart w:id="131" w:name="_Toc412544148"/>
      <w:r>
        <w:rPr>
          <w:rStyle w:val="CharSectno"/>
        </w:rPr>
        <w:t>21A</w:t>
      </w:r>
      <w:r>
        <w:rPr>
          <w:snapToGrid w:val="0"/>
        </w:rPr>
        <w:t>.</w:t>
      </w:r>
      <w:r>
        <w:rPr>
          <w:snapToGrid w:val="0"/>
        </w:rPr>
        <w:tab/>
        <w:t>Supervision and management</w:t>
      </w:r>
      <w:bookmarkEnd w:id="130"/>
      <w:bookmarkEnd w:id="131"/>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w:t>
      </w:r>
      <w:ins w:id="132" w:author="svcMRProcess" w:date="2015-12-17T10:29:00Z">
        <w:r>
          <w:rPr>
            <w:snapToGrid w:val="0"/>
          </w:rPr>
          <w:t xml:space="preserve"> or</w:t>
        </w:r>
      </w:ins>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[Section 21A inserted by No. 59 of 1996 s. 23; amended by No. 84 of 2004 s. 80.]</w:t>
      </w:r>
    </w:p>
    <w:p>
      <w:pPr>
        <w:pStyle w:val="Heading5"/>
        <w:rPr>
          <w:snapToGrid w:val="0"/>
        </w:rPr>
      </w:pPr>
      <w:bookmarkStart w:id="133" w:name="_Toc378252221"/>
      <w:bookmarkStart w:id="134" w:name="_Toc412544149"/>
      <w:r>
        <w:rPr>
          <w:rStyle w:val="CharSectno"/>
        </w:rPr>
        <w:t>21B</w:t>
      </w:r>
      <w:r>
        <w:rPr>
          <w:snapToGrid w:val="0"/>
        </w:rPr>
        <w:t>.</w:t>
      </w:r>
      <w:r>
        <w:rPr>
          <w:snapToGrid w:val="0"/>
        </w:rPr>
        <w:tab/>
        <w:t>Offences by bodies corporate and partnerships</w:t>
      </w:r>
      <w:bookmarkEnd w:id="133"/>
      <w:bookmarkEnd w:id="134"/>
    </w:p>
    <w:p>
      <w:pPr>
        <w:pStyle w:val="Subsection"/>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Indenta"/>
        <w:rPr>
          <w:snapToGrid w:val="0"/>
        </w:rPr>
      </w:pPr>
      <w:r>
        <w:rPr>
          <w:snapToGrid w:val="0"/>
        </w:rPr>
        <w:tab/>
        <w:t>(a)</w:t>
      </w:r>
      <w:r>
        <w:rPr>
          <w:snapToGrid w:val="0"/>
        </w:rPr>
        <w:tab/>
        <w:t>if the offence is found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rPr>
          <w:snapToGrid w:val="0"/>
        </w:rPr>
      </w:pPr>
      <w:r>
        <w:rPr>
          <w:snapToGrid w:val="0"/>
        </w:rPr>
        <w:tab/>
      </w:r>
      <w:r>
        <w:rPr>
          <w:snapToGrid w:val="0"/>
        </w:rPr>
        <w:tab/>
        <w:t>and each is liable to the same penalty as is prescribed for the principal offence.</w:t>
      </w:r>
    </w:p>
    <w:p>
      <w:pPr>
        <w:pStyle w:val="Subsection"/>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rPr>
          <w:snapToGrid w:val="0"/>
        </w:rPr>
      </w:pPr>
      <w:r>
        <w:rPr>
          <w:snapToGrid w:val="0"/>
        </w:rPr>
        <w:tab/>
        <w:t>(3)</w:t>
      </w:r>
      <w:r>
        <w:rPr>
          <w:snapToGrid w:val="0"/>
        </w:rPr>
        <w:tab/>
        <w:t>In this section —</w:t>
      </w:r>
    </w:p>
    <w:p>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[Section 21B inserted by No. 59 of 1996 s. 23; amended by No. 10 of 2001 s. 220; No. 84 of 2004 s. 80.]</w:t>
      </w:r>
    </w:p>
    <w:p>
      <w:pPr>
        <w:pStyle w:val="Heading5"/>
        <w:keepNext w:val="0"/>
        <w:keepLines w:val="0"/>
        <w:pageBreakBefore/>
        <w:spacing w:before="0"/>
        <w:rPr>
          <w:snapToGrid w:val="0"/>
        </w:rPr>
      </w:pPr>
      <w:bookmarkStart w:id="135" w:name="_Toc378252222"/>
      <w:bookmarkStart w:id="136" w:name="_Toc412544150"/>
      <w:r>
        <w:rPr>
          <w:rStyle w:val="CharSectno"/>
        </w:rPr>
        <w:t>22</w:t>
      </w:r>
      <w:r>
        <w:rPr>
          <w:snapToGrid w:val="0"/>
        </w:rPr>
        <w:t>.</w:t>
      </w:r>
      <w:r>
        <w:rPr>
          <w:snapToGrid w:val="0"/>
        </w:rPr>
        <w:tab/>
        <w:t>Reviews</w:t>
      </w:r>
      <w:bookmarkEnd w:id="135"/>
      <w:ins w:id="137" w:author="svcMRProcess" w:date="2015-12-17T10:29:00Z">
        <w:r>
          <w:rPr>
            <w:snapToGrid w:val="0"/>
          </w:rPr>
          <w:t xml:space="preserve"> by SAT</w:t>
        </w:r>
      </w:ins>
      <w:bookmarkEnd w:id="136"/>
    </w:p>
    <w:p>
      <w:pPr>
        <w:pStyle w:val="Subsection"/>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Subsection"/>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ind w:left="890" w:hanging="890"/>
      </w:pPr>
      <w:r>
        <w:tab/>
        <w:t>[Section 22 inserted by No. 59 of 1996 s. 24; amended by No. 55 of 2004 s. 369.]</w:t>
      </w:r>
    </w:p>
    <w:p>
      <w:pPr>
        <w:pStyle w:val="Ednotesection"/>
      </w:pPr>
      <w:r>
        <w:t>[</w:t>
      </w:r>
      <w:r>
        <w:rPr>
          <w:b/>
        </w:rPr>
        <w:t>22AA.</w:t>
      </w:r>
      <w:r>
        <w:tab/>
        <w:t>Deleted by No. 69 of 2004 s. 21(2).]</w:t>
      </w:r>
    </w:p>
    <w:p>
      <w:pPr>
        <w:pStyle w:val="Heading5"/>
        <w:rPr>
          <w:snapToGrid w:val="0"/>
        </w:rPr>
      </w:pPr>
      <w:bookmarkStart w:id="138" w:name="_Toc378252223"/>
      <w:bookmarkStart w:id="139" w:name="_Toc412544151"/>
      <w:r>
        <w:rPr>
          <w:rStyle w:val="CharSectno"/>
        </w:rPr>
        <w:t>22A</w:t>
      </w:r>
      <w:r>
        <w:rPr>
          <w:snapToGrid w:val="0"/>
        </w:rPr>
        <w:t>.</w:t>
      </w:r>
      <w:r>
        <w:rPr>
          <w:snapToGrid w:val="0"/>
        </w:rPr>
        <w:tab/>
        <w:t>Firearms Act Extract of Licence</w:t>
      </w:r>
      <w:bookmarkEnd w:id="138"/>
      <w:bookmarkEnd w:id="139"/>
    </w:p>
    <w:p>
      <w:pPr>
        <w:pStyle w:val="Subsection"/>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w:t>
      </w:r>
      <w:ins w:id="140" w:author="svcMRProcess" w:date="2015-12-17T10:29:00Z">
        <w:r>
          <w:rPr>
            <w:snapToGrid w:val="0"/>
          </w:rPr>
          <w:t xml:space="preserve"> or</w:t>
        </w:r>
      </w:ins>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rPr>
          <w:snapToGrid w:val="0"/>
        </w:rPr>
      </w:pPr>
      <w:r>
        <w:rPr>
          <w:snapToGrid w:val="0"/>
        </w:rPr>
        <w:tab/>
      </w:r>
      <w:r>
        <w:rPr>
          <w:snapToGrid w:val="0"/>
        </w:rPr>
        <w:tab/>
        <w:t>setting out particulars of the exemption or of the licence, permit, approval or authorisation held by that person.</w:t>
      </w:r>
    </w:p>
    <w:p>
      <w:pPr>
        <w:pStyle w:val="Subsection"/>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rPr>
          <w:snapToGrid w:val="0"/>
        </w:rPr>
      </w:pPr>
      <w:r>
        <w:rPr>
          <w:snapToGrid w:val="0"/>
        </w:rPr>
        <w:tab/>
        <w:t>(6)</w:t>
      </w:r>
      <w:r>
        <w:rPr>
          <w:snapToGrid w:val="0"/>
        </w:rPr>
        <w:tab/>
        <w:t>Regulations made under section 34 may —</w:t>
      </w:r>
    </w:p>
    <w:p>
      <w:pPr>
        <w:pStyle w:val="Indenta"/>
        <w:rPr>
          <w:snapToGrid w:val="0"/>
        </w:rPr>
      </w:pPr>
      <w:r>
        <w:rPr>
          <w:snapToGrid w:val="0"/>
        </w:rPr>
        <w:tab/>
        <w:t>(a)</w:t>
      </w:r>
      <w:r>
        <w:rPr>
          <w:snapToGrid w:val="0"/>
        </w:rPr>
        <w:tab/>
        <w:t>require that a photograph of the face of the holder be included on the Extract of Licence, and provide for the manner in which that photograph is to be supplied;</w:t>
      </w:r>
      <w:ins w:id="141" w:author="svcMRProcess" w:date="2015-12-17T10:29:00Z">
        <w:r>
          <w:rPr>
            <w:snapToGrid w:val="0"/>
          </w:rPr>
          <w:t xml:space="preserve"> and</w:t>
        </w:r>
      </w:ins>
    </w:p>
    <w:p>
      <w:pPr>
        <w:pStyle w:val="Indenta"/>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ins w:id="142" w:author="svcMRProcess" w:date="2015-12-17T10:29:00Z">
        <w:r>
          <w:rPr>
            <w:snapToGrid w:val="0"/>
          </w:rPr>
          <w:t xml:space="preserve"> and</w:t>
        </w:r>
      </w:ins>
    </w:p>
    <w:p>
      <w:pPr>
        <w:pStyle w:val="Indenta"/>
        <w:rPr>
          <w:snapToGrid w:val="0"/>
        </w:rPr>
      </w:pPr>
      <w:r>
        <w:rPr>
          <w:snapToGrid w:val="0"/>
        </w:rPr>
        <w:tab/>
        <w:t>(c)</w:t>
      </w:r>
      <w:r>
        <w:rPr>
          <w:snapToGrid w:val="0"/>
        </w:rPr>
        <w:tab/>
        <w:t>provide for the use, and for the issue, expiry, renewal, return and cancellation, of Extracts of Licence; and</w:t>
      </w:r>
    </w:p>
    <w:p>
      <w:pPr>
        <w:pStyle w:val="Indenta"/>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 by No. 59 of 1996 s. 41.]</w:t>
      </w:r>
    </w:p>
    <w:p>
      <w:pPr>
        <w:pStyle w:val="Heading5"/>
        <w:rPr>
          <w:snapToGrid w:val="0"/>
        </w:rPr>
      </w:pPr>
      <w:bookmarkStart w:id="143" w:name="_Toc378252224"/>
      <w:bookmarkStart w:id="144" w:name="_Toc412544152"/>
      <w:r>
        <w:rPr>
          <w:rStyle w:val="CharSectno"/>
        </w:rPr>
        <w:t>22B</w:t>
      </w:r>
      <w:r>
        <w:rPr>
          <w:snapToGrid w:val="0"/>
        </w:rPr>
        <w:t>.</w:t>
      </w:r>
      <w:r>
        <w:rPr>
          <w:snapToGrid w:val="0"/>
        </w:rPr>
        <w:tab/>
        <w:t>Return of Extract of Licence</w:t>
      </w:r>
      <w:bookmarkEnd w:id="143"/>
      <w:bookmarkEnd w:id="144"/>
    </w:p>
    <w:p>
      <w:pPr>
        <w:pStyle w:val="Subsection"/>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w:t>
      </w:r>
      <w:ins w:id="145" w:author="svcMRProcess" w:date="2015-12-17T10:29:00Z">
        <w:r>
          <w:rPr>
            <w:snapToGrid w:val="0"/>
          </w:rPr>
          <w:t xml:space="preserve"> or</w:t>
        </w:r>
      </w:ins>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ins w:id="146" w:author="svcMRProcess" w:date="2015-12-17T10:29:00Z">
        <w:r>
          <w:rPr>
            <w:snapToGrid w:val="0"/>
          </w:rPr>
          <w:t xml:space="preserve"> or</w:t>
        </w:r>
      </w:ins>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[Section 22B inserted by No. 59 of 1996 s. 41.]</w:t>
      </w:r>
    </w:p>
    <w:p>
      <w:pPr>
        <w:pStyle w:val="Heading5"/>
        <w:rPr>
          <w:snapToGrid w:val="0"/>
        </w:rPr>
      </w:pPr>
      <w:bookmarkStart w:id="147" w:name="_Toc378252225"/>
      <w:bookmarkStart w:id="148" w:name="_Toc412544153"/>
      <w:r>
        <w:rPr>
          <w:rStyle w:val="CharSectno"/>
        </w:rPr>
        <w:t>22C</w:t>
      </w:r>
      <w:r>
        <w:rPr>
          <w:snapToGrid w:val="0"/>
        </w:rPr>
        <w:t>.</w:t>
      </w:r>
      <w:r>
        <w:rPr>
          <w:snapToGrid w:val="0"/>
        </w:rPr>
        <w:tab/>
        <w:t xml:space="preserve">Offences relating to </w:t>
      </w:r>
      <w:del w:id="149" w:author="svcMRProcess" w:date="2015-12-17T10:29:00Z">
        <w:r>
          <w:rPr>
            <w:snapToGrid w:val="0"/>
          </w:rPr>
          <w:delText xml:space="preserve">the </w:delText>
        </w:r>
      </w:del>
      <w:r>
        <w:rPr>
          <w:snapToGrid w:val="0"/>
        </w:rPr>
        <w:t>Extract of Licence, licences, permits</w:t>
      </w:r>
      <w:del w:id="150" w:author="svcMRProcess" w:date="2015-12-17T10:29:00Z">
        <w:r>
          <w:rPr>
            <w:snapToGrid w:val="0"/>
          </w:rPr>
          <w:delText xml:space="preserve"> etc.</w:delText>
        </w:r>
      </w:del>
      <w:ins w:id="151" w:author="svcMRProcess" w:date="2015-12-17T10:29:00Z">
        <w:r>
          <w:rPr>
            <w:snapToGrid w:val="0"/>
          </w:rPr>
          <w:t>, approvals or authorisations</w:t>
        </w:r>
      </w:ins>
      <w:bookmarkEnd w:id="147"/>
      <w:bookmarkEnd w:id="148"/>
    </w:p>
    <w:p>
      <w:pPr>
        <w:pStyle w:val="Subsection"/>
        <w:rPr>
          <w:snapToGrid w:val="0"/>
        </w:rPr>
      </w:pPr>
      <w:r>
        <w:rPr>
          <w:snapToGrid w:val="0"/>
        </w:rPr>
        <w:tab/>
        <w:t>(1)</w:t>
      </w:r>
      <w:r>
        <w:rPr>
          <w:snapToGrid w:val="0"/>
        </w:rPr>
        <w:tab/>
        <w:t>Any person who, without lawful authority —</w:t>
      </w:r>
    </w:p>
    <w:p>
      <w:pPr>
        <w:pStyle w:val="Indenta"/>
        <w:rPr>
          <w:snapToGrid w:val="0"/>
        </w:rPr>
      </w:pPr>
      <w:r>
        <w:rPr>
          <w:snapToGrid w:val="0"/>
        </w:rPr>
        <w:tab/>
        <w:t>(a)</w:t>
      </w:r>
      <w:r>
        <w:rPr>
          <w:snapToGrid w:val="0"/>
        </w:rPr>
        <w:tab/>
        <w:t>alters an Extract of Licence, licence, permit, approval or authorisation to which this Act applies;</w:t>
      </w:r>
      <w:ins w:id="152" w:author="svcMRProcess" w:date="2015-12-17T10:29:00Z">
        <w:r>
          <w:rPr>
            <w:snapToGrid w:val="0"/>
          </w:rPr>
          <w:t xml:space="preserve"> or</w:t>
        </w:r>
      </w:ins>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ins w:id="153" w:author="svcMRProcess" w:date="2015-12-17T10:29:00Z">
        <w:r>
          <w:rPr>
            <w:snapToGrid w:val="0"/>
          </w:rPr>
          <w:t xml:space="preserve"> or</w:t>
        </w:r>
      </w:ins>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ins w:id="154" w:author="svcMRProcess" w:date="2015-12-17T10:29:00Z">
        <w:r>
          <w:rPr>
            <w:snapToGrid w:val="0"/>
          </w:rPr>
          <w:t xml:space="preserve"> or</w:t>
        </w:r>
      </w:ins>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ins w:id="155" w:author="svcMRProcess" w:date="2015-12-17T10:29:00Z">
        <w:r>
          <w:rPr>
            <w:snapToGrid w:val="0"/>
          </w:rPr>
          <w:t xml:space="preserve"> or</w:t>
        </w:r>
      </w:ins>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by No. 59 of 1996 s. 41.]</w:t>
      </w:r>
    </w:p>
    <w:p>
      <w:pPr>
        <w:pStyle w:val="Heading5"/>
        <w:spacing w:before="180"/>
        <w:rPr>
          <w:snapToGrid w:val="0"/>
        </w:rPr>
      </w:pPr>
      <w:bookmarkStart w:id="156" w:name="_Toc378252226"/>
      <w:bookmarkStart w:id="157" w:name="_Toc412544154"/>
      <w:r>
        <w:rPr>
          <w:rStyle w:val="CharSectno"/>
        </w:rPr>
        <w:t>23</w:t>
      </w:r>
      <w:r>
        <w:rPr>
          <w:snapToGrid w:val="0"/>
        </w:rPr>
        <w:t>.</w:t>
      </w:r>
      <w:r>
        <w:rPr>
          <w:snapToGrid w:val="0"/>
        </w:rPr>
        <w:tab/>
        <w:t>General offences</w:t>
      </w:r>
      <w:bookmarkEnd w:id="156"/>
      <w:bookmarkEnd w:id="157"/>
    </w:p>
    <w:p>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Summary conviction penalty:</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defaces or alters any number or identification mark on a firearm;</w:t>
      </w:r>
      <w:ins w:id="158" w:author="svcMRProcess" w:date="2015-12-17T10:29:00Z">
        <w:r>
          <w:rPr>
            <w:snapToGrid w:val="0"/>
          </w:rPr>
          <w:t xml:space="preserve"> or</w:t>
        </w:r>
      </w:ins>
    </w:p>
    <w:p>
      <w:pPr>
        <w:pStyle w:val="Indenta"/>
        <w:keepLines/>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keepNext/>
        <w:rPr>
          <w:snapToGrid w:val="0"/>
        </w:rPr>
      </w:pPr>
      <w:r>
        <w:rPr>
          <w:snapToGrid w:val="0"/>
        </w:rPr>
        <w:tab/>
        <w:t>(c)</w:t>
      </w:r>
      <w:r>
        <w:rPr>
          <w:snapToGrid w:val="0"/>
        </w:rPr>
        <w:tab/>
        <w:t>alters a firearm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Summary conviction penalty:</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spacing w:before="160"/>
        <w:rPr>
          <w:snapToGrid w:val="0"/>
        </w:rPr>
      </w:pPr>
      <w:r>
        <w:rPr>
          <w:snapToGrid w:val="0"/>
        </w:rPr>
        <w:tab/>
        <w:t>Penalty: Imprisonment for</w:t>
      </w:r>
      <w:r>
        <w:t xml:space="preserve"> 3 years or a fine of $12 000.</w:t>
      </w:r>
    </w:p>
    <w:p>
      <w:pPr>
        <w:pStyle w:val="Subsection"/>
        <w:rPr>
          <w:snapToGrid w:val="0"/>
        </w:rPr>
      </w:pPr>
      <w:r>
        <w:rPr>
          <w:snapToGrid w:val="0"/>
        </w:rPr>
        <w:tab/>
        <w:t>(7a)</w:t>
      </w:r>
      <w:r>
        <w:rPr>
          <w:snapToGrid w:val="0"/>
        </w:rPr>
        <w:tab/>
        <w:t>A person who, being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w:t>
      </w:r>
    </w:p>
    <w:p>
      <w:pPr>
        <w:pStyle w:val="Indenta"/>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ins w:id="159" w:author="svcMRProcess" w:date="2015-12-17T10:29:00Z">
        <w:r>
          <w:rPr>
            <w:snapToGrid w:val="0"/>
          </w:rPr>
          <w:t xml:space="preserve"> or</w:t>
        </w:r>
      </w:ins>
    </w:p>
    <w:p>
      <w:pPr>
        <w:pStyle w:val="Indenta"/>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ins w:id="160" w:author="svcMRProcess" w:date="2015-12-17T10:29:00Z">
        <w:r>
          <w:rPr>
            <w:snapToGrid w:val="0"/>
          </w:rPr>
          <w:t xml:space="preserve"> or</w:t>
        </w:r>
      </w:ins>
    </w:p>
    <w:p>
      <w:pPr>
        <w:pStyle w:val="Indenta"/>
        <w:rPr>
          <w:snapToGrid w:val="0"/>
        </w:rPr>
      </w:pPr>
      <w:r>
        <w:rPr>
          <w:snapToGrid w:val="0"/>
        </w:rPr>
        <w:tab/>
        <w:t>(c)</w:t>
      </w:r>
      <w:r>
        <w:rPr>
          <w:snapToGrid w:val="0"/>
        </w:rPr>
        <w:tab/>
        <w:t>without lawful excuse, discharges any firearm or any shot, bullet or other missile from a firearm, onto, from or across any road;</w:t>
      </w:r>
      <w:ins w:id="161" w:author="svcMRProcess" w:date="2015-12-17T10:29:00Z">
        <w:r>
          <w:rPr>
            <w:snapToGrid w:val="0"/>
          </w:rPr>
          <w:t xml:space="preserve"> or</w:t>
        </w:r>
      </w:ins>
    </w:p>
    <w:p>
      <w:pPr>
        <w:pStyle w:val="Indenta"/>
        <w:keepNext/>
        <w:rPr>
          <w:snapToGrid w:val="0"/>
        </w:rPr>
      </w:pPr>
      <w:r>
        <w:rPr>
          <w:snapToGrid w:val="0"/>
        </w:rPr>
        <w:tab/>
        <w:t>(d)</w:t>
      </w:r>
      <w:r>
        <w:rPr>
          <w:snapToGrid w:val="0"/>
        </w:rPr>
        <w:tab/>
        <w:t>being responsible for the storage of any firearm or ammunition, fails —</w:t>
      </w:r>
    </w:p>
    <w:p>
      <w:pPr>
        <w:pStyle w:val="Indenti"/>
        <w:rPr>
          <w:snapToGrid w:val="0"/>
        </w:rPr>
      </w:pPr>
      <w:r>
        <w:rPr>
          <w:snapToGrid w:val="0"/>
        </w:rPr>
        <w:tab/>
        <w:t>(i)</w:t>
      </w:r>
      <w:r>
        <w:rPr>
          <w:snapToGrid w:val="0"/>
        </w:rPr>
        <w:tab/>
        <w:t>to provide and use adequate storage facilities to ensure its safety;</w:t>
      </w:r>
      <w:ins w:id="162" w:author="svcMRProcess" w:date="2015-12-17T10:29:00Z">
        <w:r>
          <w:rPr>
            <w:snapToGrid w:val="0"/>
          </w:rPr>
          <w:t xml:space="preserve"> or</w:t>
        </w:r>
      </w:ins>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w:t>
      </w:r>
      <w:ins w:id="163" w:author="svcMRProcess" w:date="2015-12-17T10:29:00Z">
        <w:r>
          <w:t xml:space="preserve"> or</w:t>
        </w:r>
      </w:ins>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keepLines w:val="0"/>
        <w:ind w:left="890" w:hanging="890"/>
      </w:pPr>
      <w:r>
        <w:tab/>
        <w:t>[Section 23 amended by No. 54 of 1978 s. 3; No. 3 of 1983 s. 3; No. 70 of 1987 s. 8; No. 59 of 1996 s. 25, 48 and 50(1), (3), (4) and (5); No. 50 of 2003 s. 62(3); No. 4 of 2004 s. 58; No. 69 of 2004 s. 7, 8(3), 22 and 31.]</w:t>
      </w:r>
    </w:p>
    <w:p>
      <w:pPr>
        <w:pStyle w:val="Heading5"/>
        <w:spacing w:before="180"/>
        <w:rPr>
          <w:snapToGrid w:val="0"/>
        </w:rPr>
      </w:pPr>
      <w:bookmarkStart w:id="164" w:name="_Toc378252227"/>
      <w:bookmarkStart w:id="165" w:name="_Toc412544155"/>
      <w:r>
        <w:rPr>
          <w:rStyle w:val="CharSectno"/>
        </w:rPr>
        <w:t>23A</w:t>
      </w:r>
      <w:r>
        <w:rPr>
          <w:snapToGrid w:val="0"/>
        </w:rPr>
        <w:t>.</w:t>
      </w:r>
      <w:r>
        <w:rPr>
          <w:snapToGrid w:val="0"/>
        </w:rPr>
        <w:tab/>
        <w:t>Limitation periods</w:t>
      </w:r>
      <w:bookmarkEnd w:id="164"/>
      <w:bookmarkEnd w:id="165"/>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by No. 59 of 1996 s. 26; amended by No. 69 of 2004 s. 23; No. 84 of 2004 s. 80.]</w:t>
      </w:r>
    </w:p>
    <w:p>
      <w:pPr>
        <w:pStyle w:val="Heading5"/>
        <w:spacing w:before="180"/>
        <w:rPr>
          <w:snapToGrid w:val="0"/>
        </w:rPr>
      </w:pPr>
      <w:bookmarkStart w:id="166" w:name="_Toc378252228"/>
      <w:bookmarkStart w:id="167" w:name="_Toc412544156"/>
      <w:r>
        <w:rPr>
          <w:rStyle w:val="CharSectno"/>
        </w:rPr>
        <w:t>23B</w:t>
      </w:r>
      <w:r>
        <w:rPr>
          <w:snapToGrid w:val="0"/>
        </w:rPr>
        <w:t>.</w:t>
      </w:r>
      <w:r>
        <w:rPr>
          <w:snapToGrid w:val="0"/>
        </w:rPr>
        <w:tab/>
        <w:t>Disclosure by health professionals of certain information</w:t>
      </w:r>
      <w:bookmarkEnd w:id="166"/>
      <w:bookmarkEnd w:id="167"/>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keepNext/>
        <w:spacing w:before="120"/>
      </w:pPr>
      <w:r>
        <w:tab/>
        <w:t>(3)</w:t>
      </w:r>
      <w:r>
        <w:tab/>
        <w:t>In this section —</w:t>
      </w:r>
    </w:p>
    <w:p>
      <w:pPr>
        <w:pStyle w:val="Defstart"/>
      </w:pPr>
      <w:r>
        <w:rPr>
          <w:b/>
        </w:rPr>
        <w:tab/>
      </w:r>
      <w:r>
        <w:rPr>
          <w:rStyle w:val="CharDefText"/>
        </w:rPr>
        <w:t>health professional</w:t>
      </w:r>
      <w:r>
        <w:t xml:space="preserve"> means —</w:t>
      </w:r>
    </w:p>
    <w:p>
      <w:pPr>
        <w:pStyle w:val="Defpara"/>
      </w:pPr>
      <w:r>
        <w:tab/>
        <w:t>(a)</w:t>
      </w:r>
      <w:r>
        <w:tab/>
        <w:t>a medical practitioner;</w:t>
      </w:r>
      <w:ins w:id="168" w:author="svcMRProcess" w:date="2015-12-17T10:29:00Z">
        <w:r>
          <w:t xml:space="preserve"> or</w:t>
        </w:r>
      </w:ins>
    </w:p>
    <w:p>
      <w:pPr>
        <w:pStyle w:val="Defpara"/>
      </w:pPr>
      <w:r>
        <w:tab/>
        <w:t>(b)</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w:t>
      </w:r>
      <w:ins w:id="169" w:author="svcMRProcess" w:date="2015-12-17T10:29:00Z">
        <w:r>
          <w:t xml:space="preserve"> or</w:t>
        </w:r>
      </w:ins>
    </w:p>
    <w:p>
      <w:pPr>
        <w:pStyle w:val="Defpara"/>
      </w:pPr>
      <w:r>
        <w:tab/>
        <w:t>(c)</w:t>
      </w:r>
      <w:r>
        <w:tab/>
        <w:t>a registered nurse;</w:t>
      </w:r>
      <w:ins w:id="170" w:author="svcMRProcess" w:date="2015-12-17T10:29:00Z">
        <w:r>
          <w:t xml:space="preserve"> or</w:t>
        </w:r>
      </w:ins>
    </w:p>
    <w:p>
      <w:pPr>
        <w:pStyle w:val="Defpara"/>
      </w:pPr>
      <w:r>
        <w:tab/>
        <w:t>(d)</w:t>
      </w:r>
      <w:r>
        <w:tab/>
        <w:t>a prescribed class of social worker; or</w:t>
      </w:r>
    </w:p>
    <w:p>
      <w:pPr>
        <w:pStyle w:val="Defpara"/>
      </w:pPr>
      <w:r>
        <w:tab/>
        <w:t>(e)</w:t>
      </w:r>
      <w:r>
        <w:tab/>
        <w:t>a prescribed class of professional counsellor;</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Footnotesection"/>
        <w:ind w:left="890" w:hanging="890"/>
      </w:pPr>
      <w:r>
        <w:tab/>
        <w:t xml:space="preserve">[Section 23B inserted by No. 59 of 1996 s. 26; amended by No. 69 of 2004 s. 24; No. 28 of 2005 </w:t>
      </w:r>
      <w:del w:id="171" w:author="svcMRProcess" w:date="2015-12-17T10:29:00Z">
        <w:r>
          <w:delText>s. 108</w:delText>
        </w:r>
      </w:del>
      <w:ins w:id="172" w:author="svcMRProcess" w:date="2015-12-17T10:29:00Z">
        <w:r>
          <w:t>Sch. 3 cl. 4</w:t>
        </w:r>
      </w:ins>
      <w:r>
        <w:t xml:space="preserve">; No. 50 of 2006 </w:t>
      </w:r>
      <w:del w:id="173" w:author="svcMRProcess" w:date="2015-12-17T10:29:00Z">
        <w:r>
          <w:delText>s. 114</w:delText>
        </w:r>
      </w:del>
      <w:ins w:id="174" w:author="svcMRProcess" w:date="2015-12-17T10:29:00Z">
        <w:r>
          <w:t>Sch. 3 cl. 8</w:t>
        </w:r>
      </w:ins>
      <w:r>
        <w:t>; No. 35 of 2010 s. 65.]</w:t>
      </w:r>
    </w:p>
    <w:p>
      <w:pPr>
        <w:pStyle w:val="Heading5"/>
        <w:spacing w:before="240"/>
      </w:pPr>
      <w:bookmarkStart w:id="175" w:name="_Toc378252229"/>
      <w:bookmarkStart w:id="176" w:name="_Toc412544157"/>
      <w:r>
        <w:rPr>
          <w:rStyle w:val="CharSectno"/>
        </w:rPr>
        <w:t>23BA</w:t>
      </w:r>
      <w:r>
        <w:t>.</w:t>
      </w:r>
      <w:r>
        <w:tab/>
        <w:t>Disclosure of certain information by approved club and organisation members</w:t>
      </w:r>
      <w:bookmarkEnd w:id="175"/>
      <w:bookmarkEnd w:id="176"/>
    </w:p>
    <w:p>
      <w:pPr>
        <w:pStyle w:val="Subsection"/>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w:t>
      </w:r>
      <w:del w:id="177" w:author="svcMRProcess" w:date="2015-12-17T10:29:00Z">
        <w:r>
          <w:delText xml:space="preserve"> </w:delText>
        </w:r>
      </w:del>
      <w:ins w:id="178" w:author="svcMRProcess" w:date="2015-12-17T10:29:00Z">
        <w:r>
          <w:t> </w:t>
        </w:r>
      </w:ins>
      <w:r>
        <w:t>(2)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ind w:left="890" w:hanging="890"/>
      </w:pPr>
      <w:r>
        <w:tab/>
        <w:t>[Section 23BA inserted by No. 69 of 2004 s. 25.]</w:t>
      </w:r>
    </w:p>
    <w:p>
      <w:pPr>
        <w:pStyle w:val="Heading5"/>
        <w:rPr>
          <w:snapToGrid w:val="0"/>
        </w:rPr>
      </w:pPr>
      <w:bookmarkStart w:id="179" w:name="_Toc378252230"/>
      <w:bookmarkStart w:id="180" w:name="_Toc412544158"/>
      <w:r>
        <w:rPr>
          <w:rStyle w:val="CharSectno"/>
        </w:rPr>
        <w:t>23C</w:t>
      </w:r>
      <w:r>
        <w:rPr>
          <w:snapToGrid w:val="0"/>
        </w:rPr>
        <w:t>.</w:t>
      </w:r>
      <w:r>
        <w:rPr>
          <w:snapToGrid w:val="0"/>
        </w:rPr>
        <w:tab/>
        <w:t>Persons concerned in commission of offences</w:t>
      </w:r>
      <w:bookmarkEnd w:id="179"/>
      <w:bookmarkEnd w:id="180"/>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by No. 59 of 1996 s. 49.]</w:t>
      </w:r>
    </w:p>
    <w:p>
      <w:pPr>
        <w:pStyle w:val="Ednotesection"/>
      </w:pPr>
      <w:r>
        <w:t>[</w:t>
      </w:r>
      <w:r>
        <w:rPr>
          <w:b/>
        </w:rPr>
        <w:t>23D.</w:t>
      </w:r>
      <w:r>
        <w:tab/>
        <w:t>Deleted by No. 4 of 2004 s. 58.]</w:t>
      </w:r>
    </w:p>
    <w:p>
      <w:pPr>
        <w:pStyle w:val="Heading5"/>
        <w:rPr>
          <w:snapToGrid w:val="0"/>
        </w:rPr>
      </w:pPr>
      <w:bookmarkStart w:id="181" w:name="_Toc378252231"/>
      <w:bookmarkStart w:id="182" w:name="_Toc412544159"/>
      <w:r>
        <w:rPr>
          <w:rStyle w:val="CharSectno"/>
        </w:rPr>
        <w:t>24</w:t>
      </w:r>
      <w:r>
        <w:rPr>
          <w:snapToGrid w:val="0"/>
        </w:rPr>
        <w:t>.</w:t>
      </w:r>
      <w:r>
        <w:rPr>
          <w:snapToGrid w:val="0"/>
        </w:rPr>
        <w:tab/>
        <w:t>Powers of police</w:t>
      </w:r>
      <w:bookmarkEnd w:id="181"/>
      <w:bookmarkEnd w:id="182"/>
    </w:p>
    <w:p>
      <w:pPr>
        <w:pStyle w:val="Subsection"/>
        <w:spacing w:before="120"/>
        <w:rPr>
          <w:snapToGrid w:val="0"/>
        </w:rPr>
      </w:pPr>
      <w:r>
        <w:rPr>
          <w:snapToGrid w:val="0"/>
        </w:rPr>
        <w:tab/>
        <w:t>(1)</w:t>
      </w:r>
      <w:r>
        <w:rPr>
          <w:snapToGrid w:val="0"/>
        </w:rPr>
        <w:tab/>
        <w:t>A member of the Police Force may demand from any person in possession of a firearm or ammunition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keepNext/>
        <w:rPr>
          <w:snapToGrid w:val="0"/>
        </w:rPr>
      </w:pPr>
      <w:r>
        <w:rPr>
          <w:snapToGrid w:val="0"/>
        </w:rPr>
        <w:tab/>
        <w:t>(6)</w:t>
      </w:r>
      <w:r>
        <w:rPr>
          <w:snapToGrid w:val="0"/>
        </w:rPr>
        <w:tab/>
        <w:t>A person who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pPr>
        <w:pStyle w:val="Indenta"/>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pPr>
        <w:pStyle w:val="Footnotesection"/>
      </w:pPr>
      <w:r>
        <w:tab/>
        <w:t>[Section 24 amended by No. 61 of 1976 s. 5; No. 54 of 1978 s. 4; No. 70 of 1987 s. 9; No. 90 of 1994 s. 5; No. 59 of 1996 s. 27, 42 and 50(2); No. 69 of 2004 s. 31; No. 59 of 2006 s. 73.]</w:t>
      </w:r>
    </w:p>
    <w:p>
      <w:pPr>
        <w:pStyle w:val="Heading5"/>
        <w:keepNext w:val="0"/>
        <w:keepLines w:val="0"/>
        <w:pageBreakBefore/>
        <w:spacing w:before="0"/>
        <w:rPr>
          <w:snapToGrid w:val="0"/>
        </w:rPr>
      </w:pPr>
      <w:bookmarkStart w:id="183" w:name="_Toc378252232"/>
      <w:bookmarkStart w:id="184" w:name="_Toc412544160"/>
      <w:r>
        <w:rPr>
          <w:rStyle w:val="CharSectno"/>
        </w:rPr>
        <w:t>25</w:t>
      </w:r>
      <w:r>
        <w:rPr>
          <w:snapToGrid w:val="0"/>
        </w:rPr>
        <w:t>.</w:t>
      </w:r>
      <w:r>
        <w:rPr>
          <w:snapToGrid w:val="0"/>
        </w:rPr>
        <w:tab/>
        <w:t>Constructive possession</w:t>
      </w:r>
      <w:bookmarkEnd w:id="183"/>
      <w:bookmarkEnd w:id="184"/>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185" w:name="_Toc378252233"/>
      <w:bookmarkStart w:id="186" w:name="_Toc412544161"/>
      <w:r>
        <w:rPr>
          <w:rStyle w:val="CharSectno"/>
        </w:rPr>
        <w:t>26</w:t>
      </w:r>
      <w:r>
        <w:rPr>
          <w:snapToGrid w:val="0"/>
        </w:rPr>
        <w:t>.</w:t>
      </w:r>
      <w:r>
        <w:rPr>
          <w:snapToGrid w:val="0"/>
        </w:rPr>
        <w:tab/>
        <w:t>Search warrant</w:t>
      </w:r>
      <w:bookmarkEnd w:id="185"/>
      <w:bookmarkEnd w:id="186"/>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by No. 59 of 1996 s. 28; amended by No. 59 of 2006 s. 73.]</w:t>
      </w:r>
    </w:p>
    <w:p>
      <w:pPr>
        <w:pStyle w:val="Ednotesection"/>
      </w:pPr>
      <w:r>
        <w:t>[</w:t>
      </w:r>
      <w:r>
        <w:rPr>
          <w:b/>
        </w:rPr>
        <w:t>27.</w:t>
      </w:r>
      <w:r>
        <w:tab/>
        <w:t>Deleted by No. 78 of 1995 s. 46.]</w:t>
      </w:r>
    </w:p>
    <w:p>
      <w:pPr>
        <w:pStyle w:val="Heading5"/>
        <w:rPr>
          <w:snapToGrid w:val="0"/>
        </w:rPr>
      </w:pPr>
      <w:bookmarkStart w:id="187" w:name="_Toc378252234"/>
      <w:bookmarkStart w:id="188" w:name="_Toc412544162"/>
      <w:r>
        <w:rPr>
          <w:rStyle w:val="CharSectno"/>
        </w:rPr>
        <w:t>27A</w:t>
      </w:r>
      <w:r>
        <w:rPr>
          <w:snapToGrid w:val="0"/>
        </w:rPr>
        <w:t>.</w:t>
      </w:r>
      <w:r>
        <w:rPr>
          <w:snapToGrid w:val="0"/>
        </w:rPr>
        <w:tab/>
        <w:t>Disqualification by court imposing violence restraining order</w:t>
      </w:r>
      <w:bookmarkEnd w:id="187"/>
      <w:bookmarkEnd w:id="188"/>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by No. 59 of 1996 s. 29; amended by No. 19 of 1997 s. 84.]</w:t>
      </w:r>
    </w:p>
    <w:p>
      <w:pPr>
        <w:pStyle w:val="Heading5"/>
        <w:spacing w:before="240"/>
        <w:rPr>
          <w:snapToGrid w:val="0"/>
        </w:rPr>
      </w:pPr>
      <w:bookmarkStart w:id="189" w:name="_Toc378252235"/>
      <w:bookmarkStart w:id="190" w:name="_Toc412544163"/>
      <w:r>
        <w:rPr>
          <w:rStyle w:val="CharSectno"/>
        </w:rPr>
        <w:t>28</w:t>
      </w:r>
      <w:r>
        <w:rPr>
          <w:snapToGrid w:val="0"/>
        </w:rPr>
        <w:t>.</w:t>
      </w:r>
      <w:r>
        <w:rPr>
          <w:snapToGrid w:val="0"/>
        </w:rPr>
        <w:tab/>
        <w:t>Court may order forfeiture on conviction of offender</w:t>
      </w:r>
      <w:bookmarkEnd w:id="189"/>
      <w:bookmarkEnd w:id="190"/>
    </w:p>
    <w:p>
      <w:pPr>
        <w:pStyle w:val="Subsection"/>
        <w:spacing w:before="180"/>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spacing w:before="80"/>
        <w:ind w:left="890" w:hanging="890"/>
      </w:pPr>
      <w:r>
        <w:tab/>
        <w:t>[Section 28 amended by No. 59 of 1996 s. 30.]</w:t>
      </w:r>
    </w:p>
    <w:p>
      <w:pPr>
        <w:pStyle w:val="Heading5"/>
        <w:spacing w:before="180"/>
        <w:rPr>
          <w:snapToGrid w:val="0"/>
        </w:rPr>
      </w:pPr>
      <w:bookmarkStart w:id="191" w:name="_Toc378252236"/>
      <w:bookmarkStart w:id="192" w:name="_Toc412544164"/>
      <w:r>
        <w:rPr>
          <w:rStyle w:val="CharSectno"/>
        </w:rPr>
        <w:t>29</w:t>
      </w:r>
      <w:r>
        <w:rPr>
          <w:snapToGrid w:val="0"/>
        </w:rPr>
        <w:t>.</w:t>
      </w:r>
      <w:r>
        <w:rPr>
          <w:snapToGrid w:val="0"/>
        </w:rPr>
        <w:tab/>
        <w:t>Evidence</w:t>
      </w:r>
      <w:bookmarkEnd w:id="191"/>
      <w:bookmarkEnd w:id="192"/>
    </w:p>
    <w:p>
      <w:pPr>
        <w:pStyle w:val="Subsection"/>
        <w:spacing w:before="120"/>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ins w:id="193" w:author="svcMRProcess" w:date="2015-12-17T10:29:00Z">
        <w:r>
          <w:rPr>
            <w:snapToGrid w:val="0"/>
          </w:rPr>
          <w:t xml:space="preserve"> or</w:t>
        </w:r>
      </w:ins>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ins w:id="194" w:author="svcMRProcess" w:date="2015-12-17T10:29:00Z">
        <w:r>
          <w:rPr>
            <w:snapToGrid w:val="0"/>
          </w:rPr>
          <w:t xml:space="preserve"> or</w:t>
        </w:r>
      </w:ins>
    </w:p>
    <w:p>
      <w:pPr>
        <w:pStyle w:val="Indenta"/>
        <w:rPr>
          <w:snapToGrid w:val="0"/>
        </w:rPr>
      </w:pPr>
      <w:r>
        <w:rPr>
          <w:snapToGrid w:val="0"/>
        </w:rPr>
        <w:tab/>
        <w:t>(c)</w:t>
      </w:r>
      <w:r>
        <w:rPr>
          <w:snapToGrid w:val="0"/>
        </w:rPr>
        <w:tab/>
        <w:t>that a particular firearm or ammunition is of a particular calibre or kind;</w:t>
      </w:r>
      <w:ins w:id="195" w:author="svcMRProcess" w:date="2015-12-17T10:29:00Z">
        <w:r>
          <w:rPr>
            <w:snapToGrid w:val="0"/>
          </w:rPr>
          <w:t xml:space="preserve"> or</w:t>
        </w:r>
      </w:ins>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ins w:id="196" w:author="svcMRProcess" w:date="2015-12-17T10:29:00Z">
        <w:r>
          <w:rPr>
            <w:snapToGrid w:val="0"/>
          </w:rPr>
          <w:t xml:space="preserve"> or</w:t>
        </w:r>
      </w:ins>
    </w:p>
    <w:p>
      <w:pPr>
        <w:pStyle w:val="Indenta"/>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ins w:id="197" w:author="svcMRProcess" w:date="2015-12-17T10:29:00Z"/>
          <w:snapToGrid w:val="0"/>
        </w:rPr>
      </w:pPr>
      <w:ins w:id="198" w:author="svcMRProcess" w:date="2015-12-17T10:29:00Z">
        <w:r>
          <w:rPr>
            <w:snapToGrid w:val="0"/>
          </w:rPr>
          <w:tab/>
        </w:r>
        <w:r>
          <w:rPr>
            <w:snapToGrid w:val="0"/>
          </w:rPr>
          <w:tab/>
          <w:t>or</w:t>
        </w:r>
      </w:ins>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0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ind w:left="890" w:hanging="890"/>
      </w:pPr>
      <w:r>
        <w:tab/>
        <w:t>[Section 29 amended by No. 59 of 1996 s. 31 and 43; No. 84 of 2004 s. 80.]</w:t>
      </w:r>
    </w:p>
    <w:p>
      <w:pPr>
        <w:pStyle w:val="Heading5"/>
        <w:spacing w:before="180"/>
        <w:rPr>
          <w:snapToGrid w:val="0"/>
        </w:rPr>
      </w:pPr>
      <w:bookmarkStart w:id="199" w:name="_Toc378252237"/>
      <w:bookmarkStart w:id="200" w:name="_Toc412544165"/>
      <w:r>
        <w:rPr>
          <w:rStyle w:val="CharSectno"/>
        </w:rPr>
        <w:t>30</w:t>
      </w:r>
      <w:r>
        <w:rPr>
          <w:snapToGrid w:val="0"/>
        </w:rPr>
        <w:t>.</w:t>
      </w:r>
      <w:r>
        <w:rPr>
          <w:snapToGrid w:val="0"/>
        </w:rPr>
        <w:tab/>
        <w:t>Ammunition sales</w:t>
      </w:r>
      <w:bookmarkEnd w:id="199"/>
      <w:bookmarkEnd w:id="200"/>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rPr>
      </w:pPr>
      <w:r>
        <w:rPr>
          <w:snapToGrid w:val="0"/>
        </w:rPr>
        <w:tab/>
        <w:t>(3)</w:t>
      </w:r>
      <w:r>
        <w:rPr>
          <w:snapToGrid w:val="0"/>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w:t>
      </w:r>
      <w:r>
        <w:rPr>
          <w:snapToGrid w:val="0"/>
          <w:spacing w:val="-4"/>
        </w:rPr>
        <w:t xml:space="preserve"> </w:t>
      </w:r>
      <w:r>
        <w:rPr>
          <w:snapToGrid w:val="0"/>
        </w:rPr>
        <w:t>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t>the</w:t>
      </w:r>
      <w:r>
        <w:rPr>
          <w:rStyle w:val="CharDefText"/>
        </w:rPr>
        <w:t xml:space="preserve"> provider</w:t>
      </w:r>
      <w:r>
        <w:rPr>
          <w:snapToGrid w:val="0"/>
        </w:rPr>
        <w:t xml:space="preserve">) does not request the person receiving the ammunition (in this subsection </w:t>
      </w:r>
      <w:r>
        <w:t>called the</w:t>
      </w:r>
      <w:r>
        <w:rPr>
          <w:b/>
          <w:i/>
        </w:rPr>
        <w:t xml:space="preserve"> </w:t>
      </w:r>
      <w:r>
        <w:rPr>
          <w:rStyle w:val="CharDefText"/>
        </w:rPr>
        <w:t>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by No. 54 of 1978 s. 5; No. 70 of 1987 s. 10; No. 59 of 1996 s. 32, 44 and 50(1); No. 69 of 2004 s. 31.]</w:t>
      </w:r>
    </w:p>
    <w:p>
      <w:pPr>
        <w:pStyle w:val="Heading5"/>
        <w:spacing w:before="180"/>
        <w:rPr>
          <w:snapToGrid w:val="0"/>
        </w:rPr>
      </w:pPr>
      <w:bookmarkStart w:id="201" w:name="_Toc378252238"/>
      <w:bookmarkStart w:id="202" w:name="_Toc412544166"/>
      <w:r>
        <w:rPr>
          <w:rStyle w:val="CharSectno"/>
        </w:rPr>
        <w:t>30A</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and disposal of firearms</w:t>
      </w:r>
      <w:bookmarkEnd w:id="201"/>
      <w:bookmarkEnd w:id="202"/>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[Section 30A inserted by No. 59 of 1996 s. 33; amended by No. 69 of 2004 s. 31.]</w:t>
      </w:r>
    </w:p>
    <w:p>
      <w:pPr>
        <w:pStyle w:val="Heading5"/>
        <w:keepNext w:val="0"/>
        <w:keepLines w:val="0"/>
        <w:spacing w:before="180"/>
        <w:rPr>
          <w:snapToGrid w:val="0"/>
        </w:rPr>
      </w:pPr>
      <w:bookmarkStart w:id="203" w:name="_Toc378252239"/>
      <w:bookmarkStart w:id="204" w:name="_Toc412544167"/>
      <w:r>
        <w:rPr>
          <w:rStyle w:val="CharSectno"/>
        </w:rPr>
        <w:t>30B</w:t>
      </w:r>
      <w:r>
        <w:rPr>
          <w:snapToGrid w:val="0"/>
        </w:rPr>
        <w:t>.</w:t>
      </w:r>
      <w:r>
        <w:rPr>
          <w:snapToGrid w:val="0"/>
        </w:rPr>
        <w:tab/>
        <w:t xml:space="preserve">Loss, theft, destruction, or disposal out of </w:t>
      </w:r>
      <w:del w:id="205" w:author="svcMRProcess" w:date="2015-12-17T10:29:00Z">
        <w:r>
          <w:rPr>
            <w:snapToGrid w:val="0"/>
          </w:rPr>
          <w:delText xml:space="preserve">the </w:delText>
        </w:r>
      </w:del>
      <w:r>
        <w:rPr>
          <w:snapToGrid w:val="0"/>
        </w:rPr>
        <w:t>State, to be reported</w:t>
      </w:r>
      <w:bookmarkEnd w:id="203"/>
      <w:bookmarkEnd w:id="204"/>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[Section 30B inserted by No. 59 of 1996 s. 33; amended by No. 69 of 2004 s. 31.]</w:t>
      </w:r>
    </w:p>
    <w:p>
      <w:pPr>
        <w:pStyle w:val="Heading5"/>
        <w:rPr>
          <w:snapToGrid w:val="0"/>
        </w:rPr>
      </w:pPr>
      <w:bookmarkStart w:id="206" w:name="_Toc378252240"/>
      <w:bookmarkStart w:id="207" w:name="_Toc412544168"/>
      <w:r>
        <w:rPr>
          <w:rStyle w:val="CharSectno"/>
        </w:rPr>
        <w:t>31</w:t>
      </w:r>
      <w:r>
        <w:rPr>
          <w:snapToGrid w:val="0"/>
        </w:rPr>
        <w:t>.</w:t>
      </w:r>
      <w:r>
        <w:rPr>
          <w:snapToGrid w:val="0"/>
        </w:rPr>
        <w:tab/>
        <w:t>Records</w:t>
      </w:r>
      <w:bookmarkEnd w:id="206"/>
      <w:bookmarkEnd w:id="207"/>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[Section 31 amended by No. 59 of 1996 s. 34; No. 69 of 2004 s. 27 and 31.]</w:t>
      </w:r>
    </w:p>
    <w:p>
      <w:pPr>
        <w:pStyle w:val="Heading5"/>
        <w:rPr>
          <w:snapToGrid w:val="0"/>
        </w:rPr>
      </w:pPr>
      <w:bookmarkStart w:id="208" w:name="_Toc378252241"/>
      <w:bookmarkStart w:id="209" w:name="_Toc412544169"/>
      <w:r>
        <w:rPr>
          <w:rStyle w:val="CharSectno"/>
        </w:rPr>
        <w:t>32</w:t>
      </w:r>
      <w:r>
        <w:rPr>
          <w:snapToGrid w:val="0"/>
        </w:rPr>
        <w:t>.</w:t>
      </w:r>
      <w:r>
        <w:rPr>
          <w:snapToGrid w:val="0"/>
        </w:rPr>
        <w:tab/>
        <w:t>Safe keeping by traders</w:t>
      </w:r>
      <w:bookmarkEnd w:id="208"/>
      <w:bookmarkEnd w:id="209"/>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Penalty:</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[Section 32 amended by No. 59 of 1996 s. 35; No. 69 of 2004 s. 28.]</w:t>
      </w:r>
    </w:p>
    <w:p>
      <w:pPr>
        <w:pStyle w:val="Heading5"/>
        <w:spacing w:before="240"/>
        <w:rPr>
          <w:snapToGrid w:val="0"/>
        </w:rPr>
      </w:pPr>
      <w:bookmarkStart w:id="210" w:name="_Toc378252242"/>
      <w:bookmarkStart w:id="211" w:name="_Toc412544170"/>
      <w:r>
        <w:rPr>
          <w:rStyle w:val="CharSectno"/>
        </w:rPr>
        <w:t>33</w:t>
      </w:r>
      <w:r>
        <w:rPr>
          <w:snapToGrid w:val="0"/>
        </w:rPr>
        <w:t>.</w:t>
      </w:r>
      <w:r>
        <w:rPr>
          <w:snapToGrid w:val="0"/>
        </w:rPr>
        <w:tab/>
        <w:t>Disposal of firearms</w:t>
      </w:r>
      <w:bookmarkEnd w:id="210"/>
      <w:bookmarkEnd w:id="211"/>
    </w:p>
    <w:p>
      <w:pPr>
        <w:pStyle w:val="Subsection"/>
        <w:rPr>
          <w:snapToGrid w:val="0"/>
        </w:rPr>
      </w:pPr>
      <w:r>
        <w:rPr>
          <w:snapToGrid w:val="0"/>
        </w:rPr>
        <w:tab/>
        <w:t>(1)</w:t>
      </w:r>
      <w:r>
        <w:rPr>
          <w:snapToGrid w:val="0"/>
        </w:rPr>
        <w:tab/>
        <w:t>Where any firearm 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[Section 33 amended by No. 6 of 1993 s. 11; No. 73 of 1994 s. 4; No. 49 of 1996 s. 64; No. 59 of 1996 s. 36; No. 77 of 2006 s. 4.]</w:t>
      </w:r>
    </w:p>
    <w:p>
      <w:pPr>
        <w:pStyle w:val="Heading5"/>
        <w:rPr>
          <w:snapToGrid w:val="0"/>
        </w:rPr>
      </w:pPr>
      <w:bookmarkStart w:id="212" w:name="_Toc378252243"/>
      <w:bookmarkStart w:id="213" w:name="_Toc412544171"/>
      <w:r>
        <w:rPr>
          <w:rStyle w:val="CharSectno"/>
        </w:rPr>
        <w:t>34</w:t>
      </w:r>
      <w:r>
        <w:rPr>
          <w:snapToGrid w:val="0"/>
        </w:rPr>
        <w:t>.</w:t>
      </w:r>
      <w:r>
        <w:rPr>
          <w:snapToGrid w:val="0"/>
        </w:rPr>
        <w:tab/>
        <w:t>Regulations</w:t>
      </w:r>
      <w:bookmarkEnd w:id="212"/>
      <w:bookmarkEnd w:id="213"/>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w:t>
      </w:r>
      <w:ins w:id="214" w:author="svcMRProcess" w:date="2015-12-17T10:29:00Z">
        <w:r>
          <w:rPr>
            <w:snapToGrid w:val="0"/>
          </w:rPr>
          <w:t xml:space="preserve"> and</w:t>
        </w:r>
      </w:ins>
    </w:p>
    <w:p>
      <w:pPr>
        <w:pStyle w:val="Indenta"/>
        <w:rPr>
          <w:snapToGrid w:val="0"/>
        </w:rPr>
      </w:pPr>
      <w:r>
        <w:rPr>
          <w:snapToGrid w:val="0"/>
        </w:rPr>
        <w:tab/>
        <w:t>(b)</w:t>
      </w:r>
      <w:r>
        <w:rPr>
          <w:snapToGrid w:val="0"/>
        </w:rPr>
        <w:tab/>
        <w:t>the restrictions, limitations and conditions that may be imposed on any licence, permit or approval;</w:t>
      </w:r>
      <w:ins w:id="215" w:author="svcMRProcess" w:date="2015-12-17T10:29:00Z">
        <w:r>
          <w:rPr>
            <w:snapToGrid w:val="0"/>
          </w:rPr>
          <w:t xml:space="preserve"> and</w:t>
        </w:r>
      </w:ins>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w:t>
      </w:r>
      <w:ins w:id="216" w:author="svcMRProcess" w:date="2015-12-17T10:29:00Z">
        <w:r>
          <w:rPr>
            <w:snapToGrid w:val="0"/>
          </w:rPr>
          <w:t xml:space="preserve"> and</w:t>
        </w:r>
      </w:ins>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ins w:id="217" w:author="svcMRProcess" w:date="2015-12-17T10:29:00Z">
        <w:r>
          <w:rPr>
            <w:snapToGrid w:val="0"/>
          </w:rPr>
          <w:t xml:space="preserve"> and</w:t>
        </w:r>
      </w:ins>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ins w:id="218" w:author="svcMRProcess" w:date="2015-12-17T10:29:00Z">
        <w:r>
          <w:t xml:space="preserve"> and</w:t>
        </w:r>
      </w:ins>
    </w:p>
    <w:p>
      <w:pPr>
        <w:pStyle w:val="Indenta"/>
        <w:rPr>
          <w:snapToGrid w:val="0"/>
        </w:rPr>
      </w:pPr>
      <w:r>
        <w:rPr>
          <w:snapToGrid w:val="0"/>
        </w:rPr>
        <w:tab/>
        <w:t>(f)</w:t>
      </w:r>
      <w:r>
        <w:rPr>
          <w:snapToGrid w:val="0"/>
        </w:rPr>
        <w:tab/>
        <w:t>the classification of firearms and ammunition for the purposes of this Act;</w:t>
      </w:r>
      <w:ins w:id="219" w:author="svcMRProcess" w:date="2015-12-17T10:29:00Z">
        <w:r>
          <w:rPr>
            <w:snapToGrid w:val="0"/>
          </w:rPr>
          <w:t xml:space="preserve"> and</w:t>
        </w:r>
      </w:ins>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ins w:id="220" w:author="svcMRProcess" w:date="2015-12-17T10:29:00Z">
        <w:r>
          <w:rPr>
            <w:snapToGrid w:val="0"/>
          </w:rPr>
          <w:t xml:space="preserve"> and</w:t>
        </w:r>
      </w:ins>
    </w:p>
    <w:p>
      <w:pPr>
        <w:pStyle w:val="Indenta"/>
        <w:rPr>
          <w:snapToGrid w:val="0"/>
        </w:rPr>
      </w:pPr>
      <w:r>
        <w:rPr>
          <w:snapToGrid w:val="0"/>
        </w:rPr>
        <w:tab/>
        <w:t>(ga)</w:t>
      </w:r>
      <w:r>
        <w:rPr>
          <w:snapToGrid w:val="0"/>
        </w:rPr>
        <w:tab/>
        <w:t>the sending or conveyance of firearms or ammunition;</w:t>
      </w:r>
      <w:ins w:id="221" w:author="svcMRProcess" w:date="2015-12-17T10:29:00Z">
        <w:r>
          <w:rPr>
            <w:snapToGrid w:val="0"/>
          </w:rPr>
          <w:t xml:space="preserve"> and</w:t>
        </w:r>
      </w:ins>
    </w:p>
    <w:p>
      <w:pPr>
        <w:pStyle w:val="Indenta"/>
        <w:rPr>
          <w:snapToGrid w:val="0"/>
        </w:rPr>
      </w:pPr>
      <w:r>
        <w:rPr>
          <w:snapToGrid w:val="0"/>
        </w:rPr>
        <w:tab/>
        <w:t>(h)</w:t>
      </w:r>
      <w:r>
        <w:rPr>
          <w:snapToGrid w:val="0"/>
        </w:rPr>
        <w:tab/>
        <w:t>the construction and conduct of shooting galleries and ranges;</w:t>
      </w:r>
      <w:ins w:id="222" w:author="svcMRProcess" w:date="2015-12-17T10:29:00Z">
        <w:r>
          <w:rPr>
            <w:snapToGrid w:val="0"/>
          </w:rPr>
          <w:t xml:space="preserve"> and</w:t>
        </w:r>
      </w:ins>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by No. 54 of 1978 s. 6; No. 70 of 1987 s. 11; No. 59 of 1996 s. 37 and 50(1); No. 55 of 2004 s. 370; No. 69 of 2004 s. 29 and 31.]</w:t>
      </w:r>
    </w:p>
    <w:p>
      <w:pPr>
        <w:pStyle w:val="yEdnoteschedule"/>
        <w:keepNext/>
        <w:rPr>
          <w:sz w:val="24"/>
        </w:rPr>
      </w:pPr>
      <w:r>
        <w:rPr>
          <w:sz w:val="24"/>
        </w:rPr>
        <w:t>[Schedule 1 omitted under the Reprints Act 1984 s. 7(4)(f).]</w:t>
      </w:r>
    </w:p>
    <w:p>
      <w:pPr>
        <w:pStyle w:val="yEdnoteschedule"/>
        <w:rPr>
          <w:sz w:val="24"/>
        </w:rPr>
      </w:pPr>
      <w:r>
        <w:rPr>
          <w:sz w:val="24"/>
        </w:rPr>
        <w:t>[Schedule 2 deleted by No. 69 of 2004 s. 30.]</w:t>
      </w:r>
    </w:p>
    <w:p>
      <w:pPr>
        <w:pStyle w:val="yEdnoteschedule"/>
      </w:pPr>
      <w:r>
        <w:rPr>
          <w:sz w:val="24"/>
        </w:rPr>
        <w:t>[Schedule 3 deleted by No. 55 of 2004 s. 371.]</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ins w:id="223" w:author="svcMRProcess" w:date="2015-12-17T10:29:00Z"/>
        </w:rPr>
      </w:pPr>
    </w:p>
    <w:p>
      <w:p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nHeading2"/>
        <w:outlineLvl w:val="2"/>
      </w:pPr>
      <w:bookmarkStart w:id="224" w:name="_Toc378252244"/>
      <w:bookmarkStart w:id="225" w:name="_Toc412541122"/>
      <w:bookmarkStart w:id="226" w:name="_Toc412541179"/>
      <w:bookmarkStart w:id="227" w:name="_Toc412544172"/>
      <w:r>
        <w:t>Notes</w:t>
      </w:r>
      <w:bookmarkEnd w:id="224"/>
      <w:bookmarkEnd w:id="225"/>
      <w:bookmarkEnd w:id="226"/>
      <w:bookmarkEnd w:id="227"/>
    </w:p>
    <w:p>
      <w:pPr>
        <w:pStyle w:val="nSubsection"/>
      </w:pPr>
      <w:r>
        <w:rPr>
          <w:vertAlign w:val="superscript"/>
        </w:rPr>
        <w:t>1</w:t>
      </w:r>
      <w:r>
        <w:tab/>
        <w:t xml:space="preserve">This </w:t>
      </w:r>
      <w:ins w:id="228" w:author="svcMRProcess" w:date="2015-12-17T10:29:00Z">
        <w:r>
          <w:t xml:space="preserve">reprint </w:t>
        </w:r>
      </w:ins>
      <w:r>
        <w:t>is a compilation</w:t>
      </w:r>
      <w:ins w:id="229" w:author="svcMRProcess" w:date="2015-12-17T10:29:00Z">
        <w:r>
          <w:t xml:space="preserve"> as at 13 February 2015</w:t>
        </w:r>
      </w:ins>
      <w:r>
        <w:t xml:space="preserve"> of the </w:t>
      </w:r>
      <w:r>
        <w:rPr>
          <w:i/>
          <w:noProof/>
        </w:rPr>
        <w:t>Firearms Act 1973</w:t>
      </w:r>
      <w:r>
        <w:t xml:space="preserve"> and includes the amendments made by the other written laws referred to in the following table</w:t>
      </w:r>
      <w:del w:id="230" w:author="svcMRProcess" w:date="2015-12-17T10:29:00Z">
        <w:r>
          <w:rPr>
            <w:snapToGrid w:val="0"/>
          </w:rPr>
          <w:delText> </w:delText>
        </w:r>
        <w:r>
          <w:rPr>
            <w:snapToGrid w:val="0"/>
            <w:vertAlign w:val="superscript"/>
          </w:rPr>
          <w:delText>10 </w:delText>
        </w:r>
        <w:r>
          <w:rPr>
            <w:snapToGrid w:val="0"/>
          </w:rPr>
          <w:delText xml:space="preserve">. </w:delText>
        </w:r>
      </w:del>
      <w:ins w:id="231" w:author="svcMRProcess" w:date="2015-12-17T10:29:00Z">
        <w:r>
          <w:t>.</w:t>
        </w:r>
      </w:ins>
      <w:r>
        <w:rPr>
          <w:vertAlign w:val="superscript"/>
        </w:rPr>
        <w:t xml:space="preserve"> </w:t>
      </w:r>
      <w:r>
        <w:t>The table also contains information about any reprint.</w:t>
      </w:r>
    </w:p>
    <w:p>
      <w:pPr>
        <w:pStyle w:val="nHeading3"/>
        <w:rPr>
          <w:snapToGrid w:val="0"/>
        </w:rPr>
      </w:pPr>
      <w:bookmarkStart w:id="232" w:name="_Toc412544173"/>
      <w:bookmarkStart w:id="233" w:name="_Toc378252245"/>
      <w:r>
        <w:rPr>
          <w:snapToGrid w:val="0"/>
        </w:rPr>
        <w:t>Compilation table</w:t>
      </w:r>
      <w:bookmarkEnd w:id="232"/>
      <w:bookmarkEnd w:id="233"/>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ind w:right="113"/>
            </w:pPr>
            <w:r>
              <w:rPr>
                <w:i/>
              </w:rPr>
              <w:t>Firearms Act 1973</w:t>
            </w:r>
          </w:p>
        </w:tc>
        <w:tc>
          <w:tcPr>
            <w:tcW w:w="1134" w:type="dxa"/>
          </w:tcPr>
          <w:p>
            <w:pPr>
              <w:pStyle w:val="nTable"/>
              <w:spacing w:after="40"/>
            </w:pPr>
            <w:r>
              <w:t>36 of 1973</w:t>
            </w:r>
          </w:p>
        </w:tc>
        <w:tc>
          <w:tcPr>
            <w:tcW w:w="1136" w:type="dxa"/>
          </w:tcPr>
          <w:p>
            <w:pPr>
              <w:pStyle w:val="nTable"/>
              <w:spacing w:after="40"/>
            </w:pPr>
            <w:r>
              <w:t>18 Oct 1973</w:t>
            </w:r>
          </w:p>
        </w:tc>
        <w:tc>
          <w:tcPr>
            <w:tcW w:w="2551" w:type="dxa"/>
          </w:tcPr>
          <w:p>
            <w:pPr>
              <w:pStyle w:val="nTable"/>
              <w:spacing w:after="40"/>
            </w:pPr>
            <w:r>
              <w:t>1 Jul 1974 (see s. 2 and </w:t>
            </w:r>
            <w:r>
              <w:rPr>
                <w:i/>
              </w:rPr>
              <w:t>Gazette</w:t>
            </w:r>
            <w:r>
              <w:t xml:space="preserve"> 29 Mar 1974 p. 1027)</w:t>
            </w:r>
          </w:p>
        </w:tc>
      </w:tr>
      <w:tr>
        <w:trPr>
          <w:cantSplit/>
        </w:trPr>
        <w:tc>
          <w:tcPr>
            <w:tcW w:w="2267" w:type="dxa"/>
          </w:tcPr>
          <w:p>
            <w:pPr>
              <w:pStyle w:val="nTable"/>
              <w:spacing w:after="40"/>
              <w:ind w:right="113"/>
            </w:pPr>
            <w:r>
              <w:rPr>
                <w:i/>
              </w:rPr>
              <w:t>Firearms Act Amendment Act 1976</w:t>
            </w:r>
          </w:p>
        </w:tc>
        <w:tc>
          <w:tcPr>
            <w:tcW w:w="1134" w:type="dxa"/>
          </w:tcPr>
          <w:p>
            <w:pPr>
              <w:pStyle w:val="nTable"/>
              <w:spacing w:after="40"/>
            </w:pPr>
            <w:r>
              <w:t>61 of 1976</w:t>
            </w:r>
          </w:p>
        </w:tc>
        <w:tc>
          <w:tcPr>
            <w:tcW w:w="1136" w:type="dxa"/>
          </w:tcPr>
          <w:p>
            <w:pPr>
              <w:pStyle w:val="nTable"/>
              <w:spacing w:after="40"/>
            </w:pPr>
            <w:r>
              <w:t>16 Sep 1976</w:t>
            </w:r>
          </w:p>
        </w:tc>
        <w:tc>
          <w:tcPr>
            <w:tcW w:w="2551" w:type="dxa"/>
          </w:tcPr>
          <w:p>
            <w:pPr>
              <w:pStyle w:val="nTable"/>
              <w:spacing w:after="40"/>
            </w:pPr>
            <w:r>
              <w:t>16 Sep 1976</w:t>
            </w:r>
          </w:p>
        </w:tc>
      </w:tr>
      <w:tr>
        <w:trPr>
          <w:cantSplit/>
        </w:trPr>
        <w:tc>
          <w:tcPr>
            <w:tcW w:w="2267" w:type="dxa"/>
          </w:tcPr>
          <w:p>
            <w:pPr>
              <w:pStyle w:val="nTable"/>
              <w:spacing w:after="40"/>
              <w:ind w:right="113"/>
            </w:pPr>
            <w:r>
              <w:rPr>
                <w:i/>
              </w:rPr>
              <w:t>Firearms Act Amendment Act 1978</w:t>
            </w:r>
          </w:p>
        </w:tc>
        <w:tc>
          <w:tcPr>
            <w:tcW w:w="1134" w:type="dxa"/>
          </w:tcPr>
          <w:p>
            <w:pPr>
              <w:pStyle w:val="nTable"/>
              <w:spacing w:after="40"/>
            </w:pPr>
            <w:r>
              <w:t>54 of 1978</w:t>
            </w:r>
          </w:p>
        </w:tc>
        <w:tc>
          <w:tcPr>
            <w:tcW w:w="1136" w:type="dxa"/>
          </w:tcPr>
          <w:p>
            <w:pPr>
              <w:pStyle w:val="nTable"/>
              <w:spacing w:after="40"/>
            </w:pPr>
            <w:r>
              <w:t>6 Sep 1978</w:t>
            </w:r>
          </w:p>
        </w:tc>
        <w:tc>
          <w:tcPr>
            <w:tcW w:w="2551" w:type="dxa"/>
          </w:tcPr>
          <w:p>
            <w:pPr>
              <w:pStyle w:val="nTable"/>
              <w:spacing w:after="40"/>
            </w:pPr>
            <w:r>
              <w:t>6 Sep 1978</w:t>
            </w:r>
          </w:p>
        </w:tc>
      </w:tr>
      <w:tr>
        <w:trPr>
          <w:cantSplit/>
        </w:trPr>
        <w:tc>
          <w:tcPr>
            <w:tcW w:w="2267" w:type="dxa"/>
          </w:tcPr>
          <w:p>
            <w:pPr>
              <w:pStyle w:val="nTable"/>
              <w:spacing w:after="40"/>
              <w:ind w:right="113"/>
            </w:pPr>
            <w:r>
              <w:rPr>
                <w:i/>
              </w:rPr>
              <w:t>Firearms Amendment Act 1980</w:t>
            </w:r>
          </w:p>
        </w:tc>
        <w:tc>
          <w:tcPr>
            <w:tcW w:w="1134" w:type="dxa"/>
          </w:tcPr>
          <w:p>
            <w:pPr>
              <w:pStyle w:val="nTable"/>
              <w:spacing w:after="40"/>
            </w:pPr>
            <w:r>
              <w:t>35 of 1980</w:t>
            </w:r>
          </w:p>
        </w:tc>
        <w:tc>
          <w:tcPr>
            <w:tcW w:w="1136" w:type="dxa"/>
          </w:tcPr>
          <w:p>
            <w:pPr>
              <w:pStyle w:val="nTable"/>
              <w:spacing w:after="40"/>
            </w:pPr>
            <w:r>
              <w:t>5 Nov 1980</w:t>
            </w:r>
          </w:p>
        </w:tc>
        <w:tc>
          <w:tcPr>
            <w:tcW w:w="2551" w:type="dxa"/>
          </w:tcPr>
          <w:p>
            <w:pPr>
              <w:pStyle w:val="nTable"/>
              <w:spacing w:after="40"/>
            </w:pPr>
            <w:r>
              <w:t xml:space="preserve">24 Jul 1981 (see s. 2 and </w:t>
            </w:r>
            <w:r>
              <w:rPr>
                <w:i/>
              </w:rPr>
              <w:t>Gazette</w:t>
            </w:r>
            <w:r>
              <w:t xml:space="preserve"> 24 Jul 1981 p. 3060)</w:t>
            </w:r>
          </w:p>
        </w:tc>
      </w:tr>
      <w:tr>
        <w:trPr>
          <w:cantSplit/>
        </w:trPr>
        <w:tc>
          <w:tcPr>
            <w:tcW w:w="7087" w:type="dxa"/>
            <w:gridSpan w:val="4"/>
          </w:tcPr>
          <w:p>
            <w:pPr>
              <w:pStyle w:val="nTable"/>
              <w:spacing w:after="40"/>
            </w:pPr>
            <w:r>
              <w:rPr>
                <w:b/>
                <w:bCs/>
              </w:rPr>
              <w:t xml:space="preserve">Reprint of the </w:t>
            </w:r>
            <w:r>
              <w:rPr>
                <w:b/>
                <w:bCs/>
                <w:i/>
              </w:rPr>
              <w:t xml:space="preserve">Firearms Act 1973 </w:t>
            </w:r>
            <w:r>
              <w:rPr>
                <w:b/>
                <w:bCs/>
                <w:iCs/>
              </w:rPr>
              <w:t>approved 22 Apr 1983</w:t>
            </w:r>
            <w:r>
              <w:rPr>
                <w:iCs/>
              </w:rPr>
              <w:t xml:space="preserve"> (includes amendments listed above)</w:t>
            </w:r>
          </w:p>
        </w:tc>
      </w:tr>
      <w:tr>
        <w:trPr>
          <w:cantSplit/>
        </w:trPr>
        <w:tc>
          <w:tcPr>
            <w:tcW w:w="2267" w:type="dxa"/>
          </w:tcPr>
          <w:p>
            <w:pPr>
              <w:pStyle w:val="nTable"/>
              <w:spacing w:after="40"/>
              <w:ind w:right="113"/>
            </w:pPr>
            <w:r>
              <w:rPr>
                <w:i/>
              </w:rPr>
              <w:t>Firearms Amendment Act 1983</w:t>
            </w:r>
          </w:p>
        </w:tc>
        <w:tc>
          <w:tcPr>
            <w:tcW w:w="1134" w:type="dxa"/>
          </w:tcPr>
          <w:p>
            <w:pPr>
              <w:pStyle w:val="nTable"/>
              <w:spacing w:after="40"/>
            </w:pPr>
            <w:r>
              <w:t>3 of 1983</w:t>
            </w:r>
          </w:p>
        </w:tc>
        <w:tc>
          <w:tcPr>
            <w:tcW w:w="1136" w:type="dxa"/>
          </w:tcPr>
          <w:p>
            <w:pPr>
              <w:pStyle w:val="nTable"/>
              <w:spacing w:after="40"/>
            </w:pPr>
            <w:r>
              <w:t>1 Aug 1983</w:t>
            </w:r>
          </w:p>
        </w:tc>
        <w:tc>
          <w:tcPr>
            <w:tcW w:w="2551" w:type="dxa"/>
          </w:tcPr>
          <w:p>
            <w:pPr>
              <w:pStyle w:val="nTable"/>
              <w:spacing w:after="40"/>
            </w:pPr>
            <w:r>
              <w:t>1 Aug 1983</w:t>
            </w:r>
          </w:p>
        </w:tc>
      </w:tr>
      <w:tr>
        <w:trPr>
          <w:cantSplit/>
        </w:trPr>
        <w:tc>
          <w:tcPr>
            <w:tcW w:w="2267" w:type="dxa"/>
          </w:tcPr>
          <w:p>
            <w:pPr>
              <w:pStyle w:val="nTable"/>
              <w:spacing w:after="40"/>
              <w:ind w:right="113"/>
              <w:rPr>
                <w:vertAlign w:val="superscript"/>
              </w:rPr>
            </w:pPr>
            <w:r>
              <w:rPr>
                <w:i/>
              </w:rPr>
              <w:t>Acts Amendment (Financial Administration and Audit) Act 1985</w:t>
            </w:r>
            <w:r>
              <w:t xml:space="preserve"> s. 3</w:t>
            </w:r>
            <w:r>
              <w:rPr>
                <w:vertAlign w:val="superscript"/>
              </w:rPr>
              <w:t> 3</w:t>
            </w:r>
          </w:p>
        </w:tc>
        <w:tc>
          <w:tcPr>
            <w:tcW w:w="1134" w:type="dxa"/>
          </w:tcPr>
          <w:p>
            <w:pPr>
              <w:pStyle w:val="nTable"/>
              <w:spacing w:after="40"/>
            </w:pPr>
            <w:r>
              <w:t>98 of 1985</w:t>
            </w:r>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7" w:type="dxa"/>
          </w:tcPr>
          <w:p>
            <w:pPr>
              <w:pStyle w:val="nTable"/>
              <w:spacing w:after="40"/>
              <w:ind w:right="113"/>
            </w:pPr>
            <w:r>
              <w:rPr>
                <w:i/>
              </w:rPr>
              <w:t>Firearms Amendment Act 1987</w:t>
            </w:r>
          </w:p>
        </w:tc>
        <w:tc>
          <w:tcPr>
            <w:tcW w:w="1134" w:type="dxa"/>
          </w:tcPr>
          <w:p>
            <w:pPr>
              <w:pStyle w:val="nTable"/>
              <w:spacing w:after="40"/>
            </w:pPr>
            <w:r>
              <w:t>70 of 1987</w:t>
            </w:r>
          </w:p>
        </w:tc>
        <w:tc>
          <w:tcPr>
            <w:tcW w:w="1136" w:type="dxa"/>
          </w:tcPr>
          <w:p>
            <w:pPr>
              <w:pStyle w:val="nTable"/>
              <w:spacing w:after="40"/>
            </w:pPr>
            <w:r>
              <w:t>22 Nov 1987</w:t>
            </w:r>
          </w:p>
        </w:tc>
        <w:tc>
          <w:tcPr>
            <w:tcW w:w="2551" w:type="dxa"/>
          </w:tcPr>
          <w:p>
            <w:pPr>
              <w:pStyle w:val="nTable"/>
              <w:spacing w:after="40"/>
            </w:pPr>
            <w:r>
              <w:t>s. 1 and 2: 22 Nov 1987;</w:t>
            </w:r>
            <w:r>
              <w:br/>
              <w:t xml:space="preserve">Act other than s. 1 and 2: 1 Oct 1989 (see s. 2 and </w:t>
            </w:r>
            <w:r>
              <w:rPr>
                <w:i/>
              </w:rPr>
              <w:t>Gazette</w:t>
            </w:r>
            <w:r>
              <w:t xml:space="preserve"> 29 Sep 1989 p. 3665)</w:t>
            </w:r>
          </w:p>
        </w:tc>
      </w:tr>
      <w:tr>
        <w:trPr>
          <w:cantSplit/>
        </w:trPr>
        <w:tc>
          <w:tcPr>
            <w:tcW w:w="2267"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1 Jul 1993 (see s. 2(1))</w:t>
            </w:r>
          </w:p>
        </w:tc>
      </w:tr>
      <w:tr>
        <w:trPr>
          <w:cantSplit/>
        </w:trPr>
        <w:tc>
          <w:tcPr>
            <w:tcW w:w="2267" w:type="dxa"/>
          </w:tcPr>
          <w:p>
            <w:pPr>
              <w:pStyle w:val="nTable"/>
              <w:spacing w:after="40"/>
              <w:ind w:right="113"/>
            </w:pPr>
            <w:r>
              <w:rPr>
                <w:i/>
              </w:rPr>
              <w:t xml:space="preserve">Statutes (Repeals and Minor Amendments) Act 1994 </w:t>
            </w:r>
            <w:r>
              <w:t>s. 4</w:t>
            </w:r>
          </w:p>
        </w:tc>
        <w:tc>
          <w:tcPr>
            <w:tcW w:w="1134" w:type="dxa"/>
          </w:tcPr>
          <w:p>
            <w:pPr>
              <w:pStyle w:val="nTable"/>
              <w:keepNext/>
              <w:spacing w:after="40"/>
            </w:pPr>
            <w:r>
              <w:t>73 of 1994</w:t>
            </w:r>
          </w:p>
        </w:tc>
        <w:tc>
          <w:tcPr>
            <w:tcW w:w="1136" w:type="dxa"/>
          </w:tcPr>
          <w:p>
            <w:pPr>
              <w:pStyle w:val="nTable"/>
              <w:keepNext/>
              <w:spacing w:after="40"/>
            </w:pPr>
            <w:r>
              <w:t>9 Dec 1994</w:t>
            </w:r>
          </w:p>
        </w:tc>
        <w:tc>
          <w:tcPr>
            <w:tcW w:w="2551" w:type="dxa"/>
          </w:tcPr>
          <w:p>
            <w:pPr>
              <w:pStyle w:val="nTable"/>
              <w:keepNext/>
              <w:spacing w:after="40"/>
            </w:pPr>
            <w:r>
              <w:t>9 Dec 1994 (see s. 2)</w:t>
            </w:r>
          </w:p>
        </w:tc>
      </w:tr>
      <w:tr>
        <w:trPr>
          <w:cantSplit/>
        </w:trPr>
        <w:tc>
          <w:tcPr>
            <w:tcW w:w="2267" w:type="dxa"/>
          </w:tcPr>
          <w:p>
            <w:pPr>
              <w:pStyle w:val="nTable"/>
              <w:spacing w:after="40"/>
              <w:ind w:right="113"/>
            </w:pPr>
            <w:r>
              <w:rPr>
                <w:i/>
              </w:rPr>
              <w:t>Firearms Amendment Act 1994</w:t>
            </w:r>
          </w:p>
        </w:tc>
        <w:tc>
          <w:tcPr>
            <w:tcW w:w="1134" w:type="dxa"/>
          </w:tcPr>
          <w:p>
            <w:pPr>
              <w:pStyle w:val="nTable"/>
              <w:spacing w:after="40"/>
            </w:pPr>
            <w:r>
              <w:t>90 of 1994</w:t>
            </w:r>
          </w:p>
        </w:tc>
        <w:tc>
          <w:tcPr>
            <w:tcW w:w="1136" w:type="dxa"/>
          </w:tcPr>
          <w:p>
            <w:pPr>
              <w:pStyle w:val="nTable"/>
              <w:spacing w:after="40"/>
            </w:pPr>
            <w:r>
              <w:t>5 Jan 1995</w:t>
            </w:r>
          </w:p>
        </w:tc>
        <w:tc>
          <w:tcPr>
            <w:tcW w:w="2551" w:type="dxa"/>
          </w:tcPr>
          <w:p>
            <w:pPr>
              <w:pStyle w:val="nTable"/>
              <w:spacing w:after="40"/>
            </w:pPr>
            <w:r>
              <w:t>5 Jan 1995 (see s. 2)</w:t>
            </w:r>
          </w:p>
        </w:tc>
      </w:tr>
      <w:tr>
        <w:trPr>
          <w:cantSplit/>
        </w:trPr>
        <w:tc>
          <w:tcPr>
            <w:tcW w:w="2267" w:type="dxa"/>
          </w:tcPr>
          <w:p>
            <w:pPr>
              <w:pStyle w:val="nTable"/>
              <w:spacing w:after="40"/>
              <w:ind w:right="113"/>
            </w:pPr>
            <w:r>
              <w:rPr>
                <w:i/>
              </w:rPr>
              <w:t xml:space="preserve">Sentencing (Consequential Provisions) Act 1995 </w:t>
            </w:r>
            <w:r>
              <w:t>Pt. 33</w:t>
            </w:r>
          </w:p>
        </w:tc>
        <w:tc>
          <w:tcPr>
            <w:tcW w:w="1134" w:type="dxa"/>
          </w:tcPr>
          <w:p>
            <w:pPr>
              <w:pStyle w:val="nTable"/>
              <w:keepNext/>
              <w:keepLines/>
              <w:spacing w:after="40"/>
            </w:pPr>
            <w:r>
              <w:t>78 of 1995</w:t>
            </w:r>
          </w:p>
        </w:tc>
        <w:tc>
          <w:tcPr>
            <w:tcW w:w="1136" w:type="dxa"/>
          </w:tcPr>
          <w:p>
            <w:pPr>
              <w:pStyle w:val="nTable"/>
              <w:keepNext/>
              <w:keepLines/>
              <w:spacing w:after="40"/>
            </w:pPr>
            <w:r>
              <w:t>16 Jan 1996</w:t>
            </w:r>
          </w:p>
        </w:tc>
        <w:tc>
          <w:tcPr>
            <w:tcW w:w="2551" w:type="dxa"/>
          </w:tcPr>
          <w:p>
            <w:pPr>
              <w:pStyle w:val="nTable"/>
              <w:keepNext/>
              <w:keepLines/>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 xml:space="preserve">Security and Related Activities (Control) Act 1996 </w:t>
            </w:r>
            <w:r>
              <w:t>s. 96</w:t>
            </w:r>
          </w:p>
        </w:tc>
        <w:tc>
          <w:tcPr>
            <w:tcW w:w="1134" w:type="dxa"/>
          </w:tcPr>
          <w:p>
            <w:pPr>
              <w:pStyle w:val="nTable"/>
              <w:spacing w:after="40"/>
            </w:pPr>
            <w:r>
              <w:t>27 of 1996</w:t>
            </w:r>
          </w:p>
        </w:tc>
        <w:tc>
          <w:tcPr>
            <w:tcW w:w="1136" w:type="dxa"/>
          </w:tcPr>
          <w:p>
            <w:pPr>
              <w:pStyle w:val="nTable"/>
              <w:spacing w:after="40"/>
            </w:pPr>
            <w:r>
              <w:t>22 Jul 1996</w:t>
            </w:r>
          </w:p>
        </w:tc>
        <w:tc>
          <w:tcPr>
            <w:tcW w:w="2551" w:type="dxa"/>
          </w:tcPr>
          <w:p>
            <w:pPr>
              <w:pStyle w:val="nTable"/>
              <w:spacing w:after="40"/>
            </w:pPr>
            <w:r>
              <w:t xml:space="preserve">1 Apr 1997 (see s. 2 and </w:t>
            </w:r>
            <w:r>
              <w:rPr>
                <w:i/>
              </w:rPr>
              <w:t>Gazette</w:t>
            </w:r>
            <w:r>
              <w:t xml:space="preserve"> 27 Mar 1997 p. 1693)</w:t>
            </w:r>
          </w:p>
        </w:tc>
      </w:tr>
      <w:tr>
        <w:trPr>
          <w:cantSplit/>
        </w:trPr>
        <w:tc>
          <w:tcPr>
            <w:tcW w:w="2267"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7" w:type="dxa"/>
          </w:tcPr>
          <w:p>
            <w:pPr>
              <w:pStyle w:val="nTable"/>
              <w:spacing w:after="40"/>
              <w:ind w:right="113"/>
              <w:rPr>
                <w:vertAlign w:val="superscript"/>
              </w:rPr>
            </w:pPr>
            <w:r>
              <w:rPr>
                <w:i/>
              </w:rPr>
              <w:t>Firearms Amendment Act 1996</w:t>
            </w:r>
            <w:r>
              <w:rPr>
                <w:i/>
                <w:vertAlign w:val="superscript"/>
              </w:rPr>
              <w:t> </w:t>
            </w:r>
            <w:r>
              <w:rPr>
                <w:iCs/>
                <w:vertAlign w:val="superscript"/>
              </w:rPr>
              <w:t>4</w:t>
            </w:r>
          </w:p>
        </w:tc>
        <w:tc>
          <w:tcPr>
            <w:tcW w:w="1134" w:type="dxa"/>
          </w:tcPr>
          <w:p>
            <w:pPr>
              <w:pStyle w:val="nTable"/>
              <w:spacing w:after="40"/>
            </w:pPr>
            <w:r>
              <w:t>59 of 1996</w:t>
            </w:r>
          </w:p>
        </w:tc>
        <w:tc>
          <w:tcPr>
            <w:tcW w:w="1136" w:type="dxa"/>
          </w:tcPr>
          <w:p>
            <w:pPr>
              <w:pStyle w:val="nTable"/>
              <w:spacing w:after="40"/>
            </w:pPr>
            <w:r>
              <w:t>11 Nov 1996</w:t>
            </w:r>
          </w:p>
        </w:tc>
        <w:tc>
          <w:tcPr>
            <w:tcW w:w="2551" w:type="dxa"/>
          </w:tcPr>
          <w:p>
            <w:pPr>
              <w:pStyle w:val="nTable"/>
              <w:spacing w:after="40"/>
            </w:pPr>
            <w:r>
              <w:t>s. 1</w:t>
            </w:r>
            <w:del w:id="234" w:author="svcMRProcess" w:date="2015-12-17T10:29:00Z">
              <w:r>
                <w:delText>-</w:delText>
              </w:r>
            </w:del>
            <w:ins w:id="235" w:author="svcMRProcess" w:date="2015-12-17T10:29:00Z">
              <w:r>
                <w:t xml:space="preserve"> and </w:t>
              </w:r>
            </w:ins>
            <w:r>
              <w:t>3: 11 Nov 1996;</w:t>
            </w:r>
            <w:r>
              <w:br/>
              <w:t>Act other than s. 1</w:t>
            </w:r>
            <w:del w:id="236" w:author="svcMRProcess" w:date="2015-12-17T10:29:00Z">
              <w:r>
                <w:delText>-</w:delText>
              </w:r>
            </w:del>
            <w:ins w:id="237" w:author="svcMRProcess" w:date="2015-12-17T10:29:00Z">
              <w:r>
                <w:t xml:space="preserve">, </w:t>
              </w:r>
            </w:ins>
            <w:r>
              <w:t xml:space="preserve">3 and 16: 6 Dec 1996 (see s. 3(1) and </w:t>
            </w:r>
            <w:r>
              <w:rPr>
                <w:i/>
              </w:rPr>
              <w:t>Gazette</w:t>
            </w:r>
            <w:r>
              <w:t xml:space="preserve"> 6 Dec 1996 p. 6699); s. 16: 1 Apr 1997 (see s. 3(2</w:t>
            </w:r>
            <w:ins w:id="238" w:author="svcMRProcess" w:date="2015-12-17T10:29:00Z">
              <w:r>
                <w:t>)(a</w:t>
              </w:r>
            </w:ins>
            <w:r>
              <w:t xml:space="preserve">) and </w:t>
            </w:r>
            <w:r>
              <w:rPr>
                <w:i/>
              </w:rPr>
              <w:t>Gazette</w:t>
            </w:r>
            <w:r>
              <w:t xml:space="preserve"> 27 Mar 1997 p. 1693)</w:t>
            </w:r>
          </w:p>
        </w:tc>
      </w:tr>
      <w:tr>
        <w:trPr>
          <w:cantSplit/>
        </w:trPr>
        <w:tc>
          <w:tcPr>
            <w:tcW w:w="7087" w:type="dxa"/>
            <w:gridSpan w:val="4"/>
          </w:tcPr>
          <w:p>
            <w:pPr>
              <w:pStyle w:val="nTable"/>
              <w:spacing w:after="40"/>
            </w:pPr>
            <w:r>
              <w:rPr>
                <w:b/>
                <w:bCs/>
              </w:rPr>
              <w:t xml:space="preserve">Reprint of the </w:t>
            </w:r>
            <w:r>
              <w:rPr>
                <w:b/>
                <w:bCs/>
                <w:i/>
              </w:rPr>
              <w:t xml:space="preserve">Firearms Act 1973 </w:t>
            </w:r>
            <w:r>
              <w:rPr>
                <w:b/>
                <w:bCs/>
                <w:iCs/>
              </w:rPr>
              <w:t>as at 22 Jan 1997</w:t>
            </w:r>
            <w:r>
              <w:rPr>
                <w:iCs/>
              </w:rPr>
              <w:t xml:space="preserve"> (includes amendments listed above except those in the </w:t>
            </w:r>
            <w:r>
              <w:rPr>
                <w:i/>
              </w:rPr>
              <w:t xml:space="preserve">Security and Related Activities (Control) Act 1996 </w:t>
            </w:r>
            <w:r>
              <w:rPr>
                <w:iCs/>
              </w:rPr>
              <w:t>and the</w:t>
            </w:r>
            <w:r>
              <w:rPr>
                <w:i/>
              </w:rPr>
              <w:t xml:space="preserve"> Firearms Amendment Act 1996 </w:t>
            </w:r>
            <w:r>
              <w:rPr>
                <w:iCs/>
              </w:rPr>
              <w:t>s. 16)</w:t>
            </w:r>
          </w:p>
        </w:tc>
      </w:tr>
      <w:tr>
        <w:trPr>
          <w:cantSplit/>
        </w:trPr>
        <w:tc>
          <w:tcPr>
            <w:tcW w:w="2267" w:type="dxa"/>
          </w:tcPr>
          <w:p>
            <w:pPr>
              <w:pStyle w:val="nTable"/>
              <w:spacing w:after="40"/>
              <w:ind w:right="113"/>
            </w:pPr>
            <w:r>
              <w:rPr>
                <w:i/>
              </w:rPr>
              <w:t xml:space="preserve">Restraining Orders Act 1997 </w:t>
            </w:r>
            <w:r>
              <w:t>s. 84</w:t>
            </w:r>
          </w:p>
        </w:tc>
        <w:tc>
          <w:tcPr>
            <w:tcW w:w="1134" w:type="dxa"/>
          </w:tcPr>
          <w:p>
            <w:pPr>
              <w:pStyle w:val="nTable"/>
              <w:spacing w:after="40"/>
            </w:pPr>
            <w:r>
              <w:t>19 of 1997</w:t>
            </w:r>
          </w:p>
        </w:tc>
        <w:tc>
          <w:tcPr>
            <w:tcW w:w="1136"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7" w:type="dxa"/>
          </w:tcPr>
          <w:p>
            <w:pPr>
              <w:pStyle w:val="nTable"/>
              <w:spacing w:after="40"/>
              <w:ind w:right="113"/>
            </w:pPr>
            <w:r>
              <w:rPr>
                <w:i/>
              </w:rPr>
              <w:t xml:space="preserve">Weapons Act 1999 </w:t>
            </w:r>
            <w:r>
              <w:t>s. 21</w:t>
            </w:r>
          </w:p>
        </w:tc>
        <w:tc>
          <w:tcPr>
            <w:tcW w:w="1134" w:type="dxa"/>
          </w:tcPr>
          <w:p>
            <w:pPr>
              <w:pStyle w:val="nTable"/>
              <w:spacing w:after="40"/>
            </w:pPr>
            <w:r>
              <w:t>18 of 1999</w:t>
            </w:r>
          </w:p>
        </w:tc>
        <w:tc>
          <w:tcPr>
            <w:tcW w:w="1136" w:type="dxa"/>
          </w:tcPr>
          <w:p>
            <w:pPr>
              <w:pStyle w:val="nTable"/>
              <w:spacing w:after="40"/>
            </w:pPr>
            <w:r>
              <w:t>16 Jun 1999</w:t>
            </w:r>
          </w:p>
        </w:tc>
        <w:tc>
          <w:tcPr>
            <w:tcW w:w="2551" w:type="dxa"/>
          </w:tcPr>
          <w:p>
            <w:pPr>
              <w:pStyle w:val="nTable"/>
              <w:spacing w:after="40"/>
            </w:pPr>
            <w:r>
              <w:t xml:space="preserve">1 Sep 1999 (see s. 2(1) and </w:t>
            </w:r>
            <w:r>
              <w:rPr>
                <w:i/>
              </w:rPr>
              <w:t>Gazette</w:t>
            </w:r>
            <w:r>
              <w:t xml:space="preserve"> 31 Aug 1999 p. 4235)</w:t>
            </w:r>
          </w:p>
        </w:tc>
      </w:tr>
      <w:tr>
        <w:trPr>
          <w:cantSplit/>
        </w:trPr>
        <w:tc>
          <w:tcPr>
            <w:tcW w:w="7087" w:type="dxa"/>
            <w:gridSpan w:val="4"/>
          </w:tcPr>
          <w:p>
            <w:pPr>
              <w:pStyle w:val="nTable"/>
              <w:spacing w:after="40"/>
            </w:pPr>
            <w:r>
              <w:rPr>
                <w:b/>
                <w:bCs/>
              </w:rPr>
              <w:t xml:space="preserve">Reprint of the </w:t>
            </w:r>
            <w:r>
              <w:rPr>
                <w:b/>
                <w:bCs/>
                <w:i/>
              </w:rPr>
              <w:t xml:space="preserve">Firearms Act 1973 </w:t>
            </w:r>
            <w:r>
              <w:rPr>
                <w:b/>
                <w:bCs/>
                <w:iCs/>
              </w:rPr>
              <w:t>as at 11 Aug 2000</w:t>
            </w:r>
            <w:r>
              <w:rPr>
                <w:iCs/>
              </w:rPr>
              <w:t xml:space="preserve"> (includes amendments listed above)</w:t>
            </w:r>
          </w:p>
        </w:tc>
      </w:tr>
      <w:tr>
        <w:trPr>
          <w:cantSplit/>
        </w:trPr>
        <w:tc>
          <w:tcPr>
            <w:tcW w:w="2267"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6"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7" w:type="dxa"/>
          </w:tcPr>
          <w:p>
            <w:pPr>
              <w:pStyle w:val="nTable"/>
              <w:spacing w:after="40"/>
              <w:ind w:right="113"/>
            </w:pPr>
            <w:r>
              <w:rPr>
                <w:i/>
              </w:rPr>
              <w:t>Acts Amendment (Equality of Status) Act 2003</w:t>
            </w:r>
            <w:r>
              <w:t xml:space="preserve"> Pt. 21</w:t>
            </w:r>
          </w:p>
        </w:tc>
        <w:tc>
          <w:tcPr>
            <w:tcW w:w="1134" w:type="dxa"/>
          </w:tcPr>
          <w:p>
            <w:pPr>
              <w:pStyle w:val="nTable"/>
              <w:spacing w:after="40"/>
            </w:pPr>
            <w:r>
              <w:t>28 of 2003</w:t>
            </w:r>
          </w:p>
        </w:tc>
        <w:tc>
          <w:tcPr>
            <w:tcW w:w="1136"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7" w:type="dxa"/>
          </w:tcPr>
          <w:p>
            <w:pPr>
              <w:pStyle w:val="nTable"/>
              <w:spacing w:after="40"/>
              <w:ind w:right="113"/>
              <w:rPr>
                <w:i/>
              </w:rPr>
            </w:pPr>
            <w:r>
              <w:rPr>
                <w:i/>
              </w:rPr>
              <w:t xml:space="preserve">Sentencing Legislation Amendment and Repeal Act 2003 </w:t>
            </w:r>
            <w:r>
              <w:t>s. 62</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7" w:type="dxa"/>
          </w:tcPr>
          <w:p>
            <w:pPr>
              <w:pStyle w:val="nTable"/>
              <w:spacing w:after="40"/>
              <w:ind w:right="113"/>
              <w:rPr>
                <w:i/>
              </w:rPr>
            </w:pPr>
            <w:r>
              <w:rPr>
                <w:i/>
              </w:rPr>
              <w:t xml:space="preserve">Criminal Code Amendment Act 2004 </w:t>
            </w:r>
            <w: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7"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5</w:t>
            </w:r>
          </w:p>
        </w:tc>
        <w:tc>
          <w:tcPr>
            <w:tcW w:w="1134" w:type="dxa"/>
          </w:tcPr>
          <w:p>
            <w:pPr>
              <w:pStyle w:val="nTable"/>
              <w:spacing w:after="40"/>
            </w:pPr>
            <w:r>
              <w:rPr>
                <w:snapToGrid w:val="0"/>
              </w:rPr>
              <w:t>59 of 2004 (as amended by No. 2 of 2008 s. 77(13))</w:t>
            </w:r>
          </w:p>
        </w:tc>
        <w:tc>
          <w:tcPr>
            <w:tcW w:w="1136"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2267" w:type="dxa"/>
          </w:tcPr>
          <w:p>
            <w:pPr>
              <w:pStyle w:val="nTable"/>
              <w:spacing w:after="40"/>
              <w:ind w:right="113"/>
              <w:rPr>
                <w:i/>
                <w:vertAlign w:val="superscript"/>
              </w:rPr>
            </w:pPr>
            <w:r>
              <w:rPr>
                <w:rFonts w:ascii="Times" w:hAnsi="Times"/>
                <w:i/>
              </w:rPr>
              <w:t>State Administrative Tribunal (Conferral of Jurisdiction) Amendment and Repeal Act 2004</w:t>
            </w:r>
            <w:r>
              <w:rPr>
                <w:rFonts w:ascii="Times" w:hAnsi="Times"/>
              </w:rPr>
              <w:t xml:space="preserve"> Pt. 2 Div. 49</w:t>
            </w:r>
            <w:r>
              <w:rPr>
                <w:rFonts w:ascii="Times" w:hAnsi="Times"/>
                <w:vertAlign w:val="superscript"/>
              </w:rPr>
              <w:t> </w:t>
            </w:r>
            <w:r>
              <w:rPr>
                <w:vertAlign w:val="superscript"/>
              </w:rPr>
              <w:t>6, 7</w:t>
            </w:r>
          </w:p>
        </w:tc>
        <w:tc>
          <w:tcPr>
            <w:tcW w:w="1134" w:type="dxa"/>
          </w:tcPr>
          <w:p>
            <w:pPr>
              <w:pStyle w:val="nTable"/>
              <w:spacing w:after="40"/>
            </w:pPr>
            <w:r>
              <w:rPr>
                <w:rFonts w:ascii="Times" w:hAnsi="Times"/>
              </w:rPr>
              <w:t>55 of 2004</w:t>
            </w:r>
          </w:p>
        </w:tc>
        <w:tc>
          <w:tcPr>
            <w:tcW w:w="1136"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7" w:type="dxa"/>
          </w:tcPr>
          <w:p>
            <w:pPr>
              <w:pStyle w:val="nTable"/>
              <w:spacing w:after="40"/>
              <w:ind w:right="113"/>
            </w:pPr>
            <w:r>
              <w:rPr>
                <w:i/>
              </w:rPr>
              <w:t>Firearms Amendment Act 2004</w:t>
            </w:r>
            <w:r>
              <w:rPr>
                <w:vertAlign w:val="superscript"/>
              </w:rPr>
              <w:t> 8, 9</w:t>
            </w:r>
          </w:p>
        </w:tc>
        <w:tc>
          <w:tcPr>
            <w:tcW w:w="1134" w:type="dxa"/>
          </w:tcPr>
          <w:p>
            <w:pPr>
              <w:pStyle w:val="nTable"/>
              <w:spacing w:after="40"/>
            </w:pPr>
            <w:r>
              <w:t>69 of 2004 (as amended by No. 8 of 2009 s. 59)</w:t>
            </w:r>
          </w:p>
        </w:tc>
        <w:tc>
          <w:tcPr>
            <w:tcW w:w="1136" w:type="dxa"/>
          </w:tcPr>
          <w:p>
            <w:pPr>
              <w:pStyle w:val="nTable"/>
              <w:spacing w:after="40"/>
            </w:pPr>
            <w:r>
              <w:t>8 Dec 2004</w:t>
            </w:r>
          </w:p>
        </w:tc>
        <w:tc>
          <w:tcPr>
            <w:tcW w:w="2551" w:type="dxa"/>
          </w:tcPr>
          <w:p>
            <w:pPr>
              <w:pStyle w:val="nTable"/>
              <w:spacing w:after="40"/>
            </w:pPr>
            <w:r>
              <w:t>s. </w:t>
            </w:r>
            <w:ins w:id="239" w:author="svcMRProcess" w:date="2015-12-17T10:29:00Z">
              <w:r>
                <w:t xml:space="preserve">1, 2, </w:t>
              </w:r>
            </w:ins>
            <w:r>
              <w:t>13 and 21: 8 Dec 2004 (see</w:t>
            </w:r>
            <w:del w:id="240" w:author="svcMRProcess" w:date="2015-12-17T10:29:00Z">
              <w:r>
                <w:delText xml:space="preserve"> </w:delText>
              </w:r>
            </w:del>
            <w:ins w:id="241" w:author="svcMRProcess" w:date="2015-12-17T10:29:00Z">
              <w:r>
                <w:t> </w:t>
              </w:r>
            </w:ins>
            <w:r>
              <w:t>s. 2(3));</w:t>
            </w:r>
            <w:r>
              <w:br/>
            </w:r>
            <w:r>
              <w:rPr>
                <w:spacing w:val="-2"/>
              </w:rPr>
              <w:t>Act other than s. </w:t>
            </w:r>
            <w:ins w:id="242" w:author="svcMRProcess" w:date="2015-12-17T10:29:00Z">
              <w:r>
                <w:rPr>
                  <w:spacing w:val="-2"/>
                </w:rPr>
                <w:t xml:space="preserve">1, 2, </w:t>
              </w:r>
            </w:ins>
            <w:r>
              <w:rPr>
                <w:spacing w:val="-2"/>
              </w:rPr>
              <w:t>13, 17, 21, 22(4)(a) and 26: 1 Jan 2005 (see</w:t>
            </w:r>
            <w:del w:id="243" w:author="svcMRProcess" w:date="2015-12-17T10:29:00Z">
              <w:r>
                <w:rPr>
                  <w:spacing w:val="-2"/>
                </w:rPr>
                <w:delText xml:space="preserve"> </w:delText>
              </w:r>
            </w:del>
            <w:ins w:id="244" w:author="svcMRProcess" w:date="2015-12-17T10:29:00Z">
              <w:r>
                <w:rPr>
                  <w:spacing w:val="-2"/>
                </w:rPr>
                <w:t> </w:t>
              </w:r>
            </w:ins>
            <w:r>
              <w:rPr>
                <w:spacing w:val="-2"/>
              </w:rPr>
              <w:t xml:space="preserve">s. 2 and </w:t>
            </w:r>
            <w:r>
              <w:rPr>
                <w:i/>
                <w:spacing w:val="-2"/>
              </w:rPr>
              <w:t>Gazette</w:t>
            </w:r>
            <w:r>
              <w:rPr>
                <w:spacing w:val="-2"/>
              </w:rPr>
              <w:t xml:space="preserve"> 24 Dec 2004 p. 6265);</w:t>
            </w:r>
            <w:r>
              <w:rPr>
                <w:spacing w:val="-2"/>
              </w:rPr>
              <w:br/>
              <w:t xml:space="preserve">s. 17: 1 Feb 2005 (see s. 2 and </w:t>
            </w:r>
            <w:r>
              <w:rPr>
                <w:i/>
                <w:spacing w:val="-2"/>
              </w:rPr>
              <w:t xml:space="preserve">Gazette </w:t>
            </w:r>
            <w:r>
              <w:rPr>
                <w:spacing w:val="-2"/>
              </w:rPr>
              <w:t>24 Dec 2004 p. 6265);</w:t>
            </w:r>
            <w:r>
              <w:rPr>
                <w:spacing w:val="-2"/>
              </w:rPr>
              <w:br/>
              <w:t>s. 22(4)(a) and 26 deleted by No. 8 of 2009 s. 59</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6"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bCs/>
                <w:snapToGrid w:val="0"/>
              </w:rPr>
              <w:t xml:space="preserve">Reprint 4: The </w:t>
            </w:r>
            <w:r>
              <w:rPr>
                <w:b/>
                <w:bCs/>
                <w:i/>
                <w:iCs/>
                <w:snapToGrid w:val="0"/>
              </w:rPr>
              <w:t>Firearms Act 1973</w:t>
            </w:r>
            <w:r>
              <w:rPr>
                <w:b/>
                <w:bCs/>
                <w:snapToGrid w:val="0"/>
              </w:rPr>
              <w:t xml:space="preserve"> as at 1 Jul 2005</w:t>
            </w:r>
            <w:r>
              <w:rPr>
                <w:snapToGrid w:val="0"/>
              </w:rPr>
              <w:t xml:space="preserve"> (includes amendments listed above)</w:t>
            </w:r>
          </w:p>
        </w:tc>
      </w:tr>
      <w:tr>
        <w:trPr>
          <w:cantSplit/>
        </w:trPr>
        <w:tc>
          <w:tcPr>
            <w:tcW w:w="2267" w:type="dxa"/>
          </w:tcPr>
          <w:p>
            <w:pPr>
              <w:pStyle w:val="nTable"/>
              <w:spacing w:after="40"/>
              <w:rPr>
                <w:snapToGrid w:val="0"/>
              </w:rPr>
            </w:pPr>
            <w:r>
              <w:rPr>
                <w:i/>
                <w:noProof/>
                <w:snapToGrid w:val="0"/>
              </w:rPr>
              <w:t>Psychologists Act 2005</w:t>
            </w:r>
            <w:r>
              <w:rPr>
                <w:iCs/>
                <w:noProof/>
                <w:snapToGrid w:val="0"/>
              </w:rPr>
              <w:t xml:space="preserve"> </w:t>
            </w:r>
            <w:del w:id="245" w:author="svcMRProcess" w:date="2015-12-17T10:29:00Z">
              <w:r>
                <w:rPr>
                  <w:iCs/>
                  <w:noProof/>
                  <w:snapToGrid w:val="0"/>
                </w:rPr>
                <w:delText>s. 108</w:delText>
              </w:r>
            </w:del>
            <w:ins w:id="246" w:author="svcMRProcess" w:date="2015-12-17T10:29:00Z">
              <w:r>
                <w:rPr>
                  <w:iCs/>
                  <w:noProof/>
                  <w:snapToGrid w:val="0"/>
                </w:rPr>
                <w:t>Sch. 3 cl. 4</w:t>
              </w:r>
            </w:ins>
          </w:p>
        </w:tc>
        <w:tc>
          <w:tcPr>
            <w:tcW w:w="1134" w:type="dxa"/>
          </w:tcPr>
          <w:p>
            <w:pPr>
              <w:pStyle w:val="nTable"/>
              <w:spacing w:after="40"/>
              <w:rPr>
                <w:snapToGrid w:val="0"/>
              </w:rPr>
            </w:pPr>
            <w:r>
              <w:rPr>
                <w:snapToGrid w:val="0"/>
              </w:rPr>
              <w:t>28 of 2005</w:t>
            </w:r>
          </w:p>
        </w:tc>
        <w:tc>
          <w:tcPr>
            <w:tcW w:w="1136" w:type="dxa"/>
          </w:tcPr>
          <w:p>
            <w:pPr>
              <w:pStyle w:val="nTable"/>
              <w:spacing w:after="40"/>
              <w:rPr>
                <w:snapToGrid w:val="0"/>
              </w:rPr>
            </w:pPr>
            <w:r>
              <w:rPr>
                <w:snapToGrid w:val="0"/>
              </w:rPr>
              <w:t>12 Dec 2005</w:t>
            </w:r>
          </w:p>
        </w:tc>
        <w:tc>
          <w:tcPr>
            <w:tcW w:w="2551" w:type="dxa"/>
          </w:tcPr>
          <w:p>
            <w:pPr>
              <w:pStyle w:val="nTable"/>
              <w:spacing w:after="40"/>
              <w:rPr>
                <w:snapToGrid w:val="0"/>
              </w:rPr>
            </w:pPr>
            <w:r>
              <w:rPr>
                <w:snapToGrid w:val="0"/>
              </w:rPr>
              <w:t xml:space="preserve">4 May 2007 (see s. 2 and </w:t>
            </w:r>
            <w:r>
              <w:rPr>
                <w:i/>
                <w:iCs/>
                <w:snapToGrid w:val="0"/>
              </w:rPr>
              <w:t>Gazette</w:t>
            </w:r>
            <w:r>
              <w:rPr>
                <w:snapToGrid w:val="0"/>
              </w:rPr>
              <w:t xml:space="preserve"> 4 May 2007 p. 1963)</w:t>
            </w:r>
          </w:p>
        </w:tc>
      </w:tr>
      <w:tr>
        <w:trPr>
          <w:cantSplit/>
        </w:trPr>
        <w:tc>
          <w:tcPr>
            <w:tcW w:w="2267" w:type="dxa"/>
          </w:tcPr>
          <w:p>
            <w:pPr>
              <w:pStyle w:val="nTable"/>
              <w:spacing w:after="40"/>
              <w:rPr>
                <w:i/>
                <w:noProof/>
                <w:snapToGrid w:val="0"/>
              </w:rPr>
            </w:pPr>
            <w:r>
              <w:rPr>
                <w:i/>
                <w:noProof/>
                <w:snapToGrid w:val="0"/>
              </w:rPr>
              <w:t>Nurses and Midwives Act 2006</w:t>
            </w:r>
            <w:r>
              <w:rPr>
                <w:noProof/>
                <w:snapToGrid w:val="0"/>
              </w:rPr>
              <w:t xml:space="preserve"> </w:t>
            </w:r>
            <w:del w:id="247" w:author="svcMRProcess" w:date="2015-12-17T10:29:00Z">
              <w:r>
                <w:rPr>
                  <w:noProof/>
                  <w:snapToGrid w:val="0"/>
                </w:rPr>
                <w:delText>s. 114</w:delText>
              </w:r>
            </w:del>
            <w:ins w:id="248" w:author="svcMRProcess" w:date="2015-12-17T10:29:00Z">
              <w:r>
                <w:rPr>
                  <w:noProof/>
                  <w:snapToGrid w:val="0"/>
                </w:rPr>
                <w:t>Sch. 3 cl. 8</w:t>
              </w:r>
            </w:ins>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7" w:type="dxa"/>
          </w:tcPr>
          <w:p>
            <w:pPr>
              <w:pStyle w:val="nTable"/>
              <w:spacing w:after="40"/>
              <w:rPr>
                <w:i/>
                <w:noProof/>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6"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7" w:type="dxa"/>
          </w:tcPr>
          <w:p>
            <w:pPr>
              <w:pStyle w:val="nTable"/>
              <w:spacing w:after="40"/>
              <w:ind w:right="113"/>
              <w:rPr>
                <w:i/>
                <w:snapToGrid w:val="0"/>
              </w:rPr>
            </w:pPr>
            <w:r>
              <w:rPr>
                <w:i/>
                <w:snapToGrid w:val="0"/>
              </w:rPr>
              <w:t xml:space="preserve">Financial Legislation Amendment and Repeal Act 2006 </w:t>
            </w:r>
            <w:r>
              <w:rPr>
                <w:iCs/>
                <w:snapToGrid w:val="0"/>
              </w:rPr>
              <w:t xml:space="preserve">s. 4 and </w:t>
            </w:r>
            <w:del w:id="249" w:author="svcMRProcess" w:date="2015-12-17T10:29:00Z">
              <w:r>
                <w:rPr>
                  <w:iCs/>
                  <w:snapToGrid w:val="0"/>
                </w:rPr>
                <w:delText>17</w:delText>
              </w:r>
            </w:del>
            <w:ins w:id="250" w:author="svcMRProcess" w:date="2015-12-17T10:29:00Z">
              <w:r>
                <w:rPr>
                  <w:iCs/>
                  <w:snapToGrid w:val="0"/>
                </w:rPr>
                <w:t>Sch. 1 cl. 66</w:t>
              </w:r>
            </w:ins>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PrEx>
        <w:tc>
          <w:tcPr>
            <w:tcW w:w="2267" w:type="dxa"/>
            <w:tcBorders>
              <w:top w:val="nil"/>
              <w:bottom w:val="nil"/>
              <w:right w:val="nil"/>
            </w:tcBorders>
          </w:tcPr>
          <w:p>
            <w:pPr>
              <w:pStyle w:val="nTable"/>
              <w:spacing w:after="40"/>
              <w:rPr>
                <w:snapToGrid w:val="0"/>
              </w:rPr>
            </w:pPr>
            <w:r>
              <w:rPr>
                <w:i/>
                <w:snapToGrid w:val="0"/>
              </w:rPr>
              <w:t xml:space="preserve">Biosecurity and Agriculture Management (Repeal and Consequential Provisions) Act 2007 </w:t>
            </w:r>
            <w:r>
              <w:rPr>
                <w:snapToGrid w:val="0"/>
              </w:rPr>
              <w:t>s. 30A</w:t>
            </w:r>
            <w:ins w:id="251" w:author="svcMRProcess" w:date="2015-12-17T10:29:00Z">
              <w:r>
                <w:rPr>
                  <w:snapToGrid w:val="0"/>
                  <w:vertAlign w:val="superscript"/>
                </w:rPr>
                <w:t> 10</w:t>
              </w:r>
            </w:ins>
          </w:p>
        </w:tc>
        <w:tc>
          <w:tcPr>
            <w:tcW w:w="1134" w:type="dxa"/>
            <w:tcBorders>
              <w:top w:val="nil"/>
              <w:left w:val="nil"/>
              <w:bottom w:val="nil"/>
              <w:right w:val="nil"/>
            </w:tcBorders>
          </w:tcPr>
          <w:p>
            <w:pPr>
              <w:pStyle w:val="nTable"/>
              <w:spacing w:after="40"/>
              <w:rPr>
                <w:snapToGrid w:val="0"/>
              </w:rPr>
            </w:pPr>
            <w:r>
              <w:rPr>
                <w:snapToGrid w:val="0"/>
              </w:rPr>
              <w:t>24 of 2007 (as amended by No. 46 of 2010 s. 59)</w:t>
            </w:r>
          </w:p>
        </w:tc>
        <w:tc>
          <w:tcPr>
            <w:tcW w:w="1136" w:type="dxa"/>
            <w:tcBorders>
              <w:top w:val="nil"/>
              <w:left w:val="nil"/>
              <w:bottom w:val="nil"/>
              <w:right w:val="nil"/>
            </w:tcBorders>
          </w:tcPr>
          <w:p>
            <w:pPr>
              <w:pStyle w:val="nTable"/>
              <w:spacing w:after="40"/>
              <w:rPr>
                <w:snapToGrid w:val="0"/>
              </w:rPr>
            </w:pPr>
            <w:r>
              <w:rPr>
                <w:snapToGrid w:val="0"/>
              </w:rPr>
              <w:t>12 Oct 2007</w:t>
            </w:r>
          </w:p>
        </w:tc>
        <w:tc>
          <w:tcPr>
            <w:tcW w:w="2551" w:type="dxa"/>
            <w:tcBorders>
              <w:top w:val="nil"/>
              <w:left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rPr>
          <w:cantSplit/>
        </w:trPr>
        <w:tc>
          <w:tcPr>
            <w:tcW w:w="2267" w:type="dxa"/>
          </w:tcPr>
          <w:p>
            <w:pPr>
              <w:pStyle w:val="nTable"/>
              <w:spacing w:after="40"/>
              <w:ind w:right="113"/>
              <w:rPr>
                <w:i/>
                <w:snapToGrid w:val="0"/>
              </w:rPr>
            </w:pPr>
            <w:r>
              <w:rPr>
                <w:i/>
                <w:snapToGrid w:val="0"/>
              </w:rPr>
              <w:t>Security and Related Activities (Control) Amendment Act 2008</w:t>
            </w:r>
            <w:r>
              <w:rPr>
                <w:iCs/>
                <w:snapToGrid w:val="0"/>
              </w:rPr>
              <w:t xml:space="preserve"> s. 81</w:t>
            </w:r>
          </w:p>
        </w:tc>
        <w:tc>
          <w:tcPr>
            <w:tcW w:w="1134" w:type="dxa"/>
          </w:tcPr>
          <w:p>
            <w:pPr>
              <w:pStyle w:val="nTable"/>
              <w:spacing w:after="40"/>
              <w:rPr>
                <w:snapToGrid w:val="0"/>
              </w:rPr>
            </w:pPr>
            <w:r>
              <w:t>4 of 2008</w:t>
            </w:r>
          </w:p>
        </w:tc>
        <w:tc>
          <w:tcPr>
            <w:tcW w:w="1136" w:type="dxa"/>
          </w:tcPr>
          <w:p>
            <w:pPr>
              <w:pStyle w:val="nTable"/>
              <w:spacing w:after="40"/>
              <w:rPr>
                <w:snapToGrid w:val="0"/>
              </w:rPr>
            </w:pPr>
            <w:r>
              <w:t>2 Apr 2008</w:t>
            </w:r>
          </w:p>
        </w:tc>
        <w:tc>
          <w:tcPr>
            <w:tcW w:w="2551" w:type="dxa"/>
          </w:tcPr>
          <w:p>
            <w:pPr>
              <w:pStyle w:val="nTable"/>
              <w:spacing w:after="40"/>
              <w:rPr>
                <w:snapToGrid w:val="0"/>
              </w:rPr>
            </w:pPr>
            <w:r>
              <w:rPr>
                <w:snapToGrid w:val="0"/>
              </w:rPr>
              <w:t xml:space="preserve">13 Dec 2009 (see s. 2(b) and </w:t>
            </w:r>
            <w:r>
              <w:rPr>
                <w:i/>
                <w:iCs/>
                <w:snapToGrid w:val="0"/>
              </w:rPr>
              <w:t>Gazette</w:t>
            </w:r>
            <w:r>
              <w:rPr>
                <w:snapToGrid w:val="0"/>
              </w:rPr>
              <w:t xml:space="preserve"> 4 Dec 2009 p. 4919)</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pPr>
            <w:r>
              <w:rPr>
                <w:i/>
                <w:snapToGrid w:val="0"/>
              </w:rPr>
              <w:t>Medical Practitioners Act 2008</w:t>
            </w:r>
            <w:r>
              <w:t xml:space="preserve"> </w:t>
            </w:r>
            <w:del w:id="252" w:author="svcMRProcess" w:date="2015-12-17T10:29:00Z">
              <w:r>
                <w:delText>s. 162</w:delText>
              </w:r>
            </w:del>
            <w:ins w:id="253" w:author="svcMRProcess" w:date="2015-12-17T10:29:00Z">
              <w:r>
                <w:t>Sch. 3 cl. 20</w:t>
              </w:r>
            </w:ins>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snapToGrid w:val="0"/>
              </w:rPr>
            </w:pPr>
            <w:r>
              <w:rPr>
                <w:b/>
                <w:bCs/>
                <w:snapToGrid w:val="0"/>
              </w:rPr>
              <w:t xml:space="preserve">Reprint 5: The </w:t>
            </w:r>
            <w:r>
              <w:rPr>
                <w:b/>
                <w:bCs/>
                <w:i/>
                <w:iCs/>
                <w:snapToGrid w:val="0"/>
              </w:rPr>
              <w:t>Firearms Act 1973</w:t>
            </w:r>
            <w:r>
              <w:rPr>
                <w:b/>
                <w:bCs/>
                <w:snapToGrid w:val="0"/>
              </w:rPr>
              <w:t xml:space="preserve"> as at 9 Jan 2009</w:t>
            </w:r>
            <w:r>
              <w:rPr>
                <w:snapToGrid w:val="0"/>
              </w:rPr>
              <w:t xml:space="preserve"> (includes amendments listed above except those in the </w:t>
            </w:r>
            <w:r>
              <w:rPr>
                <w:i/>
                <w:snapToGrid w:val="0"/>
              </w:rPr>
              <w:t>Biosecurity and Agriculture Management (Repeal and Consequential Provisions) Act 2007</w:t>
            </w:r>
            <w:r>
              <w:rPr>
                <w:snapToGrid w:val="0"/>
              </w:rPr>
              <w:t xml:space="preserve"> </w:t>
            </w:r>
            <w:del w:id="254" w:author="svcMRProcess" w:date="2015-12-17T10:29:00Z">
              <w:r>
                <w:rPr>
                  <w:snapToGrid w:val="0"/>
                </w:rPr>
                <w:delText xml:space="preserve">s. 30A </w:delText>
              </w:r>
            </w:del>
            <w:r>
              <w:rPr>
                <w:snapToGrid w:val="0"/>
              </w:rPr>
              <w:t>and</w:t>
            </w:r>
            <w:r>
              <w:rPr>
                <w:i/>
                <w:snapToGrid w:val="0"/>
              </w:rPr>
              <w:t xml:space="preserve"> </w:t>
            </w:r>
            <w:r>
              <w:rPr>
                <w:snapToGrid w:val="0"/>
              </w:rPr>
              <w:t xml:space="preserve">the </w:t>
            </w:r>
            <w:r>
              <w:rPr>
                <w:i/>
                <w:iCs/>
                <w:snapToGrid w:val="0"/>
              </w:rPr>
              <w:t>Security and Related Activities (Control) Amendment Act 2008</w:t>
            </w:r>
            <w:del w:id="255" w:author="svcMRProcess" w:date="2015-12-17T10:29:00Z">
              <w:r>
                <w:delText xml:space="preserve"> s. 81</w:delText>
              </w:r>
            </w:del>
            <w:r>
              <w:rPr>
                <w:snapToGrid w:val="0"/>
              </w:rPr>
              <w:t>)</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iCs/>
              </w:rPr>
            </w:pPr>
            <w:r>
              <w:rPr>
                <w:i/>
                <w:snapToGrid w:val="0"/>
              </w:rPr>
              <w:t>Statutes (Repeals and Miscellaneous Amendments) Act 2009</w:t>
            </w:r>
            <w:r>
              <w:rPr>
                <w:iCs/>
                <w:snapToGrid w:val="0"/>
              </w:rPr>
              <w:t xml:space="preserve"> s. 58</w:t>
            </w:r>
          </w:p>
        </w:tc>
        <w:tc>
          <w:tcPr>
            <w:tcW w:w="1134" w:type="dxa"/>
            <w:tcBorders>
              <w:top w:val="nil"/>
              <w:bottom w:val="nil"/>
            </w:tcBorders>
          </w:tcPr>
          <w:p>
            <w:pPr>
              <w:pStyle w:val="nTable"/>
              <w:spacing w:after="40"/>
            </w:pPr>
            <w:r>
              <w:t>8 of 2009</w:t>
            </w:r>
          </w:p>
        </w:tc>
        <w:tc>
          <w:tcPr>
            <w:tcW w:w="1136" w:type="dxa"/>
            <w:tcBorders>
              <w:top w:val="nil"/>
              <w:bottom w:val="nil"/>
            </w:tcBorders>
          </w:tcPr>
          <w:p>
            <w:pPr>
              <w:pStyle w:val="nTable"/>
              <w:spacing w:after="40"/>
            </w:pPr>
            <w:r>
              <w:t>21 May 2009</w:t>
            </w:r>
          </w:p>
        </w:tc>
        <w:tc>
          <w:tcPr>
            <w:tcW w:w="2551" w:type="dxa"/>
            <w:tcBorders>
              <w:top w:val="nil"/>
              <w:bottom w:val="nil"/>
            </w:tcBorders>
          </w:tcPr>
          <w:p>
            <w:pPr>
              <w:pStyle w:val="nTable"/>
              <w:spacing w:after="40"/>
              <w:rPr>
                <w:snapToGrid w:val="0"/>
              </w:rPr>
            </w:pPr>
            <w:r>
              <w:rPr>
                <w:snapToGrid w:val="0"/>
              </w:rPr>
              <w:t>22 May 2009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20</w:t>
            </w:r>
          </w:p>
        </w:tc>
        <w:tc>
          <w:tcPr>
            <w:tcW w:w="1134" w:type="dxa"/>
            <w:tcBorders>
              <w:top w:val="nil"/>
              <w:bottom w:val="nil"/>
            </w:tcBorders>
          </w:tcPr>
          <w:p>
            <w:pPr>
              <w:pStyle w:val="nTable"/>
              <w:spacing w:after="40"/>
            </w:pPr>
            <w:r>
              <w:rPr>
                <w:snapToGrid w:val="0"/>
              </w:rPr>
              <w:t>35 of 2010</w:t>
            </w:r>
          </w:p>
        </w:tc>
        <w:tc>
          <w:tcPr>
            <w:tcW w:w="1136" w:type="dxa"/>
            <w:tcBorders>
              <w:top w:val="nil"/>
              <w:bottom w:val="nil"/>
            </w:tcBorders>
          </w:tcPr>
          <w:p>
            <w:pPr>
              <w:pStyle w:val="nTable"/>
              <w:spacing w:after="40"/>
            </w:pPr>
            <w:r>
              <w:rPr>
                <w:snapToGrid w:val="0"/>
              </w:rPr>
              <w:t>30 Aug 2010</w:t>
            </w:r>
          </w:p>
        </w:tc>
        <w:tc>
          <w:tcPr>
            <w:tcW w:w="2551"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PrEx>
        <w:tc>
          <w:tcPr>
            <w:tcW w:w="2267"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69 </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6" w:type="dxa"/>
            <w:tcBorders>
              <w:top w:val="nil"/>
              <w:bottom w:val="nil"/>
            </w:tcBorders>
            <w:shd w:val="clear" w:color="auto" w:fill="auto"/>
          </w:tcPr>
          <w:p>
            <w:pPr>
              <w:pStyle w:val="nTable"/>
              <w:spacing w:after="40"/>
              <w:rPr>
                <w:snapToGrid w:val="0"/>
              </w:rPr>
            </w:pPr>
            <w:r>
              <w:rPr>
                <w:snapToGrid w:val="0"/>
              </w:rPr>
              <w:t>28 Oct 2010</w:t>
            </w:r>
          </w:p>
        </w:tc>
        <w:tc>
          <w:tcPr>
            <w:tcW w:w="2551"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blPrEx>
          <w:tblBorders>
            <w:top w:val="single" w:sz="8" w:space="0" w:color="auto"/>
            <w:bottom w:val="single" w:sz="8" w:space="0" w:color="auto"/>
            <w:insideH w:val="single" w:sz="8" w:space="0" w:color="auto"/>
          </w:tblBorders>
        </w:tblPrEx>
        <w:trPr>
          <w:ins w:id="256" w:author="svcMRProcess" w:date="2015-12-17T10:29:00Z"/>
        </w:trPr>
        <w:tc>
          <w:tcPr>
            <w:tcW w:w="7087" w:type="dxa"/>
            <w:gridSpan w:val="4"/>
            <w:tcBorders>
              <w:top w:val="nil"/>
              <w:bottom w:val="single" w:sz="8" w:space="0" w:color="auto"/>
            </w:tcBorders>
            <w:shd w:val="clear" w:color="auto" w:fill="auto"/>
          </w:tcPr>
          <w:p>
            <w:pPr>
              <w:pStyle w:val="nTable"/>
              <w:spacing w:after="40"/>
              <w:rPr>
                <w:ins w:id="257" w:author="svcMRProcess" w:date="2015-12-17T10:29:00Z"/>
                <w:snapToGrid w:val="0"/>
              </w:rPr>
            </w:pPr>
            <w:ins w:id="258" w:author="svcMRProcess" w:date="2015-12-17T10:29:00Z">
              <w:r>
                <w:rPr>
                  <w:b/>
                  <w:snapToGrid w:val="0"/>
                </w:rPr>
                <w:t xml:space="preserve">Reprint 6: The </w:t>
              </w:r>
              <w:r>
                <w:rPr>
                  <w:b/>
                  <w:i/>
                  <w:noProof/>
                  <w:snapToGrid w:val="0"/>
                </w:rPr>
                <w:t>Firearms Act 1973</w:t>
              </w:r>
              <w:r>
                <w:rPr>
                  <w:b/>
                  <w:snapToGrid w:val="0"/>
                </w:rPr>
                <w:t xml:space="preserve"> as at 13 Feb 2015</w:t>
              </w:r>
              <w:r>
                <w:rPr>
                  <w:snapToGrid w:val="0"/>
                </w:rPr>
                <w:t xml:space="preserve"> (includes amendments listed above)</w:t>
              </w:r>
            </w:ins>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rPr>
          <w:snapToGrid w:val="0"/>
        </w:rPr>
      </w:pPr>
      <w:r>
        <w:rPr>
          <w:snapToGrid w:val="0"/>
          <w:vertAlign w:val="superscript"/>
        </w:rPr>
        <w:t>5</w:t>
      </w:r>
      <w:r>
        <w:rPr>
          <w:snapToGrid w:val="0"/>
        </w:rPr>
        <w:tab/>
        <w:t xml:space="preserve">The </w:t>
      </w:r>
      <w:r>
        <w:rPr>
          <w:i/>
          <w:snapToGrid w:val="0"/>
        </w:rPr>
        <w:t>Courts Legislation Amendment and Repeal Act 2004</w:t>
      </w:r>
      <w:r>
        <w:rPr>
          <w:snapToGrid w:val="0"/>
        </w:rPr>
        <w:t xml:space="preserve"> Sch. 2 cl. 19 was </w:t>
      </w:r>
      <w:del w:id="259" w:author="svcMRProcess" w:date="2015-12-17T10:29:00Z">
        <w:r>
          <w:rPr>
            <w:snapToGrid w:val="0"/>
          </w:rPr>
          <w:delText>repealed</w:delText>
        </w:r>
      </w:del>
      <w:ins w:id="260" w:author="svcMRProcess" w:date="2015-12-17T10:29:00Z">
        <w:r>
          <w:rPr>
            <w:snapToGrid w:val="0"/>
          </w:rPr>
          <w:t>deleted</w:t>
        </w:r>
      </w:ins>
      <w:r>
        <w:rPr>
          <w:snapToGrid w:val="0"/>
        </w:rPr>
        <w:t xml:space="preserve"> by the </w:t>
      </w:r>
      <w:r>
        <w:rPr>
          <w:i/>
          <w:iCs/>
          <w:snapToGrid w:val="0"/>
        </w:rPr>
        <w:t>Criminal Law and Evidence Amendment Act 2008</w:t>
      </w:r>
      <w:r>
        <w:rPr>
          <w:snapToGrid w:val="0"/>
        </w:rPr>
        <w:t xml:space="preserve"> s. 77(13).</w:t>
      </w:r>
    </w:p>
    <w:p>
      <w:pPr>
        <w:pStyle w:val="nSubsection"/>
      </w:pPr>
      <w:r>
        <w:rPr>
          <w:snapToGrid w:val="0"/>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7</w:t>
      </w:r>
      <w:r>
        <w:tab/>
        <w:t xml:space="preserve">The </w:t>
      </w:r>
      <w:r>
        <w:rPr>
          <w:i/>
        </w:rPr>
        <w:t>State Administrative Tribunal Regulations 2004</w:t>
      </w:r>
      <w:r>
        <w:t xml:space="preserve"> r. 31 reads as follows:</w:t>
      </w:r>
    </w:p>
    <w:p>
      <w:pPr>
        <w:pStyle w:val="BlankOpen"/>
      </w:pPr>
      <w:del w:id="261" w:author="svcMRProcess" w:date="2015-12-17T10:29:00Z">
        <w:r>
          <w:delText>“</w:delText>
        </w:r>
      </w:del>
    </w:p>
    <w:p>
      <w:pPr>
        <w:pStyle w:val="nzHeading5"/>
        <w:spacing w:before="40"/>
      </w:pPr>
      <w:r>
        <w:rPr>
          <w:rStyle w:val="CharSectno"/>
        </w:rPr>
        <w:t>31</w:t>
      </w:r>
      <w:r>
        <w:t>.</w:t>
      </w:r>
      <w:r>
        <w:tab/>
      </w:r>
      <w:r>
        <w:rPr>
          <w:i/>
        </w:rPr>
        <w:t>Firearms Act 1973</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BlankClose"/>
      </w:pPr>
      <w:del w:id="262" w:author="svcMRProcess" w:date="2015-12-17T10:29:00Z">
        <w:r>
          <w:delText>”.</w:delText>
        </w:r>
      </w:del>
    </w:p>
    <w:p>
      <w:pPr>
        <w:pStyle w:val="nSubsection"/>
      </w:pPr>
      <w:r>
        <w:rPr>
          <w:vertAlign w:val="superscript"/>
        </w:rPr>
        <w:t>8</w:t>
      </w:r>
      <w:r>
        <w:tab/>
        <w:t xml:space="preserve">The </w:t>
      </w:r>
      <w:r>
        <w:rPr>
          <w:i/>
        </w:rPr>
        <w:t>Firearms Amendment Act 2004</w:t>
      </w:r>
      <w:r>
        <w:t xml:space="preserve"> s. 15(3) reads as follows:</w:t>
      </w:r>
    </w:p>
    <w:p>
      <w:pPr>
        <w:pStyle w:val="BlankOpen"/>
      </w:pPr>
      <w:del w:id="263" w:author="svcMRProcess" w:date="2015-12-17T10:29:00Z">
        <w:r>
          <w:delText>“</w:delText>
        </w:r>
      </w:del>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BlankClose"/>
      </w:pPr>
      <w:del w:id="264" w:author="svcMRProcess" w:date="2015-12-17T10:29:00Z">
        <w:r>
          <w:delText>”.</w:delText>
        </w:r>
      </w:del>
    </w:p>
    <w:p>
      <w:pPr>
        <w:pStyle w:val="nSubsection"/>
        <w:rPr>
          <w:snapToGrid w:val="0"/>
        </w:rPr>
      </w:pPr>
      <w:r>
        <w:rPr>
          <w:snapToGrid w:val="0"/>
          <w:vertAlign w:val="superscript"/>
        </w:rPr>
        <w:t>9</w:t>
      </w:r>
      <w:r>
        <w:rPr>
          <w:snapToGrid w:val="0"/>
        </w:rPr>
        <w:tab/>
        <w:t xml:space="preserve">The </w:t>
      </w:r>
      <w:r>
        <w:rPr>
          <w:i/>
          <w:iCs/>
          <w:snapToGrid w:val="0"/>
        </w:rPr>
        <w:t>Firearms Amendment Act 2004</w:t>
      </w:r>
      <w:r>
        <w:rPr>
          <w:snapToGrid w:val="0"/>
        </w:rPr>
        <w:t xml:space="preserve"> s. 22(4)(a) and 26 had not come into operation when </w:t>
      </w:r>
      <w:del w:id="265" w:author="svcMRProcess" w:date="2015-12-17T10:29:00Z">
        <w:r>
          <w:rPr>
            <w:snapToGrid w:val="0"/>
          </w:rPr>
          <w:delText>it was</w:delText>
        </w:r>
      </w:del>
      <w:ins w:id="266" w:author="svcMRProcess" w:date="2015-12-17T10:29:00Z">
        <w:r>
          <w:rPr>
            <w:snapToGrid w:val="0"/>
          </w:rPr>
          <w:t>they were</w:t>
        </w:r>
      </w:ins>
      <w:r>
        <w:rPr>
          <w:snapToGrid w:val="0"/>
        </w:rPr>
        <w:t xml:space="preserve"> deleted by the </w:t>
      </w:r>
      <w:r>
        <w:rPr>
          <w:i/>
          <w:iCs/>
          <w:snapToGrid w:val="0"/>
        </w:rPr>
        <w:t>Statutes (Repeals and Miscellaneous Amendments) Act 2009</w:t>
      </w:r>
      <w:r>
        <w:rPr>
          <w:snapToGrid w:val="0"/>
        </w:rPr>
        <w:t xml:space="preserve"> s. 59.</w:t>
      </w:r>
    </w:p>
    <w:p>
      <w:pPr>
        <w:pStyle w:val="nSubsection"/>
      </w:pPr>
      <w:r>
        <w:rPr>
          <w:snapToGrid w:val="0"/>
          <w:vertAlign w:val="superscript"/>
        </w:rPr>
        <w:t>10</w:t>
      </w:r>
      <w:bookmarkStart w:id="267" w:name="AutoSch"/>
      <w:bookmarkEnd w:id="267"/>
      <w:r>
        <w:rPr>
          <w:snapToGrid w:val="0"/>
        </w:rPr>
        <w:tab/>
      </w:r>
      <w:del w:id="268" w:author="svcMRProcess" w:date="2015-12-17T10:29:00Z">
        <w:r>
          <w:delText>Section 37 of the</w:delText>
        </w:r>
      </w:del>
      <w:ins w:id="269" w:author="svcMRProcess" w:date="2015-12-17T10:29:00Z">
        <w:r>
          <w:rPr>
            <w:snapToGrid w:val="0"/>
          </w:rPr>
          <w:t>T</w:t>
        </w:r>
        <w:r>
          <w:t>he</w:t>
        </w:r>
      </w:ins>
      <w:r>
        <w:t xml:space="preserve"> </w:t>
      </w:r>
      <w:r>
        <w:rPr>
          <w:i/>
          <w:snapToGrid w:val="0"/>
        </w:rPr>
        <w:t>Biosecurity and Agriculture Management (Repeal and Consequential Provisions) Act 2007</w:t>
      </w:r>
      <w:ins w:id="270" w:author="svcMRProcess" w:date="2015-12-17T10:29:00Z">
        <w:r>
          <w:rPr>
            <w:iCs/>
            <w:snapToGrid w:val="0"/>
          </w:rPr>
          <w:t xml:space="preserve"> s. 37</w:t>
        </w:r>
      </w:ins>
      <w:r>
        <w:rPr>
          <w:iCs/>
          <w:snapToGrid w:val="0"/>
        </w:rPr>
        <w:t xml:space="preserve"> </w:t>
      </w:r>
      <w:r>
        <w:t xml:space="preserve">had not come into operation when it was deleted by the </w:t>
      </w:r>
      <w:r>
        <w:rPr>
          <w:i/>
          <w:iCs/>
        </w:rPr>
        <w:t>Agriculture and Related Resources Protection Amendment Act 2010</w:t>
      </w:r>
      <w:r>
        <w:t xml:space="preserve"> s. 62. </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71" w:name="Compilation"/>
    <w:bookmarkEnd w:id="27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2" w:name="Coversheet"/>
    <w:bookmarkEnd w:id="2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EA15E4"/>
    <w:lvl w:ilvl="0">
      <w:start w:val="1"/>
      <w:numFmt w:val="decimal"/>
      <w:lvlText w:val="%1."/>
      <w:lvlJc w:val="left"/>
      <w:pPr>
        <w:tabs>
          <w:tab w:val="num" w:pos="1492"/>
        </w:tabs>
        <w:ind w:left="1492" w:hanging="360"/>
      </w:pPr>
    </w:lvl>
  </w:abstractNum>
  <w:abstractNum w:abstractNumId="1">
    <w:nsid w:val="FFFFFF7D"/>
    <w:multiLevelType w:val="singleLevel"/>
    <w:tmpl w:val="321E1C98"/>
    <w:lvl w:ilvl="0">
      <w:start w:val="1"/>
      <w:numFmt w:val="decimal"/>
      <w:lvlText w:val="%1."/>
      <w:lvlJc w:val="left"/>
      <w:pPr>
        <w:tabs>
          <w:tab w:val="num" w:pos="1209"/>
        </w:tabs>
        <w:ind w:left="1209" w:hanging="360"/>
      </w:pPr>
    </w:lvl>
  </w:abstractNum>
  <w:abstractNum w:abstractNumId="2">
    <w:nsid w:val="FFFFFF7E"/>
    <w:multiLevelType w:val="singleLevel"/>
    <w:tmpl w:val="D85840B0"/>
    <w:lvl w:ilvl="0">
      <w:start w:val="1"/>
      <w:numFmt w:val="decimal"/>
      <w:lvlText w:val="%1."/>
      <w:lvlJc w:val="left"/>
      <w:pPr>
        <w:tabs>
          <w:tab w:val="num" w:pos="926"/>
        </w:tabs>
        <w:ind w:left="926" w:hanging="360"/>
      </w:pPr>
    </w:lvl>
  </w:abstractNum>
  <w:abstractNum w:abstractNumId="3">
    <w:nsid w:val="FFFFFF7F"/>
    <w:multiLevelType w:val="singleLevel"/>
    <w:tmpl w:val="2856E752"/>
    <w:lvl w:ilvl="0">
      <w:start w:val="1"/>
      <w:numFmt w:val="decimal"/>
      <w:lvlText w:val="%1."/>
      <w:lvlJc w:val="left"/>
      <w:pPr>
        <w:tabs>
          <w:tab w:val="num" w:pos="643"/>
        </w:tabs>
        <w:ind w:left="643" w:hanging="360"/>
      </w:pPr>
    </w:lvl>
  </w:abstractNum>
  <w:abstractNum w:abstractNumId="4">
    <w:nsid w:val="FFFFFF80"/>
    <w:multiLevelType w:val="singleLevel"/>
    <w:tmpl w:val="B8286F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C5E3B5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BEA569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C44513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3E126C"/>
    <w:lvl w:ilvl="0">
      <w:start w:val="1"/>
      <w:numFmt w:val="decimal"/>
      <w:lvlText w:val="%1."/>
      <w:lvlJc w:val="left"/>
      <w:pPr>
        <w:tabs>
          <w:tab w:val="num" w:pos="360"/>
        </w:tabs>
        <w:ind w:left="360" w:hanging="360"/>
      </w:pPr>
    </w:lvl>
  </w:abstractNum>
  <w:abstractNum w:abstractNumId="9">
    <w:nsid w:val="FFFFFF89"/>
    <w:multiLevelType w:val="singleLevel"/>
    <w:tmpl w:val="924006E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623E2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F384314"/>
    <w:multiLevelType w:val="hybridMultilevel"/>
    <w:tmpl w:val="3FD65B8A"/>
    <w:lvl w:ilvl="0" w:tplc="0C090001">
      <w:start w:val="1"/>
      <w:numFmt w:val="bullet"/>
      <w:lvlText w:val=""/>
      <w:lvlJc w:val="left"/>
      <w:pPr>
        <w:ind w:left="1920" w:hanging="360"/>
      </w:pPr>
      <w:rPr>
        <w:rFonts w:ascii="Symbol" w:hAnsi="Symbol" w:hint="default"/>
      </w:rPr>
    </w:lvl>
    <w:lvl w:ilvl="1" w:tplc="0C090003" w:tentative="1">
      <w:start w:val="1"/>
      <w:numFmt w:val="bullet"/>
      <w:lvlText w:val="o"/>
      <w:lvlJc w:val="left"/>
      <w:pPr>
        <w:ind w:left="2640" w:hanging="360"/>
      </w:pPr>
      <w:rPr>
        <w:rFonts w:ascii="Courier New" w:hAnsi="Courier New" w:cs="Courier New" w:hint="default"/>
      </w:rPr>
    </w:lvl>
    <w:lvl w:ilvl="2" w:tplc="0C090005" w:tentative="1">
      <w:start w:val="1"/>
      <w:numFmt w:val="bullet"/>
      <w:lvlText w:val=""/>
      <w:lvlJc w:val="left"/>
      <w:pPr>
        <w:ind w:left="3360" w:hanging="360"/>
      </w:pPr>
      <w:rPr>
        <w:rFonts w:ascii="Wingdings" w:hAnsi="Wingdings" w:hint="default"/>
      </w:rPr>
    </w:lvl>
    <w:lvl w:ilvl="3" w:tplc="0C090001" w:tentative="1">
      <w:start w:val="1"/>
      <w:numFmt w:val="bullet"/>
      <w:lvlText w:val=""/>
      <w:lvlJc w:val="left"/>
      <w:pPr>
        <w:ind w:left="4080" w:hanging="360"/>
      </w:pPr>
      <w:rPr>
        <w:rFonts w:ascii="Symbol" w:hAnsi="Symbol" w:hint="default"/>
      </w:rPr>
    </w:lvl>
    <w:lvl w:ilvl="4" w:tplc="0C090003" w:tentative="1">
      <w:start w:val="1"/>
      <w:numFmt w:val="bullet"/>
      <w:lvlText w:val="o"/>
      <w:lvlJc w:val="left"/>
      <w:pPr>
        <w:ind w:left="4800" w:hanging="360"/>
      </w:pPr>
      <w:rPr>
        <w:rFonts w:ascii="Courier New" w:hAnsi="Courier New" w:cs="Courier New" w:hint="default"/>
      </w:rPr>
    </w:lvl>
    <w:lvl w:ilvl="5" w:tplc="0C090005" w:tentative="1">
      <w:start w:val="1"/>
      <w:numFmt w:val="bullet"/>
      <w:lvlText w:val=""/>
      <w:lvlJc w:val="left"/>
      <w:pPr>
        <w:ind w:left="5520" w:hanging="360"/>
      </w:pPr>
      <w:rPr>
        <w:rFonts w:ascii="Wingdings" w:hAnsi="Wingdings" w:hint="default"/>
      </w:rPr>
    </w:lvl>
    <w:lvl w:ilvl="6" w:tplc="0C090001" w:tentative="1">
      <w:start w:val="1"/>
      <w:numFmt w:val="bullet"/>
      <w:lvlText w:val=""/>
      <w:lvlJc w:val="left"/>
      <w:pPr>
        <w:ind w:left="6240" w:hanging="360"/>
      </w:pPr>
      <w:rPr>
        <w:rFonts w:ascii="Symbol" w:hAnsi="Symbol" w:hint="default"/>
      </w:rPr>
    </w:lvl>
    <w:lvl w:ilvl="7" w:tplc="0C090003" w:tentative="1">
      <w:start w:val="1"/>
      <w:numFmt w:val="bullet"/>
      <w:lvlText w:val="o"/>
      <w:lvlJc w:val="left"/>
      <w:pPr>
        <w:ind w:left="6960" w:hanging="360"/>
      </w:pPr>
      <w:rPr>
        <w:rFonts w:ascii="Courier New" w:hAnsi="Courier New" w:cs="Courier New" w:hint="default"/>
      </w:rPr>
    </w:lvl>
    <w:lvl w:ilvl="8" w:tplc="0C090005" w:tentative="1">
      <w:start w:val="1"/>
      <w:numFmt w:val="bullet"/>
      <w:lvlText w:val=""/>
      <w:lvlJc w:val="left"/>
      <w:pPr>
        <w:ind w:left="7680" w:hanging="360"/>
      </w:pPr>
      <w:rPr>
        <w:rFonts w:ascii="Wingdings" w:hAnsi="Wingdings" w:hint="default"/>
      </w:r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940"/>
    <w:docVar w:name="WAFER_20140123141650" w:val="RemoveTocBookmarks,RemoveUnusedBookmarks,RemoveLanguageTags,UsedStyles,ResetPageSize,UpdateArrangement"/>
    <w:docVar w:name="WAFER_20140123141650_GUID" w:val="918f9c30-94cb-4c78-b2b8-4522fcd827c6"/>
    <w:docVar w:name="WAFER_20140123143307" w:val="RemoveTocBookmarks,RunningHeaders"/>
    <w:docVar w:name="WAFER_20140123143307_GUID" w:val="afec285e-d12b-4c9e-80f2-35b8667f7823"/>
    <w:docVar w:name="WAFER_20150224113207" w:val="ResetPageSize,UpdateArrangement,UpdateNTable"/>
    <w:docVar w:name="WAFER_20150224113207_GUID" w:val="7ba6211a-b487-4b2b-bec9-f46bdebcc85e"/>
    <w:docVar w:name="WAFER_20151105095159" w:val="UpdateStyles,UsedStyles"/>
    <w:docVar w:name="WAFER_20151105095159_GUID" w:val="941de65b-6bde-4eaa-8008-3aa0cd378e30"/>
    <w:docVar w:name="WAFER_20151210140940" w:val="RemoveTrackChanges"/>
    <w:docVar w:name="WAFER_20151210140940_GUID" w:val="c4eb52be-4aff-4e82-92c6-37357f7b74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C9556E-DB2A-4C01-924A-45F08DD2F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20285</Words>
  <Characters>94330</Characters>
  <Application>Microsoft Office Word</Application>
  <DocSecurity>0</DocSecurity>
  <Lines>2549</Lines>
  <Paragraphs>1181</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113434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05-i0-01 - 06-a0-04</dc:title>
  <dc:subject/>
  <dc:creator/>
  <cp:keywords/>
  <dc:description/>
  <cp:lastModifiedBy>svcMRProcess</cp:lastModifiedBy>
  <cp:revision>2</cp:revision>
  <cp:lastPrinted>2015-02-24T07:12:00Z</cp:lastPrinted>
  <dcterms:created xsi:type="dcterms:W3CDTF">2015-12-17T02:29:00Z</dcterms:created>
  <dcterms:modified xsi:type="dcterms:W3CDTF">2015-12-17T02:29:00Z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DocumentType">
    <vt:lpwstr>Act</vt:lpwstr>
  </property>
  <property fmtid="{D5CDD505-2E9C-101B-9397-08002B2CF9AE}" pid="4" name="OwlsUID">
    <vt:i4>278</vt:i4>
  </property>
  <property fmtid="{D5CDD505-2E9C-101B-9397-08002B2CF9AE}" pid="5" name="ReprintedAsAt">
    <vt:filetime>2015-02-12T16:00:00Z</vt:filetime>
  </property>
  <property fmtid="{D5CDD505-2E9C-101B-9397-08002B2CF9AE}" pid="6" name="ReprintNo">
    <vt:lpwstr>6</vt:lpwstr>
  </property>
  <property fmtid="{D5CDD505-2E9C-101B-9397-08002B2CF9AE}" pid="7" name="CommencementDate">
    <vt:lpwstr>20150213</vt:lpwstr>
  </property>
  <property fmtid="{D5CDD505-2E9C-101B-9397-08002B2CF9AE}" pid="8" name="FromSuffix">
    <vt:lpwstr>05-i0-01</vt:lpwstr>
  </property>
  <property fmtid="{D5CDD505-2E9C-101B-9397-08002B2CF9AE}" pid="9" name="FromAsAtDate">
    <vt:lpwstr>01 May 2013</vt:lpwstr>
  </property>
  <property fmtid="{D5CDD505-2E9C-101B-9397-08002B2CF9AE}" pid="10" name="ToSuffix">
    <vt:lpwstr>06-a0-04</vt:lpwstr>
  </property>
  <property fmtid="{D5CDD505-2E9C-101B-9397-08002B2CF9AE}" pid="11" name="ToAsAtDate">
    <vt:lpwstr>13 Feb 2015</vt:lpwstr>
  </property>
</Properties>
</file>