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10 Apr 2015</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1" w:name="_Toc408481846"/>
      <w:bookmarkStart w:id="2" w:name="_Toc415150781"/>
      <w:bookmarkStart w:id="3" w:name="_Toc415150966"/>
      <w:bookmarkStart w:id="4" w:name="_Toc41515090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6" w:name="_Toc408481847"/>
      <w:bookmarkStart w:id="7" w:name="_Toc415150907"/>
      <w:r>
        <w:rPr>
          <w:rStyle w:val="CharSectno"/>
        </w:rPr>
        <w:t>1</w:t>
      </w:r>
      <w:r>
        <w:rPr>
          <w:snapToGrid w:val="0"/>
        </w:rPr>
        <w:t xml:space="preserve">. </w:t>
      </w:r>
      <w:r>
        <w:rPr>
          <w:snapToGrid w:val="0"/>
        </w:rPr>
        <w:tab/>
        <w:t>Citation</w:t>
      </w:r>
      <w:bookmarkEnd w:id="6"/>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i/>
          <w:snapToGrid w:val="0"/>
        </w:rPr>
        <w:t>.</w:t>
      </w:r>
    </w:p>
    <w:p>
      <w:pPr>
        <w:pStyle w:val="Heading5"/>
        <w:rPr>
          <w:snapToGrid w:val="0"/>
        </w:rPr>
      </w:pPr>
      <w:bookmarkStart w:id="8" w:name="_Toc408481848"/>
      <w:bookmarkStart w:id="9" w:name="_Toc415150908"/>
      <w:r>
        <w:rPr>
          <w:rStyle w:val="CharSectno"/>
        </w:rPr>
        <w:t>2</w:t>
      </w:r>
      <w:r>
        <w:rPr>
          <w:snapToGrid w:val="0"/>
        </w:rPr>
        <w:t xml:space="preserve">. </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10" w:name="_Toc408481849"/>
      <w:bookmarkStart w:id="11" w:name="_Toc415150910"/>
      <w:r>
        <w:rPr>
          <w:rStyle w:val="CharSectno"/>
        </w:rPr>
        <w:t>3</w:t>
      </w:r>
      <w:r>
        <w:t>.</w:t>
      </w:r>
      <w:r>
        <w:tab/>
        <w:t>Terms used</w:t>
      </w:r>
      <w:bookmarkEnd w:id="10"/>
      <w:bookmarkEnd w:id="11"/>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pPr>
      <w:r>
        <w:lastRenderedPageBreak/>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keepNext/>
      </w:pPr>
      <w:r>
        <w:tab/>
      </w:r>
      <w:r>
        <w:rPr>
          <w:rStyle w:val="CharDefText"/>
        </w:rPr>
        <w:t>form</w:t>
      </w:r>
      <w:r>
        <w:t xml:space="preserve"> means a form in Schedule 1;</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metres for a distance of 500 metres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rPr>
        <w:t>Road Traffic Act 1974</w:t>
      </w:r>
      <w:r>
        <w:t>;</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in Gazette 12 Dec 2014 p. 4721-3.]</w:t>
      </w:r>
    </w:p>
    <w:p>
      <w:pPr>
        <w:pStyle w:val="Heading5"/>
        <w:rPr>
          <w:snapToGrid w:val="0"/>
        </w:rPr>
      </w:pPr>
      <w:bookmarkStart w:id="12" w:name="_Toc408481850"/>
      <w:bookmarkStart w:id="13" w:name="_Toc415150912"/>
      <w:r>
        <w:rPr>
          <w:rStyle w:val="CharSectno"/>
        </w:rPr>
        <w:t>4</w:t>
      </w:r>
      <w:r>
        <w:rPr>
          <w:snapToGrid w:val="0"/>
        </w:rPr>
        <w:t xml:space="preserve">. </w:t>
      </w:r>
      <w:r>
        <w:rPr>
          <w:snapToGrid w:val="0"/>
        </w:rPr>
        <w:tab/>
        <w:t>Definition of “park home”</w:t>
      </w:r>
      <w:bookmarkEnd w:id="12"/>
      <w:bookmarkEnd w:id="13"/>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section 15 of the </w:t>
      </w:r>
      <w:r>
        <w:rPr>
          <w:i/>
          <w:snapToGrid w:val="0"/>
        </w:rPr>
        <w:t>Road Traffic Act 1974</w:t>
      </w:r>
      <w:r>
        <w:rPr>
          <w:snapToGrid w:val="0"/>
        </w:rPr>
        <w:t>, 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rPr>
          <w:b/>
        </w:rPr>
        <w:tab/>
      </w:r>
      <w:r>
        <w:rPr>
          <w:rStyle w:val="CharDefText"/>
          <w:bCs/>
        </w:rPr>
        <w:t>road</w:t>
      </w:r>
      <w:r>
        <w:t xml:space="preserve"> has the same meaning as it has for the purposes of the </w:t>
      </w:r>
      <w:r>
        <w:rPr>
          <w:i/>
        </w:rPr>
        <w:t>Road Traffic Act 1974</w:t>
      </w:r>
      <w:r>
        <w:t>.</w:t>
      </w:r>
    </w:p>
    <w:p>
      <w:pPr>
        <w:pStyle w:val="Heading5"/>
        <w:rPr>
          <w:snapToGrid w:val="0"/>
        </w:rPr>
      </w:pPr>
      <w:bookmarkStart w:id="14" w:name="_Toc408481851"/>
      <w:bookmarkStart w:id="15" w:name="_Toc415150913"/>
      <w:r>
        <w:rPr>
          <w:rStyle w:val="CharSectno"/>
        </w:rPr>
        <w:t>5</w:t>
      </w:r>
      <w:r>
        <w:rPr>
          <w:snapToGrid w:val="0"/>
        </w:rPr>
        <w:t xml:space="preserve">. </w:t>
      </w:r>
      <w:r>
        <w:rPr>
          <w:snapToGrid w:val="0"/>
        </w:rPr>
        <w:tab/>
        <w:t>Definition of “annexe”</w:t>
      </w:r>
      <w:bookmarkEnd w:id="14"/>
      <w:bookmarkEnd w:id="15"/>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rPr>
          <w:snapToGrid w:val="0"/>
        </w:rPr>
      </w:pPr>
      <w:bookmarkStart w:id="16" w:name="_Toc408481852"/>
      <w:bookmarkStart w:id="17" w:name="_Toc415150914"/>
      <w:r>
        <w:rPr>
          <w:rStyle w:val="CharSectno"/>
        </w:rPr>
        <w:t>6</w:t>
      </w:r>
      <w:r>
        <w:rPr>
          <w:snapToGrid w:val="0"/>
        </w:rPr>
        <w:t xml:space="preserve">. </w:t>
      </w:r>
      <w:r>
        <w:rPr>
          <w:snapToGrid w:val="0"/>
        </w:rPr>
        <w:tab/>
        <w:t>Local government</w:t>
      </w:r>
      <w:bookmarkEnd w:id="16"/>
      <w:bookmarkEnd w:id="17"/>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18" w:name="_Toc408481853"/>
      <w:bookmarkStart w:id="19" w:name="_Toc415150915"/>
      <w:r>
        <w:rPr>
          <w:rStyle w:val="CharSectno"/>
        </w:rPr>
        <w:t>7</w:t>
      </w:r>
      <w:r>
        <w:rPr>
          <w:snapToGrid w:val="0"/>
        </w:rPr>
        <w:t xml:space="preserve">. </w:t>
      </w:r>
      <w:r>
        <w:rPr>
          <w:snapToGrid w:val="0"/>
        </w:rPr>
        <w:tab/>
        <w:t>Imposition of conditions on licence</w:t>
      </w:r>
      <w:bookmarkEnd w:id="18"/>
      <w:bookmarkEnd w:id="19"/>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20" w:name="_Toc408481854"/>
      <w:bookmarkStart w:id="21" w:name="_Toc415150789"/>
      <w:bookmarkStart w:id="22" w:name="_Toc415150974"/>
      <w:bookmarkStart w:id="23" w:name="_Toc415150916"/>
      <w:r>
        <w:rPr>
          <w:rStyle w:val="CharPartNo"/>
        </w:rPr>
        <w:t>Part 2</w:t>
      </w:r>
      <w:r>
        <w:rPr>
          <w:rStyle w:val="CharDivNo"/>
        </w:rPr>
        <w:t> </w:t>
      </w:r>
      <w:r>
        <w:t>—</w:t>
      </w:r>
      <w:r>
        <w:rPr>
          <w:rStyle w:val="CharDivText"/>
        </w:rPr>
        <w:t> </w:t>
      </w:r>
      <w:r>
        <w:rPr>
          <w:rStyle w:val="CharPartText"/>
        </w:rPr>
        <w:t>Caravanning and camping generally</w:t>
      </w:r>
      <w:bookmarkEnd w:id="20"/>
      <w:bookmarkEnd w:id="21"/>
      <w:bookmarkEnd w:id="22"/>
      <w:bookmarkEnd w:id="23"/>
      <w:r>
        <w:rPr>
          <w:rStyle w:val="CharPartText"/>
        </w:rPr>
        <w:t xml:space="preserve"> </w:t>
      </w:r>
    </w:p>
    <w:p>
      <w:pPr>
        <w:pStyle w:val="Heading5"/>
        <w:rPr>
          <w:snapToGrid w:val="0"/>
        </w:rPr>
      </w:pPr>
      <w:bookmarkStart w:id="24" w:name="_Toc408481855"/>
      <w:bookmarkStart w:id="25" w:name="_Toc415150917"/>
      <w:r>
        <w:rPr>
          <w:rStyle w:val="CharSectno"/>
        </w:rPr>
        <w:t>8</w:t>
      </w:r>
      <w:r>
        <w:rPr>
          <w:snapToGrid w:val="0"/>
        </w:rPr>
        <w:t xml:space="preserve">. </w:t>
      </w:r>
      <w:r>
        <w:rPr>
          <w:snapToGrid w:val="0"/>
        </w:rPr>
        <w:tab/>
        <w:t>This Part subject to other written law</w:t>
      </w:r>
      <w:bookmarkEnd w:id="24"/>
      <w:bookmarkEnd w:id="25"/>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26" w:name="_Toc408481856"/>
      <w:bookmarkStart w:id="27" w:name="_Toc415150918"/>
      <w:r>
        <w:t>8A.</w:t>
      </w:r>
      <w:r>
        <w:tab/>
        <w:t>Definition of “camp” in this Part</w:t>
      </w:r>
      <w:bookmarkEnd w:id="26"/>
      <w:bookmarkEnd w:id="27"/>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28" w:name="_Toc408481857"/>
      <w:bookmarkStart w:id="29" w:name="_Toc415150919"/>
      <w:r>
        <w:rPr>
          <w:rStyle w:val="CharSectno"/>
        </w:rPr>
        <w:t>9</w:t>
      </w:r>
      <w:r>
        <w:rPr>
          <w:snapToGrid w:val="0"/>
        </w:rPr>
        <w:t xml:space="preserve">. </w:t>
      </w:r>
      <w:r>
        <w:rPr>
          <w:snapToGrid w:val="0"/>
        </w:rPr>
        <w:tab/>
        <w:t>Park homes may only be occupied in caravan parks</w:t>
      </w:r>
      <w:bookmarkEnd w:id="28"/>
      <w:bookmarkEnd w:id="29"/>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in Gazette 12 Dec 2014 p. 4733.]</w:t>
      </w:r>
    </w:p>
    <w:p>
      <w:pPr>
        <w:pStyle w:val="Heading5"/>
        <w:rPr>
          <w:snapToGrid w:val="0"/>
        </w:rPr>
      </w:pPr>
      <w:bookmarkStart w:id="30" w:name="_Toc408481858"/>
      <w:bookmarkStart w:id="31" w:name="_Toc415150920"/>
      <w:r>
        <w:rPr>
          <w:rStyle w:val="CharSectno"/>
        </w:rPr>
        <w:t>10</w:t>
      </w:r>
      <w:r>
        <w:rPr>
          <w:snapToGrid w:val="0"/>
        </w:rPr>
        <w:t xml:space="preserve">. </w:t>
      </w:r>
      <w:r>
        <w:rPr>
          <w:snapToGrid w:val="0"/>
        </w:rPr>
        <w:tab/>
        <w:t>Where a person may camp</w:t>
      </w:r>
      <w:bookmarkEnd w:id="30"/>
      <w:bookmarkEnd w:id="31"/>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in Gazette 12 Dec 2014 p. 4733.]</w:t>
      </w:r>
    </w:p>
    <w:p>
      <w:pPr>
        <w:pStyle w:val="Heading5"/>
        <w:rPr>
          <w:snapToGrid w:val="0"/>
        </w:rPr>
      </w:pPr>
      <w:bookmarkStart w:id="32" w:name="_Toc408481859"/>
      <w:bookmarkStart w:id="33" w:name="_Toc415150921"/>
      <w:r>
        <w:rPr>
          <w:rStyle w:val="CharSectno"/>
        </w:rPr>
        <w:t>11</w:t>
      </w:r>
      <w:r>
        <w:rPr>
          <w:snapToGrid w:val="0"/>
        </w:rPr>
        <w:t xml:space="preserve">. </w:t>
      </w:r>
      <w:r>
        <w:rPr>
          <w:snapToGrid w:val="0"/>
        </w:rPr>
        <w:tab/>
        <w:t>Camping other than at a caravan park or camping ground</w:t>
      </w:r>
      <w:bookmarkEnd w:id="32"/>
      <w:bookmarkEnd w:id="33"/>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w:t>
      </w:r>
    </w:p>
    <w:p>
      <w:pPr>
        <w:pStyle w:val="Indenta"/>
      </w:pPr>
      <w:r>
        <w:tab/>
        <w:t>(b)</w:t>
      </w:r>
      <w:r>
        <w:tab/>
        <w:t>for up to 24 consecutive hours in a caravan or other vehicle on a road side rest area;</w:t>
      </w:r>
    </w:p>
    <w:p>
      <w:pPr>
        <w:pStyle w:val="Indenta"/>
      </w:pPr>
      <w:r>
        <w:tab/>
        <w:t>(c)</w:t>
      </w:r>
      <w:r>
        <w:tab/>
        <w:t xml:space="preserve">for up to 24 consecutive hours in a caravan or other vehicle on a road reserve in an emergency, unless to do so would cause a hazard to other road users or contravene any other written law with respect to the use of the road reserve; </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 xml:space="preserve">by the local government of the district where the land is situated, if such approval will not result in the land being camped on for longer than 3 months in any period of 12 months; </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34" w:name="_Toc408481860"/>
      <w:bookmarkStart w:id="35" w:name="_Toc415150922"/>
      <w:r>
        <w:rPr>
          <w:rStyle w:val="CharSectno"/>
        </w:rPr>
        <w:t>12</w:t>
      </w:r>
      <w:r>
        <w:rPr>
          <w:snapToGrid w:val="0"/>
        </w:rPr>
        <w:t xml:space="preserve">. </w:t>
      </w:r>
      <w:r>
        <w:rPr>
          <w:snapToGrid w:val="0"/>
        </w:rPr>
        <w:tab/>
        <w:t>Number of caravans on a lot</w:t>
      </w:r>
      <w:bookmarkEnd w:id="34"/>
      <w:bookmarkEnd w:id="35"/>
      <w:r>
        <w:rPr>
          <w:snapToGrid w:val="0"/>
        </w:rPr>
        <w:t xml:space="preserve"> </w:t>
      </w:r>
    </w:p>
    <w:p>
      <w:pPr>
        <w:pStyle w:val="Subsection"/>
        <w:spacing w:before="140"/>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Ednotesubsection"/>
      </w:pPr>
      <w:r>
        <w:tab/>
        <w:t>[(3)</w:t>
      </w:r>
      <w:r>
        <w:tab/>
        <w:t>deleted]</w:t>
      </w:r>
    </w:p>
    <w:p>
      <w:pPr>
        <w:pStyle w:val="Footnotesection"/>
      </w:pPr>
      <w:r>
        <w:tab/>
        <w:t>[Regulation 12 amended in Gazette 12 Dec 2014 p. 4723 and 4733.]</w:t>
      </w:r>
    </w:p>
    <w:p>
      <w:pPr>
        <w:pStyle w:val="Heading5"/>
        <w:spacing w:before="200"/>
        <w:rPr>
          <w:snapToGrid w:val="0"/>
        </w:rPr>
      </w:pPr>
      <w:bookmarkStart w:id="36" w:name="_Toc408481861"/>
      <w:bookmarkStart w:id="37" w:name="_Toc415150924"/>
      <w:r>
        <w:rPr>
          <w:rStyle w:val="CharSectno"/>
        </w:rPr>
        <w:t>13</w:t>
      </w:r>
      <w:r>
        <w:rPr>
          <w:snapToGrid w:val="0"/>
        </w:rPr>
        <w:t xml:space="preserve">. </w:t>
      </w:r>
      <w:r>
        <w:rPr>
          <w:snapToGrid w:val="0"/>
        </w:rPr>
        <w:tab/>
        <w:t>Suitability of land for camping to be considered before approval under regulation 11(2) or 12(2) is given</w:t>
      </w:r>
      <w:bookmarkEnd w:id="36"/>
      <w:bookmarkEnd w:id="37"/>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spacing w:before="200"/>
        <w:rPr>
          <w:snapToGrid w:val="0"/>
        </w:rPr>
      </w:pPr>
      <w:bookmarkStart w:id="38" w:name="_Toc408481862"/>
      <w:bookmarkStart w:id="39" w:name="_Toc415150926"/>
      <w:r>
        <w:rPr>
          <w:rStyle w:val="CharSectno"/>
        </w:rPr>
        <w:t>14</w:t>
      </w:r>
      <w:r>
        <w:rPr>
          <w:snapToGrid w:val="0"/>
        </w:rPr>
        <w:t xml:space="preserve">. </w:t>
      </w:r>
      <w:r>
        <w:rPr>
          <w:snapToGrid w:val="0"/>
        </w:rPr>
        <w:tab/>
        <w:t>Caravan or camp to be maintained</w:t>
      </w:r>
      <w:bookmarkEnd w:id="38"/>
      <w:bookmarkEnd w:id="39"/>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12 Dec 2014 p. 4733.]</w:t>
      </w:r>
    </w:p>
    <w:p>
      <w:pPr>
        <w:pStyle w:val="Heading5"/>
        <w:rPr>
          <w:snapToGrid w:val="0"/>
        </w:rPr>
      </w:pPr>
      <w:bookmarkStart w:id="40" w:name="_Toc408481863"/>
      <w:bookmarkStart w:id="41" w:name="_Toc415150928"/>
      <w:r>
        <w:rPr>
          <w:rStyle w:val="CharSectno"/>
        </w:rPr>
        <w:t>15</w:t>
      </w:r>
      <w:r>
        <w:rPr>
          <w:snapToGrid w:val="0"/>
        </w:rPr>
        <w:t xml:space="preserve">. </w:t>
      </w:r>
      <w:r>
        <w:rPr>
          <w:snapToGrid w:val="0"/>
        </w:rPr>
        <w:tab/>
        <w:t>Mobility of caravans</w:t>
      </w:r>
      <w:bookmarkEnd w:id="40"/>
      <w:bookmarkEnd w:id="41"/>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in Gazette 12 Dec 2014 p. 4723.]</w:t>
      </w:r>
    </w:p>
    <w:p>
      <w:pPr>
        <w:pStyle w:val="Heading2"/>
      </w:pPr>
      <w:bookmarkStart w:id="42" w:name="_Toc408481864"/>
      <w:bookmarkStart w:id="43" w:name="_Toc415150799"/>
      <w:bookmarkStart w:id="44" w:name="_Toc415150984"/>
      <w:bookmarkStart w:id="45" w:name="_Toc415150930"/>
      <w:r>
        <w:rPr>
          <w:rStyle w:val="CharPartNo"/>
        </w:rPr>
        <w:t>Part 3</w:t>
      </w:r>
      <w:r>
        <w:t> — </w:t>
      </w:r>
      <w:r>
        <w:rPr>
          <w:rStyle w:val="CharPartText"/>
        </w:rPr>
        <w:t>Caravan parks and camping grounds</w:t>
      </w:r>
      <w:bookmarkEnd w:id="42"/>
      <w:bookmarkEnd w:id="43"/>
      <w:bookmarkEnd w:id="44"/>
      <w:bookmarkEnd w:id="45"/>
      <w:r>
        <w:rPr>
          <w:rStyle w:val="CharPartText"/>
        </w:rPr>
        <w:t xml:space="preserve"> </w:t>
      </w:r>
    </w:p>
    <w:p>
      <w:pPr>
        <w:pStyle w:val="Heading3"/>
        <w:rPr>
          <w:snapToGrid w:val="0"/>
        </w:rPr>
      </w:pPr>
      <w:bookmarkStart w:id="46" w:name="_Toc408481865"/>
      <w:bookmarkStart w:id="47" w:name="_Toc415150800"/>
      <w:bookmarkStart w:id="48" w:name="_Toc415150985"/>
      <w:bookmarkStart w:id="49" w:name="_Toc415150931"/>
      <w:r>
        <w:rPr>
          <w:rStyle w:val="CharDivNo"/>
        </w:rPr>
        <w:t>Division 1</w:t>
      </w:r>
      <w:r>
        <w:rPr>
          <w:snapToGrid w:val="0"/>
        </w:rPr>
        <w:t> — </w:t>
      </w:r>
      <w:r>
        <w:rPr>
          <w:rStyle w:val="CharDivText"/>
        </w:rPr>
        <w:t>Duties of licence holders</w:t>
      </w:r>
      <w:bookmarkEnd w:id="46"/>
      <w:bookmarkEnd w:id="47"/>
      <w:bookmarkEnd w:id="48"/>
      <w:bookmarkEnd w:id="49"/>
      <w:r>
        <w:rPr>
          <w:rStyle w:val="CharDivText"/>
        </w:rPr>
        <w:t xml:space="preserve"> </w:t>
      </w:r>
    </w:p>
    <w:p>
      <w:pPr>
        <w:pStyle w:val="Heading5"/>
        <w:rPr>
          <w:snapToGrid w:val="0"/>
        </w:rPr>
      </w:pPr>
      <w:bookmarkStart w:id="50" w:name="_Toc408481866"/>
      <w:bookmarkStart w:id="51" w:name="_Toc415150932"/>
      <w:r>
        <w:rPr>
          <w:rStyle w:val="CharSectno"/>
        </w:rPr>
        <w:t>16</w:t>
      </w:r>
      <w:r>
        <w:rPr>
          <w:snapToGrid w:val="0"/>
        </w:rPr>
        <w:t xml:space="preserve">. </w:t>
      </w:r>
      <w:r>
        <w:rPr>
          <w:snapToGrid w:val="0"/>
        </w:rPr>
        <w:tab/>
        <w:t>Schedules 5 and 6 — licence holder’s duty</w:t>
      </w:r>
      <w:bookmarkEnd w:id="50"/>
      <w:bookmarkEnd w:id="51"/>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in Gazette 25 Aug 2000 p. 4911; 12 Dec 2014 p. 4733.]</w:t>
      </w:r>
    </w:p>
    <w:p>
      <w:pPr>
        <w:pStyle w:val="Heading5"/>
        <w:rPr>
          <w:snapToGrid w:val="0"/>
        </w:rPr>
      </w:pPr>
      <w:bookmarkStart w:id="52" w:name="_Toc408481867"/>
      <w:bookmarkStart w:id="53" w:name="_Toc415150933"/>
      <w:r>
        <w:rPr>
          <w:rStyle w:val="CharSectno"/>
        </w:rPr>
        <w:t>17</w:t>
      </w:r>
      <w:r>
        <w:rPr>
          <w:snapToGrid w:val="0"/>
        </w:rPr>
        <w:t xml:space="preserve">. </w:t>
      </w:r>
      <w:r>
        <w:rPr>
          <w:snapToGrid w:val="0"/>
        </w:rPr>
        <w:tab/>
        <w:t>Schedule 7 — licence holder’s duty</w:t>
      </w:r>
      <w:bookmarkEnd w:id="52"/>
      <w:bookmarkEnd w:id="53"/>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in Gazette 25 Aug 2000 p. 4911; 12 Dec 2014 p. 4733.]</w:t>
      </w:r>
    </w:p>
    <w:p>
      <w:pPr>
        <w:pStyle w:val="Heading5"/>
        <w:rPr>
          <w:snapToGrid w:val="0"/>
        </w:rPr>
      </w:pPr>
      <w:bookmarkStart w:id="54" w:name="_Toc408481868"/>
      <w:bookmarkStart w:id="55" w:name="_Toc415150935"/>
      <w:r>
        <w:rPr>
          <w:rStyle w:val="CharSectno"/>
        </w:rPr>
        <w:t>18</w:t>
      </w:r>
      <w:r>
        <w:rPr>
          <w:snapToGrid w:val="0"/>
        </w:rPr>
        <w:t xml:space="preserve">. </w:t>
      </w:r>
      <w:r>
        <w:rPr>
          <w:snapToGrid w:val="0"/>
        </w:rPr>
        <w:tab/>
        <w:t>Compliance with licence conditions</w:t>
      </w:r>
      <w:bookmarkEnd w:id="54"/>
      <w:bookmarkEnd w:id="55"/>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in Gazette 12 Dec 2014 p. 4733.]</w:t>
      </w:r>
    </w:p>
    <w:p>
      <w:pPr>
        <w:pStyle w:val="Heading5"/>
        <w:rPr>
          <w:snapToGrid w:val="0"/>
        </w:rPr>
      </w:pPr>
      <w:bookmarkStart w:id="56" w:name="_Toc408481869"/>
      <w:bookmarkStart w:id="57" w:name="_Toc415150937"/>
      <w:r>
        <w:rPr>
          <w:rStyle w:val="CharSectno"/>
        </w:rPr>
        <w:t>19</w:t>
      </w:r>
      <w:r>
        <w:rPr>
          <w:snapToGrid w:val="0"/>
        </w:rPr>
        <w:t xml:space="preserve">. </w:t>
      </w:r>
      <w:r>
        <w:rPr>
          <w:snapToGrid w:val="0"/>
        </w:rPr>
        <w:tab/>
        <w:t>Other duties of licence holders</w:t>
      </w:r>
      <w:bookmarkEnd w:id="56"/>
      <w:bookmarkEnd w:id="57"/>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in Gazette 12 Dec 2014 p. 4723-4.]</w:t>
      </w:r>
    </w:p>
    <w:p>
      <w:pPr>
        <w:pStyle w:val="Heading5"/>
        <w:rPr>
          <w:snapToGrid w:val="0"/>
        </w:rPr>
      </w:pPr>
      <w:bookmarkStart w:id="58" w:name="_Toc408481870"/>
      <w:bookmarkStart w:id="59" w:name="_Toc415150938"/>
      <w:r>
        <w:rPr>
          <w:rStyle w:val="CharSectno"/>
        </w:rPr>
        <w:t>20</w:t>
      </w:r>
      <w:r>
        <w:rPr>
          <w:snapToGrid w:val="0"/>
        </w:rPr>
        <w:t xml:space="preserve">. </w:t>
      </w:r>
      <w:r>
        <w:rPr>
          <w:snapToGrid w:val="0"/>
        </w:rPr>
        <w:tab/>
        <w:t>Use of overflow area</w:t>
      </w:r>
      <w:bookmarkEnd w:id="58"/>
      <w:bookmarkEnd w:id="59"/>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in Gazette 12 Dec 2014 p. 4733.]</w:t>
      </w:r>
    </w:p>
    <w:p>
      <w:pPr>
        <w:pStyle w:val="Heading5"/>
        <w:rPr>
          <w:snapToGrid w:val="0"/>
        </w:rPr>
      </w:pPr>
      <w:bookmarkStart w:id="60" w:name="_Toc408481871"/>
      <w:bookmarkStart w:id="61" w:name="_Toc415150939"/>
      <w:r>
        <w:rPr>
          <w:rStyle w:val="CharSectno"/>
        </w:rPr>
        <w:t>21</w:t>
      </w:r>
      <w:r>
        <w:rPr>
          <w:snapToGrid w:val="0"/>
        </w:rPr>
        <w:t xml:space="preserve">. </w:t>
      </w:r>
      <w:r>
        <w:rPr>
          <w:snapToGrid w:val="0"/>
        </w:rPr>
        <w:tab/>
        <w:t>Licence holder to ensure sites allocated and used in accordance with licence</w:t>
      </w:r>
      <w:bookmarkEnd w:id="60"/>
      <w:bookmarkEnd w:id="61"/>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in Gazette 12 Dec 2014 p. 4733.]</w:t>
      </w:r>
    </w:p>
    <w:p>
      <w:pPr>
        <w:pStyle w:val="Heading3"/>
        <w:rPr>
          <w:snapToGrid w:val="0"/>
        </w:rPr>
      </w:pPr>
      <w:bookmarkStart w:id="62" w:name="_Toc408481872"/>
      <w:bookmarkStart w:id="63" w:name="_Toc415150807"/>
      <w:bookmarkStart w:id="64" w:name="_Toc415150992"/>
      <w:bookmarkStart w:id="65" w:name="_Toc415150940"/>
      <w:r>
        <w:rPr>
          <w:rStyle w:val="CharDivNo"/>
        </w:rPr>
        <w:t>Division 2</w:t>
      </w:r>
      <w:r>
        <w:rPr>
          <w:snapToGrid w:val="0"/>
        </w:rPr>
        <w:t> — </w:t>
      </w:r>
      <w:r>
        <w:rPr>
          <w:rStyle w:val="CharDivText"/>
        </w:rPr>
        <w:t>Duties of other persons</w:t>
      </w:r>
      <w:bookmarkEnd w:id="62"/>
      <w:bookmarkEnd w:id="63"/>
      <w:bookmarkEnd w:id="64"/>
      <w:bookmarkEnd w:id="65"/>
      <w:r>
        <w:rPr>
          <w:rStyle w:val="CharDivText"/>
        </w:rPr>
        <w:t xml:space="preserve"> </w:t>
      </w:r>
    </w:p>
    <w:p>
      <w:pPr>
        <w:pStyle w:val="Heading5"/>
        <w:rPr>
          <w:snapToGrid w:val="0"/>
        </w:rPr>
      </w:pPr>
      <w:bookmarkStart w:id="66" w:name="_Toc408481873"/>
      <w:bookmarkStart w:id="67" w:name="_Toc415150941"/>
      <w:r>
        <w:rPr>
          <w:rStyle w:val="CharSectno"/>
        </w:rPr>
        <w:t>22</w:t>
      </w:r>
      <w:r>
        <w:rPr>
          <w:snapToGrid w:val="0"/>
        </w:rPr>
        <w:t xml:space="preserve">. </w:t>
      </w:r>
      <w:r>
        <w:rPr>
          <w:snapToGrid w:val="0"/>
        </w:rPr>
        <w:tab/>
        <w:t>Schedules 5 and 6 — caravan owner’s duty</w:t>
      </w:r>
      <w:bookmarkEnd w:id="66"/>
      <w:bookmarkEnd w:id="67"/>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in Gazette 25 Aug 2000 p. 4912; 12 Dec 2014 p. 4733.]</w:t>
      </w:r>
    </w:p>
    <w:p>
      <w:pPr>
        <w:pStyle w:val="Heading5"/>
        <w:rPr>
          <w:snapToGrid w:val="0"/>
        </w:rPr>
      </w:pPr>
      <w:bookmarkStart w:id="68" w:name="_Toc408481874"/>
      <w:bookmarkStart w:id="69" w:name="_Toc415150942"/>
      <w:r>
        <w:rPr>
          <w:rStyle w:val="CharSectno"/>
        </w:rPr>
        <w:t>23</w:t>
      </w:r>
      <w:r>
        <w:rPr>
          <w:snapToGrid w:val="0"/>
        </w:rPr>
        <w:t xml:space="preserve">. </w:t>
      </w:r>
      <w:r>
        <w:rPr>
          <w:snapToGrid w:val="0"/>
        </w:rPr>
        <w:tab/>
        <w:t>Schedule 7 — occupier’s duty</w:t>
      </w:r>
      <w:bookmarkEnd w:id="68"/>
      <w:bookmarkEnd w:id="69"/>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in Gazette 25 Aug 2000 p. 4912; 12 Dec 2014 p. 4733.]</w:t>
      </w:r>
    </w:p>
    <w:p>
      <w:pPr>
        <w:pStyle w:val="Heading5"/>
        <w:rPr>
          <w:snapToGrid w:val="0"/>
        </w:rPr>
      </w:pPr>
      <w:bookmarkStart w:id="70" w:name="_Toc408481875"/>
      <w:bookmarkStart w:id="71" w:name="_Toc415150943"/>
      <w:r>
        <w:rPr>
          <w:rStyle w:val="CharSectno"/>
        </w:rPr>
        <w:t>24</w:t>
      </w:r>
      <w:r>
        <w:rPr>
          <w:snapToGrid w:val="0"/>
        </w:rPr>
        <w:t xml:space="preserve">. </w:t>
      </w:r>
      <w:r>
        <w:rPr>
          <w:snapToGrid w:val="0"/>
        </w:rPr>
        <w:tab/>
        <w:t>Occupier to maintain site</w:t>
      </w:r>
      <w:bookmarkEnd w:id="70"/>
      <w:bookmarkEnd w:id="71"/>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in Gazette 12 Dec 2014 p. 4733.]</w:t>
      </w:r>
    </w:p>
    <w:p>
      <w:pPr>
        <w:pStyle w:val="Heading5"/>
        <w:rPr>
          <w:snapToGrid w:val="0"/>
        </w:rPr>
      </w:pPr>
      <w:bookmarkStart w:id="72" w:name="_Toc408481876"/>
      <w:bookmarkStart w:id="73" w:name="_Toc415150945"/>
      <w:r>
        <w:rPr>
          <w:rStyle w:val="CharSectno"/>
        </w:rPr>
        <w:t>25</w:t>
      </w:r>
      <w:r>
        <w:rPr>
          <w:snapToGrid w:val="0"/>
        </w:rPr>
        <w:t xml:space="preserve">. </w:t>
      </w:r>
      <w:r>
        <w:rPr>
          <w:snapToGrid w:val="0"/>
        </w:rPr>
        <w:tab/>
        <w:t>Control of animals</w:t>
      </w:r>
      <w:bookmarkEnd w:id="72"/>
      <w:bookmarkEnd w:id="73"/>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in Gazette 12 Dec 2014 p. 4724.]</w:t>
      </w:r>
    </w:p>
    <w:p>
      <w:pPr>
        <w:pStyle w:val="Heading5"/>
        <w:rPr>
          <w:snapToGrid w:val="0"/>
        </w:rPr>
      </w:pPr>
      <w:bookmarkStart w:id="74" w:name="_Toc408481877"/>
      <w:bookmarkStart w:id="75" w:name="_Toc415150946"/>
      <w:r>
        <w:rPr>
          <w:rStyle w:val="CharSectno"/>
        </w:rPr>
        <w:t>26</w:t>
      </w:r>
      <w:r>
        <w:rPr>
          <w:snapToGrid w:val="0"/>
        </w:rPr>
        <w:t xml:space="preserve">. </w:t>
      </w:r>
      <w:r>
        <w:rPr>
          <w:snapToGrid w:val="0"/>
        </w:rPr>
        <w:tab/>
        <w:t>Speed limit</w:t>
      </w:r>
      <w:bookmarkEnd w:id="74"/>
      <w:bookmarkEnd w:id="75"/>
      <w:r>
        <w:rPr>
          <w:snapToGrid w:val="0"/>
        </w:rPr>
        <w:t xml:space="preserve"> </w:t>
      </w:r>
    </w:p>
    <w:p>
      <w:pPr>
        <w:pStyle w:val="Subsection"/>
        <w:rPr>
          <w:snapToGrid w:val="0"/>
        </w:rPr>
      </w:pPr>
      <w:r>
        <w:rPr>
          <w:snapToGrid w:val="0"/>
        </w:rPr>
        <w:tab/>
      </w:r>
      <w:r>
        <w:rPr>
          <w:snapToGrid w:val="0"/>
        </w:rPr>
        <w:tab/>
        <w:t>A person is not to drive a vehicle in a facility at a speed exceeding 8 kilometres per hour.</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in Gazette 12 Dec 2014 p. 4733.]</w:t>
      </w:r>
    </w:p>
    <w:p>
      <w:pPr>
        <w:pStyle w:val="Heading5"/>
        <w:rPr>
          <w:snapToGrid w:val="0"/>
        </w:rPr>
      </w:pPr>
      <w:bookmarkStart w:id="76" w:name="_Toc408481878"/>
      <w:bookmarkStart w:id="77" w:name="_Toc415150947"/>
      <w:r>
        <w:rPr>
          <w:rStyle w:val="CharSectno"/>
        </w:rPr>
        <w:t>27</w:t>
      </w:r>
      <w:r>
        <w:rPr>
          <w:snapToGrid w:val="0"/>
        </w:rPr>
        <w:t xml:space="preserve">. </w:t>
      </w:r>
      <w:r>
        <w:rPr>
          <w:snapToGrid w:val="0"/>
        </w:rPr>
        <w:tab/>
        <w:t>Washing machines</w:t>
      </w:r>
      <w:bookmarkEnd w:id="76"/>
      <w:bookmarkEnd w:id="77"/>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in Gazette 12 Dec 2014 p. 4733.]</w:t>
      </w:r>
    </w:p>
    <w:p>
      <w:pPr>
        <w:pStyle w:val="Heading3"/>
      </w:pPr>
      <w:bookmarkStart w:id="78" w:name="_Toc408481879"/>
      <w:bookmarkStart w:id="79" w:name="_Toc415150814"/>
      <w:bookmarkStart w:id="80" w:name="_Toc415150999"/>
      <w:bookmarkStart w:id="81" w:name="_Toc415150949"/>
      <w:r>
        <w:rPr>
          <w:rStyle w:val="CharDivNo"/>
        </w:rPr>
        <w:t>Division 3 </w:t>
      </w:r>
      <w:r>
        <w:t>— </w:t>
      </w:r>
      <w:r>
        <w:rPr>
          <w:rStyle w:val="CharDivText"/>
        </w:rPr>
        <w:t>Exemptions from some provisions of Schedules 6 and 7</w:t>
      </w:r>
      <w:bookmarkEnd w:id="78"/>
      <w:bookmarkEnd w:id="79"/>
      <w:bookmarkEnd w:id="80"/>
      <w:bookmarkEnd w:id="81"/>
    </w:p>
    <w:p>
      <w:pPr>
        <w:pStyle w:val="Footnoteheading"/>
        <w:ind w:left="890"/>
      </w:pPr>
      <w:r>
        <w:tab/>
        <w:t>[Heading inserted in Gazette 25 Aug 2000 p. 4912.]</w:t>
      </w:r>
    </w:p>
    <w:p>
      <w:pPr>
        <w:pStyle w:val="Heading5"/>
      </w:pPr>
      <w:bookmarkStart w:id="82" w:name="_Toc408481880"/>
      <w:bookmarkStart w:id="83" w:name="_Toc415150950"/>
      <w:r>
        <w:rPr>
          <w:rStyle w:val="CharSectno"/>
        </w:rPr>
        <w:t>27A</w:t>
      </w:r>
      <w:r>
        <w:t>.</w:t>
      </w:r>
      <w:r>
        <w:tab/>
        <w:t>Exemptions from Schedule 6</w:t>
      </w:r>
      <w:bookmarkEnd w:id="82"/>
      <w:bookmarkEnd w:id="83"/>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ind w:left="890" w:hanging="890"/>
      </w:pPr>
      <w:r>
        <w:tab/>
      </w:r>
      <w:r>
        <w:tab/>
        <w:t>regulations 16(b) and 22(b) do not apply in respect of that caravan for as long as the caravan remains at the facility it was located at on 1 July 1997.</w:t>
      </w:r>
    </w:p>
    <w:p>
      <w:pPr>
        <w:pStyle w:val="MiscellaneousHeading"/>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pPr>
            <w:r>
              <w:t>cl. 1(2)</w:t>
            </w:r>
          </w:p>
        </w:tc>
        <w:tc>
          <w:tcPr>
            <w:tcW w:w="1418" w:type="dxa"/>
          </w:tcPr>
          <w:p>
            <w:pPr>
              <w:pStyle w:val="Table"/>
            </w:pPr>
            <w:r>
              <w:t>cl. 3(1)</w:t>
            </w:r>
          </w:p>
        </w:tc>
      </w:tr>
      <w:tr>
        <w:tc>
          <w:tcPr>
            <w:tcW w:w="2126" w:type="dxa"/>
          </w:tcPr>
          <w:p>
            <w:pPr>
              <w:pStyle w:val="Table"/>
              <w:spacing w:before="0"/>
            </w:pPr>
            <w:r>
              <w:t>cl. 1(3)</w:t>
            </w:r>
          </w:p>
        </w:tc>
        <w:tc>
          <w:tcPr>
            <w:tcW w:w="1418" w:type="dxa"/>
          </w:tcPr>
          <w:p>
            <w:pPr>
              <w:pStyle w:val="Table"/>
              <w:spacing w:before="0"/>
            </w:pPr>
            <w:r>
              <w:t>cl. 4(c)</w:t>
            </w:r>
          </w:p>
        </w:tc>
      </w:tr>
      <w:tr>
        <w:tc>
          <w:tcPr>
            <w:tcW w:w="2126" w:type="dxa"/>
          </w:tcPr>
          <w:p>
            <w:pPr>
              <w:pStyle w:val="Table"/>
              <w:spacing w:before="0"/>
            </w:pPr>
            <w:r>
              <w:t>cl. 2</w:t>
            </w:r>
          </w:p>
        </w:tc>
        <w:tc>
          <w:tcPr>
            <w:tcW w:w="1418" w:type="dxa"/>
          </w:tcPr>
          <w:p>
            <w:pPr>
              <w:pStyle w:val="Table"/>
              <w:spacing w:before="0"/>
            </w:pPr>
          </w:p>
        </w:tc>
      </w:tr>
    </w:tbl>
    <w:p>
      <w:pPr>
        <w:pStyle w:val="Footnotesection"/>
      </w:pPr>
      <w:r>
        <w:tab/>
        <w:t>[Regulation 27A inserted in Gazette 25 Aug 2000 p. 4912.]</w:t>
      </w:r>
    </w:p>
    <w:p>
      <w:pPr>
        <w:pStyle w:val="Heading5"/>
      </w:pPr>
      <w:bookmarkStart w:id="84" w:name="_Toc408481881"/>
      <w:bookmarkStart w:id="85" w:name="_Toc415150951"/>
      <w:r>
        <w:rPr>
          <w:rStyle w:val="CharSectno"/>
        </w:rPr>
        <w:t>27B</w:t>
      </w:r>
      <w:r>
        <w:t>.</w:t>
      </w:r>
      <w:r>
        <w:tab/>
        <w:t>Exemptions from Schedule 7</w:t>
      </w:r>
      <w:bookmarkEnd w:id="84"/>
      <w:bookmarkEnd w:id="85"/>
    </w:p>
    <w:p>
      <w:pPr>
        <w:pStyle w:val="Subsection"/>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pPr>
      <w:r>
        <w:tab/>
      </w:r>
      <w:r>
        <w:tab/>
        <w:t>regulations 17 and 23 do not apply in respect of that facility or site.</w:t>
      </w:r>
    </w:p>
    <w:p>
      <w:pPr>
        <w:pStyle w:val="MiscellaneousHeading"/>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0"/>
            </w:pPr>
            <w:r>
              <w:t>cl. 6(1)</w:t>
            </w:r>
          </w:p>
        </w:tc>
        <w:tc>
          <w:tcPr>
            <w:tcW w:w="1418" w:type="dxa"/>
          </w:tcPr>
          <w:p>
            <w:pPr>
              <w:pStyle w:val="Table"/>
              <w:spacing w:before="0"/>
            </w:pPr>
            <w:r>
              <w:t>cl. 27(3)</w:t>
            </w:r>
          </w:p>
        </w:tc>
      </w:tr>
      <w:tr>
        <w:tc>
          <w:tcPr>
            <w:tcW w:w="2126" w:type="dxa"/>
          </w:tcPr>
          <w:p>
            <w:pPr>
              <w:pStyle w:val="Table"/>
              <w:spacing w:before="0"/>
            </w:pPr>
            <w:r>
              <w:t>cl. 12(a)</w:t>
            </w:r>
          </w:p>
        </w:tc>
        <w:tc>
          <w:tcPr>
            <w:tcW w:w="1418" w:type="dxa"/>
          </w:tcPr>
          <w:p>
            <w:pPr>
              <w:pStyle w:val="Table"/>
              <w:spacing w:before="0"/>
            </w:pPr>
            <w:r>
              <w:t>cl. 28(1)(d)</w:t>
            </w:r>
          </w:p>
        </w:tc>
      </w:tr>
      <w:tr>
        <w:tc>
          <w:tcPr>
            <w:tcW w:w="2126" w:type="dxa"/>
          </w:tcPr>
          <w:p>
            <w:pPr>
              <w:pStyle w:val="Table"/>
              <w:spacing w:before="0"/>
            </w:pPr>
            <w:r>
              <w:t>cl. 12(b)</w:t>
            </w:r>
          </w:p>
        </w:tc>
        <w:tc>
          <w:tcPr>
            <w:tcW w:w="1418" w:type="dxa"/>
          </w:tcPr>
          <w:p>
            <w:pPr>
              <w:pStyle w:val="Table"/>
              <w:spacing w:before="0"/>
            </w:pPr>
            <w:r>
              <w:t>cl. 30(5)</w:t>
            </w:r>
          </w:p>
        </w:tc>
      </w:tr>
      <w:tr>
        <w:tc>
          <w:tcPr>
            <w:tcW w:w="2126" w:type="dxa"/>
          </w:tcPr>
          <w:p>
            <w:pPr>
              <w:pStyle w:val="Table"/>
              <w:spacing w:before="0"/>
            </w:pPr>
            <w:r>
              <w:t>cl. 13(1)</w:t>
            </w:r>
          </w:p>
        </w:tc>
        <w:tc>
          <w:tcPr>
            <w:tcW w:w="1418" w:type="dxa"/>
          </w:tcPr>
          <w:p>
            <w:pPr>
              <w:pStyle w:val="Table"/>
              <w:spacing w:before="0"/>
            </w:pPr>
            <w:r>
              <w:t>cl. 31</w:t>
            </w:r>
          </w:p>
        </w:tc>
      </w:tr>
      <w:tr>
        <w:tc>
          <w:tcPr>
            <w:tcW w:w="2126" w:type="dxa"/>
          </w:tcPr>
          <w:p>
            <w:pPr>
              <w:pStyle w:val="Table"/>
              <w:spacing w:before="0"/>
            </w:pPr>
            <w:r>
              <w:t>cl. 14(1)</w:t>
            </w:r>
          </w:p>
        </w:tc>
        <w:tc>
          <w:tcPr>
            <w:tcW w:w="1418" w:type="dxa"/>
          </w:tcPr>
          <w:p>
            <w:pPr>
              <w:pStyle w:val="Table"/>
              <w:spacing w:before="0"/>
            </w:pPr>
            <w:r>
              <w:t>cl. 37(2)</w:t>
            </w:r>
          </w:p>
        </w:tc>
      </w:tr>
      <w:tr>
        <w:tc>
          <w:tcPr>
            <w:tcW w:w="2126" w:type="dxa"/>
          </w:tcPr>
          <w:p>
            <w:pPr>
              <w:pStyle w:val="Table"/>
              <w:spacing w:before="0"/>
            </w:pPr>
            <w:r>
              <w:t>cl. 17</w:t>
            </w:r>
          </w:p>
        </w:tc>
        <w:tc>
          <w:tcPr>
            <w:tcW w:w="1418" w:type="dxa"/>
          </w:tcPr>
          <w:p>
            <w:pPr>
              <w:pStyle w:val="Table"/>
              <w:spacing w:before="0"/>
            </w:pPr>
            <w:r>
              <w:t>cl. 42</w:t>
            </w:r>
          </w:p>
        </w:tc>
      </w:tr>
      <w:tr>
        <w:tc>
          <w:tcPr>
            <w:tcW w:w="2126" w:type="dxa"/>
          </w:tcPr>
          <w:p>
            <w:pPr>
              <w:pStyle w:val="Table"/>
              <w:spacing w:before="0"/>
            </w:pPr>
            <w:r>
              <w:t>cl. 18</w:t>
            </w:r>
          </w:p>
        </w:tc>
        <w:tc>
          <w:tcPr>
            <w:tcW w:w="1418" w:type="dxa"/>
          </w:tcPr>
          <w:p>
            <w:pPr>
              <w:pStyle w:val="Table"/>
              <w:spacing w:before="0"/>
            </w:pPr>
            <w:r>
              <w:t>cl. 46(1)(b)</w:t>
            </w:r>
          </w:p>
        </w:tc>
      </w:tr>
      <w:tr>
        <w:tc>
          <w:tcPr>
            <w:tcW w:w="2126" w:type="dxa"/>
          </w:tcPr>
          <w:p>
            <w:pPr>
              <w:pStyle w:val="Table"/>
              <w:spacing w:before="0"/>
            </w:pPr>
            <w:r>
              <w:t>cl. 24(b)</w:t>
            </w:r>
          </w:p>
        </w:tc>
        <w:tc>
          <w:tcPr>
            <w:tcW w:w="1418" w:type="dxa"/>
          </w:tcPr>
          <w:p>
            <w:pPr>
              <w:pStyle w:val="Table"/>
              <w:spacing w:before="0"/>
            </w:pPr>
            <w:r>
              <w:t>cl. 47</w:t>
            </w:r>
          </w:p>
        </w:tc>
      </w:tr>
      <w:tr>
        <w:tc>
          <w:tcPr>
            <w:tcW w:w="2126" w:type="dxa"/>
          </w:tcPr>
          <w:p>
            <w:pPr>
              <w:pStyle w:val="Table"/>
              <w:spacing w:before="0"/>
            </w:pPr>
            <w:r>
              <w:t>cl. 25(1)(e)</w:t>
            </w:r>
          </w:p>
        </w:tc>
        <w:tc>
          <w:tcPr>
            <w:tcW w:w="1418" w:type="dxa"/>
          </w:tcPr>
          <w:p>
            <w:pPr>
              <w:pStyle w:val="Table"/>
              <w:spacing w:before="0"/>
            </w:pPr>
            <w:r>
              <w:t>cl. 50</w:t>
            </w:r>
          </w:p>
        </w:tc>
      </w:tr>
      <w:tr>
        <w:tc>
          <w:tcPr>
            <w:tcW w:w="2126" w:type="dxa"/>
          </w:tcPr>
          <w:p>
            <w:pPr>
              <w:pStyle w:val="Table"/>
              <w:spacing w:before="0"/>
            </w:pPr>
            <w:r>
              <w:t>cl. 25(2)</w:t>
            </w:r>
          </w:p>
        </w:tc>
        <w:tc>
          <w:tcPr>
            <w:tcW w:w="1418" w:type="dxa"/>
          </w:tcPr>
          <w:p>
            <w:pPr>
              <w:pStyle w:val="Table"/>
              <w:spacing w:before="0"/>
            </w:pPr>
            <w:r>
              <w:t>cl. 51</w:t>
            </w:r>
          </w:p>
        </w:tc>
      </w:tr>
      <w:tr>
        <w:tc>
          <w:tcPr>
            <w:tcW w:w="2126" w:type="dxa"/>
          </w:tcPr>
          <w:p>
            <w:pPr>
              <w:pStyle w:val="Table"/>
              <w:spacing w:before="0"/>
            </w:pPr>
            <w:r>
              <w:t>cl. 26(4)</w:t>
            </w:r>
          </w:p>
        </w:tc>
        <w:tc>
          <w:tcPr>
            <w:tcW w:w="1418" w:type="dxa"/>
          </w:tcPr>
          <w:p>
            <w:pPr>
              <w:pStyle w:val="Table"/>
              <w:spacing w:before="0"/>
            </w:pPr>
          </w:p>
        </w:tc>
      </w:tr>
    </w:tbl>
    <w:p>
      <w:pPr>
        <w:pStyle w:val="Footnotesection"/>
      </w:pPr>
      <w:r>
        <w:tab/>
        <w:t>[Regulation 27B inserted in Gazette 25 Aug 2000 p. 4912</w:t>
      </w:r>
      <w:r>
        <w:noBreakHyphen/>
        <w:t>13.]</w:t>
      </w:r>
    </w:p>
    <w:p>
      <w:pPr>
        <w:pStyle w:val="Heading2"/>
      </w:pPr>
      <w:bookmarkStart w:id="86" w:name="_Toc408481882"/>
      <w:bookmarkStart w:id="87" w:name="_Toc415150817"/>
      <w:bookmarkStart w:id="88" w:name="_Toc415151002"/>
      <w:bookmarkStart w:id="89" w:name="_Toc415150952"/>
      <w:r>
        <w:rPr>
          <w:rStyle w:val="CharPartNo"/>
        </w:rPr>
        <w:t>Part 4</w:t>
      </w:r>
      <w:r>
        <w:t> — </w:t>
      </w:r>
      <w:r>
        <w:rPr>
          <w:rStyle w:val="CharPartText"/>
        </w:rPr>
        <w:t>Park homes, annexes, carports, pergolas and storage sheds</w:t>
      </w:r>
      <w:bookmarkEnd w:id="86"/>
      <w:bookmarkEnd w:id="87"/>
      <w:bookmarkEnd w:id="88"/>
      <w:bookmarkEnd w:id="89"/>
      <w:r>
        <w:rPr>
          <w:rStyle w:val="CharPartText"/>
        </w:rPr>
        <w:t xml:space="preserve"> </w:t>
      </w:r>
    </w:p>
    <w:p>
      <w:pPr>
        <w:pStyle w:val="Heading3"/>
        <w:spacing w:before="200"/>
        <w:rPr>
          <w:snapToGrid w:val="0"/>
        </w:rPr>
      </w:pPr>
      <w:bookmarkStart w:id="90" w:name="_Toc408481883"/>
      <w:bookmarkStart w:id="91" w:name="_Toc415150818"/>
      <w:bookmarkStart w:id="92" w:name="_Toc415151003"/>
      <w:bookmarkStart w:id="93" w:name="_Toc415150953"/>
      <w:r>
        <w:rPr>
          <w:rStyle w:val="CharDivNo"/>
        </w:rPr>
        <w:t>Division 1</w:t>
      </w:r>
      <w:r>
        <w:rPr>
          <w:snapToGrid w:val="0"/>
        </w:rPr>
        <w:t> — </w:t>
      </w:r>
      <w:r>
        <w:rPr>
          <w:rStyle w:val="CharDivText"/>
        </w:rPr>
        <w:t>Certain construction prohibited at facility</w:t>
      </w:r>
      <w:bookmarkEnd w:id="90"/>
      <w:bookmarkEnd w:id="91"/>
      <w:bookmarkEnd w:id="92"/>
      <w:bookmarkEnd w:id="93"/>
      <w:r>
        <w:rPr>
          <w:rStyle w:val="CharDivText"/>
        </w:rPr>
        <w:t xml:space="preserve"> </w:t>
      </w:r>
    </w:p>
    <w:p>
      <w:pPr>
        <w:pStyle w:val="Heading5"/>
        <w:spacing w:before="160"/>
        <w:rPr>
          <w:snapToGrid w:val="0"/>
        </w:rPr>
      </w:pPr>
      <w:bookmarkStart w:id="94" w:name="_Toc408481884"/>
      <w:bookmarkStart w:id="95" w:name="_Toc415150955"/>
      <w:r>
        <w:rPr>
          <w:rStyle w:val="CharSectno"/>
        </w:rPr>
        <w:t>28</w:t>
      </w:r>
      <w:r>
        <w:rPr>
          <w:snapToGrid w:val="0"/>
        </w:rPr>
        <w:t xml:space="preserve">. </w:t>
      </w:r>
      <w:r>
        <w:rPr>
          <w:snapToGrid w:val="0"/>
        </w:rPr>
        <w:tab/>
        <w:t>Park home not to be constructed in caravan park or camping ground</w:t>
      </w:r>
      <w:bookmarkEnd w:id="94"/>
      <w:bookmarkEnd w:id="95"/>
      <w:r>
        <w:rPr>
          <w:snapToGrid w:val="0"/>
        </w:rPr>
        <w:t xml:space="preserve"> </w:t>
      </w:r>
    </w:p>
    <w:p>
      <w:pPr>
        <w:pStyle w:val="Subsection"/>
        <w:spacing w:before="120"/>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in Gazette 12 Dec 2014 p. 4733.]</w:t>
      </w:r>
    </w:p>
    <w:p>
      <w:pPr>
        <w:pStyle w:val="Heading5"/>
        <w:spacing w:before="140"/>
        <w:rPr>
          <w:snapToGrid w:val="0"/>
        </w:rPr>
      </w:pPr>
      <w:bookmarkStart w:id="96" w:name="_Toc408481885"/>
      <w:bookmarkStart w:id="97" w:name="_Toc415150956"/>
      <w:r>
        <w:rPr>
          <w:rStyle w:val="CharSectno"/>
        </w:rPr>
        <w:t>29</w:t>
      </w:r>
      <w:r>
        <w:rPr>
          <w:snapToGrid w:val="0"/>
        </w:rPr>
        <w:t xml:space="preserve">. </w:t>
      </w:r>
      <w:r>
        <w:rPr>
          <w:snapToGrid w:val="0"/>
        </w:rPr>
        <w:tab/>
        <w:t>Annexe, carport, pergola or storage shed may be constructed on site</w:t>
      </w:r>
      <w:bookmarkEnd w:id="96"/>
      <w:bookmarkEnd w:id="97"/>
      <w:r>
        <w:rPr>
          <w:snapToGrid w:val="0"/>
        </w:rPr>
        <w:t xml:space="preserve"> </w:t>
      </w:r>
    </w:p>
    <w:p>
      <w:pPr>
        <w:pStyle w:val="Subsection"/>
        <w:spacing w:before="120"/>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in Gazette 25 Aug 2000 p. 4913; 12 Dec 2014 p. 4733.]</w:t>
      </w:r>
    </w:p>
    <w:p>
      <w:pPr>
        <w:pStyle w:val="Heading3"/>
        <w:spacing w:before="160"/>
        <w:rPr>
          <w:snapToGrid w:val="0"/>
        </w:rPr>
      </w:pPr>
      <w:bookmarkStart w:id="98" w:name="_Toc408481886"/>
      <w:bookmarkStart w:id="99" w:name="_Toc415150821"/>
      <w:bookmarkStart w:id="100" w:name="_Toc415151006"/>
      <w:bookmarkStart w:id="101" w:name="_Toc415150957"/>
      <w:r>
        <w:rPr>
          <w:rStyle w:val="CharDivNo"/>
        </w:rPr>
        <w:t>Division 2</w:t>
      </w:r>
      <w:r>
        <w:rPr>
          <w:snapToGrid w:val="0"/>
        </w:rPr>
        <w:t> — </w:t>
      </w:r>
      <w:r>
        <w:rPr>
          <w:rStyle w:val="CharDivText"/>
        </w:rPr>
        <w:t>Park homes and annexes</w:t>
      </w:r>
      <w:bookmarkEnd w:id="98"/>
      <w:bookmarkEnd w:id="99"/>
      <w:bookmarkEnd w:id="100"/>
      <w:bookmarkEnd w:id="101"/>
      <w:r>
        <w:rPr>
          <w:rStyle w:val="CharDivText"/>
        </w:rPr>
        <w:t xml:space="preserve"> </w:t>
      </w:r>
    </w:p>
    <w:p>
      <w:pPr>
        <w:pStyle w:val="Heading5"/>
        <w:spacing w:before="160"/>
        <w:rPr>
          <w:snapToGrid w:val="0"/>
        </w:rPr>
      </w:pPr>
      <w:bookmarkStart w:id="102" w:name="_Toc408481887"/>
      <w:bookmarkStart w:id="103" w:name="_Toc415150958"/>
      <w:r>
        <w:rPr>
          <w:rStyle w:val="CharSectno"/>
        </w:rPr>
        <w:t>30</w:t>
      </w:r>
      <w:r>
        <w:rPr>
          <w:snapToGrid w:val="0"/>
        </w:rPr>
        <w:t xml:space="preserve">. </w:t>
      </w:r>
      <w:r>
        <w:rPr>
          <w:snapToGrid w:val="0"/>
        </w:rPr>
        <w:tab/>
        <w:t>Park homes</w:t>
      </w:r>
      <w:bookmarkEnd w:id="102"/>
      <w:bookmarkEnd w:id="103"/>
      <w:r>
        <w:rPr>
          <w:snapToGrid w:val="0"/>
        </w:rPr>
        <w:t xml:space="preserve"> </w:t>
      </w:r>
    </w:p>
    <w:p>
      <w:pPr>
        <w:pStyle w:val="Subsection"/>
        <w:spacing w:before="120"/>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spacing w:before="120"/>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in Gazette 25 Aug 2000 p. 4913; 12 Dec 2014 p. 4724.]</w:t>
      </w:r>
    </w:p>
    <w:p>
      <w:pPr>
        <w:pStyle w:val="Heading5"/>
        <w:rPr>
          <w:snapToGrid w:val="0"/>
        </w:rPr>
      </w:pPr>
      <w:bookmarkStart w:id="104" w:name="_Toc408481888"/>
      <w:bookmarkStart w:id="105" w:name="_Toc415150959"/>
      <w:r>
        <w:rPr>
          <w:rStyle w:val="CharSectno"/>
        </w:rPr>
        <w:t>31</w:t>
      </w:r>
      <w:r>
        <w:rPr>
          <w:snapToGrid w:val="0"/>
        </w:rPr>
        <w:t xml:space="preserve">. </w:t>
      </w:r>
      <w:r>
        <w:rPr>
          <w:snapToGrid w:val="0"/>
        </w:rPr>
        <w:tab/>
        <w:t>Approval of local government for park home</w:t>
      </w:r>
      <w:bookmarkEnd w:id="104"/>
      <w:bookmarkEnd w:id="105"/>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106" w:name="_Toc408481889"/>
      <w:bookmarkStart w:id="107" w:name="_Toc415150960"/>
      <w:r>
        <w:rPr>
          <w:rStyle w:val="CharSectno"/>
        </w:rPr>
        <w:t>32</w:t>
      </w:r>
      <w:r>
        <w:rPr>
          <w:snapToGrid w:val="0"/>
        </w:rPr>
        <w:t xml:space="preserve">. </w:t>
      </w:r>
      <w:r>
        <w:rPr>
          <w:snapToGrid w:val="0"/>
        </w:rPr>
        <w:tab/>
        <w:t>Park home certificates</w:t>
      </w:r>
      <w:bookmarkEnd w:id="106"/>
      <w:bookmarkEnd w:id="107"/>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park home;</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registered under the </w:t>
      </w:r>
      <w:r>
        <w:rPr>
          <w:i/>
        </w:rPr>
        <w:t>Builders’ Registration Act 1939</w:t>
      </w:r>
      <w:r>
        <w:t xml:space="preserve">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rPr>
          <w:snapToGrid w:val="0"/>
        </w:rPr>
      </w:pPr>
      <w:r>
        <w:rPr>
          <w:snapToGrid w:val="0"/>
        </w:rPr>
        <w:tab/>
        <w:t>(5)</w:t>
      </w:r>
      <w:r>
        <w:rPr>
          <w:snapToGrid w:val="0"/>
        </w:rPr>
        <w:tab/>
        <w:t>In this regulation — </w:t>
      </w:r>
    </w:p>
    <w:p>
      <w:pPr>
        <w:pStyle w:val="Defstart"/>
      </w:pPr>
      <w:r>
        <w:tab/>
      </w:r>
      <w:r>
        <w:rPr>
          <w:rStyle w:val="CharDefText"/>
          <w:b w:val="0"/>
        </w:rPr>
        <w:t>person who constructs a park home</w:t>
      </w:r>
      <w:r>
        <w:t xml:space="preserve"> means the business, body corporate or natural person or persons who or which is responsible for construction of the park home.</w:t>
      </w:r>
    </w:p>
    <w:p>
      <w:pPr>
        <w:pStyle w:val="Subsection"/>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pPr>
      <w:r>
        <w:tab/>
      </w:r>
      <w:r>
        <w:tab/>
        <w:t>have approved otherwise in writing.</w:t>
      </w:r>
    </w:p>
    <w:p>
      <w:pPr>
        <w:pStyle w:val="Penstart"/>
      </w:pPr>
      <w:r>
        <w:tab/>
        <w:t>Penalty for an offence under this subregulation: a fine of $4 000.</w:t>
      </w:r>
    </w:p>
    <w:p>
      <w:pPr>
        <w:pStyle w:val="Footnotesection"/>
      </w:pPr>
      <w:r>
        <w:tab/>
        <w:t>[Regulation 32 amended in Gazette 25 Aug 2000 p. 4914; 12 Dec 2014 p. 4725 and 4733.]</w:t>
      </w:r>
    </w:p>
    <w:p>
      <w:pPr>
        <w:pStyle w:val="Heading5"/>
        <w:rPr>
          <w:snapToGrid w:val="0"/>
        </w:rPr>
      </w:pPr>
      <w:bookmarkStart w:id="108" w:name="_Toc408481890"/>
      <w:bookmarkStart w:id="109" w:name="_Toc415150961"/>
      <w:r>
        <w:rPr>
          <w:rStyle w:val="CharSectno"/>
        </w:rPr>
        <w:t>33</w:t>
      </w:r>
      <w:r>
        <w:rPr>
          <w:snapToGrid w:val="0"/>
        </w:rPr>
        <w:t xml:space="preserve">. </w:t>
      </w:r>
      <w:r>
        <w:rPr>
          <w:snapToGrid w:val="0"/>
        </w:rPr>
        <w:tab/>
        <w:t>Park homes to be in accordance with Building Code</w:t>
      </w:r>
      <w:bookmarkEnd w:id="108"/>
      <w:bookmarkEnd w:id="109"/>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 12 Dec 2014 p. 4733.]</w:t>
      </w:r>
    </w:p>
    <w:p>
      <w:pPr>
        <w:pStyle w:val="Heading5"/>
        <w:rPr>
          <w:snapToGrid w:val="0"/>
        </w:rPr>
      </w:pPr>
      <w:bookmarkStart w:id="110" w:name="_Toc408481891"/>
      <w:bookmarkStart w:id="111" w:name="_Toc415150962"/>
      <w:r>
        <w:rPr>
          <w:rStyle w:val="CharSectno"/>
        </w:rPr>
        <w:t>34</w:t>
      </w:r>
      <w:r>
        <w:rPr>
          <w:snapToGrid w:val="0"/>
        </w:rPr>
        <w:t xml:space="preserve">. </w:t>
      </w:r>
      <w:r>
        <w:rPr>
          <w:snapToGrid w:val="0"/>
        </w:rPr>
        <w:tab/>
        <w:t>Annexes</w:t>
      </w:r>
      <w:bookmarkEnd w:id="110"/>
      <w:bookmarkEnd w:id="111"/>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pPr>
      <w:r>
        <w:tab/>
        <w:t>(5)</w:t>
      </w:r>
      <w:r>
        <w:tab/>
        <w:t>Subregulation (4) does not apply to the attachment of a rigid annexe after 1 January 2015 that is done in accordance with approval given before that day.</w:t>
      </w:r>
    </w:p>
    <w:p>
      <w:pPr>
        <w:pStyle w:val="Footnotesection"/>
      </w:pPr>
      <w:r>
        <w:tab/>
        <w:t>[Regulation 34 amended in Gazette 12 Dec 2014 p. 4725 and 4733.]</w:t>
      </w:r>
    </w:p>
    <w:p>
      <w:pPr>
        <w:pStyle w:val="Heading5"/>
        <w:spacing w:before="200"/>
        <w:rPr>
          <w:snapToGrid w:val="0"/>
        </w:rPr>
      </w:pPr>
      <w:bookmarkStart w:id="112" w:name="_Toc408481892"/>
      <w:bookmarkStart w:id="113" w:name="_Toc415150964"/>
      <w:r>
        <w:rPr>
          <w:rStyle w:val="CharSectno"/>
        </w:rPr>
        <w:t>35</w:t>
      </w:r>
      <w:r>
        <w:rPr>
          <w:snapToGrid w:val="0"/>
        </w:rPr>
        <w:t xml:space="preserve">. </w:t>
      </w:r>
      <w:r>
        <w:rPr>
          <w:snapToGrid w:val="0"/>
        </w:rPr>
        <w:tab/>
        <w:t>Approval of local government for annexe</w:t>
      </w:r>
      <w:bookmarkEnd w:id="112"/>
      <w:bookmarkEnd w:id="113"/>
      <w:r>
        <w:rPr>
          <w:snapToGrid w:val="0"/>
        </w:rPr>
        <w:t xml:space="preserve"> </w:t>
      </w:r>
    </w:p>
    <w:p>
      <w:pPr>
        <w:pStyle w:val="Subsection"/>
        <w:spacing w:before="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160"/>
        <w:rPr>
          <w:snapToGrid w:val="0"/>
        </w:rPr>
      </w:pPr>
      <w:bookmarkStart w:id="114" w:name="_Toc408481893"/>
      <w:bookmarkStart w:id="115" w:name="_Toc415150965"/>
      <w:r>
        <w:rPr>
          <w:rStyle w:val="CharSectno"/>
        </w:rPr>
        <w:t>36</w:t>
      </w:r>
      <w:r>
        <w:rPr>
          <w:snapToGrid w:val="0"/>
        </w:rPr>
        <w:t xml:space="preserve">. </w:t>
      </w:r>
      <w:r>
        <w:rPr>
          <w:snapToGrid w:val="0"/>
        </w:rPr>
        <w:tab/>
        <w:t>Annexe certificate</w:t>
      </w:r>
      <w:bookmarkEnd w:id="114"/>
      <w:bookmarkEnd w:id="115"/>
      <w:r>
        <w:rPr>
          <w:snapToGrid w:val="0"/>
        </w:rPr>
        <w:t xml:space="preserve"> </w:t>
      </w:r>
    </w:p>
    <w:p>
      <w:pPr>
        <w:pStyle w:val="Subsection"/>
        <w:spacing w:before="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rPr>
          <w:snapToGrid w:val="0"/>
        </w:rPr>
      </w:pPr>
      <w:r>
        <w:rPr>
          <w:snapToGrid w:val="0"/>
        </w:rPr>
        <w:tab/>
        <w:t xml:space="preserve">Penalty: </w:t>
      </w:r>
      <w:r>
        <w:t>a fine of</w:t>
      </w:r>
      <w:r>
        <w:rPr>
          <w:snapToGrid w:val="0"/>
        </w:rPr>
        <w:t xml:space="preserve"> $4 000.</w:t>
      </w:r>
    </w:p>
    <w:p>
      <w:pPr>
        <w:pStyle w:val="Subsection"/>
        <w:spacing w:before="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rPr>
          <w:snapToGrid w:val="0"/>
        </w:rPr>
      </w:pPr>
      <w:r>
        <w:rPr>
          <w:snapToGrid w:val="0"/>
        </w:rPr>
        <w:tab/>
        <w:t>Penalty:</w:t>
      </w:r>
      <w:r>
        <w:t xml:space="preserve"> a fine of</w:t>
      </w:r>
      <w:r>
        <w:rPr>
          <w:snapToGrid w:val="0"/>
        </w:rPr>
        <w:t xml:space="preserve"> $2 000.</w:t>
      </w:r>
    </w:p>
    <w:p>
      <w:pPr>
        <w:pStyle w:val="Subsection"/>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b w:val="0"/>
        </w:rPr>
        <w:t>person who constructs an annexe</w:t>
      </w:r>
      <w:r>
        <w:rPr>
          <w:b/>
        </w:rPr>
        <w:t xml:space="preserve"> </w:t>
      </w:r>
      <w:r>
        <w:t>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in Gazette 25 Aug 2000 p. 4915; 12 Dec 2014 p. 4725 and 4733.]</w:t>
      </w:r>
    </w:p>
    <w:p>
      <w:pPr>
        <w:pStyle w:val="Heading5"/>
        <w:rPr>
          <w:snapToGrid w:val="0"/>
        </w:rPr>
      </w:pPr>
      <w:bookmarkStart w:id="116" w:name="_Toc408481894"/>
      <w:bookmarkStart w:id="117" w:name="_Toc415151152"/>
      <w:r>
        <w:rPr>
          <w:rStyle w:val="CharSectno"/>
        </w:rPr>
        <w:t>37</w:t>
      </w:r>
      <w:r>
        <w:rPr>
          <w:snapToGrid w:val="0"/>
        </w:rPr>
        <w:t xml:space="preserve">. </w:t>
      </w:r>
      <w:r>
        <w:rPr>
          <w:snapToGrid w:val="0"/>
        </w:rPr>
        <w:tab/>
        <w:t>Rigid annexe to be in accordance with Building Code</w:t>
      </w:r>
      <w:bookmarkEnd w:id="116"/>
      <w:bookmarkEnd w:id="117"/>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in Gazette 12 Dec 2014 p. 4725.]</w:t>
      </w:r>
    </w:p>
    <w:p>
      <w:pPr>
        <w:pStyle w:val="Heading5"/>
        <w:rPr>
          <w:snapToGrid w:val="0"/>
        </w:rPr>
      </w:pPr>
      <w:bookmarkStart w:id="118" w:name="_Toc408481895"/>
      <w:bookmarkStart w:id="119" w:name="_Toc415151153"/>
      <w:r>
        <w:rPr>
          <w:rStyle w:val="CharSectno"/>
        </w:rPr>
        <w:t>38</w:t>
      </w:r>
      <w:r>
        <w:rPr>
          <w:snapToGrid w:val="0"/>
        </w:rPr>
        <w:t xml:space="preserve">. </w:t>
      </w:r>
      <w:r>
        <w:rPr>
          <w:snapToGrid w:val="0"/>
        </w:rPr>
        <w:tab/>
        <w:t>Change of use of park home or annexe</w:t>
      </w:r>
      <w:bookmarkEnd w:id="118"/>
      <w:bookmarkEnd w:id="119"/>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in Gazette 12 Dec 2014 p. 4733.]</w:t>
      </w:r>
    </w:p>
    <w:p>
      <w:pPr>
        <w:pStyle w:val="Heading3"/>
        <w:rPr>
          <w:snapToGrid w:val="0"/>
        </w:rPr>
      </w:pPr>
      <w:bookmarkStart w:id="120" w:name="_Toc408481896"/>
      <w:bookmarkStart w:id="121" w:name="_Toc415150831"/>
      <w:bookmarkStart w:id="122" w:name="_Toc415151016"/>
      <w:bookmarkStart w:id="123" w:name="_Toc415151154"/>
      <w:r>
        <w:rPr>
          <w:rStyle w:val="CharDivNo"/>
        </w:rPr>
        <w:t>Division 3</w:t>
      </w:r>
      <w:r>
        <w:rPr>
          <w:snapToGrid w:val="0"/>
        </w:rPr>
        <w:t> — </w:t>
      </w:r>
      <w:r>
        <w:rPr>
          <w:rStyle w:val="CharDivText"/>
        </w:rPr>
        <w:t>Carports, pergolas and storage sheds</w:t>
      </w:r>
      <w:bookmarkEnd w:id="120"/>
      <w:bookmarkEnd w:id="121"/>
      <w:bookmarkEnd w:id="122"/>
      <w:bookmarkEnd w:id="123"/>
    </w:p>
    <w:p>
      <w:pPr>
        <w:pStyle w:val="Heading5"/>
        <w:rPr>
          <w:snapToGrid w:val="0"/>
        </w:rPr>
      </w:pPr>
      <w:bookmarkStart w:id="124" w:name="_Toc408481897"/>
      <w:bookmarkStart w:id="125" w:name="_Toc415151155"/>
      <w:r>
        <w:rPr>
          <w:rStyle w:val="CharSectno"/>
        </w:rPr>
        <w:t>39</w:t>
      </w:r>
      <w:r>
        <w:rPr>
          <w:snapToGrid w:val="0"/>
        </w:rPr>
        <w:t xml:space="preserve">. </w:t>
      </w:r>
      <w:r>
        <w:rPr>
          <w:snapToGrid w:val="0"/>
        </w:rPr>
        <w:tab/>
        <w:t>Carports and pergolas</w:t>
      </w:r>
      <w:bookmarkEnd w:id="124"/>
      <w:bookmarkEnd w:id="125"/>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in Gazette 12 Dec 2014 p. 4725 and 4733.]</w:t>
      </w:r>
    </w:p>
    <w:p>
      <w:pPr>
        <w:pStyle w:val="Heading5"/>
        <w:rPr>
          <w:snapToGrid w:val="0"/>
        </w:rPr>
      </w:pPr>
      <w:bookmarkStart w:id="126" w:name="_Toc408481898"/>
      <w:bookmarkStart w:id="127" w:name="_Toc415151156"/>
      <w:r>
        <w:rPr>
          <w:rStyle w:val="CharSectno"/>
        </w:rPr>
        <w:t>40</w:t>
      </w:r>
      <w:r>
        <w:rPr>
          <w:snapToGrid w:val="0"/>
        </w:rPr>
        <w:t xml:space="preserve">. </w:t>
      </w:r>
      <w:r>
        <w:rPr>
          <w:snapToGrid w:val="0"/>
        </w:rPr>
        <w:tab/>
        <w:t>Storage sheds</w:t>
      </w:r>
      <w:bookmarkEnd w:id="126"/>
      <w:bookmarkEnd w:id="127"/>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in Gazette 12 Dec 2014 p. 4726 and 4733.]</w:t>
      </w:r>
    </w:p>
    <w:p>
      <w:pPr>
        <w:pStyle w:val="Heading2"/>
      </w:pPr>
      <w:bookmarkStart w:id="128" w:name="_Toc408481899"/>
      <w:bookmarkStart w:id="129" w:name="_Toc415150834"/>
      <w:bookmarkStart w:id="130" w:name="_Toc415151019"/>
      <w:bookmarkStart w:id="131" w:name="_Toc415151157"/>
      <w:r>
        <w:rPr>
          <w:rStyle w:val="CharPartNo"/>
        </w:rPr>
        <w:t>Part 5</w:t>
      </w:r>
      <w:r>
        <w:rPr>
          <w:rStyle w:val="CharDivNo"/>
        </w:rPr>
        <w:t> </w:t>
      </w:r>
      <w:r>
        <w:t>—</w:t>
      </w:r>
      <w:r>
        <w:rPr>
          <w:rStyle w:val="CharDivText"/>
        </w:rPr>
        <w:t> </w:t>
      </w:r>
      <w:r>
        <w:rPr>
          <w:rStyle w:val="CharPartText"/>
        </w:rPr>
        <w:t>Licensing of caravan parks and camping grounds</w:t>
      </w:r>
      <w:bookmarkEnd w:id="128"/>
      <w:bookmarkEnd w:id="129"/>
      <w:bookmarkEnd w:id="130"/>
      <w:bookmarkEnd w:id="131"/>
      <w:r>
        <w:rPr>
          <w:rStyle w:val="CharPartText"/>
        </w:rPr>
        <w:t xml:space="preserve"> </w:t>
      </w:r>
    </w:p>
    <w:p>
      <w:pPr>
        <w:pStyle w:val="Heading5"/>
        <w:rPr>
          <w:snapToGrid w:val="0"/>
        </w:rPr>
      </w:pPr>
      <w:bookmarkStart w:id="132" w:name="_Toc408481900"/>
      <w:bookmarkStart w:id="133" w:name="_Toc415151158"/>
      <w:r>
        <w:rPr>
          <w:rStyle w:val="CharSectno"/>
        </w:rPr>
        <w:t>41</w:t>
      </w:r>
      <w:r>
        <w:rPr>
          <w:snapToGrid w:val="0"/>
        </w:rPr>
        <w:t xml:space="preserve">. </w:t>
      </w:r>
      <w:r>
        <w:rPr>
          <w:snapToGrid w:val="0"/>
        </w:rPr>
        <w:tab/>
        <w:t>Types of facilities and licences — Schedule 2</w:t>
      </w:r>
      <w:bookmarkEnd w:id="132"/>
      <w:bookmarkEnd w:id="133"/>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134" w:name="_Toc408481901"/>
      <w:bookmarkStart w:id="135" w:name="_Toc415151159"/>
      <w:r>
        <w:rPr>
          <w:rStyle w:val="CharSectno"/>
        </w:rPr>
        <w:t>42</w:t>
      </w:r>
      <w:r>
        <w:rPr>
          <w:snapToGrid w:val="0"/>
        </w:rPr>
        <w:t xml:space="preserve">. </w:t>
      </w:r>
      <w:r>
        <w:rPr>
          <w:snapToGrid w:val="0"/>
        </w:rPr>
        <w:tab/>
        <w:t>Licence to be of a type referred to in Schedule 2</w:t>
      </w:r>
      <w:bookmarkEnd w:id="134"/>
      <w:bookmarkEnd w:id="135"/>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136" w:name="_Toc408481902"/>
      <w:bookmarkStart w:id="137" w:name="_Toc415151160"/>
      <w:r>
        <w:rPr>
          <w:rStyle w:val="CharSectno"/>
        </w:rPr>
        <w:t>43</w:t>
      </w:r>
      <w:r>
        <w:rPr>
          <w:snapToGrid w:val="0"/>
        </w:rPr>
        <w:t xml:space="preserve">. </w:t>
      </w:r>
      <w:r>
        <w:rPr>
          <w:snapToGrid w:val="0"/>
        </w:rPr>
        <w:tab/>
        <w:t>Application for licence or renewal — Form 1</w:t>
      </w:r>
      <w:bookmarkEnd w:id="136"/>
      <w:bookmarkEnd w:id="137"/>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in Gazette 12 Dec 2014 p. 4726.]</w:t>
      </w:r>
    </w:p>
    <w:p>
      <w:pPr>
        <w:pStyle w:val="Heading5"/>
        <w:rPr>
          <w:snapToGrid w:val="0"/>
        </w:rPr>
      </w:pPr>
      <w:bookmarkStart w:id="138" w:name="_Toc408481903"/>
      <w:bookmarkStart w:id="139" w:name="_Toc415151161"/>
      <w:r>
        <w:rPr>
          <w:rStyle w:val="CharSectno"/>
        </w:rPr>
        <w:t>44</w:t>
      </w:r>
      <w:r>
        <w:rPr>
          <w:snapToGrid w:val="0"/>
        </w:rPr>
        <w:t xml:space="preserve">. </w:t>
      </w:r>
      <w:r>
        <w:rPr>
          <w:snapToGrid w:val="0"/>
        </w:rPr>
        <w:tab/>
        <w:t>No change to facility as shown on plan, unless approved</w:t>
      </w:r>
      <w:bookmarkEnd w:id="138"/>
      <w:bookmarkEnd w:id="139"/>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in Gazette 12 Dec 2014 p. 4733.]</w:t>
      </w:r>
    </w:p>
    <w:p>
      <w:pPr>
        <w:pStyle w:val="Heading5"/>
        <w:rPr>
          <w:snapToGrid w:val="0"/>
        </w:rPr>
      </w:pPr>
      <w:bookmarkStart w:id="140" w:name="_Toc408481904"/>
      <w:bookmarkStart w:id="141" w:name="_Toc415151162"/>
      <w:r>
        <w:rPr>
          <w:rStyle w:val="CharSectno"/>
        </w:rPr>
        <w:t>45</w:t>
      </w:r>
      <w:r>
        <w:rPr>
          <w:snapToGrid w:val="0"/>
        </w:rPr>
        <w:t xml:space="preserve">. </w:t>
      </w:r>
      <w:r>
        <w:rPr>
          <w:snapToGrid w:val="0"/>
        </w:rPr>
        <w:tab/>
        <w:t>Fee for application for licence or renewal</w:t>
      </w:r>
      <w:bookmarkEnd w:id="140"/>
      <w:bookmarkEnd w:id="141"/>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142" w:name="_Toc408481905"/>
      <w:bookmarkStart w:id="143" w:name="_Toc415151163"/>
      <w:r>
        <w:rPr>
          <w:rStyle w:val="CharSectno"/>
        </w:rPr>
        <w:t>46</w:t>
      </w:r>
      <w:r>
        <w:rPr>
          <w:snapToGrid w:val="0"/>
        </w:rPr>
        <w:t xml:space="preserve">. </w:t>
      </w:r>
      <w:r>
        <w:rPr>
          <w:snapToGrid w:val="0"/>
        </w:rPr>
        <w:tab/>
        <w:t>Licence — Form 2</w:t>
      </w:r>
      <w:bookmarkEnd w:id="142"/>
      <w:bookmarkEnd w:id="143"/>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144" w:name="_Toc408481906"/>
      <w:bookmarkStart w:id="145" w:name="_Toc415151164"/>
      <w:r>
        <w:rPr>
          <w:rStyle w:val="CharSectno"/>
        </w:rPr>
        <w:t>47</w:t>
      </w:r>
      <w:r>
        <w:rPr>
          <w:snapToGrid w:val="0"/>
        </w:rPr>
        <w:t xml:space="preserve">. </w:t>
      </w:r>
      <w:r>
        <w:rPr>
          <w:snapToGrid w:val="0"/>
        </w:rPr>
        <w:tab/>
        <w:t>Applications not dealt with within time are taken to be refused</w:t>
      </w:r>
      <w:bookmarkEnd w:id="144"/>
      <w:bookmarkEnd w:id="145"/>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Ednotesubsection"/>
      </w:pPr>
      <w:r>
        <w:tab/>
        <w:t>[(3)</w:t>
      </w:r>
      <w:r>
        <w:tab/>
        <w:t>deleted]</w:t>
      </w:r>
    </w:p>
    <w:p>
      <w:pPr>
        <w:pStyle w:val="Footnotesection"/>
      </w:pPr>
      <w:r>
        <w:tab/>
        <w:t>[Regulation 47 amended in Gazette 30 Dec 2004 p. 7011.]</w:t>
      </w:r>
    </w:p>
    <w:p>
      <w:pPr>
        <w:pStyle w:val="Heading5"/>
        <w:spacing w:before="200"/>
        <w:rPr>
          <w:snapToGrid w:val="0"/>
        </w:rPr>
      </w:pPr>
      <w:bookmarkStart w:id="146" w:name="_Toc408481907"/>
      <w:bookmarkStart w:id="147" w:name="_Toc415151165"/>
      <w:r>
        <w:rPr>
          <w:rStyle w:val="CharSectno"/>
        </w:rPr>
        <w:t>48</w:t>
      </w:r>
      <w:r>
        <w:rPr>
          <w:snapToGrid w:val="0"/>
        </w:rPr>
        <w:t xml:space="preserve">. </w:t>
      </w:r>
      <w:r>
        <w:rPr>
          <w:snapToGrid w:val="0"/>
        </w:rPr>
        <w:tab/>
        <w:t>Overflow areas</w:t>
      </w:r>
      <w:bookmarkEnd w:id="146"/>
      <w:bookmarkEnd w:id="147"/>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in Gazette 12 Dec 2014 p. 4726.]</w:t>
      </w:r>
    </w:p>
    <w:p>
      <w:pPr>
        <w:pStyle w:val="Heading5"/>
        <w:spacing w:before="200"/>
        <w:rPr>
          <w:snapToGrid w:val="0"/>
        </w:rPr>
      </w:pPr>
      <w:bookmarkStart w:id="148" w:name="_Toc408481908"/>
      <w:bookmarkStart w:id="149" w:name="_Toc415151166"/>
      <w:r>
        <w:rPr>
          <w:rStyle w:val="CharSectno"/>
        </w:rPr>
        <w:t>50</w:t>
      </w:r>
      <w:r>
        <w:rPr>
          <w:snapToGrid w:val="0"/>
        </w:rPr>
        <w:t xml:space="preserve">. </w:t>
      </w:r>
      <w:r>
        <w:rPr>
          <w:snapToGrid w:val="0"/>
        </w:rPr>
        <w:tab/>
        <w:t>Licence to specify number and types of sites and other conditions</w:t>
      </w:r>
      <w:bookmarkEnd w:id="148"/>
      <w:bookmarkEnd w:id="149"/>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150" w:name="_Toc408481909"/>
      <w:bookmarkStart w:id="151" w:name="_Toc415151167"/>
      <w:r>
        <w:rPr>
          <w:rStyle w:val="CharSectno"/>
        </w:rPr>
        <w:t>51</w:t>
      </w:r>
      <w:r>
        <w:rPr>
          <w:snapToGrid w:val="0"/>
        </w:rPr>
        <w:t>.</w:t>
      </w:r>
      <w:r>
        <w:rPr>
          <w:snapToGrid w:val="0"/>
        </w:rPr>
        <w:tab/>
        <w:t>Calculation of camping sites</w:t>
      </w:r>
      <w:bookmarkEnd w:id="150"/>
      <w:bookmarkEnd w:id="151"/>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square metres of camping ground available at the facility; and</w:t>
      </w:r>
    </w:p>
    <w:p>
      <w:pPr>
        <w:pStyle w:val="Indenta"/>
        <w:rPr>
          <w:snapToGrid w:val="0"/>
        </w:rPr>
      </w:pPr>
      <w:r>
        <w:rPr>
          <w:snapToGrid w:val="0"/>
        </w:rPr>
        <w:tab/>
        <w:t>(b)</w:t>
      </w:r>
      <w:r>
        <w:rPr>
          <w:snapToGrid w:val="0"/>
        </w:rPr>
        <w:tab/>
        <w:t>for any other facility, one site for each 25 square metres of camping ground available at the facility.</w:t>
      </w:r>
    </w:p>
    <w:p>
      <w:pPr>
        <w:pStyle w:val="Footnotesection"/>
      </w:pPr>
      <w:r>
        <w:tab/>
        <w:t>[Regulation 51 inserted in Gazette 12 Dec 2014 p. 4726.]</w:t>
      </w:r>
    </w:p>
    <w:p>
      <w:pPr>
        <w:pStyle w:val="Heading5"/>
        <w:rPr>
          <w:snapToGrid w:val="0"/>
        </w:rPr>
      </w:pPr>
      <w:bookmarkStart w:id="152" w:name="_Toc408481910"/>
      <w:bookmarkStart w:id="153" w:name="_Toc415151168"/>
      <w:r>
        <w:rPr>
          <w:rStyle w:val="CharSectno"/>
        </w:rPr>
        <w:t>52</w:t>
      </w:r>
      <w:r>
        <w:rPr>
          <w:snapToGrid w:val="0"/>
        </w:rPr>
        <w:t xml:space="preserve">. </w:t>
      </w:r>
      <w:r>
        <w:rPr>
          <w:snapToGrid w:val="0"/>
        </w:rPr>
        <w:tab/>
        <w:t>Duration of licence</w:t>
      </w:r>
      <w:bookmarkEnd w:id="152"/>
      <w:bookmarkEnd w:id="153"/>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154" w:name="_Toc408481911"/>
      <w:bookmarkStart w:id="155" w:name="_Toc415151169"/>
      <w:r>
        <w:rPr>
          <w:rStyle w:val="CharSectno"/>
        </w:rPr>
        <w:t>53</w:t>
      </w:r>
      <w:r>
        <w:rPr>
          <w:snapToGrid w:val="0"/>
        </w:rPr>
        <w:t xml:space="preserve">. </w:t>
      </w:r>
      <w:r>
        <w:rPr>
          <w:snapToGrid w:val="0"/>
        </w:rPr>
        <w:tab/>
        <w:t>Additional fee for renewal after expiry</w:t>
      </w:r>
      <w:bookmarkEnd w:id="154"/>
      <w:bookmarkEnd w:id="155"/>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156" w:name="_Toc408481912"/>
      <w:bookmarkStart w:id="157" w:name="_Toc415151170"/>
      <w:r>
        <w:rPr>
          <w:rStyle w:val="CharSectno"/>
        </w:rPr>
        <w:t>54</w:t>
      </w:r>
      <w:r>
        <w:rPr>
          <w:snapToGrid w:val="0"/>
        </w:rPr>
        <w:t xml:space="preserve">. </w:t>
      </w:r>
      <w:r>
        <w:rPr>
          <w:snapToGrid w:val="0"/>
        </w:rPr>
        <w:tab/>
        <w:t>Temporary licence</w:t>
      </w:r>
      <w:bookmarkEnd w:id="156"/>
      <w:bookmarkEnd w:id="157"/>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158" w:name="_Toc408481913"/>
      <w:bookmarkStart w:id="159" w:name="_Toc415151171"/>
      <w:r>
        <w:rPr>
          <w:rStyle w:val="CharSectno"/>
        </w:rPr>
        <w:t>55</w:t>
      </w:r>
      <w:r>
        <w:rPr>
          <w:snapToGrid w:val="0"/>
        </w:rPr>
        <w:t xml:space="preserve">. </w:t>
      </w:r>
      <w:r>
        <w:rPr>
          <w:snapToGrid w:val="0"/>
        </w:rPr>
        <w:tab/>
        <w:t>Transfer of licence</w:t>
      </w:r>
      <w:bookmarkEnd w:id="158"/>
      <w:bookmarkEnd w:id="159"/>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160" w:name="_Toc408481914"/>
      <w:bookmarkStart w:id="161" w:name="_Toc415150849"/>
      <w:bookmarkStart w:id="162" w:name="_Toc415151034"/>
      <w:bookmarkStart w:id="163" w:name="_Toc415151172"/>
      <w:r>
        <w:rPr>
          <w:rStyle w:val="CharPartNo"/>
        </w:rPr>
        <w:t>Part 6</w:t>
      </w:r>
      <w:r>
        <w:rPr>
          <w:rStyle w:val="CharDivNo"/>
        </w:rPr>
        <w:t> </w:t>
      </w:r>
      <w:r>
        <w:t>—</w:t>
      </w:r>
      <w:r>
        <w:rPr>
          <w:rStyle w:val="CharDivText"/>
        </w:rPr>
        <w:t> </w:t>
      </w:r>
      <w:r>
        <w:rPr>
          <w:rStyle w:val="CharPartText"/>
        </w:rPr>
        <w:t>Removal of neglected, abandoned, etc. caravans</w:t>
      </w:r>
      <w:bookmarkEnd w:id="160"/>
      <w:bookmarkEnd w:id="161"/>
      <w:bookmarkEnd w:id="162"/>
      <w:bookmarkEnd w:id="163"/>
      <w:r>
        <w:rPr>
          <w:rStyle w:val="CharPartText"/>
        </w:rPr>
        <w:t xml:space="preserve"> </w:t>
      </w:r>
    </w:p>
    <w:p>
      <w:pPr>
        <w:pStyle w:val="Heading5"/>
        <w:spacing w:before="200"/>
        <w:rPr>
          <w:snapToGrid w:val="0"/>
        </w:rPr>
      </w:pPr>
      <w:bookmarkStart w:id="164" w:name="_Toc408481915"/>
      <w:bookmarkStart w:id="165" w:name="_Toc415151173"/>
      <w:r>
        <w:rPr>
          <w:rStyle w:val="CharSectno"/>
        </w:rPr>
        <w:t>56</w:t>
      </w:r>
      <w:r>
        <w:rPr>
          <w:snapToGrid w:val="0"/>
        </w:rPr>
        <w:t xml:space="preserve">. </w:t>
      </w:r>
      <w:r>
        <w:rPr>
          <w:snapToGrid w:val="0"/>
        </w:rPr>
        <w:tab/>
        <w:t>Neglected or abandoned caravans</w:t>
      </w:r>
      <w:bookmarkEnd w:id="164"/>
      <w:bookmarkEnd w:id="165"/>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any actions that may be taken to rectify the problems with the caravan;</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166" w:name="_Toc408481916"/>
      <w:bookmarkStart w:id="167" w:name="_Toc415151174"/>
      <w:r>
        <w:rPr>
          <w:rStyle w:val="CharSectno"/>
        </w:rPr>
        <w:t>57</w:t>
      </w:r>
      <w:r>
        <w:rPr>
          <w:snapToGrid w:val="0"/>
        </w:rPr>
        <w:t xml:space="preserve">. </w:t>
      </w:r>
      <w:r>
        <w:rPr>
          <w:snapToGrid w:val="0"/>
        </w:rPr>
        <w:tab/>
        <w:t>Caravans in a dangerous condition</w:t>
      </w:r>
      <w:bookmarkEnd w:id="166"/>
      <w:bookmarkEnd w:id="167"/>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168" w:name="_Toc408481917"/>
      <w:bookmarkStart w:id="169" w:name="_Toc415151175"/>
      <w:r>
        <w:rPr>
          <w:rStyle w:val="CharSectno"/>
        </w:rPr>
        <w:t>58</w:t>
      </w:r>
      <w:r>
        <w:rPr>
          <w:snapToGrid w:val="0"/>
        </w:rPr>
        <w:t xml:space="preserve">. </w:t>
      </w:r>
      <w:r>
        <w:rPr>
          <w:snapToGrid w:val="0"/>
        </w:rPr>
        <w:tab/>
        <w:t>How notice is to be given</w:t>
      </w:r>
      <w:bookmarkEnd w:id="168"/>
      <w:bookmarkEnd w:id="169"/>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170" w:name="_Toc408481918"/>
      <w:bookmarkStart w:id="171" w:name="_Toc415151176"/>
      <w:r>
        <w:rPr>
          <w:rStyle w:val="CharSectno"/>
        </w:rPr>
        <w:t>59</w:t>
      </w:r>
      <w:r>
        <w:rPr>
          <w:snapToGrid w:val="0"/>
        </w:rPr>
        <w:t xml:space="preserve">. </w:t>
      </w:r>
      <w:r>
        <w:rPr>
          <w:snapToGrid w:val="0"/>
        </w:rPr>
        <w:tab/>
        <w:t>Caravans that have been removed</w:t>
      </w:r>
      <w:bookmarkEnd w:id="170"/>
      <w:bookmarkEnd w:id="171"/>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spacing w:before="120"/>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spacing w:before="120"/>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spacing w:before="120"/>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spacing w:before="120"/>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spacing w:before="120"/>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spacing w:before="100"/>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spacing w:before="120"/>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spacing w:before="120"/>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spacing w:before="120"/>
      </w:pPr>
      <w:r>
        <w:tab/>
        <w:t>(11)</w:t>
      </w:r>
      <w:r>
        <w:tab/>
        <w:t xml:space="preserve">In this regulation — </w:t>
      </w:r>
    </w:p>
    <w:p>
      <w:pPr>
        <w:pStyle w:val="Defstart"/>
      </w:pPr>
      <w:r>
        <w:tab/>
      </w:r>
      <w:r>
        <w:rPr>
          <w:rStyle w:val="CharDefText"/>
          <w:b w:val="0"/>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 12 Dec 2014 p. 4726-7.]</w:t>
      </w:r>
    </w:p>
    <w:p>
      <w:pPr>
        <w:pStyle w:val="Heading5"/>
        <w:spacing w:before="180"/>
        <w:rPr>
          <w:snapToGrid w:val="0"/>
        </w:rPr>
      </w:pPr>
      <w:bookmarkStart w:id="172" w:name="_Toc408481919"/>
      <w:bookmarkStart w:id="173" w:name="_Toc415151177"/>
      <w:r>
        <w:rPr>
          <w:rStyle w:val="CharSectno"/>
        </w:rPr>
        <w:t>60</w:t>
      </w:r>
      <w:r>
        <w:rPr>
          <w:snapToGrid w:val="0"/>
        </w:rPr>
        <w:t xml:space="preserve">. </w:t>
      </w:r>
      <w:r>
        <w:rPr>
          <w:snapToGrid w:val="0"/>
        </w:rPr>
        <w:tab/>
        <w:t>Notice before sale</w:t>
      </w:r>
      <w:bookmarkEnd w:id="172"/>
      <w:bookmarkEnd w:id="173"/>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in Gazette 12 Dec 2014 p. 4733.]</w:t>
      </w:r>
    </w:p>
    <w:p>
      <w:pPr>
        <w:pStyle w:val="Heading2"/>
      </w:pPr>
      <w:bookmarkStart w:id="174" w:name="_Toc408481920"/>
      <w:bookmarkStart w:id="175" w:name="_Toc415150855"/>
      <w:bookmarkStart w:id="176" w:name="_Toc415151040"/>
      <w:bookmarkStart w:id="177" w:name="_Toc415151178"/>
      <w:r>
        <w:rPr>
          <w:rStyle w:val="CharPartNo"/>
        </w:rPr>
        <w:t>Part 7</w:t>
      </w:r>
      <w:r>
        <w:rPr>
          <w:rStyle w:val="CharDivNo"/>
        </w:rPr>
        <w:t> </w:t>
      </w:r>
      <w:r>
        <w:t>—</w:t>
      </w:r>
      <w:r>
        <w:rPr>
          <w:rStyle w:val="CharDivText"/>
        </w:rPr>
        <w:t> </w:t>
      </w:r>
      <w:r>
        <w:rPr>
          <w:rStyle w:val="CharPartText"/>
        </w:rPr>
        <w:t>Infringement notices</w:t>
      </w:r>
      <w:bookmarkEnd w:id="174"/>
      <w:bookmarkEnd w:id="175"/>
      <w:bookmarkEnd w:id="176"/>
      <w:bookmarkEnd w:id="177"/>
      <w:r>
        <w:rPr>
          <w:rStyle w:val="CharPartText"/>
        </w:rPr>
        <w:t xml:space="preserve"> </w:t>
      </w:r>
    </w:p>
    <w:p>
      <w:pPr>
        <w:pStyle w:val="Heading5"/>
        <w:rPr>
          <w:snapToGrid w:val="0"/>
        </w:rPr>
      </w:pPr>
      <w:bookmarkStart w:id="178" w:name="_Toc408481921"/>
      <w:bookmarkStart w:id="179" w:name="_Toc415151179"/>
      <w:r>
        <w:rPr>
          <w:rStyle w:val="CharSectno"/>
        </w:rPr>
        <w:t>61</w:t>
      </w:r>
      <w:r>
        <w:rPr>
          <w:snapToGrid w:val="0"/>
        </w:rPr>
        <w:t xml:space="preserve">. </w:t>
      </w:r>
      <w:r>
        <w:rPr>
          <w:snapToGrid w:val="0"/>
        </w:rPr>
        <w:tab/>
        <w:t>Offences for which an infringement notice may be given</w:t>
      </w:r>
      <w:bookmarkEnd w:id="178"/>
      <w:bookmarkEnd w:id="179"/>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180" w:name="_Toc408481922"/>
      <w:bookmarkStart w:id="181" w:name="_Toc415151180"/>
      <w:r>
        <w:rPr>
          <w:rStyle w:val="CharSectno"/>
        </w:rPr>
        <w:t>62</w:t>
      </w:r>
      <w:r>
        <w:rPr>
          <w:snapToGrid w:val="0"/>
        </w:rPr>
        <w:t xml:space="preserve">. </w:t>
      </w:r>
      <w:r>
        <w:rPr>
          <w:snapToGrid w:val="0"/>
        </w:rPr>
        <w:tab/>
        <w:t>Modified penalties</w:t>
      </w:r>
      <w:bookmarkEnd w:id="180"/>
      <w:bookmarkEnd w:id="181"/>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182" w:name="_Toc408481923"/>
      <w:bookmarkStart w:id="183" w:name="_Toc415151181"/>
      <w:r>
        <w:rPr>
          <w:rStyle w:val="CharSectno"/>
        </w:rPr>
        <w:t>63</w:t>
      </w:r>
      <w:r>
        <w:rPr>
          <w:snapToGrid w:val="0"/>
        </w:rPr>
        <w:t xml:space="preserve">. </w:t>
      </w:r>
      <w:r>
        <w:rPr>
          <w:snapToGrid w:val="0"/>
        </w:rPr>
        <w:tab/>
        <w:t>Form of infringement notice — Form 3</w:t>
      </w:r>
      <w:bookmarkEnd w:id="182"/>
      <w:bookmarkEnd w:id="183"/>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184" w:name="_Toc408481924"/>
      <w:bookmarkStart w:id="185" w:name="_Toc415151182"/>
      <w:r>
        <w:rPr>
          <w:rStyle w:val="CharSectno"/>
        </w:rPr>
        <w:t>64</w:t>
      </w:r>
      <w:r>
        <w:rPr>
          <w:snapToGrid w:val="0"/>
        </w:rPr>
        <w:t xml:space="preserve">. </w:t>
      </w:r>
      <w:r>
        <w:rPr>
          <w:snapToGrid w:val="0"/>
        </w:rPr>
        <w:tab/>
        <w:t>Form of notice of withdrawal of infringement notice — Form 4</w:t>
      </w:r>
      <w:bookmarkEnd w:id="184"/>
      <w:bookmarkEnd w:id="185"/>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186" w:name="_Toc408481925"/>
      <w:bookmarkStart w:id="187" w:name="_Toc415150860"/>
      <w:bookmarkStart w:id="188" w:name="_Toc415151045"/>
      <w:bookmarkStart w:id="189" w:name="_Toc415151183"/>
      <w:r>
        <w:rPr>
          <w:rStyle w:val="CharPartNo"/>
        </w:rPr>
        <w:t>Part 8</w:t>
      </w:r>
      <w:r>
        <w:rPr>
          <w:rStyle w:val="CharDivNo"/>
        </w:rPr>
        <w:t> </w:t>
      </w:r>
      <w:r>
        <w:t>—</w:t>
      </w:r>
      <w:r>
        <w:rPr>
          <w:rStyle w:val="CharDivText"/>
        </w:rPr>
        <w:t> </w:t>
      </w:r>
      <w:r>
        <w:rPr>
          <w:rStyle w:val="CharPartText"/>
        </w:rPr>
        <w:t>Miscellaneous</w:t>
      </w:r>
      <w:bookmarkEnd w:id="186"/>
      <w:bookmarkEnd w:id="187"/>
      <w:bookmarkEnd w:id="188"/>
      <w:bookmarkEnd w:id="189"/>
      <w:r>
        <w:rPr>
          <w:rStyle w:val="CharPartText"/>
        </w:rPr>
        <w:t xml:space="preserve"> </w:t>
      </w:r>
    </w:p>
    <w:p>
      <w:pPr>
        <w:pStyle w:val="Heading5"/>
        <w:rPr>
          <w:snapToGrid w:val="0"/>
        </w:rPr>
      </w:pPr>
      <w:bookmarkStart w:id="190" w:name="_Toc408481926"/>
      <w:bookmarkStart w:id="191" w:name="_Toc415151184"/>
      <w:r>
        <w:rPr>
          <w:rStyle w:val="CharSectno"/>
        </w:rPr>
        <w:t>65</w:t>
      </w:r>
      <w:r>
        <w:rPr>
          <w:snapToGrid w:val="0"/>
        </w:rPr>
        <w:t xml:space="preserve">. </w:t>
      </w:r>
      <w:r>
        <w:rPr>
          <w:snapToGrid w:val="0"/>
        </w:rPr>
        <w:tab/>
        <w:t>Register of occupiers</w:t>
      </w:r>
      <w:bookmarkEnd w:id="190"/>
      <w:bookmarkEnd w:id="191"/>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w:t>
      </w:r>
    </w:p>
    <w:p>
      <w:pPr>
        <w:pStyle w:val="Indenta"/>
        <w:rPr>
          <w:snapToGrid w:val="0"/>
        </w:rPr>
      </w:pPr>
      <w:r>
        <w:rPr>
          <w:snapToGrid w:val="0"/>
        </w:rPr>
        <w:tab/>
        <w:t>(b)</w:t>
      </w:r>
      <w:r>
        <w:rPr>
          <w:snapToGrid w:val="0"/>
        </w:rPr>
        <w:tab/>
        <w:t>which site is occupied by a particular occupier, or group of occupiers;</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 xml:space="preserve">the caravan; </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rPr>
          <w:snapToGrid w:val="0"/>
        </w:rPr>
      </w:pPr>
      <w:bookmarkStart w:id="192" w:name="_Toc408481927"/>
      <w:bookmarkStart w:id="193" w:name="_Toc415151185"/>
      <w:r>
        <w:rPr>
          <w:rStyle w:val="CharSectno"/>
        </w:rPr>
        <w:t>66</w:t>
      </w:r>
      <w:r>
        <w:rPr>
          <w:snapToGrid w:val="0"/>
        </w:rPr>
        <w:t xml:space="preserve">. </w:t>
      </w:r>
      <w:r>
        <w:rPr>
          <w:snapToGrid w:val="0"/>
        </w:rPr>
        <w:tab/>
        <w:t>Local government register of licences</w:t>
      </w:r>
      <w:bookmarkEnd w:id="192"/>
      <w:bookmarkEnd w:id="193"/>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194" w:name="_Toc408481928"/>
      <w:bookmarkStart w:id="195" w:name="_Toc415151186"/>
      <w:r>
        <w:rPr>
          <w:rStyle w:val="CharSectno"/>
        </w:rPr>
        <w:t>67</w:t>
      </w:r>
      <w:r>
        <w:rPr>
          <w:snapToGrid w:val="0"/>
        </w:rPr>
        <w:t xml:space="preserve">. </w:t>
      </w:r>
      <w:r>
        <w:rPr>
          <w:snapToGrid w:val="0"/>
        </w:rPr>
        <w:tab/>
        <w:t>Local government to keep copy of approvals and certificates</w:t>
      </w:r>
      <w:bookmarkEnd w:id="194"/>
      <w:bookmarkEnd w:id="195"/>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196" w:name="_Toc408481929"/>
      <w:bookmarkStart w:id="197" w:name="_Toc415151187"/>
      <w:r>
        <w:rPr>
          <w:rStyle w:val="CharSectno"/>
        </w:rPr>
        <w:t>68</w:t>
      </w:r>
      <w:r>
        <w:rPr>
          <w:snapToGrid w:val="0"/>
        </w:rPr>
        <w:t xml:space="preserve">. </w:t>
      </w:r>
      <w:r>
        <w:rPr>
          <w:snapToGrid w:val="0"/>
        </w:rPr>
        <w:tab/>
        <w:t>Form of identity card for authorised person — Form 5</w:t>
      </w:r>
      <w:bookmarkEnd w:id="196"/>
      <w:bookmarkEnd w:id="197"/>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198" w:name="_Toc408481930"/>
      <w:bookmarkStart w:id="199" w:name="_Toc415151188"/>
      <w:r>
        <w:rPr>
          <w:rStyle w:val="CharSectno"/>
        </w:rPr>
        <w:t>70</w:t>
      </w:r>
      <w:r>
        <w:rPr>
          <w:snapToGrid w:val="0"/>
        </w:rPr>
        <w:t xml:space="preserve">. </w:t>
      </w:r>
      <w:r>
        <w:rPr>
          <w:snapToGrid w:val="0"/>
        </w:rPr>
        <w:tab/>
        <w:t>Application for exemption, variation or modification from subsidiary legislation</w:t>
      </w:r>
      <w:bookmarkEnd w:id="198"/>
      <w:bookmarkEnd w:id="199"/>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200" w:name="_Toc408481931"/>
      <w:bookmarkStart w:id="201" w:name="_Toc415151189"/>
      <w:r>
        <w:rPr>
          <w:rStyle w:val="CharSectno"/>
        </w:rPr>
        <w:t>71</w:t>
      </w:r>
      <w:r>
        <w:rPr>
          <w:snapToGrid w:val="0"/>
        </w:rPr>
        <w:t xml:space="preserve">. </w:t>
      </w:r>
      <w:r>
        <w:rPr>
          <w:snapToGrid w:val="0"/>
        </w:rPr>
        <w:tab/>
        <w:t>Application to extend exemption from subsidiary legislation</w:t>
      </w:r>
      <w:bookmarkEnd w:id="200"/>
      <w:bookmarkEnd w:id="201"/>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202" w:name="_Toc408481932"/>
      <w:bookmarkStart w:id="203" w:name="_Toc415151190"/>
      <w:r>
        <w:rPr>
          <w:rStyle w:val="CharSectno"/>
        </w:rPr>
        <w:t>72</w:t>
      </w:r>
      <w:r>
        <w:rPr>
          <w:snapToGrid w:val="0"/>
        </w:rPr>
        <w:t xml:space="preserve">. </w:t>
      </w:r>
      <w:r>
        <w:rPr>
          <w:snapToGrid w:val="0"/>
        </w:rPr>
        <w:tab/>
        <w:t>Entry under section 20 of the Act</w:t>
      </w:r>
      <w:bookmarkEnd w:id="202"/>
      <w:bookmarkEnd w:id="203"/>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rPr>
          <w:snapToGrid w:val="0"/>
        </w:rPr>
      </w:pPr>
      <w:bookmarkStart w:id="204" w:name="_Toc408481933"/>
      <w:bookmarkStart w:id="205" w:name="_Toc415151191"/>
      <w:r>
        <w:rPr>
          <w:rStyle w:val="CharSectno"/>
        </w:rPr>
        <w:t>73</w:t>
      </w:r>
      <w:r>
        <w:rPr>
          <w:snapToGrid w:val="0"/>
        </w:rPr>
        <w:t xml:space="preserve">. </w:t>
      </w:r>
      <w:r>
        <w:rPr>
          <w:snapToGrid w:val="0"/>
        </w:rPr>
        <w:tab/>
        <w:t>Transitional provisions — Schedule 9</w:t>
      </w:r>
      <w:bookmarkEnd w:id="204"/>
      <w:bookmarkEnd w:id="205"/>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keepNext w:val="0"/>
      </w:pPr>
      <w:bookmarkStart w:id="206" w:name="_Toc408481934"/>
      <w:bookmarkStart w:id="207" w:name="_Toc415150869"/>
      <w:bookmarkStart w:id="208" w:name="_Toc415151054"/>
      <w:bookmarkStart w:id="209" w:name="_Toc415151192"/>
      <w:r>
        <w:rPr>
          <w:rStyle w:val="CharSchNo"/>
        </w:rPr>
        <w:t>Schedule 1</w:t>
      </w:r>
      <w:r>
        <w:t> — </w:t>
      </w:r>
      <w:r>
        <w:rPr>
          <w:rStyle w:val="CharSchText"/>
        </w:rPr>
        <w:t>Forms</w:t>
      </w:r>
      <w:bookmarkEnd w:id="206"/>
      <w:bookmarkEnd w:id="207"/>
      <w:bookmarkEnd w:id="208"/>
      <w:bookmarkEnd w:id="209"/>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r>
              <w:rPr>
                <w:i/>
                <w:iCs/>
                <w:snapToGrid w:val="0"/>
              </w:rPr>
              <w:t>[6.</w:t>
            </w:r>
            <w:r>
              <w:rPr>
                <w:i/>
                <w:iCs/>
                <w:snapToGrid w:val="0"/>
              </w:rPr>
              <w:tab/>
              <w:t>deleted]</w:t>
            </w:r>
          </w:p>
        </w:tc>
        <w:tc>
          <w:tcPr>
            <w:tcW w:w="1418" w:type="dxa"/>
          </w:tcPr>
          <w:p>
            <w:pPr>
              <w:pStyle w:val="yTable"/>
              <w:jc w:val="right"/>
              <w:rPr>
                <w:snapToGrid w:val="0"/>
              </w:rPr>
            </w:pPr>
          </w:p>
        </w:tc>
      </w:tr>
    </w:tbl>
    <w:p>
      <w:pPr>
        <w:pStyle w:val="yShoulderClause"/>
        <w:pageBreakBefore/>
        <w:rPr>
          <w:snapToGrid w:val="0"/>
        </w:rPr>
      </w:pPr>
      <w:r>
        <w:rPr>
          <w:snapToGrid w:val="0"/>
        </w:rPr>
        <w:t>[Regs. 41 and 42.]</w:t>
      </w:r>
    </w:p>
    <w:p>
      <w:pPr>
        <w:pStyle w:val="MiscellaneousHeading"/>
        <w:spacing w:after="120"/>
        <w:rPr>
          <w:b/>
          <w:sz w:val="20"/>
        </w:rPr>
      </w:pPr>
      <w:r>
        <w:rPr>
          <w:b/>
          <w:sz w:val="20"/>
        </w:rPr>
        <w:t>Form 1.  Application for Grant or Renewal of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in Gazette 12 Dec 2014 p. 4727.]</w:t>
      </w:r>
    </w:p>
    <w:p>
      <w:pPr>
        <w:pStyle w:val="MiscellaneousHeading"/>
        <w:pageBreakBefore/>
        <w:spacing w:after="120"/>
        <w:rPr>
          <w:b/>
          <w:sz w:val="20"/>
        </w:rPr>
      </w:pPr>
      <w:r>
        <w:rPr>
          <w:b/>
          <w:sz w:val="20"/>
        </w:rPr>
        <w:t>Form 2.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b/>
          <w:sz w:val="20"/>
        </w:rPr>
        <w:t>Form 3.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in Gazette 20 Aug 2013 p. 3851.]</w:t>
      </w:r>
    </w:p>
    <w:p>
      <w:pPr>
        <w:pStyle w:val="MiscellaneousHeading"/>
        <w:pageBreakBefore/>
        <w:spacing w:after="120"/>
        <w:rPr>
          <w:b/>
          <w:sz w:val="20"/>
        </w:rPr>
      </w:pPr>
      <w:r>
        <w:rPr>
          <w:b/>
          <w:sz w:val="20"/>
        </w:rPr>
        <w:t>Form 4.  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b/>
          <w:sz w:val="20"/>
        </w:rPr>
        <w:t>Form 5.  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Footnotesection"/>
      </w:pPr>
      <w:r>
        <w:t>[Schedule 1 amended in Gazette 30 Dec 2004 p. 7011.]</w:t>
      </w:r>
    </w:p>
    <w:p>
      <w:pPr>
        <w:pStyle w:val="yScheduleHeading"/>
        <w:keepNext w:val="0"/>
      </w:pPr>
      <w:bookmarkStart w:id="210" w:name="_Toc408481935"/>
      <w:bookmarkStart w:id="211" w:name="_Toc415150870"/>
      <w:bookmarkStart w:id="212" w:name="_Toc415151055"/>
      <w:bookmarkStart w:id="213" w:name="_Toc415151193"/>
      <w:r>
        <w:rPr>
          <w:rStyle w:val="CharSchNo"/>
        </w:rPr>
        <w:t>Schedule 2</w:t>
      </w:r>
      <w:r>
        <w:t xml:space="preserve"> — </w:t>
      </w:r>
      <w:r>
        <w:rPr>
          <w:rStyle w:val="CharSchText"/>
        </w:rPr>
        <w:t>Types of facilities and licences</w:t>
      </w:r>
      <w:bookmarkEnd w:id="210"/>
      <w:bookmarkEnd w:id="211"/>
      <w:bookmarkEnd w:id="212"/>
      <w:bookmarkEnd w:id="213"/>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pPr>
      <w:bookmarkStart w:id="214" w:name="_Toc408481936"/>
      <w:bookmarkStart w:id="215" w:name="_Toc415150871"/>
      <w:bookmarkStart w:id="216" w:name="_Toc415151056"/>
      <w:bookmarkStart w:id="217" w:name="_Toc415151194"/>
      <w:r>
        <w:rPr>
          <w:rStyle w:val="CharSchNo"/>
        </w:rPr>
        <w:t>Schedule 3</w:t>
      </w:r>
      <w:r>
        <w:t xml:space="preserve"> — </w:t>
      </w:r>
      <w:r>
        <w:rPr>
          <w:rStyle w:val="CharSchText"/>
        </w:rPr>
        <w:t>Fees</w:t>
      </w:r>
      <w:bookmarkEnd w:id="214"/>
      <w:bookmarkEnd w:id="215"/>
      <w:bookmarkEnd w:id="216"/>
      <w:bookmarkEnd w:id="217"/>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r>
              <w:rPr>
                <w:i/>
                <w:iCs/>
                <w:sz w:val="18"/>
              </w:rPr>
              <w:t>[5.</w:t>
            </w:r>
            <w:r>
              <w:rPr>
                <w:i/>
                <w:iCs/>
                <w:sz w:val="18"/>
              </w:rPr>
              <w:tab/>
              <w:t>deleted]</w:t>
            </w: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pPr>
      <w:bookmarkStart w:id="218" w:name="_Toc408481937"/>
      <w:bookmarkStart w:id="219" w:name="_Toc415150872"/>
      <w:bookmarkStart w:id="220" w:name="_Toc415151057"/>
      <w:bookmarkStart w:id="221" w:name="_Toc415151195"/>
      <w:r>
        <w:rPr>
          <w:rStyle w:val="CharSchNo"/>
        </w:rPr>
        <w:t>Schedule 4</w:t>
      </w:r>
      <w:r>
        <w:t xml:space="preserve"> — </w:t>
      </w:r>
      <w:r>
        <w:rPr>
          <w:rStyle w:val="CharSchText"/>
        </w:rPr>
        <w:t>Modified penalties</w:t>
      </w:r>
      <w:bookmarkEnd w:id="218"/>
      <w:bookmarkEnd w:id="219"/>
      <w:bookmarkEnd w:id="220"/>
      <w:bookmarkEnd w:id="221"/>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pPr>
      <w:bookmarkStart w:id="222" w:name="_Toc408481938"/>
      <w:bookmarkStart w:id="223" w:name="_Toc415150873"/>
      <w:bookmarkStart w:id="224" w:name="_Toc415151058"/>
      <w:bookmarkStart w:id="225" w:name="_Toc415151196"/>
      <w:r>
        <w:rPr>
          <w:rStyle w:val="CharSchNo"/>
        </w:rPr>
        <w:t>Schedule 5</w:t>
      </w:r>
      <w:r>
        <w:t xml:space="preserve"> — </w:t>
      </w:r>
      <w:r>
        <w:rPr>
          <w:rStyle w:val="CharSchText"/>
        </w:rPr>
        <w:t>Standards for caravans</w:t>
      </w:r>
      <w:bookmarkEnd w:id="222"/>
      <w:bookmarkEnd w:id="223"/>
      <w:bookmarkEnd w:id="224"/>
      <w:bookmarkEnd w:id="225"/>
    </w:p>
    <w:p>
      <w:pPr>
        <w:pStyle w:val="yShoulderClause"/>
      </w:pPr>
      <w:r>
        <w:t>[Regs. 16(a) and 22(a).]</w:t>
      </w:r>
    </w:p>
    <w:p>
      <w:pPr>
        <w:pStyle w:val="yHeading3"/>
      </w:pPr>
      <w:bookmarkStart w:id="226" w:name="_Toc408481939"/>
      <w:bookmarkStart w:id="227" w:name="_Toc415150874"/>
      <w:bookmarkStart w:id="228" w:name="_Toc415151059"/>
      <w:bookmarkStart w:id="229" w:name="_Toc415151197"/>
      <w:r>
        <w:rPr>
          <w:rStyle w:val="CharSDivNo"/>
        </w:rPr>
        <w:t>Division 1</w:t>
      </w:r>
      <w:r>
        <w:t xml:space="preserve"> — </w:t>
      </w:r>
      <w:r>
        <w:rPr>
          <w:rStyle w:val="CharSDivText"/>
        </w:rPr>
        <w:t>Standards applying to all caravans</w:t>
      </w:r>
      <w:bookmarkEnd w:id="226"/>
      <w:bookmarkEnd w:id="227"/>
      <w:bookmarkEnd w:id="228"/>
      <w:bookmarkEnd w:id="229"/>
    </w:p>
    <w:p>
      <w:pPr>
        <w:pStyle w:val="yHeading5"/>
      </w:pPr>
      <w:bookmarkStart w:id="230" w:name="_Toc408481940"/>
      <w:bookmarkStart w:id="231" w:name="_Toc415151198"/>
      <w:r>
        <w:rPr>
          <w:rStyle w:val="CharSClsNo"/>
        </w:rPr>
        <w:t>1</w:t>
      </w:r>
      <w:r>
        <w:t>.</w:t>
      </w:r>
      <w:r>
        <w:tab/>
        <w:t>Caravans not to be attached to each other</w:t>
      </w:r>
      <w:bookmarkEnd w:id="230"/>
      <w:bookmarkEnd w:id="231"/>
    </w:p>
    <w:p>
      <w:pPr>
        <w:pStyle w:val="ySubsection"/>
      </w:pPr>
      <w:r>
        <w:tab/>
      </w:r>
      <w:r>
        <w:tab/>
        <w:t>A caravan is not to be attached to another caravan.</w:t>
      </w:r>
    </w:p>
    <w:p>
      <w:pPr>
        <w:pStyle w:val="yHeading3"/>
      </w:pPr>
      <w:bookmarkStart w:id="232" w:name="_Toc408481941"/>
      <w:bookmarkStart w:id="233" w:name="_Toc415150876"/>
      <w:bookmarkStart w:id="234" w:name="_Toc415151061"/>
      <w:bookmarkStart w:id="235" w:name="_Toc415151199"/>
      <w:r>
        <w:rPr>
          <w:rStyle w:val="CharSDivNo"/>
        </w:rPr>
        <w:t>Division 2</w:t>
      </w:r>
      <w:r>
        <w:t> — </w:t>
      </w:r>
      <w:r>
        <w:rPr>
          <w:rStyle w:val="CharSDivText"/>
        </w:rPr>
        <w:t>Standards applying to park homes</w:t>
      </w:r>
      <w:bookmarkEnd w:id="232"/>
      <w:bookmarkEnd w:id="233"/>
      <w:bookmarkEnd w:id="234"/>
      <w:bookmarkEnd w:id="235"/>
    </w:p>
    <w:p>
      <w:pPr>
        <w:pStyle w:val="yHeading5"/>
      </w:pPr>
      <w:bookmarkStart w:id="236" w:name="_Toc408481942"/>
      <w:bookmarkStart w:id="237" w:name="_Toc415151200"/>
      <w:r>
        <w:rPr>
          <w:rStyle w:val="CharSClsNo"/>
        </w:rPr>
        <w:t>2</w:t>
      </w:r>
      <w:r>
        <w:t>.</w:t>
      </w:r>
      <w:r>
        <w:tab/>
        <w:t>Park homes to be of one storey</w:t>
      </w:r>
      <w:bookmarkEnd w:id="236"/>
      <w:bookmarkEnd w:id="237"/>
    </w:p>
    <w:p>
      <w:pPr>
        <w:pStyle w:val="ySubsection"/>
      </w:pPr>
      <w:r>
        <w:tab/>
      </w:r>
      <w:r>
        <w:tab/>
        <w:t>A park home is to have only one storey.</w:t>
      </w:r>
    </w:p>
    <w:p>
      <w:pPr>
        <w:pStyle w:val="yHeading5"/>
      </w:pPr>
      <w:bookmarkStart w:id="238" w:name="_Toc408481943"/>
      <w:bookmarkStart w:id="239" w:name="_Toc415151201"/>
      <w:r>
        <w:rPr>
          <w:rStyle w:val="CharSClsNo"/>
        </w:rPr>
        <w:t>3</w:t>
      </w:r>
      <w:r>
        <w:t>.</w:t>
      </w:r>
      <w:r>
        <w:tab/>
        <w:t>Park home to have chassis, wheels, tie down points etc.</w:t>
      </w:r>
      <w:bookmarkEnd w:id="238"/>
      <w:bookmarkEnd w:id="239"/>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pPr>
      <w:bookmarkStart w:id="240" w:name="_Toc408481944"/>
      <w:bookmarkStart w:id="241" w:name="_Toc415151202"/>
      <w:r>
        <w:rPr>
          <w:rStyle w:val="CharSClsNo"/>
        </w:rPr>
        <w:t>4</w:t>
      </w:r>
      <w:r>
        <w:t>.</w:t>
      </w:r>
      <w:r>
        <w:tab/>
        <w:t>Park home stabilised and secured</w:t>
      </w:r>
      <w:bookmarkEnd w:id="240"/>
      <w:bookmarkEnd w:id="241"/>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pPr>
      <w:bookmarkStart w:id="242" w:name="_Toc408481945"/>
      <w:bookmarkStart w:id="243" w:name="_Toc415151203"/>
      <w:r>
        <w:rPr>
          <w:rStyle w:val="CharSClsNo"/>
        </w:rPr>
        <w:t>5</w:t>
      </w:r>
      <w:r>
        <w:t>.</w:t>
      </w:r>
      <w:r>
        <w:tab/>
        <w:t>Corrosion protection</w:t>
      </w:r>
      <w:bookmarkEnd w:id="242"/>
      <w:bookmarkEnd w:id="243"/>
    </w:p>
    <w:p>
      <w:pPr>
        <w:pStyle w:val="ySubsection"/>
      </w:pPr>
      <w:r>
        <w:tab/>
      </w:r>
      <w:r>
        <w:tab/>
        <w:t>Metal coverings and exposed metal on a park home are to be of corrosion resistant materials, or are to be treated to resist corrosion.</w:t>
      </w:r>
    </w:p>
    <w:p>
      <w:pPr>
        <w:pStyle w:val="yScheduleHeading"/>
        <w:keepNext w:val="0"/>
      </w:pPr>
      <w:bookmarkStart w:id="244" w:name="_Toc408481946"/>
      <w:bookmarkStart w:id="245" w:name="_Toc415150881"/>
      <w:bookmarkStart w:id="246" w:name="_Toc415151066"/>
      <w:bookmarkStart w:id="247" w:name="_Toc415151204"/>
      <w:r>
        <w:rPr>
          <w:rStyle w:val="CharSchNo"/>
        </w:rPr>
        <w:t>Schedule 6</w:t>
      </w:r>
      <w:r>
        <w:t> — </w:t>
      </w:r>
      <w:r>
        <w:rPr>
          <w:rStyle w:val="CharSchText"/>
        </w:rPr>
        <w:t>Standards for annexes</w:t>
      </w:r>
      <w:bookmarkEnd w:id="244"/>
      <w:bookmarkEnd w:id="245"/>
      <w:bookmarkEnd w:id="246"/>
      <w:bookmarkEnd w:id="247"/>
    </w:p>
    <w:p>
      <w:pPr>
        <w:pStyle w:val="yShoulderClause"/>
      </w:pPr>
      <w:r>
        <w:t>[Regs. 16(b), 22(b) and 34(3)(a).]</w:t>
      </w:r>
    </w:p>
    <w:p>
      <w:pPr>
        <w:pStyle w:val="yHeading5"/>
        <w:spacing w:before="240"/>
      </w:pPr>
      <w:bookmarkStart w:id="248" w:name="_Toc408481947"/>
      <w:bookmarkStart w:id="249" w:name="_Toc415151205"/>
      <w:r>
        <w:rPr>
          <w:rStyle w:val="CharSClsNo"/>
        </w:rPr>
        <w:t>1</w:t>
      </w:r>
      <w:r>
        <w:t>.</w:t>
      </w:r>
      <w:r>
        <w:tab/>
        <w:t>Annexes</w:t>
      </w:r>
      <w:bookmarkEnd w:id="248"/>
      <w:bookmarkEnd w:id="249"/>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pPr>
      <w:bookmarkStart w:id="250" w:name="_Toc408481948"/>
      <w:bookmarkStart w:id="251" w:name="_Toc415151206"/>
      <w:r>
        <w:rPr>
          <w:rStyle w:val="CharSClsNo"/>
        </w:rPr>
        <w:t>2</w:t>
      </w:r>
      <w:r>
        <w:t>.</w:t>
      </w:r>
      <w:r>
        <w:tab/>
        <w:t>Size of annexes</w:t>
      </w:r>
      <w:bookmarkEnd w:id="250"/>
      <w:bookmarkEnd w:id="251"/>
    </w:p>
    <w:p>
      <w:pPr>
        <w:pStyle w:val="ySubsection"/>
      </w:pPr>
      <w:r>
        <w:tab/>
      </w:r>
      <w:r>
        <w:tab/>
        <w:t>An annexe — </w:t>
      </w:r>
    </w:p>
    <w:p>
      <w:pPr>
        <w:pStyle w:val="yIndenta"/>
      </w:pPr>
      <w:r>
        <w:tab/>
        <w:t>(a)</w:t>
      </w:r>
      <w:r>
        <w:tab/>
        <w:t>is not to be longer than the caravan to which it is attached;</w:t>
      </w:r>
    </w:p>
    <w:p>
      <w:pPr>
        <w:pStyle w:val="yIndenta"/>
      </w:pPr>
      <w:r>
        <w:tab/>
        <w:t>(b)</w:t>
      </w:r>
      <w:r>
        <w:tab/>
        <w:t>may be higher than the caravan to which it is attached by not more than 300 mm; and</w:t>
      </w:r>
    </w:p>
    <w:p>
      <w:pPr>
        <w:pStyle w:val="yIndenta"/>
      </w:pPr>
      <w:r>
        <w:tab/>
        <w:t>(c)</w:t>
      </w:r>
      <w:r>
        <w:tab/>
        <w:t>is not to be wider than 3.6 metres.</w:t>
      </w:r>
    </w:p>
    <w:p>
      <w:pPr>
        <w:pStyle w:val="yHeading5"/>
        <w:spacing w:before="240"/>
      </w:pPr>
      <w:bookmarkStart w:id="252" w:name="_Toc408481949"/>
      <w:bookmarkStart w:id="253" w:name="_Toc415151207"/>
      <w:r>
        <w:rPr>
          <w:rStyle w:val="CharSClsNo"/>
        </w:rPr>
        <w:t>3</w:t>
      </w:r>
      <w:r>
        <w:t>.</w:t>
      </w:r>
      <w:r>
        <w:tab/>
        <w:t>Flexible annexes</w:t>
      </w:r>
      <w:bookmarkEnd w:id="252"/>
      <w:bookmarkEnd w:id="253"/>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 contained chemical toilet) or any laundry facility.</w:t>
      </w:r>
    </w:p>
    <w:p>
      <w:pPr>
        <w:pStyle w:val="yHeading5"/>
      </w:pPr>
      <w:bookmarkStart w:id="254" w:name="_Toc408481950"/>
      <w:bookmarkStart w:id="255" w:name="_Toc415151208"/>
      <w:r>
        <w:rPr>
          <w:rStyle w:val="CharSClsNo"/>
        </w:rPr>
        <w:t>4</w:t>
      </w:r>
      <w:r>
        <w:t>.</w:t>
      </w:r>
      <w:r>
        <w:tab/>
        <w:t>Rigid annexes</w:t>
      </w:r>
      <w:bookmarkEnd w:id="254"/>
      <w:bookmarkEnd w:id="255"/>
    </w:p>
    <w:p>
      <w:pPr>
        <w:pStyle w:val="ySubsection"/>
      </w:pPr>
      <w:r>
        <w:tab/>
      </w:r>
      <w:r>
        <w:tab/>
        <w:t>A rigid annexe is to — </w:t>
      </w:r>
    </w:p>
    <w:p>
      <w:pPr>
        <w:pStyle w:val="yIndenta"/>
      </w:pPr>
      <w:r>
        <w:tab/>
        <w:t>(a)</w:t>
      </w:r>
      <w:r>
        <w:tab/>
        <w:t>have walls of prefabricated modular panels or sections;</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pPr>
      <w:bookmarkStart w:id="256" w:name="_Toc408481951"/>
      <w:bookmarkStart w:id="257" w:name="_Toc415150886"/>
      <w:bookmarkStart w:id="258" w:name="_Toc415151071"/>
      <w:bookmarkStart w:id="259" w:name="_Toc415151209"/>
      <w:r>
        <w:rPr>
          <w:rStyle w:val="CharSchNo"/>
        </w:rPr>
        <w:t>Schedule 7</w:t>
      </w:r>
      <w:r>
        <w:t> — </w:t>
      </w:r>
      <w:r>
        <w:rPr>
          <w:rStyle w:val="CharSchText"/>
        </w:rPr>
        <w:t>Caravan parks and camping grounds</w:t>
      </w:r>
      <w:bookmarkEnd w:id="256"/>
      <w:bookmarkEnd w:id="257"/>
      <w:bookmarkEnd w:id="258"/>
      <w:bookmarkEnd w:id="259"/>
    </w:p>
    <w:p>
      <w:pPr>
        <w:pStyle w:val="yShoulderClause"/>
      </w:pPr>
      <w:r>
        <w:t>[Regs. 17, 23, 34(3)(a), 39(2)(a) and 40(2)(a).]</w:t>
      </w:r>
    </w:p>
    <w:p>
      <w:pPr>
        <w:pStyle w:val="yHeading3"/>
        <w:spacing w:before="220"/>
      </w:pPr>
      <w:bookmarkStart w:id="260" w:name="_Toc408481952"/>
      <w:bookmarkStart w:id="261" w:name="_Toc415150887"/>
      <w:bookmarkStart w:id="262" w:name="_Toc415151072"/>
      <w:bookmarkStart w:id="263" w:name="_Toc415151210"/>
      <w:r>
        <w:rPr>
          <w:rStyle w:val="CharSDivNo"/>
        </w:rPr>
        <w:t>Division 1</w:t>
      </w:r>
      <w:r>
        <w:t> — </w:t>
      </w:r>
      <w:r>
        <w:rPr>
          <w:rStyle w:val="CharSDivText"/>
        </w:rPr>
        <w:t>General provisions</w:t>
      </w:r>
      <w:bookmarkEnd w:id="260"/>
      <w:bookmarkEnd w:id="261"/>
      <w:bookmarkEnd w:id="262"/>
      <w:bookmarkEnd w:id="263"/>
    </w:p>
    <w:p>
      <w:pPr>
        <w:pStyle w:val="yHeading5"/>
        <w:spacing w:before="200"/>
      </w:pPr>
      <w:bookmarkStart w:id="264" w:name="_Toc408481953"/>
      <w:bookmarkStart w:id="265" w:name="_Toc415151211"/>
      <w:r>
        <w:rPr>
          <w:rStyle w:val="CharSClsNo"/>
        </w:rPr>
        <w:t>1</w:t>
      </w:r>
      <w:r>
        <w:t>.</w:t>
      </w:r>
      <w:r>
        <w:tab/>
        <w:t>Only one caravan on a caravan site</w:t>
      </w:r>
      <w:bookmarkEnd w:id="264"/>
      <w:bookmarkEnd w:id="265"/>
    </w:p>
    <w:p>
      <w:pPr>
        <w:pStyle w:val="ySubsection"/>
      </w:pPr>
      <w:r>
        <w:tab/>
      </w:r>
      <w:r>
        <w:tab/>
        <w:t>There may be only one caravan used for habitation on a caravan site at any one time, unless otherwise specified in this Schedule.</w:t>
      </w:r>
    </w:p>
    <w:p>
      <w:pPr>
        <w:pStyle w:val="yHeading5"/>
        <w:spacing w:before="200"/>
      </w:pPr>
      <w:bookmarkStart w:id="266" w:name="_Toc408481954"/>
      <w:bookmarkStart w:id="267" w:name="_Toc415151212"/>
      <w:r>
        <w:rPr>
          <w:rStyle w:val="CharSClsNo"/>
        </w:rPr>
        <w:t>2</w:t>
      </w:r>
      <w:r>
        <w:t>.</w:t>
      </w:r>
      <w:r>
        <w:tab/>
        <w:t>Caravans to be freely movable from sites</w:t>
      </w:r>
      <w:bookmarkEnd w:id="266"/>
      <w:bookmarkEnd w:id="267"/>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200"/>
      </w:pPr>
      <w:bookmarkStart w:id="268" w:name="_Toc408481955"/>
      <w:bookmarkStart w:id="269" w:name="_Toc415151213"/>
      <w:r>
        <w:rPr>
          <w:rStyle w:val="CharSClsNo"/>
        </w:rPr>
        <w:t>3</w:t>
      </w:r>
      <w:r>
        <w:t>.</w:t>
      </w:r>
      <w:r>
        <w:tab/>
        <w:t>Tent may be on caravan site</w:t>
      </w:r>
      <w:bookmarkEnd w:id="268"/>
      <w:bookmarkEnd w:id="269"/>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200"/>
      </w:pPr>
      <w:bookmarkStart w:id="270" w:name="_Toc408481956"/>
      <w:bookmarkStart w:id="271" w:name="_Toc415151214"/>
      <w:r>
        <w:rPr>
          <w:rStyle w:val="CharSClsNo"/>
        </w:rPr>
        <w:t>4</w:t>
      </w:r>
      <w:r>
        <w:t>.</w:t>
      </w:r>
      <w:r>
        <w:tab/>
        <w:t>Limit to number of people on site</w:t>
      </w:r>
      <w:bookmarkEnd w:id="270"/>
      <w:bookmarkEnd w:id="271"/>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Heading5"/>
      </w:pPr>
      <w:bookmarkStart w:id="272" w:name="_Toc408481957"/>
      <w:bookmarkStart w:id="273" w:name="_Toc415151215"/>
      <w:r>
        <w:rPr>
          <w:rStyle w:val="CharSClsNo"/>
        </w:rPr>
        <w:t>5A</w:t>
      </w:r>
      <w:r>
        <w:t>.</w:t>
      </w:r>
      <w:r>
        <w:tab/>
        <w:t>Length of stay at nature based parks</w:t>
      </w:r>
      <w:bookmarkEnd w:id="272"/>
      <w:bookmarkEnd w:id="273"/>
    </w:p>
    <w:p>
      <w:pPr>
        <w:pStyle w:val="ySubsection"/>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pPr>
      <w:r>
        <w:tab/>
        <w:t>(3)</w:t>
      </w:r>
      <w:r>
        <w:tab/>
        <w:t>Subclause (1) applies only to stays that commence on or after 1 January 2015.</w:t>
      </w:r>
    </w:p>
    <w:p>
      <w:pPr>
        <w:pStyle w:val="yFootnotesection"/>
      </w:pPr>
      <w:r>
        <w:tab/>
        <w:t>[Clause 5A inserted in Gazette 12 Dec 2014 p. 4727.]</w:t>
      </w:r>
    </w:p>
    <w:p>
      <w:pPr>
        <w:pStyle w:val="yHeading5"/>
        <w:spacing w:before="200"/>
      </w:pPr>
      <w:bookmarkStart w:id="274" w:name="_Toc408481958"/>
      <w:bookmarkStart w:id="275" w:name="_Toc415151216"/>
      <w:r>
        <w:rPr>
          <w:rStyle w:val="CharSClsNo"/>
        </w:rPr>
        <w:t>5</w:t>
      </w:r>
      <w:r>
        <w:t>.</w:t>
      </w:r>
      <w:r>
        <w:tab/>
        <w:t>On</w:t>
      </w:r>
      <w:r>
        <w:noBreakHyphen/>
        <w:t>site caravans</w:t>
      </w:r>
      <w:bookmarkEnd w:id="274"/>
      <w:bookmarkEnd w:id="275"/>
    </w:p>
    <w:p>
      <w:pPr>
        <w:pStyle w:val="ySubsection"/>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Heading5"/>
      </w:pPr>
      <w:bookmarkStart w:id="276" w:name="_Toc408481959"/>
      <w:bookmarkStart w:id="277" w:name="_Toc415151217"/>
      <w:r>
        <w:rPr>
          <w:rStyle w:val="CharSClsNo"/>
        </w:rPr>
        <w:t>6</w:t>
      </w:r>
      <w:r>
        <w:t>.</w:t>
      </w:r>
      <w:r>
        <w:tab/>
        <w:t>Part D3 of Building Code to be complied with “Access for People with Disabilities”</w:t>
      </w:r>
      <w:bookmarkEnd w:id="276"/>
      <w:bookmarkEnd w:id="277"/>
    </w:p>
    <w:p>
      <w:pPr>
        <w:pStyle w:val="ySubsection"/>
      </w:pPr>
      <w:r>
        <w:tab/>
        <w:t>(1)</w:t>
      </w:r>
      <w:r>
        <w:tab/>
        <w:t xml:space="preserve">A caravan park is to comply with Part D3 of the Building Code in as far as the provisions of that Part can be applied to a caravan park. </w:t>
      </w:r>
    </w:p>
    <w:p>
      <w:pPr>
        <w:pStyle w:val="ySubsection"/>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pPr>
      <w:bookmarkStart w:id="278" w:name="_Toc408481960"/>
      <w:bookmarkStart w:id="279" w:name="_Toc415150895"/>
      <w:bookmarkStart w:id="280" w:name="_Toc415151080"/>
      <w:bookmarkStart w:id="281" w:name="_Toc415151218"/>
      <w:r>
        <w:rPr>
          <w:rStyle w:val="CharSDivNo"/>
        </w:rPr>
        <w:t>Division 2</w:t>
      </w:r>
      <w:r>
        <w:t> — </w:t>
      </w:r>
      <w:r>
        <w:rPr>
          <w:rStyle w:val="CharSDivText"/>
        </w:rPr>
        <w:t>Distances between caravans, camps, buildings, etc.</w:t>
      </w:r>
      <w:bookmarkEnd w:id="278"/>
      <w:bookmarkEnd w:id="279"/>
      <w:bookmarkEnd w:id="280"/>
      <w:bookmarkEnd w:id="281"/>
    </w:p>
    <w:p>
      <w:pPr>
        <w:pStyle w:val="yHeading5"/>
      </w:pPr>
      <w:bookmarkStart w:id="282" w:name="_Toc408481961"/>
      <w:bookmarkStart w:id="283" w:name="_Toc415151219"/>
      <w:r>
        <w:rPr>
          <w:rStyle w:val="CharSClsNo"/>
        </w:rPr>
        <w:t>7</w:t>
      </w:r>
      <w:r>
        <w:t>.</w:t>
      </w:r>
      <w:r>
        <w:tab/>
        <w:t>Local government or licence holder may increase minimum distances in particular cases</w:t>
      </w:r>
      <w:bookmarkEnd w:id="282"/>
      <w:bookmarkEnd w:id="283"/>
    </w:p>
    <w:p>
      <w:pPr>
        <w:pStyle w:val="ySubsection"/>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pPr>
      <w:r>
        <w:tab/>
        <w:t>(2)</w:t>
      </w:r>
      <w:r>
        <w:tab/>
        <w:t xml:space="preserve">A local government may only direct that a distance be increased under subclause (1) in a respect of a facility which has fire extinguishers. </w:t>
      </w:r>
    </w:p>
    <w:p>
      <w:pPr>
        <w:pStyle w:val="yHeading5"/>
      </w:pPr>
      <w:bookmarkStart w:id="284" w:name="_Toc408481962"/>
      <w:bookmarkStart w:id="285" w:name="_Toc415151220"/>
      <w:r>
        <w:rPr>
          <w:rStyle w:val="CharSClsNo"/>
        </w:rPr>
        <w:t>8</w:t>
      </w:r>
      <w:r>
        <w:t>.</w:t>
      </w:r>
      <w:r>
        <w:tab/>
        <w:t>Position of caravans, annexes and camps</w:t>
      </w:r>
      <w:bookmarkEnd w:id="284"/>
      <w:bookmarkEnd w:id="285"/>
    </w:p>
    <w:p>
      <w:pPr>
        <w:pStyle w:val="ySubsection"/>
      </w:pPr>
      <w:r>
        <w:tab/>
        <w:t>(1)</w:t>
      </w:r>
      <w:r>
        <w:tab/>
        <w:t>There is to be at least 3 metres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pPr>
      <w:r>
        <w:tab/>
        <w:t>(2)</w:t>
      </w:r>
      <w:r>
        <w:tab/>
        <w:t>There is to be at least 3 metres between any camp described in clause 4(2) and the camp of any person who is not a member of the group.</w:t>
      </w:r>
    </w:p>
    <w:p>
      <w:pPr>
        <w:pStyle w:val="ySubsection"/>
      </w:pPr>
      <w:r>
        <w:tab/>
        <w:t>(3)</w:t>
      </w:r>
      <w:r>
        <w:tab/>
        <w:t>There is to be at least one metre, or such shorter distance as is approved under subclause (3a), between any caravan, camp, annexe or other structure or building and any facility road.</w:t>
      </w:r>
    </w:p>
    <w:p>
      <w:pPr>
        <w:pStyle w:val="ySubsection"/>
      </w:pPr>
      <w:r>
        <w:tab/>
        <w:t>(3a)</w:t>
      </w:r>
      <w:r>
        <w:tab/>
        <w:t xml:space="preserve">A shorter distance may only be approved under subclause (3) if the distance was shorter than one metre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w:t>
      </w:r>
    </w:p>
    <w:p>
      <w:pPr>
        <w:pStyle w:val="ySubsection"/>
      </w:pPr>
      <w:r>
        <w:tab/>
        <w:t>(4)</w:t>
      </w:r>
      <w:r>
        <w:tab/>
        <w:t>There is to be at least 6 metres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that 2.5 metres from such land.</w:t>
      </w:r>
    </w:p>
    <w:p>
      <w:pPr>
        <w:pStyle w:val="ySubsection"/>
      </w:pPr>
      <w:r>
        <w:tab/>
        <w:t>(5)</w:t>
      </w:r>
      <w:r>
        <w:tab/>
        <w:t>There is to be at least one metre between the boundary of a facility and a caravan, camp, annexe or other structure or building on the facility.</w:t>
      </w:r>
    </w:p>
    <w:p>
      <w:pPr>
        <w:pStyle w:val="yHeading5"/>
      </w:pPr>
      <w:bookmarkStart w:id="286" w:name="_Toc408481963"/>
      <w:bookmarkStart w:id="287" w:name="_Toc415151221"/>
      <w:r>
        <w:rPr>
          <w:rStyle w:val="CharSClsNo"/>
        </w:rPr>
        <w:t>9</w:t>
      </w:r>
      <w:r>
        <w:t>.</w:t>
      </w:r>
      <w:r>
        <w:tab/>
        <w:t>Position of carports, en suites and other buildings</w:t>
      </w:r>
      <w:bookmarkEnd w:id="286"/>
      <w:bookmarkEnd w:id="287"/>
    </w:p>
    <w:p>
      <w:pPr>
        <w:pStyle w:val="ySubsection"/>
      </w:pPr>
      <w:r>
        <w:tab/>
        <w:t>(1)</w:t>
      </w:r>
      <w:r>
        <w:tab/>
        <w:t>There is to be at least one metre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pPr>
      <w:r>
        <w:tab/>
        <w:t>(2)</w:t>
      </w:r>
      <w:r>
        <w:tab/>
        <w:t>There is to be at least 2 metres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pPr>
      <w:r>
        <w:tab/>
        <w:t>(3)</w:t>
      </w:r>
      <w:r>
        <w:tab/>
        <w:t>There is to be at least one metre between an open sided double carport and a caravan, annexe, camp or other structure or building on another site.</w:t>
      </w:r>
    </w:p>
    <w:p>
      <w:pPr>
        <w:pStyle w:val="ySubsection"/>
      </w:pPr>
      <w:r>
        <w:tab/>
        <w:t>(4)</w:t>
      </w:r>
      <w:r>
        <w:tab/>
        <w:t>There is to be at least 2 metres between a free standing storage shed on a site and a caravan, annexe or other building or structure on another site.</w:t>
      </w:r>
    </w:p>
    <w:p>
      <w:pPr>
        <w:pStyle w:val="ySubsection"/>
      </w:pPr>
      <w:r>
        <w:tab/>
        <w:t>(5)</w:t>
      </w:r>
      <w:r>
        <w:tab/>
        <w:t>An open sided double carport is not to be attached to a caravan if it is to be used by the occupants of a caravan on another site.</w:t>
      </w:r>
    </w:p>
    <w:p>
      <w:pPr>
        <w:pStyle w:val="ySubsection"/>
      </w:pPr>
      <w:r>
        <w:tab/>
        <w:t>(6)</w:t>
      </w:r>
      <w:r>
        <w:tab/>
        <w:t>There is no minimum distance between a caravan, annexe, camp or any other building or structure and an en suite on the same site.</w:t>
      </w:r>
    </w:p>
    <w:p>
      <w:pPr>
        <w:pStyle w:val="ySubsection"/>
      </w:pPr>
      <w:r>
        <w:tab/>
        <w:t>(7)</w:t>
      </w:r>
      <w:r>
        <w:tab/>
        <w:t xml:space="preserve">In this clause — </w:t>
      </w:r>
    </w:p>
    <w:p>
      <w:pPr>
        <w:pStyle w:val="yDefstart"/>
      </w:pPr>
      <w:r>
        <w:tab/>
      </w:r>
      <w:r>
        <w:rPr>
          <w:rStyle w:val="CharDefText"/>
          <w:b w:val="0"/>
        </w:rPr>
        <w:t>open sided double carport</w:t>
      </w:r>
      <w:r>
        <w:t xml:space="preserve"> means a double carport that is an open sided building.</w:t>
      </w:r>
    </w:p>
    <w:p>
      <w:pPr>
        <w:pStyle w:val="yEdnotedivision"/>
      </w:pPr>
      <w:r>
        <w:t>[Diagram deleted]</w:t>
      </w:r>
    </w:p>
    <w:p>
      <w:pPr>
        <w:pStyle w:val="yHeading3"/>
      </w:pPr>
      <w:bookmarkStart w:id="288" w:name="_Toc408481964"/>
      <w:bookmarkStart w:id="289" w:name="_Toc415150899"/>
      <w:bookmarkStart w:id="290" w:name="_Toc415151084"/>
      <w:bookmarkStart w:id="291" w:name="_Toc415151222"/>
      <w:r>
        <w:rPr>
          <w:rStyle w:val="CharSDivNo"/>
        </w:rPr>
        <w:t>Division 3</w:t>
      </w:r>
      <w:r>
        <w:t> — </w:t>
      </w:r>
      <w:r>
        <w:rPr>
          <w:rStyle w:val="CharSDivText"/>
        </w:rPr>
        <w:t>Buildings, fences and hard stands</w:t>
      </w:r>
      <w:bookmarkEnd w:id="288"/>
      <w:bookmarkEnd w:id="289"/>
      <w:bookmarkEnd w:id="290"/>
      <w:bookmarkEnd w:id="291"/>
    </w:p>
    <w:p>
      <w:pPr>
        <w:pStyle w:val="yEdnotesection"/>
      </w:pPr>
      <w:r>
        <w:t>[</w:t>
      </w:r>
      <w:r>
        <w:rPr>
          <w:b/>
        </w:rPr>
        <w:t>10.</w:t>
      </w:r>
      <w:r>
        <w:tab/>
        <w:t>deleted]</w:t>
      </w:r>
    </w:p>
    <w:p>
      <w:pPr>
        <w:pStyle w:val="yHeading5"/>
      </w:pPr>
      <w:bookmarkStart w:id="292" w:name="_Toc408481965"/>
      <w:bookmarkStart w:id="293" w:name="_Toc415151223"/>
      <w:r>
        <w:rPr>
          <w:rStyle w:val="CharSClsNo"/>
        </w:rPr>
        <w:t>11</w:t>
      </w:r>
      <w:r>
        <w:t>.</w:t>
      </w:r>
      <w:r>
        <w:tab/>
        <w:t>Buildings on a facility</w:t>
      </w:r>
      <w:bookmarkEnd w:id="292"/>
      <w:bookmarkEnd w:id="293"/>
    </w:p>
    <w:p>
      <w:pPr>
        <w:pStyle w:val="ySubsection"/>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pPr>
      <w:r>
        <w:tab/>
        <w:t>(2)</w:t>
      </w:r>
      <w:r>
        <w:tab/>
        <w:t xml:space="preserve">A building referred to in subclause (1) may not be located on a site, unless it is — </w:t>
      </w:r>
    </w:p>
    <w:p>
      <w:pPr>
        <w:pStyle w:val="yIndenta"/>
      </w:pPr>
      <w:r>
        <w:tab/>
        <w:t>(a)</w:t>
      </w:r>
      <w:r>
        <w:tab/>
        <w:t>a building classified as a Class 10a building under the Building Code;</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pPr>
      <w:r>
        <w:tab/>
        <w:t>(5)</w:t>
      </w:r>
      <w:r>
        <w:tab/>
        <w:t>A building referred to in subclause (4)(b)(i), (ii) or (iii) or (c) must not be located on a site.</w:t>
      </w:r>
    </w:p>
    <w:p>
      <w:pPr>
        <w:pStyle w:val="ySubsection"/>
      </w:pPr>
      <w:r>
        <w:tab/>
        <w:t>(6)</w:t>
      </w:r>
      <w:r>
        <w:tab/>
        <w:t>A carport, pergola or storage shed may be on the manager’s residence site at a nature based park but otherwise must not be on a site.</w:t>
      </w:r>
    </w:p>
    <w:p>
      <w:pPr>
        <w:pStyle w:val="ySubsection"/>
        <w:keepNext/>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in Gazette 12 Dec 2014 p. 4727-8.]</w:t>
      </w:r>
    </w:p>
    <w:p>
      <w:pPr>
        <w:pStyle w:val="yHeading5"/>
      </w:pPr>
      <w:bookmarkStart w:id="294" w:name="_Toc408481966"/>
      <w:bookmarkStart w:id="295" w:name="_Toc415151224"/>
      <w:r>
        <w:rPr>
          <w:rStyle w:val="CharSClsNo"/>
        </w:rPr>
        <w:t>12</w:t>
      </w:r>
      <w:r>
        <w:t>.</w:t>
      </w:r>
      <w:r>
        <w:tab/>
        <w:t>Storage sheds</w:t>
      </w:r>
      <w:bookmarkEnd w:id="294"/>
      <w:bookmarkEnd w:id="295"/>
    </w:p>
    <w:p>
      <w:pPr>
        <w:pStyle w:val="ySubsection"/>
      </w:pPr>
      <w:r>
        <w:tab/>
        <w:t>(1)</w:t>
      </w:r>
      <w:r>
        <w:tab/>
        <w:t>A storage shed — </w:t>
      </w:r>
    </w:p>
    <w:p>
      <w:pPr>
        <w:pStyle w:val="yIndenta"/>
      </w:pPr>
      <w:r>
        <w:tab/>
        <w:t>(a)</w:t>
      </w:r>
      <w:r>
        <w:tab/>
        <w:t>is not to exceed 6 square metres in area and, unless forming part of a carport, 2.1 metres in height; and</w:t>
      </w:r>
    </w:p>
    <w:p>
      <w:pPr>
        <w:pStyle w:val="yIndenta"/>
      </w:pPr>
      <w:r>
        <w:tab/>
        <w:t>(b)</w:t>
      </w:r>
      <w:r>
        <w:tab/>
        <w:t>is to be built of light weight portable material.</w:t>
      </w:r>
    </w:p>
    <w:p>
      <w:pPr>
        <w:pStyle w:val="ySubsection"/>
      </w:pPr>
      <w:r>
        <w:tab/>
        <w:t>(2)</w:t>
      </w:r>
      <w:r>
        <w:tab/>
        <w:t>There must be no more than one storage shed on a nature based park.</w:t>
      </w:r>
    </w:p>
    <w:p>
      <w:pPr>
        <w:pStyle w:val="ySubsection"/>
      </w:pPr>
      <w:r>
        <w:tab/>
        <w:t>(3)</w:t>
      </w:r>
      <w:r>
        <w:tab/>
        <w:t>Subclause (2) does not apply to a storage shed on a nature based park if the shed’s presence is in accordance with approval given before 1 January 2015.</w:t>
      </w:r>
    </w:p>
    <w:p>
      <w:pPr>
        <w:pStyle w:val="yFootnotesection"/>
      </w:pPr>
      <w:r>
        <w:tab/>
        <w:t>[Clause 12 inserted in Gazette 12 Dec 2014 p. 4728.]</w:t>
      </w:r>
    </w:p>
    <w:p>
      <w:pPr>
        <w:pStyle w:val="yHeading5"/>
      </w:pPr>
      <w:bookmarkStart w:id="296" w:name="_Toc408481967"/>
      <w:bookmarkStart w:id="297" w:name="_Toc415151225"/>
      <w:r>
        <w:rPr>
          <w:rStyle w:val="CharSClsNo"/>
        </w:rPr>
        <w:t>13</w:t>
      </w:r>
      <w:r>
        <w:t>.</w:t>
      </w:r>
      <w:r>
        <w:tab/>
        <w:t>Paved areas and areas under some annexes</w:t>
      </w:r>
      <w:bookmarkEnd w:id="296"/>
      <w:bookmarkEnd w:id="297"/>
    </w:p>
    <w:p>
      <w:pPr>
        <w:pStyle w:val="ySubsection"/>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pPr>
      <w:r>
        <w:tab/>
        <w:t>(2)</w:t>
      </w:r>
      <w:r>
        <w:tab/>
        <w:t>The construction of — </w:t>
      </w:r>
    </w:p>
    <w:p>
      <w:pPr>
        <w:pStyle w:val="yIndenta"/>
      </w:pPr>
      <w:r>
        <w:tab/>
        <w:t>(a)</w:t>
      </w:r>
      <w:r>
        <w:tab/>
        <w:t>a hard stand on a site;</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pPr>
      <w:r>
        <w:tab/>
      </w:r>
      <w:r>
        <w:tab/>
        <w:t>is to be as approved.</w:t>
      </w:r>
    </w:p>
    <w:p>
      <w:pPr>
        <w:pStyle w:val="yHeading5"/>
      </w:pPr>
      <w:bookmarkStart w:id="298" w:name="_Toc408481968"/>
      <w:bookmarkStart w:id="299" w:name="_Toc415151226"/>
      <w:r>
        <w:rPr>
          <w:rStyle w:val="CharSClsNo"/>
        </w:rPr>
        <w:t>14</w:t>
      </w:r>
      <w:r>
        <w:t>.</w:t>
      </w:r>
      <w:r>
        <w:tab/>
        <w:t>Fences</w:t>
      </w:r>
      <w:bookmarkEnd w:id="298"/>
      <w:bookmarkEnd w:id="299"/>
    </w:p>
    <w:p>
      <w:pPr>
        <w:pStyle w:val="ySubsection"/>
      </w:pPr>
      <w:r>
        <w:tab/>
        <w:t>(1)</w:t>
      </w:r>
      <w:r>
        <w:tab/>
        <w:t>A fence on a site is — </w:t>
      </w:r>
    </w:p>
    <w:p>
      <w:pPr>
        <w:pStyle w:val="yIndenta"/>
      </w:pPr>
      <w:r>
        <w:tab/>
        <w:t>(a)</w:t>
      </w:r>
      <w:r>
        <w:tab/>
        <w:t>not to be higher than 1.2 metres; and</w:t>
      </w:r>
    </w:p>
    <w:p>
      <w:pPr>
        <w:pStyle w:val="yIndenta"/>
      </w:pPr>
      <w:r>
        <w:tab/>
        <w:t>(b)</w:t>
      </w:r>
      <w:r>
        <w:tab/>
        <w:t>to be built of lightweight material or mesh.</w:t>
      </w:r>
    </w:p>
    <w:p>
      <w:pPr>
        <w:pStyle w:val="ySubsection"/>
      </w:pPr>
      <w:r>
        <w:tab/>
        <w:t>(2)</w:t>
      </w:r>
      <w:r>
        <w:tab/>
        <w:t>A fence on a site is to be built in accordance with the prior written approval of the licence holder of the facility.</w:t>
      </w:r>
    </w:p>
    <w:p>
      <w:pPr>
        <w:pStyle w:val="ySubsection"/>
      </w:pPr>
      <w:r>
        <w:tab/>
        <w:t>(3)</w:t>
      </w:r>
      <w:r>
        <w:tab/>
        <w:t>There is to be no fence in the set back area prescribed under clause 8(3) between a facility road and a caravan.</w:t>
      </w:r>
    </w:p>
    <w:p>
      <w:pPr>
        <w:pStyle w:val="yHeading3"/>
      </w:pPr>
      <w:bookmarkStart w:id="300" w:name="_Toc408481969"/>
      <w:bookmarkStart w:id="301" w:name="_Toc415150904"/>
      <w:bookmarkStart w:id="302" w:name="_Toc415151089"/>
      <w:bookmarkStart w:id="303" w:name="_Toc415151227"/>
      <w:r>
        <w:rPr>
          <w:rStyle w:val="CharSDivNo"/>
        </w:rPr>
        <w:t>Division 4</w:t>
      </w:r>
      <w:r>
        <w:t> — </w:t>
      </w:r>
      <w:r>
        <w:rPr>
          <w:rStyle w:val="CharSDivText"/>
        </w:rPr>
        <w:t>Roads and parking</w:t>
      </w:r>
      <w:bookmarkEnd w:id="300"/>
      <w:bookmarkEnd w:id="301"/>
      <w:bookmarkEnd w:id="302"/>
      <w:bookmarkEnd w:id="303"/>
    </w:p>
    <w:p>
      <w:pPr>
        <w:pStyle w:val="yHeading5"/>
      </w:pPr>
      <w:bookmarkStart w:id="304" w:name="_Toc408481970"/>
      <w:bookmarkStart w:id="305" w:name="_Toc415151228"/>
      <w:r>
        <w:rPr>
          <w:rStyle w:val="CharSClsNo"/>
        </w:rPr>
        <w:t>15</w:t>
      </w:r>
      <w:r>
        <w:t>.</w:t>
      </w:r>
      <w:r>
        <w:tab/>
        <w:t>Facility roads in facilities other than nature based parks</w:t>
      </w:r>
      <w:bookmarkEnd w:id="304"/>
      <w:bookmarkEnd w:id="305"/>
    </w:p>
    <w:p>
      <w:pPr>
        <w:pStyle w:val="ySubsection"/>
      </w:pPr>
      <w:r>
        <w:tab/>
        <w:t>(1A)</w:t>
      </w:r>
      <w:r>
        <w:tab/>
        <w:t>This clause applies to facilities other than nature based parks.</w:t>
      </w:r>
    </w:p>
    <w:p>
      <w:pPr>
        <w:pStyle w:val="ySubsection"/>
      </w:pPr>
      <w:r>
        <w:tab/>
        <w:t>(1)</w:t>
      </w:r>
      <w:r>
        <w:tab/>
        <w:t>A facility entrance road is to be at least 6 metres wide.</w:t>
      </w:r>
    </w:p>
    <w:p>
      <w:pPr>
        <w:pStyle w:val="ySubsection"/>
      </w:pPr>
      <w:r>
        <w:tab/>
        <w:t>(2)</w:t>
      </w:r>
      <w:r>
        <w:tab/>
        <w:t>A facility road which is a one way road is to be at least 4 metres wide, or such shorter distance as is approved under subclause (3a).</w:t>
      </w:r>
    </w:p>
    <w:p>
      <w:pPr>
        <w:pStyle w:val="ySubsection"/>
      </w:pPr>
      <w:r>
        <w:tab/>
        <w:t>(3)</w:t>
      </w:r>
      <w:r>
        <w:tab/>
        <w:t>A facility road which is a 2 way road is to be at least 6 metres wide, or such shorter distance as is approved under subclause (3a).</w:t>
      </w:r>
    </w:p>
    <w:p>
      <w:pPr>
        <w:pStyle w:val="ySubsection"/>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p>
    <w:p>
      <w:pPr>
        <w:pStyle w:val="ySubsection"/>
      </w:pPr>
      <w:r>
        <w:tab/>
        <w:t>(4)</w:t>
      </w:r>
      <w:r>
        <w:tab/>
        <w:t>Subject to subclause (5), a facility road is to be constructed and maintained as is approved.</w:t>
      </w:r>
    </w:p>
    <w:p>
      <w:pPr>
        <w:pStyle w:val="ySubsection"/>
      </w:pPr>
      <w:r>
        <w:tab/>
        <w:t>(5)</w:t>
      </w:r>
      <w:r>
        <w:tab/>
        <w:t>A facility road in a transit park need not be paved or sealed.</w:t>
      </w:r>
    </w:p>
    <w:p>
      <w:pPr>
        <w:pStyle w:val="yFootnotesection"/>
      </w:pPr>
      <w:r>
        <w:tab/>
        <w:t>[Clause 15 amended in Gazette 12 Dec 2014 p. 4728.]</w:t>
      </w:r>
    </w:p>
    <w:p>
      <w:pPr>
        <w:pStyle w:val="yHeading5"/>
      </w:pPr>
      <w:bookmarkStart w:id="306" w:name="_Toc408481971"/>
      <w:bookmarkStart w:id="307" w:name="_Toc415151229"/>
      <w:r>
        <w:rPr>
          <w:rStyle w:val="CharSClsNo"/>
        </w:rPr>
        <w:t>16A</w:t>
      </w:r>
      <w:r>
        <w:t>.</w:t>
      </w:r>
      <w:r>
        <w:tab/>
        <w:t>Facility roads in nature based parks</w:t>
      </w:r>
      <w:bookmarkEnd w:id="306"/>
      <w:bookmarkEnd w:id="307"/>
    </w:p>
    <w:p>
      <w:pPr>
        <w:pStyle w:val="ySubsection"/>
      </w:pPr>
      <w:r>
        <w:tab/>
        <w:t>(1)</w:t>
      </w:r>
      <w:r>
        <w:tab/>
        <w:t>This clause applies to nature based parks.</w:t>
      </w:r>
    </w:p>
    <w:p>
      <w:pPr>
        <w:pStyle w:val="ySubsection"/>
      </w:pPr>
      <w:r>
        <w:tab/>
        <w:t>(2)</w:t>
      </w:r>
      <w:r>
        <w:tab/>
        <w:t>A facility entrance road is to be at least 6 metres wide or a narrower width that is approved.</w:t>
      </w:r>
    </w:p>
    <w:p>
      <w:pPr>
        <w:pStyle w:val="ySubsection"/>
      </w:pPr>
      <w:r>
        <w:tab/>
        <w:t>(3)</w:t>
      </w:r>
      <w:r>
        <w:tab/>
        <w:t>A facility road which is a one way road is to be at least 4 metres wide or a narrower width that is approved.</w:t>
      </w:r>
    </w:p>
    <w:p>
      <w:pPr>
        <w:pStyle w:val="ySubsection"/>
      </w:pPr>
      <w:r>
        <w:tab/>
        <w:t>(4)</w:t>
      </w:r>
      <w:r>
        <w:tab/>
        <w:t>A facility road which is a 2 way road is to be at least 6 metres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in Gazette 12 Dec 2014 p. 4728-9.]</w:t>
      </w:r>
    </w:p>
    <w:p>
      <w:pPr>
        <w:pStyle w:val="yHeading5"/>
      </w:pPr>
      <w:bookmarkStart w:id="308" w:name="_Toc408481972"/>
      <w:bookmarkStart w:id="309" w:name="_Toc415151230"/>
      <w:r>
        <w:rPr>
          <w:rStyle w:val="CharSClsNo"/>
        </w:rPr>
        <w:t>16</w:t>
      </w:r>
      <w:r>
        <w:t>.</w:t>
      </w:r>
      <w:r>
        <w:tab/>
        <w:t>Parking</w:t>
      </w:r>
      <w:bookmarkEnd w:id="308"/>
      <w:bookmarkEnd w:id="309"/>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Heading5"/>
      </w:pPr>
      <w:bookmarkStart w:id="310" w:name="_Toc408481973"/>
      <w:bookmarkStart w:id="311" w:name="_Toc415151231"/>
      <w:r>
        <w:rPr>
          <w:rStyle w:val="CharSClsNo"/>
        </w:rPr>
        <w:t>17</w:t>
      </w:r>
      <w:r>
        <w:t>.</w:t>
      </w:r>
      <w:r>
        <w:tab/>
        <w:t>Car parks</w:t>
      </w:r>
      <w:bookmarkEnd w:id="310"/>
      <w:bookmarkEnd w:id="311"/>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Heading3"/>
      </w:pPr>
      <w:bookmarkStart w:id="312" w:name="_Toc408481974"/>
      <w:bookmarkStart w:id="313" w:name="_Toc415150909"/>
      <w:bookmarkStart w:id="314" w:name="_Toc415151094"/>
      <w:bookmarkStart w:id="315" w:name="_Toc415151232"/>
      <w:r>
        <w:rPr>
          <w:rStyle w:val="CharSDivNo"/>
        </w:rPr>
        <w:t>Division 5</w:t>
      </w:r>
      <w:r>
        <w:t> — </w:t>
      </w:r>
      <w:r>
        <w:rPr>
          <w:rStyle w:val="CharSDivText"/>
        </w:rPr>
        <w:t>Recreational areas</w:t>
      </w:r>
      <w:bookmarkEnd w:id="312"/>
      <w:bookmarkEnd w:id="313"/>
      <w:bookmarkEnd w:id="314"/>
      <w:bookmarkEnd w:id="315"/>
    </w:p>
    <w:p>
      <w:pPr>
        <w:pStyle w:val="yHeading5"/>
      </w:pPr>
      <w:bookmarkStart w:id="316" w:name="_Toc408481975"/>
      <w:bookmarkStart w:id="317" w:name="_Toc415151233"/>
      <w:r>
        <w:rPr>
          <w:rStyle w:val="CharSClsNo"/>
        </w:rPr>
        <w:t>18</w:t>
      </w:r>
      <w:r>
        <w:t>.</w:t>
      </w:r>
      <w:r>
        <w:tab/>
        <w:t>Recreational areas</w:t>
      </w:r>
      <w:bookmarkEnd w:id="316"/>
      <w:bookmarkEnd w:id="317"/>
    </w:p>
    <w:p>
      <w:pPr>
        <w:pStyle w:val="ySubsection"/>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pPr>
      <w:r>
        <w:tab/>
        <w:t>(2)</w:t>
      </w:r>
      <w:r>
        <w:tab/>
        <w:t>Facility roads are not included in calculating recreational areas.</w:t>
      </w:r>
    </w:p>
    <w:p>
      <w:pPr>
        <w:pStyle w:val="ySubsection"/>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Heading3"/>
      </w:pPr>
      <w:bookmarkStart w:id="318" w:name="_Toc408481976"/>
      <w:bookmarkStart w:id="319" w:name="_Toc415150911"/>
      <w:bookmarkStart w:id="320" w:name="_Toc415151096"/>
      <w:bookmarkStart w:id="321" w:name="_Toc415151234"/>
      <w:r>
        <w:rPr>
          <w:rStyle w:val="CharSDivNo"/>
        </w:rPr>
        <w:t>Division 6</w:t>
      </w:r>
      <w:r>
        <w:t> — </w:t>
      </w:r>
      <w:r>
        <w:rPr>
          <w:rStyle w:val="CharSDivText"/>
        </w:rPr>
        <w:t>Ablution and toilet facilities</w:t>
      </w:r>
      <w:bookmarkEnd w:id="318"/>
      <w:bookmarkEnd w:id="319"/>
      <w:bookmarkEnd w:id="320"/>
      <w:bookmarkEnd w:id="321"/>
    </w:p>
    <w:p>
      <w:pPr>
        <w:pStyle w:val="yHeading5"/>
      </w:pPr>
      <w:bookmarkStart w:id="322" w:name="_Toc408481977"/>
      <w:bookmarkStart w:id="323" w:name="_Toc415151235"/>
      <w:r>
        <w:rPr>
          <w:rStyle w:val="CharSClsNo"/>
        </w:rPr>
        <w:t>19</w:t>
      </w:r>
      <w:r>
        <w:t>.</w:t>
      </w:r>
      <w:r>
        <w:tab/>
        <w:t>Location of toilets and showers</w:t>
      </w:r>
      <w:bookmarkEnd w:id="322"/>
      <w:bookmarkEnd w:id="323"/>
    </w:p>
    <w:p>
      <w:pPr>
        <w:pStyle w:val="ySubsection"/>
      </w:pPr>
      <w:r>
        <w:tab/>
        <w:t>(1)</w:t>
      </w:r>
      <w:r>
        <w:tab/>
        <w:t>There is to be at least one toilet and one shower within 90 metres of each site on a facility other than a nature based park.</w:t>
      </w:r>
    </w:p>
    <w:p>
      <w:pPr>
        <w:pStyle w:val="ySubsection"/>
      </w:pPr>
      <w:r>
        <w:tab/>
        <w:t>(2)</w:t>
      </w:r>
      <w:r>
        <w:tab/>
        <w:t>The location of toilets and showers in a nature based park is to be as approved.</w:t>
      </w:r>
    </w:p>
    <w:p>
      <w:pPr>
        <w:pStyle w:val="ySubsection"/>
      </w:pPr>
      <w:r>
        <w:tab/>
        <w:t>(3)</w:t>
      </w:r>
      <w:r>
        <w:tab/>
        <w:t>Subclauses (1) and (2) apply despite anything else in this Division.</w:t>
      </w:r>
    </w:p>
    <w:p>
      <w:pPr>
        <w:pStyle w:val="yFootnotesection"/>
      </w:pPr>
      <w:r>
        <w:tab/>
        <w:t>[Clause 19 inserted in Gazette 12 Dec 2014 p. 4729.]</w:t>
      </w:r>
    </w:p>
    <w:p>
      <w:pPr>
        <w:pStyle w:val="yHeading5"/>
      </w:pPr>
      <w:bookmarkStart w:id="324" w:name="_Toc408481978"/>
      <w:bookmarkStart w:id="325" w:name="_Toc415151236"/>
      <w:r>
        <w:rPr>
          <w:rStyle w:val="CharSClsNo"/>
        </w:rPr>
        <w:t>20</w:t>
      </w:r>
      <w:r>
        <w:t>.</w:t>
      </w:r>
      <w:r>
        <w:tab/>
        <w:t>Number of showers, toilets and hand basins, except at transit parks and nature based parks</w:t>
      </w:r>
      <w:bookmarkEnd w:id="324"/>
      <w:bookmarkEnd w:id="325"/>
    </w:p>
    <w:p>
      <w:pPr>
        <w:pStyle w:val="ySubsection"/>
      </w:pPr>
      <w:r>
        <w:tab/>
        <w:t>(1)</w:t>
      </w:r>
      <w:r>
        <w:tab/>
        <w:t>This clause applies to all facilities except transit parks and nature based parks.</w:t>
      </w:r>
    </w:p>
    <w:p>
      <w:pPr>
        <w:pStyle w:val="ySubsection"/>
      </w:pPr>
      <w:r>
        <w:tab/>
        <w:t>(2)</w:t>
      </w:r>
      <w:r>
        <w:tab/>
        <w:t>A facility is to have at least as many showers, toilets and hand basins as is specified in the following Table opposite the number of sites the facility has.</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Heading5"/>
      </w:pPr>
      <w:bookmarkStart w:id="326" w:name="_Toc408481979"/>
      <w:bookmarkStart w:id="327" w:name="_Toc415151237"/>
      <w:r>
        <w:rPr>
          <w:rStyle w:val="CharSClsNo"/>
        </w:rPr>
        <w:t>21</w:t>
      </w:r>
      <w:r>
        <w:t>.</w:t>
      </w:r>
      <w:r>
        <w:tab/>
        <w:t>Number of showers, toilets and hand basins at transit parks</w:t>
      </w:r>
      <w:bookmarkEnd w:id="326"/>
      <w:bookmarkEnd w:id="327"/>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Heading5"/>
      </w:pPr>
      <w:bookmarkStart w:id="328" w:name="_Toc408481980"/>
      <w:bookmarkStart w:id="329" w:name="_Toc415151238"/>
      <w:r>
        <w:rPr>
          <w:rStyle w:val="CharSClsNo"/>
        </w:rPr>
        <w:t>22</w:t>
      </w:r>
      <w:r>
        <w:t>.</w:t>
      </w:r>
      <w:r>
        <w:tab/>
        <w:t>Calculation of sites for clauses 20 and 21</w:t>
      </w:r>
      <w:bookmarkEnd w:id="328"/>
      <w:bookmarkEnd w:id="329"/>
    </w:p>
    <w:p>
      <w:pPr>
        <w:pStyle w:val="ySubsection"/>
      </w:pPr>
      <w:r>
        <w:tab/>
      </w:r>
      <w:r>
        <w:tab/>
        <w:t>In calculating the number of sites a facility has for the purposes of clauses 20 and 21 — </w:t>
      </w:r>
    </w:p>
    <w:p>
      <w:pPr>
        <w:pStyle w:val="yIndenta"/>
      </w:pPr>
      <w:r>
        <w:tab/>
        <w:t>(a)</w:t>
      </w:r>
      <w:r>
        <w:tab/>
        <w:t>a site with an en suite is not included;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330" w:name="_Toc408481981"/>
      <w:bookmarkStart w:id="331" w:name="_Toc415151239"/>
      <w:r>
        <w:rPr>
          <w:rStyle w:val="CharSClsNo"/>
        </w:rPr>
        <w:t>23</w:t>
      </w:r>
      <w:r>
        <w:t>.</w:t>
      </w:r>
      <w:r>
        <w:tab/>
        <w:t>Number of toilets, showers, hand basins at nature based parks</w:t>
      </w:r>
      <w:bookmarkEnd w:id="330"/>
      <w:bookmarkEnd w:id="331"/>
    </w:p>
    <w:p>
      <w:pPr>
        <w:pStyle w:val="ySubsection"/>
      </w:pPr>
      <w:r>
        <w:tab/>
        <w:t>(1)</w:t>
      </w:r>
      <w:r>
        <w:tab/>
        <w:t>A nature based park is to have at least 2 toilets for every 20 sites, unless otherwise approved.</w:t>
      </w:r>
    </w:p>
    <w:p>
      <w:pPr>
        <w:pStyle w:val="NotesPerm"/>
        <w:tabs>
          <w:tab w:val="clear" w:pos="879"/>
          <w:tab w:val="left" w:pos="851"/>
        </w:tabs>
        <w:ind w:left="1418" w:hanging="1418"/>
      </w:pPr>
      <w:r>
        <w:tab/>
        <w:t>Note:</w:t>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in Gazette 12 Dec 2014 p. 4729.]</w:t>
      </w:r>
    </w:p>
    <w:p>
      <w:pPr>
        <w:pStyle w:val="yHeading5"/>
      </w:pPr>
      <w:bookmarkStart w:id="332" w:name="_Toc408481982"/>
      <w:bookmarkStart w:id="333" w:name="_Toc415151240"/>
      <w:r>
        <w:rPr>
          <w:rStyle w:val="CharSClsNo"/>
        </w:rPr>
        <w:t>24</w:t>
      </w:r>
      <w:r>
        <w:t>.</w:t>
      </w:r>
      <w:r>
        <w:tab/>
        <w:t>Showers</w:t>
      </w:r>
      <w:bookmarkEnd w:id="332"/>
      <w:bookmarkEnd w:id="333"/>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 Celsius),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in Gazette 12 Dec 2014 p. 4730.]</w:t>
      </w:r>
    </w:p>
    <w:p>
      <w:pPr>
        <w:pStyle w:val="yHeading5"/>
      </w:pPr>
      <w:bookmarkStart w:id="334" w:name="_Toc408481983"/>
      <w:bookmarkStart w:id="335" w:name="_Toc415151241"/>
      <w:r>
        <w:rPr>
          <w:rStyle w:val="CharSClsNo"/>
        </w:rPr>
        <w:t>25</w:t>
      </w:r>
      <w:r>
        <w:t>.</w:t>
      </w:r>
      <w:r>
        <w:tab/>
        <w:t>Babies bath</w:t>
      </w:r>
      <w:bookmarkEnd w:id="334"/>
      <w:bookmarkEnd w:id="335"/>
    </w:p>
    <w:p>
      <w:pPr>
        <w:pStyle w:val="ySubsection"/>
      </w:pPr>
      <w:r>
        <w:tab/>
        <w:t>(1)</w:t>
      </w:r>
      <w:r>
        <w:tab/>
        <w:t>Each ablution block, other than at a transit park or a nature based park, is to have a babies’ bath which — </w:t>
      </w:r>
    </w:p>
    <w:p>
      <w:pPr>
        <w:pStyle w:val="yIndenta"/>
      </w:pPr>
      <w:r>
        <w:tab/>
        <w:t>(a)</w:t>
      </w:r>
      <w:r>
        <w:tab/>
        <w:t>has a capacity of 45 litres;</w:t>
      </w:r>
    </w:p>
    <w:p>
      <w:pPr>
        <w:pStyle w:val="yIndenta"/>
      </w:pPr>
      <w:r>
        <w:tab/>
        <w:t>(b)</w:t>
      </w:r>
      <w:r>
        <w:tab/>
        <w:t>is of stainless steel or other suitable material;</w:t>
      </w:r>
    </w:p>
    <w:p>
      <w:pPr>
        <w:pStyle w:val="yIndenta"/>
      </w:pPr>
      <w:r>
        <w:tab/>
        <w:t>(c)</w:t>
      </w:r>
      <w:r>
        <w:tab/>
        <w:t>has a drain plug;</w:t>
      </w:r>
    </w:p>
    <w:p>
      <w:pPr>
        <w:pStyle w:val="yIndenta"/>
      </w:pPr>
      <w:r>
        <w:tab/>
        <w:t>(d)</w:t>
      </w:r>
      <w:r>
        <w:tab/>
        <w:t>is next to at least 0.45 square metre 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 celsius.</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Heading5"/>
      </w:pPr>
      <w:bookmarkStart w:id="336" w:name="_Toc408481984"/>
      <w:bookmarkStart w:id="337" w:name="_Toc415151242"/>
      <w:r>
        <w:rPr>
          <w:rStyle w:val="CharSClsNo"/>
        </w:rPr>
        <w:t>26</w:t>
      </w:r>
      <w:r>
        <w:t>.</w:t>
      </w:r>
      <w:r>
        <w:tab/>
        <w:t>Hand basins</w:t>
      </w:r>
      <w:bookmarkEnd w:id="336"/>
      <w:bookmarkEnd w:id="337"/>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 Celsius),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in Gazette 12 Dec 2014 p. 4730.]</w:t>
      </w:r>
    </w:p>
    <w:p>
      <w:pPr>
        <w:pStyle w:val="yHeading5"/>
      </w:pPr>
      <w:bookmarkStart w:id="338" w:name="_Toc408481985"/>
      <w:bookmarkStart w:id="339" w:name="_Toc415151243"/>
      <w:r>
        <w:rPr>
          <w:rStyle w:val="CharSClsNo"/>
        </w:rPr>
        <w:t>27</w:t>
      </w:r>
      <w:r>
        <w:t>.</w:t>
      </w:r>
      <w:r>
        <w:tab/>
        <w:t>Power points</w:t>
      </w:r>
      <w:bookmarkEnd w:id="338"/>
      <w:bookmarkEnd w:id="339"/>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in Gazette 12 Dec 2014 p. 4730.]</w:t>
      </w:r>
    </w:p>
    <w:p>
      <w:pPr>
        <w:pStyle w:val="yHeading5"/>
      </w:pPr>
      <w:bookmarkStart w:id="340" w:name="_Toc408481986"/>
      <w:bookmarkStart w:id="341" w:name="_Toc415151244"/>
      <w:r>
        <w:rPr>
          <w:rStyle w:val="CharSClsNo"/>
        </w:rPr>
        <w:t>28</w:t>
      </w:r>
      <w:r>
        <w:t>.</w:t>
      </w:r>
      <w:r>
        <w:tab/>
        <w:t>Toilets</w:t>
      </w:r>
      <w:bookmarkEnd w:id="340"/>
      <w:bookmarkEnd w:id="341"/>
    </w:p>
    <w:p>
      <w:pPr>
        <w:pStyle w:val="ySubsection"/>
      </w:pPr>
      <w:r>
        <w:tab/>
        <w:t>(1)</w:t>
      </w:r>
      <w:r>
        <w:tab/>
        <w:t>Each pedestal toilet is to be enclosed in a cubicle which has — </w:t>
      </w:r>
    </w:p>
    <w:p>
      <w:pPr>
        <w:pStyle w:val="yIndenta"/>
      </w:pPr>
      <w:r>
        <w:tab/>
        <w:t>(a)</w:t>
      </w:r>
      <w:r>
        <w:tab/>
        <w:t>a toilet roll dispenser;</w:t>
      </w:r>
    </w:p>
    <w:p>
      <w:pPr>
        <w:pStyle w:val="yIndenta"/>
      </w:pPr>
      <w:r>
        <w:tab/>
        <w:t>(b)</w:t>
      </w:r>
      <w:r>
        <w:tab/>
        <w:t>a coat hook;</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pPr>
      <w:bookmarkStart w:id="342" w:name="_Toc408481987"/>
      <w:bookmarkStart w:id="343" w:name="_Toc415151245"/>
      <w:r>
        <w:rPr>
          <w:rStyle w:val="CharSClsNo"/>
        </w:rPr>
        <w:t>29</w:t>
      </w:r>
      <w:r>
        <w:t>.</w:t>
      </w:r>
      <w:r>
        <w:tab/>
        <w:t>Napkin disposal units</w:t>
      </w:r>
      <w:bookmarkEnd w:id="342"/>
      <w:bookmarkEnd w:id="343"/>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pPr>
      <w:bookmarkStart w:id="344" w:name="_Toc408481988"/>
      <w:bookmarkStart w:id="345" w:name="_Toc415150923"/>
      <w:bookmarkStart w:id="346" w:name="_Toc415151108"/>
      <w:bookmarkStart w:id="347" w:name="_Toc415151246"/>
      <w:r>
        <w:rPr>
          <w:rStyle w:val="CharSDivNo"/>
        </w:rPr>
        <w:t>Division 7</w:t>
      </w:r>
      <w:r>
        <w:t> — </w:t>
      </w:r>
      <w:r>
        <w:rPr>
          <w:rStyle w:val="CharSDivText"/>
        </w:rPr>
        <w:t>Laundry facilities</w:t>
      </w:r>
      <w:bookmarkEnd w:id="344"/>
      <w:bookmarkEnd w:id="345"/>
      <w:bookmarkEnd w:id="346"/>
      <w:bookmarkEnd w:id="347"/>
    </w:p>
    <w:p>
      <w:pPr>
        <w:pStyle w:val="yHeading5"/>
        <w:spacing w:before="240"/>
      </w:pPr>
      <w:bookmarkStart w:id="348" w:name="_Toc408481989"/>
      <w:bookmarkStart w:id="349" w:name="_Toc415151247"/>
      <w:r>
        <w:rPr>
          <w:rStyle w:val="CharSClsNo"/>
        </w:rPr>
        <w:t>30</w:t>
      </w:r>
      <w:r>
        <w:t>.</w:t>
      </w:r>
      <w:r>
        <w:tab/>
        <w:t>Laundry facilities</w:t>
      </w:r>
      <w:bookmarkEnd w:id="348"/>
      <w:bookmarkEnd w:id="349"/>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 xml:space="preserve">a washing machine that is connected to a supply of hot (not less than 45° celsius) and cold running water, or which is capable of heating water to that temperature; </w:t>
      </w:r>
    </w:p>
    <w:p>
      <w:pPr>
        <w:pStyle w:val="yIndenta"/>
      </w:pPr>
      <w:r>
        <w:tab/>
        <w:t>(b)</w:t>
      </w:r>
      <w:r>
        <w:tab/>
        <w:t xml:space="preserve">a trough with a drain plug and hot (not less than 45° celsius) and running cold water; </w:t>
      </w:r>
    </w:p>
    <w:p>
      <w:pPr>
        <w:pStyle w:val="yIndenta"/>
      </w:pPr>
      <w:r>
        <w:tab/>
        <w:t>(c)</w:t>
      </w:r>
      <w:r>
        <w:tab/>
        <w:t>at least 0.3 square metre of bench space suitable for ironing clothes, with access to a power point; and</w:t>
      </w:r>
    </w:p>
    <w:p>
      <w:pPr>
        <w:pStyle w:val="yIndenta"/>
      </w:pPr>
      <w:r>
        <w:tab/>
        <w:t>(d)</w:t>
      </w:r>
      <w:r>
        <w:tab/>
        <w:t>one electric clothes drier or 60 metres of washing line.</w:t>
      </w:r>
    </w:p>
    <w:p>
      <w:pPr>
        <w:pStyle w:val="ySubsection"/>
      </w:pPr>
      <w:r>
        <w:tab/>
        <w:t>(3)</w:t>
      </w:r>
      <w:r>
        <w:tab/>
        <w:t>A laundry facility where there is no access to a supply of electricity comprises — </w:t>
      </w:r>
    </w:p>
    <w:p>
      <w:pPr>
        <w:pStyle w:val="yIndenta"/>
      </w:pPr>
      <w:r>
        <w:tab/>
        <w:t>(a)</w:t>
      </w:r>
      <w:r>
        <w:tab/>
        <w:t>a copper and an adequate fuel supply;</w:t>
      </w:r>
    </w:p>
    <w:p>
      <w:pPr>
        <w:pStyle w:val="yIndenta"/>
      </w:pPr>
      <w:r>
        <w:tab/>
        <w:t>(b)</w:t>
      </w:r>
      <w:r>
        <w:tab/>
        <w:t>a trough with a drain plug and hot (not less than 45° celsius) and cold running water;</w:t>
      </w:r>
    </w:p>
    <w:p>
      <w:pPr>
        <w:pStyle w:val="yIndenta"/>
      </w:pPr>
      <w:r>
        <w:tab/>
        <w:t>(c)</w:t>
      </w:r>
      <w:r>
        <w:tab/>
        <w:t>at least 0.3 square metre of bench space suitable for ironing; and</w:t>
      </w:r>
    </w:p>
    <w:p>
      <w:pPr>
        <w:pStyle w:val="yIndenta"/>
      </w:pPr>
      <w:r>
        <w:tab/>
        <w:t>(d)</w:t>
      </w:r>
      <w:r>
        <w:tab/>
        <w:t>60 metres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in Gazette 12 Dec 2014 p. 4730.]</w:t>
      </w:r>
    </w:p>
    <w:p>
      <w:pPr>
        <w:pStyle w:val="yHeading3"/>
      </w:pPr>
      <w:bookmarkStart w:id="350" w:name="_Toc408481990"/>
      <w:bookmarkStart w:id="351" w:name="_Toc415150925"/>
      <w:bookmarkStart w:id="352" w:name="_Toc415151110"/>
      <w:bookmarkStart w:id="353" w:name="_Toc415151248"/>
      <w:r>
        <w:rPr>
          <w:rStyle w:val="CharSDivNo"/>
        </w:rPr>
        <w:t>Division 8</w:t>
      </w:r>
      <w:r>
        <w:t> — </w:t>
      </w:r>
      <w:r>
        <w:rPr>
          <w:rStyle w:val="CharSDivText"/>
        </w:rPr>
        <w:t>Washing up facilities for campers</w:t>
      </w:r>
      <w:bookmarkEnd w:id="350"/>
      <w:bookmarkEnd w:id="351"/>
      <w:bookmarkEnd w:id="352"/>
      <w:bookmarkEnd w:id="353"/>
    </w:p>
    <w:p>
      <w:pPr>
        <w:pStyle w:val="yHeading5"/>
      </w:pPr>
      <w:bookmarkStart w:id="354" w:name="_Toc408481991"/>
      <w:bookmarkStart w:id="355" w:name="_Toc415151249"/>
      <w:r>
        <w:rPr>
          <w:rStyle w:val="CharSClsNo"/>
        </w:rPr>
        <w:t>31</w:t>
      </w:r>
      <w:r>
        <w:t>.</w:t>
      </w:r>
      <w:r>
        <w:tab/>
        <w:t>Washing up facilities for campers</w:t>
      </w:r>
      <w:bookmarkEnd w:id="354"/>
      <w:bookmarkEnd w:id="355"/>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metres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 Celsius), unless otherwise approved for a nature based park; and </w:t>
      </w:r>
    </w:p>
    <w:p>
      <w:pPr>
        <w:pStyle w:val="yIndenta"/>
      </w:pPr>
      <w:r>
        <w:tab/>
        <w:t>(ca)</w:t>
      </w:r>
      <w:r>
        <w:tab/>
        <w:t>cold running water; and</w:t>
      </w:r>
    </w:p>
    <w:p>
      <w:pPr>
        <w:pStyle w:val="yIndenta"/>
      </w:pPr>
      <w:r>
        <w:tab/>
        <w:t>(c)</w:t>
      </w:r>
      <w:r>
        <w:tab/>
        <w:t>a capacity of at least 45 litres; and</w:t>
      </w:r>
    </w:p>
    <w:p>
      <w:pPr>
        <w:pStyle w:val="yIndenta"/>
      </w:pPr>
      <w:r>
        <w:tab/>
        <w:t>(d)</w:t>
      </w:r>
      <w:r>
        <w:tab/>
        <w:t>next to it, at least 0.5 square metre of waterproof bench.</w:t>
      </w:r>
    </w:p>
    <w:p>
      <w:pPr>
        <w:pStyle w:val="yFootnotesection"/>
      </w:pPr>
      <w:r>
        <w:tab/>
        <w:t>[Clause 31 amended in Gazette 12 Dec 2014 p. 4730-1.]</w:t>
      </w:r>
    </w:p>
    <w:p>
      <w:pPr>
        <w:pStyle w:val="yHeading3"/>
      </w:pPr>
      <w:bookmarkStart w:id="356" w:name="_Toc408481992"/>
      <w:bookmarkStart w:id="357" w:name="_Toc415150927"/>
      <w:bookmarkStart w:id="358" w:name="_Toc415151112"/>
      <w:bookmarkStart w:id="359" w:name="_Toc415151250"/>
      <w:r>
        <w:rPr>
          <w:rStyle w:val="CharSDivNo"/>
        </w:rPr>
        <w:t>Division 9</w:t>
      </w:r>
      <w:r>
        <w:t> — </w:t>
      </w:r>
      <w:r>
        <w:rPr>
          <w:rStyle w:val="CharSDivText"/>
        </w:rPr>
        <w:t>Lighting</w:t>
      </w:r>
      <w:bookmarkEnd w:id="356"/>
      <w:bookmarkEnd w:id="357"/>
      <w:bookmarkEnd w:id="358"/>
      <w:bookmarkEnd w:id="359"/>
    </w:p>
    <w:p>
      <w:pPr>
        <w:pStyle w:val="yHeading5"/>
      </w:pPr>
      <w:bookmarkStart w:id="360" w:name="_Toc408481993"/>
      <w:bookmarkStart w:id="361" w:name="_Toc415151251"/>
      <w:r>
        <w:rPr>
          <w:rStyle w:val="CharSClsNo"/>
        </w:rPr>
        <w:t>32</w:t>
      </w:r>
      <w:r>
        <w:t>.</w:t>
      </w:r>
      <w:r>
        <w:tab/>
        <w:t>Lighting</w:t>
      </w:r>
      <w:bookmarkEnd w:id="360"/>
      <w:bookmarkEnd w:id="361"/>
    </w:p>
    <w:p>
      <w:pPr>
        <w:pStyle w:val="ySubsection"/>
      </w:pPr>
      <w:r>
        <w:tab/>
        <w:t>(1)</w:t>
      </w:r>
      <w:r>
        <w:tab/>
        <w:t>Each ablution block and each building containing a toilet is to be lit at night so that light of an intensity of not less than 100 lumens per square metre radiates throughout the building.</w:t>
      </w:r>
    </w:p>
    <w:p>
      <w:pPr>
        <w:pStyle w:val="ySubsection"/>
      </w:pPr>
      <w:r>
        <w:tab/>
        <w:t>(2)</w:t>
      </w:r>
      <w:r>
        <w:tab/>
        <w:t>A building containing a laundry facility is to be lit at night so that light of an intensity of not less than 160 lumens per square metre radiates throughout the building.</w:t>
      </w:r>
    </w:p>
    <w:p>
      <w:pPr>
        <w:pStyle w:val="ySubsection"/>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in Gazette 12 Dec 2014 p. 4731.]</w:t>
      </w:r>
    </w:p>
    <w:p>
      <w:pPr>
        <w:pStyle w:val="yHeading3"/>
      </w:pPr>
      <w:bookmarkStart w:id="362" w:name="_Toc408481994"/>
      <w:bookmarkStart w:id="363" w:name="_Toc415150929"/>
      <w:bookmarkStart w:id="364" w:name="_Toc415151114"/>
      <w:bookmarkStart w:id="365" w:name="_Toc415151252"/>
      <w:r>
        <w:rPr>
          <w:rStyle w:val="CharSDivNo"/>
        </w:rPr>
        <w:t>Division 10</w:t>
      </w:r>
      <w:r>
        <w:t> — </w:t>
      </w:r>
      <w:r>
        <w:rPr>
          <w:rStyle w:val="CharSDivText"/>
        </w:rPr>
        <w:t>Fire fighting equipment</w:t>
      </w:r>
      <w:bookmarkEnd w:id="362"/>
      <w:bookmarkEnd w:id="363"/>
      <w:bookmarkEnd w:id="364"/>
      <w:bookmarkEnd w:id="365"/>
    </w:p>
    <w:p>
      <w:pPr>
        <w:pStyle w:val="yHeading5"/>
      </w:pPr>
      <w:bookmarkStart w:id="366" w:name="_Toc408481995"/>
      <w:bookmarkStart w:id="367" w:name="_Toc415151253"/>
      <w:r>
        <w:rPr>
          <w:rStyle w:val="CharSClsNo"/>
        </w:rPr>
        <w:t>33</w:t>
      </w:r>
      <w:r>
        <w:t>.</w:t>
      </w:r>
      <w:r>
        <w:tab/>
        <w:t>Fire hose reels</w:t>
      </w:r>
      <w:bookmarkEnd w:id="366"/>
      <w:bookmarkEnd w:id="367"/>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pPr>
      <w:bookmarkStart w:id="368" w:name="_Toc408481996"/>
      <w:bookmarkStart w:id="369" w:name="_Toc415151254"/>
      <w:r>
        <w:rPr>
          <w:rStyle w:val="CharSClsNo"/>
        </w:rPr>
        <w:t>34</w:t>
      </w:r>
      <w:r>
        <w:t>.</w:t>
      </w:r>
      <w:r>
        <w:tab/>
        <w:t>Park home parks</w:t>
      </w:r>
      <w:bookmarkEnd w:id="368"/>
      <w:bookmarkEnd w:id="369"/>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pPr>
      <w:bookmarkStart w:id="370" w:name="_Toc408481997"/>
      <w:bookmarkStart w:id="371" w:name="_Toc415151255"/>
      <w:r>
        <w:rPr>
          <w:rStyle w:val="CharSClsNo"/>
        </w:rPr>
        <w:t>35</w:t>
      </w:r>
      <w:r>
        <w:t>.</w:t>
      </w:r>
      <w:r>
        <w:tab/>
        <w:t>Fire extinguishers</w:t>
      </w:r>
      <w:bookmarkEnd w:id="370"/>
      <w:bookmarkEnd w:id="371"/>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metres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in Gazette 12 Dec 2014 p. 4731.]</w:t>
      </w:r>
    </w:p>
    <w:p>
      <w:pPr>
        <w:pStyle w:val="yHeading5"/>
      </w:pPr>
      <w:bookmarkStart w:id="372" w:name="_Toc408481998"/>
      <w:bookmarkStart w:id="373" w:name="_Toc415151256"/>
      <w:r>
        <w:rPr>
          <w:rStyle w:val="CharSClsNo"/>
        </w:rPr>
        <w:t>36</w:t>
      </w:r>
      <w:r>
        <w:t>.</w:t>
      </w:r>
      <w:r>
        <w:tab/>
        <w:t>Fire equipment to be maintained, accessible and ready</w:t>
      </w:r>
      <w:bookmarkEnd w:id="372"/>
      <w:bookmarkEnd w:id="373"/>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pPr>
      <w:bookmarkStart w:id="374" w:name="_Toc408481999"/>
      <w:bookmarkStart w:id="375" w:name="_Toc415150934"/>
      <w:bookmarkStart w:id="376" w:name="_Toc415151119"/>
      <w:bookmarkStart w:id="377" w:name="_Toc415151257"/>
      <w:r>
        <w:rPr>
          <w:rStyle w:val="CharSDivNo"/>
        </w:rPr>
        <w:t>Division 11</w:t>
      </w:r>
      <w:r>
        <w:t> — </w:t>
      </w:r>
      <w:r>
        <w:rPr>
          <w:rStyle w:val="CharSDivText"/>
        </w:rPr>
        <w:t>Electricity</w:t>
      </w:r>
      <w:bookmarkEnd w:id="374"/>
      <w:bookmarkEnd w:id="375"/>
      <w:bookmarkEnd w:id="376"/>
      <w:bookmarkEnd w:id="377"/>
    </w:p>
    <w:p>
      <w:pPr>
        <w:pStyle w:val="yHeading5"/>
      </w:pPr>
      <w:bookmarkStart w:id="378" w:name="_Toc408482000"/>
      <w:bookmarkStart w:id="379" w:name="_Toc415151258"/>
      <w:r>
        <w:rPr>
          <w:rStyle w:val="CharSClsNo"/>
        </w:rPr>
        <w:t>37</w:t>
      </w:r>
      <w:r>
        <w:t>.</w:t>
      </w:r>
      <w:r>
        <w:tab/>
        <w:t>Electricity to sites</w:t>
      </w:r>
      <w:bookmarkEnd w:id="378"/>
      <w:bookmarkEnd w:id="379"/>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pPr>
      <w:bookmarkStart w:id="380" w:name="_Toc408482001"/>
      <w:bookmarkStart w:id="381" w:name="_Toc415150936"/>
      <w:bookmarkStart w:id="382" w:name="_Toc415151121"/>
      <w:bookmarkStart w:id="383" w:name="_Toc415151259"/>
      <w:r>
        <w:rPr>
          <w:rStyle w:val="CharSDivNo"/>
        </w:rPr>
        <w:t>Division 12</w:t>
      </w:r>
      <w:r>
        <w:t> — </w:t>
      </w:r>
      <w:r>
        <w:rPr>
          <w:rStyle w:val="CharSDivText"/>
        </w:rPr>
        <w:t>Water supply</w:t>
      </w:r>
      <w:bookmarkEnd w:id="380"/>
      <w:bookmarkEnd w:id="381"/>
      <w:bookmarkEnd w:id="382"/>
      <w:bookmarkEnd w:id="383"/>
    </w:p>
    <w:p>
      <w:pPr>
        <w:pStyle w:val="yHeading5"/>
      </w:pPr>
      <w:bookmarkStart w:id="384" w:name="_Toc408482002"/>
      <w:bookmarkStart w:id="385" w:name="_Toc415151260"/>
      <w:r>
        <w:rPr>
          <w:rStyle w:val="CharSClsNo"/>
        </w:rPr>
        <w:t>38</w:t>
      </w:r>
      <w:r>
        <w:t>.</w:t>
      </w:r>
      <w:r>
        <w:tab/>
        <w:t>Interpretation</w:t>
      </w:r>
      <w:bookmarkEnd w:id="384"/>
      <w:bookmarkEnd w:id="385"/>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in Gazette 12 Dec 2014 p. 4731.]</w:t>
      </w:r>
    </w:p>
    <w:p>
      <w:pPr>
        <w:pStyle w:val="yHeading5"/>
      </w:pPr>
      <w:bookmarkStart w:id="386" w:name="_Toc408482003"/>
      <w:bookmarkStart w:id="387" w:name="_Toc415151261"/>
      <w:r>
        <w:rPr>
          <w:rStyle w:val="CharSClsNo"/>
        </w:rPr>
        <w:t>39</w:t>
      </w:r>
      <w:r>
        <w:t>.</w:t>
      </w:r>
      <w:r>
        <w:tab/>
        <w:t>AS 3500.1</w:t>
      </w:r>
      <w:bookmarkEnd w:id="386"/>
      <w:bookmarkEnd w:id="387"/>
    </w:p>
    <w:p>
      <w:pPr>
        <w:pStyle w:val="ySubsection"/>
      </w:pPr>
      <w:r>
        <w:tab/>
      </w:r>
      <w:r>
        <w:tab/>
        <w:t>AS 3500.1—1992 “National plumbing and drainage code, Part 1: Water Supply” is to be complied with at a facility with respect to any supply of potable water.</w:t>
      </w:r>
    </w:p>
    <w:p>
      <w:pPr>
        <w:pStyle w:val="yHeading5"/>
      </w:pPr>
      <w:bookmarkStart w:id="388" w:name="_Toc408482004"/>
      <w:bookmarkStart w:id="389" w:name="_Toc415151262"/>
      <w:r>
        <w:rPr>
          <w:rStyle w:val="CharSClsNo"/>
        </w:rPr>
        <w:t>40</w:t>
      </w:r>
      <w:r>
        <w:t>.</w:t>
      </w:r>
      <w:r>
        <w:tab/>
        <w:t>Tap at transit park and nature based park</w:t>
      </w:r>
      <w:bookmarkEnd w:id="388"/>
      <w:bookmarkEnd w:id="389"/>
    </w:p>
    <w:p>
      <w:pPr>
        <w:pStyle w:val="ySubsection"/>
      </w:pPr>
      <w:r>
        <w:tab/>
      </w:r>
      <w:r>
        <w:tab/>
        <w:t>There is to be a centrally located tap at a transit park and a nature based park for use by all occupiers, unless otherwise approved.</w:t>
      </w:r>
    </w:p>
    <w:p>
      <w:pPr>
        <w:pStyle w:val="yHeading5"/>
      </w:pPr>
      <w:bookmarkStart w:id="390" w:name="_Toc408482005"/>
      <w:bookmarkStart w:id="391" w:name="_Toc415151263"/>
      <w:r>
        <w:rPr>
          <w:rStyle w:val="CharSClsNo"/>
        </w:rPr>
        <w:t>41</w:t>
      </w:r>
      <w:r>
        <w:t>.</w:t>
      </w:r>
      <w:r>
        <w:tab/>
        <w:t>Tap at camping ground</w:t>
      </w:r>
      <w:bookmarkEnd w:id="390"/>
      <w:bookmarkEnd w:id="391"/>
    </w:p>
    <w:p>
      <w:pPr>
        <w:pStyle w:val="ySubsection"/>
      </w:pPr>
      <w:r>
        <w:tab/>
      </w:r>
      <w:r>
        <w:tab/>
        <w:t>There is to be at least one tap within 30 metres of each camping site at a camping ground.</w:t>
      </w:r>
    </w:p>
    <w:p>
      <w:pPr>
        <w:pStyle w:val="yHeading5"/>
      </w:pPr>
      <w:bookmarkStart w:id="392" w:name="_Toc408482006"/>
      <w:bookmarkStart w:id="393" w:name="_Toc415151264"/>
      <w:r>
        <w:rPr>
          <w:rStyle w:val="CharSClsNo"/>
        </w:rPr>
        <w:t>42</w:t>
      </w:r>
      <w:r>
        <w:t>.</w:t>
      </w:r>
      <w:r>
        <w:tab/>
        <w:t>Potable water for sites</w:t>
      </w:r>
      <w:bookmarkEnd w:id="392"/>
      <w:bookmarkEnd w:id="393"/>
    </w:p>
    <w:p>
      <w:pPr>
        <w:pStyle w:val="ySubsection"/>
      </w:pPr>
      <w:r>
        <w:tab/>
        <w:t>(1)</w:t>
      </w:r>
      <w:r>
        <w:tab/>
        <w:t>A supply of potable water of at least 300 litres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pPr>
      <w:bookmarkStart w:id="394" w:name="_Toc408482007"/>
      <w:bookmarkStart w:id="395" w:name="_Toc415151265"/>
      <w:r>
        <w:rPr>
          <w:rStyle w:val="CharSClsNo"/>
        </w:rPr>
        <w:t>43</w:t>
      </w:r>
      <w:r>
        <w:t>.</w:t>
      </w:r>
      <w:r>
        <w:tab/>
        <w:t>Long stay sites to have own tap or connection</w:t>
      </w:r>
      <w:bookmarkEnd w:id="394"/>
      <w:bookmarkEnd w:id="395"/>
    </w:p>
    <w:p>
      <w:pPr>
        <w:pStyle w:val="ySubsection"/>
      </w:pPr>
      <w:r>
        <w:tab/>
      </w:r>
      <w:r>
        <w:tab/>
        <w:t>Subject to clause 42, there is to be a tap or water connection point with a supply of potable water at every long stay site.</w:t>
      </w:r>
    </w:p>
    <w:p>
      <w:pPr>
        <w:pStyle w:val="yHeading5"/>
      </w:pPr>
      <w:bookmarkStart w:id="396" w:name="_Toc408482008"/>
      <w:bookmarkStart w:id="397" w:name="_Toc415151266"/>
      <w:r>
        <w:rPr>
          <w:rStyle w:val="CharSClsNo"/>
        </w:rPr>
        <w:t>44</w:t>
      </w:r>
      <w:r>
        <w:t>.</w:t>
      </w:r>
      <w:r>
        <w:tab/>
        <w:t>Tap within 10 metres of short stay sites</w:t>
      </w:r>
      <w:bookmarkEnd w:id="396"/>
      <w:bookmarkEnd w:id="397"/>
    </w:p>
    <w:p>
      <w:pPr>
        <w:pStyle w:val="ySubsection"/>
      </w:pPr>
      <w:r>
        <w:tab/>
      </w:r>
      <w:r>
        <w:tab/>
        <w:t>There is to be a tap connected to a supply of potable water within at least 10 metres of every short stay site on a facility, unless otherwise approved.</w:t>
      </w:r>
    </w:p>
    <w:p>
      <w:pPr>
        <w:pStyle w:val="yHeading3"/>
      </w:pPr>
      <w:bookmarkStart w:id="398" w:name="_Toc408482009"/>
      <w:bookmarkStart w:id="399" w:name="_Toc415150944"/>
      <w:bookmarkStart w:id="400" w:name="_Toc415151129"/>
      <w:bookmarkStart w:id="401" w:name="_Toc415151267"/>
      <w:r>
        <w:rPr>
          <w:rStyle w:val="CharSDivNo"/>
        </w:rPr>
        <w:t>Division 13</w:t>
      </w:r>
      <w:r>
        <w:t> — </w:t>
      </w:r>
      <w:r>
        <w:rPr>
          <w:rStyle w:val="CharSDivText"/>
        </w:rPr>
        <w:t>Waste water, sewage and drainage</w:t>
      </w:r>
      <w:bookmarkEnd w:id="398"/>
      <w:bookmarkEnd w:id="399"/>
      <w:bookmarkEnd w:id="400"/>
      <w:bookmarkEnd w:id="401"/>
    </w:p>
    <w:p>
      <w:pPr>
        <w:pStyle w:val="yHeading5"/>
      </w:pPr>
      <w:bookmarkStart w:id="402" w:name="_Toc408482010"/>
      <w:bookmarkStart w:id="403" w:name="_Toc415151268"/>
      <w:r>
        <w:t>45.</w:t>
      </w:r>
      <w:r>
        <w:tab/>
        <w:t>Interpretation</w:t>
      </w:r>
      <w:bookmarkEnd w:id="402"/>
      <w:bookmarkEnd w:id="403"/>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pPr>
      <w:bookmarkStart w:id="404" w:name="_Toc408482011"/>
      <w:bookmarkStart w:id="405" w:name="_Toc415151269"/>
      <w:r>
        <w:rPr>
          <w:rStyle w:val="CharSClsNo"/>
        </w:rPr>
        <w:t>46</w:t>
      </w:r>
      <w:r>
        <w:t>.</w:t>
      </w:r>
      <w:r>
        <w:tab/>
        <w:t>Waste water disposal</w:t>
      </w:r>
      <w:bookmarkEnd w:id="404"/>
      <w:bookmarkEnd w:id="405"/>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metres; and</w:t>
      </w:r>
    </w:p>
    <w:p>
      <w:pPr>
        <w:pStyle w:val="yIndenta"/>
        <w:keepNext/>
      </w:pPr>
      <w:r>
        <w:tab/>
        <w:t>(b)</w:t>
      </w:r>
      <w:r>
        <w:tab/>
        <w:t>camp site at a facility is to be no more than 30 metres,</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in Gazette 12 Dec 2014 p. 4732.]</w:t>
      </w:r>
    </w:p>
    <w:p>
      <w:pPr>
        <w:pStyle w:val="yHeading5"/>
      </w:pPr>
      <w:bookmarkStart w:id="406" w:name="_Toc408482012"/>
      <w:bookmarkStart w:id="407" w:name="_Toc415151270"/>
      <w:r>
        <w:rPr>
          <w:rStyle w:val="CharSClsNo"/>
        </w:rPr>
        <w:t>47</w:t>
      </w:r>
      <w:r>
        <w:t>.</w:t>
      </w:r>
      <w:r>
        <w:tab/>
        <w:t>Communal chemical soil waste dump point</w:t>
      </w:r>
      <w:bookmarkEnd w:id="406"/>
      <w:bookmarkEnd w:id="407"/>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in Gazette 12 Dec 2014 p. 4732.]</w:t>
      </w:r>
    </w:p>
    <w:p>
      <w:pPr>
        <w:pStyle w:val="yHeading3"/>
      </w:pPr>
      <w:bookmarkStart w:id="408" w:name="_Toc408482013"/>
      <w:bookmarkStart w:id="409" w:name="_Toc415150948"/>
      <w:bookmarkStart w:id="410" w:name="_Toc415151133"/>
      <w:bookmarkStart w:id="411" w:name="_Toc415151271"/>
      <w:r>
        <w:rPr>
          <w:rStyle w:val="CharSDivNo"/>
        </w:rPr>
        <w:t>Division 14</w:t>
      </w:r>
      <w:r>
        <w:t> — </w:t>
      </w:r>
      <w:r>
        <w:rPr>
          <w:rStyle w:val="CharSDivText"/>
        </w:rPr>
        <w:t>Miscellaneous</w:t>
      </w:r>
      <w:bookmarkEnd w:id="408"/>
      <w:bookmarkEnd w:id="409"/>
      <w:bookmarkEnd w:id="410"/>
      <w:bookmarkEnd w:id="411"/>
    </w:p>
    <w:p>
      <w:pPr>
        <w:pStyle w:val="yHeading5"/>
      </w:pPr>
      <w:bookmarkStart w:id="412" w:name="_Toc408482014"/>
      <w:bookmarkStart w:id="413" w:name="_Toc415151272"/>
      <w:r>
        <w:rPr>
          <w:rStyle w:val="CharSClsNo"/>
        </w:rPr>
        <w:t>48</w:t>
      </w:r>
      <w:r>
        <w:t>.</w:t>
      </w:r>
      <w:r>
        <w:tab/>
        <w:t>Cyclone activity</w:t>
      </w:r>
      <w:bookmarkEnd w:id="412"/>
      <w:bookmarkEnd w:id="413"/>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in Gazette 12 Dec 2014 p. 4732.]</w:t>
      </w:r>
    </w:p>
    <w:p>
      <w:pPr>
        <w:pStyle w:val="yHeading5"/>
      </w:pPr>
      <w:bookmarkStart w:id="414" w:name="_Toc408482015"/>
      <w:bookmarkStart w:id="415" w:name="_Toc415151273"/>
      <w:r>
        <w:rPr>
          <w:rStyle w:val="CharSClsNo"/>
        </w:rPr>
        <w:t>49</w:t>
      </w:r>
      <w:r>
        <w:t>.</w:t>
      </w:r>
      <w:r>
        <w:tab/>
        <w:t>Rubbish</w:t>
      </w:r>
      <w:bookmarkEnd w:id="414"/>
      <w:bookmarkEnd w:id="415"/>
    </w:p>
    <w:p>
      <w:pPr>
        <w:pStyle w:val="ySubsection"/>
      </w:pPr>
      <w:r>
        <w:tab/>
        <w:t>(1)</w:t>
      </w:r>
      <w:r>
        <w:tab/>
        <w:t>There is to be at least one rubbish bin with a capacity of not less than 80 litres within 90 metres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Heading5"/>
      </w:pPr>
      <w:bookmarkStart w:id="416" w:name="_Toc408482016"/>
      <w:bookmarkStart w:id="417" w:name="_Toc415151274"/>
      <w:r>
        <w:rPr>
          <w:rStyle w:val="CharSClsNo"/>
        </w:rPr>
        <w:t>50</w:t>
      </w:r>
      <w:r>
        <w:t>.</w:t>
      </w:r>
      <w:r>
        <w:tab/>
        <w:t>Telephones</w:t>
      </w:r>
      <w:bookmarkEnd w:id="416"/>
      <w:bookmarkEnd w:id="417"/>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pPr>
      <w:bookmarkStart w:id="418" w:name="_Toc408482017"/>
      <w:bookmarkStart w:id="419" w:name="_Toc415151275"/>
      <w:r>
        <w:rPr>
          <w:rStyle w:val="CharSClsNo"/>
        </w:rPr>
        <w:t>51</w:t>
      </w:r>
      <w:r>
        <w:t>.</w:t>
      </w:r>
      <w:r>
        <w:tab/>
        <w:t>Postal service</w:t>
      </w:r>
      <w:bookmarkEnd w:id="418"/>
      <w:bookmarkEnd w:id="419"/>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pPr>
      <w:bookmarkStart w:id="420" w:name="_Toc408482018"/>
      <w:bookmarkStart w:id="421" w:name="_Toc415151276"/>
      <w:r>
        <w:rPr>
          <w:rStyle w:val="CharSClsNo"/>
        </w:rPr>
        <w:t>52</w:t>
      </w:r>
      <w:r>
        <w:t>.</w:t>
      </w:r>
      <w:r>
        <w:tab/>
        <w:t>Solid fuel fires and appliances</w:t>
      </w:r>
      <w:bookmarkEnd w:id="420"/>
      <w:bookmarkEnd w:id="421"/>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Footnotesection"/>
        <w:keepLines w:val="0"/>
      </w:pPr>
      <w:r>
        <w:tab/>
        <w:t>[Schedule 7 amended in Gazette 25 Aug 2000 p. 4916</w:t>
      </w:r>
      <w:r>
        <w:noBreakHyphen/>
        <w:t xml:space="preserve">19 and p. 4920.] </w:t>
      </w:r>
    </w:p>
    <w:p>
      <w:pPr>
        <w:pStyle w:val="yEdnoteschedule"/>
      </w:pPr>
      <w:r>
        <w:t>[Schedule 8 deleted in Gazette 12 Dec 2014 p. 4732.]</w:t>
      </w:r>
    </w:p>
    <w:p/>
    <w:p>
      <w:pPr>
        <w:sectPr>
          <w:headerReference w:type="even" r:id="rId21"/>
          <w:headerReference w:type="default" r:id="rId22"/>
          <w:footerReference w:type="even"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423" w:name="_Toc408482019"/>
      <w:bookmarkStart w:id="424" w:name="_Toc415150954"/>
      <w:bookmarkStart w:id="425" w:name="_Toc415151139"/>
      <w:bookmarkStart w:id="426" w:name="_Toc415151277"/>
      <w:r>
        <w:rPr>
          <w:rStyle w:val="CharSchNo"/>
        </w:rPr>
        <w:t>Schedule 9</w:t>
      </w:r>
      <w:r>
        <w:t> — </w:t>
      </w:r>
      <w:r>
        <w:rPr>
          <w:rStyle w:val="CharSchText"/>
        </w:rPr>
        <w:t>Transitional provisions</w:t>
      </w:r>
      <w:bookmarkEnd w:id="423"/>
      <w:bookmarkEnd w:id="424"/>
      <w:bookmarkEnd w:id="425"/>
      <w:bookmarkEnd w:id="426"/>
    </w:p>
    <w:p>
      <w:pPr>
        <w:pStyle w:val="yShoulderClause"/>
      </w:pPr>
      <w:r>
        <w:t>[Reg. 73.]</w:t>
      </w:r>
    </w:p>
    <w:p>
      <w:pPr>
        <w:pStyle w:val="yHeading5"/>
      </w:pPr>
      <w:bookmarkStart w:id="427" w:name="_Toc408482020"/>
      <w:bookmarkStart w:id="428" w:name="_Toc415151278"/>
      <w:r>
        <w:rPr>
          <w:rStyle w:val="CharSClsNo"/>
        </w:rPr>
        <w:t>1</w:t>
      </w:r>
      <w:r>
        <w:t>.</w:t>
      </w:r>
      <w:r>
        <w:tab/>
        <w:t>Interpretation</w:t>
      </w:r>
      <w:bookmarkEnd w:id="427"/>
      <w:bookmarkEnd w:id="428"/>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pPr>
      <w:bookmarkStart w:id="429" w:name="_Toc408482021"/>
      <w:bookmarkStart w:id="430" w:name="_Toc415151279"/>
      <w:r>
        <w:rPr>
          <w:rStyle w:val="CharSClsNo"/>
        </w:rPr>
        <w:t>2</w:t>
      </w:r>
      <w:r>
        <w:t>.</w:t>
      </w:r>
      <w:r>
        <w:tab/>
        <w:t>Reference to “provision of the former legislation”</w:t>
      </w:r>
      <w:bookmarkEnd w:id="429"/>
      <w:bookmarkEnd w:id="430"/>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pPr>
      <w:bookmarkStart w:id="431" w:name="_Toc408482022"/>
      <w:bookmarkStart w:id="432" w:name="_Toc415151280"/>
      <w:r>
        <w:rPr>
          <w:rStyle w:val="CharSClsNo"/>
        </w:rPr>
        <w:t>3</w:t>
      </w:r>
      <w:r>
        <w:t>.</w:t>
      </w:r>
      <w:r>
        <w:tab/>
        <w:t>One year to comply with new provisions</w:t>
      </w:r>
      <w:bookmarkEnd w:id="431"/>
      <w:bookmarkEnd w:id="432"/>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pPr>
      <w:bookmarkStart w:id="433" w:name="_Toc408482023"/>
      <w:bookmarkStart w:id="434" w:name="_Toc415151281"/>
      <w:r>
        <w:rPr>
          <w:rStyle w:val="CharSClsNo"/>
        </w:rPr>
        <w:t>4</w:t>
      </w:r>
      <w:r>
        <w:t>.</w:t>
      </w:r>
      <w:r>
        <w:tab/>
        <w:t>Extension of time within which to comply</w:t>
      </w:r>
      <w:bookmarkEnd w:id="433"/>
      <w:bookmarkEnd w:id="434"/>
    </w:p>
    <w:p>
      <w:pPr>
        <w:pStyle w:val="ySubsection"/>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pPr>
      <w:r>
        <w:tab/>
        <w:t>(2)</w:t>
      </w:r>
      <w:r>
        <w:tab/>
        <w:t>A certificate may not be issued in respect of a provision of Division 10 of Schedule 7.</w:t>
      </w:r>
    </w:p>
    <w:p>
      <w:pPr>
        <w:pStyle w:val="ySubsection"/>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pPr>
      <w:r>
        <w:tab/>
        <w:t>(4)</w:t>
      </w:r>
      <w:r>
        <w:tab/>
        <w:t>Where the local government for a district refuses to issue a certificate under this clause, it is to advise the applicant in writing of that refusal.</w:t>
      </w:r>
    </w:p>
    <w:p>
      <w:pPr>
        <w:pStyle w:val="yHeading5"/>
      </w:pPr>
      <w:bookmarkStart w:id="435" w:name="_Toc408482024"/>
      <w:bookmarkStart w:id="436" w:name="_Toc415151282"/>
      <w:r>
        <w:rPr>
          <w:rStyle w:val="CharSClsNo"/>
        </w:rPr>
        <w:t>5</w:t>
      </w:r>
      <w:r>
        <w:t>.</w:t>
      </w:r>
      <w:r>
        <w:tab/>
        <w:t>New provisions do not apply where equivalent provision of former legislation is complied with</w:t>
      </w:r>
      <w:bookmarkEnd w:id="435"/>
      <w:bookmarkEnd w:id="436"/>
    </w:p>
    <w:p>
      <w:pPr>
        <w:pStyle w:val="ySubsection"/>
      </w:pPr>
      <w:r>
        <w:tab/>
      </w:r>
      <w:r>
        <w:tab/>
        <w:t>A provision of these regulations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pPr>
      <w:bookmarkStart w:id="437" w:name="_Toc408482025"/>
      <w:bookmarkStart w:id="438" w:name="_Toc415151283"/>
      <w:r>
        <w:rPr>
          <w:rStyle w:val="CharSClsNo"/>
        </w:rPr>
        <w:t>6</w:t>
      </w:r>
      <w:r>
        <w:t>.</w:t>
      </w:r>
      <w:r>
        <w:tab/>
        <w:t>Where compliance at commencement, provision continues to apply</w:t>
      </w:r>
      <w:bookmarkEnd w:id="437"/>
      <w:bookmarkEnd w:id="438"/>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pPr>
      <w:bookmarkStart w:id="439" w:name="_Toc408482026"/>
      <w:bookmarkStart w:id="440" w:name="_Toc415151284"/>
      <w:r>
        <w:rPr>
          <w:rStyle w:val="CharSClsNo"/>
        </w:rPr>
        <w:t>7</w:t>
      </w:r>
      <w:r>
        <w:t>.</w:t>
      </w:r>
      <w:r>
        <w:tab/>
        <w:t>Registration or licence under local law</w:t>
      </w:r>
      <w:bookmarkEnd w:id="439"/>
      <w:bookmarkEnd w:id="440"/>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pPr>
      <w:bookmarkStart w:id="441" w:name="_Toc408482027"/>
      <w:bookmarkStart w:id="442" w:name="_Toc415151285"/>
      <w:r>
        <w:rPr>
          <w:rStyle w:val="CharSClsNo"/>
        </w:rPr>
        <w:t>8</w:t>
      </w:r>
      <w:r>
        <w:t>.</w:t>
      </w:r>
      <w:r>
        <w:tab/>
        <w:t>Transitional provisions relating to Part 4</w:t>
      </w:r>
      <w:bookmarkEnd w:id="441"/>
      <w:bookmarkEnd w:id="442"/>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pPr>
      <w:r>
        <w:tab/>
        <w:t>[Schedule 9 amended in Gazette 25 Aug 2000 p. 4921.]</w:t>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443" w:name="_Toc408482028"/>
      <w:bookmarkStart w:id="444" w:name="_Toc415150963"/>
      <w:bookmarkStart w:id="445" w:name="_Toc415151148"/>
      <w:bookmarkStart w:id="446" w:name="_Toc415151286"/>
      <w:r>
        <w:t>Notes</w:t>
      </w:r>
      <w:bookmarkEnd w:id="443"/>
      <w:bookmarkEnd w:id="444"/>
      <w:bookmarkEnd w:id="445"/>
      <w:bookmarkEnd w:id="44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Caravan</w:t>
          </w:r>
        </w:smartTag>
        <w:r>
          <w:rPr>
            <w:i/>
            <w:noProof/>
            <w:snapToGrid w:val="0"/>
          </w:rPr>
          <w:t xml:space="preserve"> </w:t>
        </w:r>
        <w:smartTag w:uri="urn:schemas-microsoft-com:office:smarttags" w:element="PlaceType">
          <w:r>
            <w:rPr>
              <w:i/>
              <w:noProof/>
              <w:snapToGrid w:val="0"/>
            </w:rPr>
            <w:t>Parks</w:t>
          </w:r>
        </w:smartTag>
      </w:smartTag>
      <w:r>
        <w:rPr>
          <w:i/>
          <w:noProof/>
          <w:snapToGrid w:val="0"/>
        </w:rPr>
        <w:t xml:space="preserve"> and Camping Grounds Regulations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47" w:name="_Toc408482029"/>
      <w:bookmarkStart w:id="448" w:name="_Toc415151287"/>
      <w:r>
        <w:t>Compilation table</w:t>
      </w:r>
      <w:bookmarkEnd w:id="447"/>
      <w:bookmarkEnd w:id="44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1997</w:t>
            </w:r>
          </w:p>
        </w:tc>
        <w:tc>
          <w:tcPr>
            <w:tcW w:w="1276" w:type="dxa"/>
          </w:tcPr>
          <w:p>
            <w:pPr>
              <w:pStyle w:val="nTable"/>
              <w:spacing w:after="40"/>
            </w:pPr>
            <w:r>
              <w:t>20 Jun 1997 p. 2871</w:t>
            </w:r>
            <w:r>
              <w:noBreakHyphen/>
              <w:t>946</w:t>
            </w:r>
          </w:p>
        </w:tc>
        <w:tc>
          <w:tcPr>
            <w:tcW w:w="2693" w:type="dxa"/>
          </w:tcPr>
          <w:p>
            <w:pPr>
              <w:pStyle w:val="nTable"/>
              <w:spacing w:after="40"/>
            </w:pPr>
            <w:r>
              <w:t>1 Jul 1997 (see r. 2)</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1999</w:t>
            </w:r>
          </w:p>
        </w:tc>
        <w:tc>
          <w:tcPr>
            <w:tcW w:w="1276" w:type="dxa"/>
          </w:tcPr>
          <w:p>
            <w:pPr>
              <w:pStyle w:val="nTable"/>
              <w:spacing w:after="40"/>
            </w:pPr>
            <w:r>
              <w:t>16 Jul 1999 p. 3202</w:t>
            </w:r>
            <w:r>
              <w:noBreakHyphen/>
              <w:t>4</w:t>
            </w:r>
          </w:p>
        </w:tc>
        <w:tc>
          <w:tcPr>
            <w:tcW w:w="2693" w:type="dxa"/>
          </w:tcPr>
          <w:p>
            <w:pPr>
              <w:pStyle w:val="nTable"/>
              <w:spacing w:after="40"/>
            </w:pPr>
            <w:r>
              <w:t>16 Jul 1999</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3</w:t>
            </w:r>
          </w:p>
        </w:tc>
        <w:tc>
          <w:tcPr>
            <w:tcW w:w="1276" w:type="dxa"/>
          </w:tcPr>
          <w:p>
            <w:pPr>
              <w:pStyle w:val="nTable"/>
              <w:spacing w:after="40"/>
            </w:pPr>
            <w:r>
              <w:t>25 Aug 2000 p. 4911</w:t>
            </w:r>
            <w:r>
              <w:noBreakHyphen/>
              <w:t>21</w:t>
            </w:r>
          </w:p>
        </w:tc>
        <w:tc>
          <w:tcPr>
            <w:tcW w:w="2693" w:type="dxa"/>
          </w:tcPr>
          <w:p>
            <w:pPr>
              <w:pStyle w:val="nTable"/>
              <w:spacing w:after="40"/>
            </w:pPr>
            <w:r>
              <w:t>25 Aug 2000</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Caravan</w:t>
                </w:r>
              </w:smartTag>
              <w:r>
                <w:rPr>
                  <w:b/>
                  <w:i/>
                </w:rPr>
                <w:t xml:space="preserve"> </w:t>
              </w:r>
              <w:smartTag w:uri="urn:schemas-microsoft-com:office:smarttags" w:element="PlaceType">
                <w:r>
                  <w:rPr>
                    <w:b/>
                    <w:i/>
                  </w:rPr>
                  <w:t>Parks</w:t>
                </w:r>
              </w:smartTag>
            </w:smartTag>
            <w:r>
              <w:rPr>
                <w:b/>
                <w:i/>
              </w:rPr>
              <w:t xml:space="preserve"> and Camping Grounds Regulations 1997</w:t>
            </w:r>
            <w:r>
              <w:rPr>
                <w:b/>
              </w:rPr>
              <w:t xml:space="preserve"> as at 24 Oct 2003 </w:t>
            </w:r>
            <w:r>
              <w:t>(includes amendments listed above)</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2004</w:t>
            </w:r>
          </w:p>
        </w:tc>
        <w:tc>
          <w:tcPr>
            <w:tcW w:w="1276" w:type="dxa"/>
          </w:tcPr>
          <w:p>
            <w:pPr>
              <w:pStyle w:val="nTable"/>
              <w:spacing w:after="40"/>
            </w:pPr>
            <w:r>
              <w:t>30 Dec 2004 p. 7011-12</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2012</w:t>
            </w:r>
          </w:p>
        </w:tc>
        <w:tc>
          <w:tcPr>
            <w:tcW w:w="1276" w:type="dxa"/>
          </w:tcPr>
          <w:p>
            <w:pPr>
              <w:pStyle w:val="nTable"/>
              <w:spacing w:after="40"/>
            </w:pPr>
            <w:r>
              <w:t>13 Apr 2012 p. 1659</w:t>
            </w:r>
            <w:r>
              <w:noBreakHyphen/>
              <w:t>60</w:t>
            </w:r>
          </w:p>
        </w:tc>
        <w:tc>
          <w:tcPr>
            <w:tcW w:w="2693" w:type="dxa"/>
          </w:tcPr>
          <w:p>
            <w:pPr>
              <w:pStyle w:val="nTable"/>
              <w:spacing w:after="40"/>
            </w:pPr>
            <w:r>
              <w:rPr>
                <w:snapToGrid w:val="0"/>
                <w:spacing w:val="-2"/>
              </w:rPr>
              <w:t>r. 1 and 2: 13 Apr 2012 (see r. 2(a));</w:t>
            </w:r>
            <w:r>
              <w:rPr>
                <w:snapToGrid w:val="0"/>
                <w:spacing w:val="-2"/>
              </w:rPr>
              <w:br/>
              <w:t>Regulations other than r. 1 and 2: 14 Apr 2012 (see r. 2(b)(ii))</w:t>
            </w:r>
          </w:p>
        </w:tc>
      </w:tr>
      <w:tr>
        <w:tc>
          <w:tcPr>
            <w:tcW w:w="3118" w:type="dxa"/>
          </w:tcPr>
          <w:p>
            <w:pPr>
              <w:pStyle w:val="nTable"/>
              <w:spacing w:after="40"/>
              <w:rPr>
                <w:i/>
              </w:rPr>
            </w:pPr>
            <w:r>
              <w:rPr>
                <w:i/>
              </w:rPr>
              <w:t>Caravan Parks and Camping Grounds Amendment Regulations 2013</w:t>
            </w:r>
          </w:p>
        </w:tc>
        <w:tc>
          <w:tcPr>
            <w:tcW w:w="1276" w:type="dxa"/>
          </w:tcPr>
          <w:p>
            <w:pPr>
              <w:pStyle w:val="nTable"/>
              <w:spacing w:after="40"/>
            </w:pPr>
            <w:r>
              <w:t>20 Aug 2013 p. 3851</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Gazette</w:t>
            </w:r>
            <w:r>
              <w:rPr>
                <w:snapToGrid w:val="0"/>
                <w:spacing w:val="-2"/>
              </w:rPr>
              <w:t xml:space="preserve"> 20 Aug 2013 p. 3815)</w:t>
            </w:r>
          </w:p>
        </w:tc>
      </w:tr>
      <w:tr>
        <w:tc>
          <w:tcPr>
            <w:tcW w:w="3118" w:type="dxa"/>
            <w:tcBorders>
              <w:bottom w:val="single" w:sz="8" w:space="0" w:color="auto"/>
            </w:tcBorders>
            <w:shd w:val="clear" w:color="auto" w:fill="auto"/>
          </w:tcPr>
          <w:p>
            <w:pPr>
              <w:pStyle w:val="nTable"/>
              <w:spacing w:after="40"/>
              <w:rPr>
                <w:i/>
              </w:rPr>
            </w:pPr>
            <w:r>
              <w:rPr>
                <w:i/>
              </w:rPr>
              <w:t xml:space="preserve">Caravan Parks and Camping Grounds Amendment Regulations (No. 2) 2014 </w:t>
            </w:r>
          </w:p>
        </w:tc>
        <w:tc>
          <w:tcPr>
            <w:tcW w:w="1276" w:type="dxa"/>
            <w:tcBorders>
              <w:bottom w:val="single" w:sz="8" w:space="0" w:color="auto"/>
            </w:tcBorders>
            <w:shd w:val="clear" w:color="auto" w:fill="auto"/>
          </w:tcPr>
          <w:p>
            <w:pPr>
              <w:pStyle w:val="nTable"/>
              <w:spacing w:after="40"/>
            </w:pPr>
            <w:r>
              <w:t>12 Dec 2014 p. 4720-33</w:t>
            </w:r>
          </w:p>
        </w:tc>
        <w:tc>
          <w:tcPr>
            <w:tcW w:w="2693" w:type="dxa"/>
            <w:tcBorders>
              <w:bottom w:val="single" w:sz="8" w:space="0" w:color="auto"/>
            </w:tcBorders>
            <w:shd w:val="clear" w:color="auto" w:fill="auto"/>
          </w:tcPr>
          <w:p>
            <w:pPr>
              <w:pStyle w:val="nTable"/>
              <w:spacing w:after="40"/>
              <w:rPr>
                <w:snapToGrid w:val="0"/>
                <w:spacing w:val="-2"/>
              </w:rPr>
            </w:pPr>
            <w:r>
              <w:rPr>
                <w:bCs/>
                <w:snapToGrid w:val="0"/>
                <w:spacing w:val="-2"/>
              </w:rPr>
              <w:t>r. 1 and 2: 12 Dec 2014 (see r. 2(a));</w:t>
            </w:r>
            <w:r>
              <w:rPr>
                <w:bCs/>
                <w:snapToGrid w:val="0"/>
                <w:spacing w:val="-2"/>
              </w:rPr>
              <w:br/>
              <w:t>Regulations other than r. 1 and 2: 1 Jan 2015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9" w:name="_Toc408482030"/>
      <w:bookmarkStart w:id="450" w:name="_Toc415151288"/>
      <w:r>
        <w:t>Provisions that have not come into operation</w:t>
      </w:r>
      <w:bookmarkEnd w:id="449"/>
      <w:bookmarkEnd w:id="4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keepNext/>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keepNext/>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3118" w:type="dxa"/>
            <w:tcBorders>
              <w:top w:val="single" w:sz="4" w:space="0" w:color="auto"/>
            </w:tcBorders>
          </w:tcPr>
          <w:p>
            <w:pPr>
              <w:pStyle w:val="nTable"/>
              <w:spacing w:after="40"/>
              <w:ind w:right="113"/>
              <w:rPr>
                <w:iCs/>
              </w:rPr>
            </w:pPr>
            <w:r>
              <w:rPr>
                <w:i/>
              </w:rPr>
              <w:t>Caravan Parks and Camping Grounds Amendment Regulations 2014</w:t>
            </w:r>
            <w:r>
              <w:t xml:space="preserve"> r. 3-6</w:t>
            </w:r>
            <w:r>
              <w:rPr>
                <w:vertAlign w:val="superscript"/>
              </w:rPr>
              <w:t> 4</w:t>
            </w:r>
          </w:p>
        </w:tc>
        <w:tc>
          <w:tcPr>
            <w:tcW w:w="1276" w:type="dxa"/>
            <w:tcBorders>
              <w:top w:val="single" w:sz="4" w:space="0" w:color="auto"/>
            </w:tcBorders>
          </w:tcPr>
          <w:p>
            <w:pPr>
              <w:pStyle w:val="nTable"/>
              <w:spacing w:after="40"/>
            </w:pPr>
            <w:r>
              <w:t>8 Jan 2015 p. 121</w:t>
            </w:r>
            <w:r>
              <w:noBreakHyphen/>
              <w:t>2</w:t>
            </w:r>
            <w:ins w:id="451" w:author="Master Repository Process" w:date="2021-07-31T16:58:00Z">
              <w:r>
                <w:t xml:space="preserve"> (as amended in </w:t>
              </w:r>
              <w:r>
                <w:rPr>
                  <w:i/>
                  <w:sz w:val="17"/>
                </w:rPr>
                <w:t>Gazette</w:t>
              </w:r>
              <w:r>
                <w:rPr>
                  <w:sz w:val="17"/>
                </w:rPr>
                <w:t xml:space="preserve"> 10 Apr 2015 p. 1256)</w:t>
              </w:r>
            </w:ins>
          </w:p>
        </w:tc>
        <w:tc>
          <w:tcPr>
            <w:tcW w:w="2693" w:type="dxa"/>
            <w:tcBorders>
              <w:top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r>
        <w:trPr>
          <w:cantSplit/>
          <w:ins w:id="452" w:author="Master Repository Process" w:date="2021-07-31T16:58:00Z"/>
        </w:trPr>
        <w:tc>
          <w:tcPr>
            <w:tcW w:w="3118" w:type="dxa"/>
            <w:tcBorders>
              <w:bottom w:val="single" w:sz="4" w:space="0" w:color="auto"/>
            </w:tcBorders>
          </w:tcPr>
          <w:p>
            <w:pPr>
              <w:pStyle w:val="nTable"/>
              <w:spacing w:after="40"/>
              <w:ind w:right="113"/>
              <w:rPr>
                <w:ins w:id="453" w:author="Master Repository Process" w:date="2021-07-31T16:58:00Z"/>
                <w:vertAlign w:val="superscript"/>
              </w:rPr>
            </w:pPr>
            <w:ins w:id="454" w:author="Master Repository Process" w:date="2021-07-31T16:58:00Z">
              <w:r>
                <w:rPr>
                  <w:i/>
                </w:rPr>
                <w:t>Caravan Parks and Camping Grounds Amendment Regulations 2015</w:t>
              </w:r>
              <w:r>
                <w:t xml:space="preserve"> Pt. 2 and 3 </w:t>
              </w:r>
              <w:r>
                <w:rPr>
                  <w:vertAlign w:val="superscript"/>
                </w:rPr>
                <w:t>5</w:t>
              </w:r>
            </w:ins>
          </w:p>
        </w:tc>
        <w:tc>
          <w:tcPr>
            <w:tcW w:w="1276" w:type="dxa"/>
            <w:tcBorders>
              <w:bottom w:val="single" w:sz="4" w:space="0" w:color="auto"/>
            </w:tcBorders>
          </w:tcPr>
          <w:p>
            <w:pPr>
              <w:pStyle w:val="nTable"/>
              <w:spacing w:after="40"/>
              <w:rPr>
                <w:ins w:id="455" w:author="Master Repository Process" w:date="2021-07-31T16:58:00Z"/>
              </w:rPr>
            </w:pPr>
            <w:ins w:id="456" w:author="Master Repository Process" w:date="2021-07-31T16:58:00Z">
              <w:r>
                <w:t>10 Apr 2015 p. 1255-6</w:t>
              </w:r>
            </w:ins>
          </w:p>
        </w:tc>
        <w:tc>
          <w:tcPr>
            <w:tcW w:w="2693" w:type="dxa"/>
            <w:tcBorders>
              <w:bottom w:val="single" w:sz="4" w:space="0" w:color="auto"/>
            </w:tcBorders>
          </w:tcPr>
          <w:p>
            <w:pPr>
              <w:pStyle w:val="nTable"/>
              <w:spacing w:after="40"/>
              <w:rPr>
                <w:ins w:id="457" w:author="Master Repository Process" w:date="2021-07-31T16:58:00Z"/>
              </w:rPr>
            </w:pPr>
            <w:ins w:id="458" w:author="Master Repository Process" w:date="2021-07-31T16:58:00Z">
              <w:r>
                <w:t xml:space="preserve">Operative on the day fixed under the </w:t>
              </w:r>
              <w:r>
                <w:rPr>
                  <w:i/>
                </w:rPr>
                <w:t>Road Traffic (Administration) Act 2008</w:t>
              </w:r>
              <w:r>
                <w:t xml:space="preserve"> s. 2(b) (see r. 2(b))</w:t>
              </w:r>
            </w:ins>
          </w:p>
        </w:tc>
      </w:tr>
    </w:tbl>
    <w:p>
      <w:pPr>
        <w:pStyle w:val="nSubsection"/>
        <w:spacing w:before="40"/>
        <w:rPr>
          <w:vertAlign w:val="superscript"/>
        </w:rPr>
      </w:pPr>
      <w:r>
        <w:rPr>
          <w:vertAlign w:val="superscript"/>
        </w:rPr>
        <w:t>2</w:t>
      </w:r>
      <w:r>
        <w:tab/>
        <w:t xml:space="preserve">Under the </w:t>
      </w:r>
      <w:r>
        <w:rPr>
          <w:i/>
        </w:rPr>
        <w:t>Alteration of Statutory Designations Order (No. 3) 2001</w:t>
      </w:r>
      <w:r>
        <w:t xml:space="preserve"> a reference in any law to the Department of Local Government is to be read and construed as a reference to the Department of Local Government and Regional Development</w:t>
      </w:r>
      <w:r>
        <w:rPr>
          <w:i/>
        </w:rPr>
        <w:t>.</w:t>
      </w:r>
      <w:r>
        <w:rPr>
          <w:vertAlign w:val="superscript"/>
        </w:rPr>
        <w:t xml:space="preserve"> </w:t>
      </w:r>
    </w:p>
    <w:p>
      <w:pPr>
        <w:pStyle w:val="nSubsection"/>
      </w:pPr>
      <w:r>
        <w:rPr>
          <w:vertAlign w:val="superscript"/>
        </w:rPr>
        <w:t>3</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BlankClose"/>
      </w:pPr>
    </w:p>
    <w:p>
      <w:pPr>
        <w:pStyle w:val="nSubsection"/>
      </w:pPr>
      <w:r>
        <w:rPr>
          <w:vertAlign w:val="superscript"/>
        </w:rPr>
        <w:t>4</w:t>
      </w:r>
      <w:r>
        <w:tab/>
        <w:t xml:space="preserve">On the date as at which this compilation was prepared, </w:t>
      </w:r>
      <w:r>
        <w:rPr>
          <w:snapToGrid w:val="0"/>
        </w:rPr>
        <w:t xml:space="preserve">the </w:t>
      </w:r>
      <w:r>
        <w:rPr>
          <w:i/>
        </w:rPr>
        <w:t>Caravan Parks and Camping Grounds Amendment Regulations 2014</w:t>
      </w:r>
      <w:r>
        <w:t xml:space="preserve"> r. </w:t>
      </w:r>
      <w:del w:id="459" w:author="Master Repository Process" w:date="2021-07-31T16:58:00Z">
        <w:r>
          <w:delText>3-6</w:delText>
        </w:r>
      </w:del>
      <w:ins w:id="460" w:author="Master Repository Process" w:date="2021-07-31T16:58:00Z">
        <w:r>
          <w:t xml:space="preserve">3-6 (as amended in </w:t>
        </w:r>
        <w:r>
          <w:rPr>
            <w:i/>
          </w:rPr>
          <w:t>Gazette</w:t>
        </w:r>
        <w:r>
          <w:t xml:space="preserve"> 10 Apr 2015 p. 1256)</w:t>
        </w:r>
      </w:ins>
      <w:r>
        <w:t xml:space="preserve">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Caravan Parks and Camping Grounds Regulations 1997</w:t>
      </w:r>
      <w:r>
        <w:t>.</w:t>
      </w:r>
    </w:p>
    <w:p>
      <w:pPr>
        <w:pStyle w:val="nzHeading5"/>
      </w:pPr>
      <w:r>
        <w:rPr>
          <w:rStyle w:val="CharSectno"/>
        </w:rPr>
        <w:t>4</w:t>
      </w:r>
      <w:r>
        <w:t>.</w:t>
      </w:r>
      <w:r>
        <w:tab/>
        <w:t>Regulation 4 amended</w:t>
      </w:r>
    </w:p>
    <w:p>
      <w:pPr>
        <w:pStyle w:val="nzSubsection"/>
      </w:pPr>
      <w:r>
        <w:tab/>
        <w:t>(1)</w:t>
      </w:r>
      <w:r>
        <w:tab/>
        <w:t>In regulation 4(1) delete “</w:t>
      </w:r>
      <w:r>
        <w:rPr>
          <w:snapToGrid w:val="0"/>
        </w:rPr>
        <w:t xml:space="preserve">section 15 of the </w:t>
      </w:r>
      <w:r>
        <w:rPr>
          <w:i/>
          <w:snapToGrid w:val="0"/>
        </w:rPr>
        <w:t>Road Traffic Act 1974</w:t>
      </w:r>
      <w:r>
        <w:rPr>
          <w:snapToGrid w:val="0"/>
        </w:rPr>
        <w:t>,</w:t>
      </w:r>
      <w:r>
        <w:t>” and insert:</w:t>
      </w:r>
    </w:p>
    <w:p>
      <w:pPr>
        <w:pStyle w:val="BlankOpen"/>
      </w:pPr>
    </w:p>
    <w:p>
      <w:pPr>
        <w:pStyle w:val="nzSubsection"/>
      </w:pPr>
      <w:r>
        <w:tab/>
      </w:r>
      <w:r>
        <w:tab/>
        <w:t xml:space="preserve">the </w:t>
      </w:r>
      <w:r>
        <w:rPr>
          <w:i/>
        </w:rPr>
        <w:t xml:space="preserve">Road Traffic (Vehicles) Act 2012 </w:t>
      </w:r>
      <w:r>
        <w:t>section 4,</w:t>
      </w:r>
    </w:p>
    <w:p>
      <w:pPr>
        <w:pStyle w:val="BlankClose"/>
      </w:pPr>
    </w:p>
    <w:p>
      <w:pPr>
        <w:pStyle w:val="nzSubsection"/>
      </w:pPr>
      <w:r>
        <w:tab/>
        <w:t>(2)</w:t>
      </w:r>
      <w:r>
        <w:tab/>
        <w:t xml:space="preserve">In regulation 4(2) delete the definition of </w:t>
      </w:r>
      <w:r>
        <w:rPr>
          <w:b/>
          <w:i/>
        </w:rPr>
        <w:t>road</w:t>
      </w:r>
      <w:r>
        <w:t xml:space="preserve"> and insert:</w:t>
      </w:r>
    </w:p>
    <w:p>
      <w:pPr>
        <w:pStyle w:val="BlankOpen"/>
      </w:pPr>
    </w:p>
    <w:p>
      <w:pPr>
        <w:pStyle w:val="nzDefstart"/>
      </w:pPr>
      <w:r>
        <w:tab/>
      </w:r>
      <w:r>
        <w:rPr>
          <w:rStyle w:val="CharDefText"/>
        </w:rPr>
        <w:t>road</w:t>
      </w:r>
      <w:r>
        <w:t xml:space="preserve"> has the meaning given in the </w:t>
      </w:r>
      <w:r>
        <w:rPr>
          <w:i/>
        </w:rPr>
        <w:t>Road Traffic (Administration) Act 2008</w:t>
      </w:r>
      <w:r>
        <w:t xml:space="preserve"> section 4.</w:t>
      </w:r>
    </w:p>
    <w:p>
      <w:pPr>
        <w:pStyle w:val="BlankClose"/>
      </w:pPr>
      <w:bookmarkStart w:id="461" w:name="UpToHere"/>
      <w:bookmarkEnd w:id="461"/>
    </w:p>
    <w:p>
      <w:pPr>
        <w:pStyle w:val="nzHeading5"/>
      </w:pPr>
      <w:r>
        <w:rPr>
          <w:rStyle w:val="CharSectno"/>
        </w:rPr>
        <w:t>5</w:t>
      </w:r>
      <w:r>
        <w:t>.</w:t>
      </w:r>
      <w:r>
        <w:tab/>
        <w:t>Regulation 6A inserted</w:t>
      </w:r>
    </w:p>
    <w:p>
      <w:pPr>
        <w:pStyle w:val="nzSubsection"/>
        <w:keepNext/>
      </w:pPr>
      <w:r>
        <w:tab/>
      </w:r>
      <w:r>
        <w:tab/>
        <w:t>After regulation 5 insert:</w:t>
      </w:r>
    </w:p>
    <w:p>
      <w:pPr>
        <w:pStyle w:val="BlankOpen"/>
      </w:pPr>
    </w:p>
    <w:p>
      <w:pPr>
        <w:pStyle w:val="nzHeading5"/>
      </w:pPr>
      <w:r>
        <w:t>6A.</w:t>
      </w:r>
      <w:r>
        <w:tab/>
        <w:t>Assistance animals</w:t>
      </w:r>
    </w:p>
    <w:p>
      <w:pPr>
        <w:pStyle w:val="nz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BlankClose"/>
      </w:pPr>
    </w:p>
    <w:p>
      <w:pPr>
        <w:pStyle w:val="nzHeading5"/>
        <w:rPr>
          <w:ins w:id="462" w:author="Master Repository Process" w:date="2021-07-31T16:58:00Z"/>
          <w:rStyle w:val="CharSectno"/>
          <w:i/>
        </w:rPr>
      </w:pPr>
      <w:ins w:id="463" w:author="Master Repository Process" w:date="2021-07-31T16:58:00Z">
        <w:r>
          <w:rPr>
            <w:rStyle w:val="CharSectno"/>
            <w:b w:val="0"/>
            <w:i/>
          </w:rPr>
          <w:t>[</w:t>
        </w:r>
      </w:ins>
      <w:r>
        <w:rPr>
          <w:rStyle w:val="CharSectno"/>
          <w:i/>
        </w:rPr>
        <w:t>6.</w:t>
      </w:r>
      <w:r>
        <w:rPr>
          <w:rStyle w:val="CharSectno"/>
          <w:b w:val="0"/>
          <w:i/>
        </w:rPr>
        <w:tab/>
      </w:r>
      <w:del w:id="464" w:author="Master Repository Process" w:date="2021-07-31T16:58:00Z">
        <w:r>
          <w:delText>Schedule 8</w:delText>
        </w:r>
      </w:del>
      <w:ins w:id="465" w:author="Master Repository Process" w:date="2021-07-31T16:58:00Z">
        <w:r>
          <w:rPr>
            <w:rStyle w:val="CharSectno"/>
            <w:b w:val="0"/>
            <w:i/>
          </w:rPr>
          <w:t>Deleted in Gazette 10 Apr 2015 p. 1256.]</w:t>
        </w:r>
      </w:ins>
    </w:p>
    <w:p>
      <w:pPr>
        <w:pStyle w:val="BlankClose"/>
        <w:rPr>
          <w:ins w:id="466" w:author="Master Repository Process" w:date="2021-07-31T16:58:00Z"/>
        </w:rPr>
      </w:pPr>
    </w:p>
    <w:p>
      <w:pPr>
        <w:pStyle w:val="BlankClose"/>
        <w:rPr>
          <w:ins w:id="467" w:author="Master Repository Process" w:date="2021-07-31T16:58:00Z"/>
        </w:rPr>
      </w:pPr>
    </w:p>
    <w:p>
      <w:pPr>
        <w:pStyle w:val="nSubsection"/>
        <w:rPr>
          <w:ins w:id="468" w:author="Master Repository Process" w:date="2021-07-31T16:58:00Z"/>
        </w:rPr>
      </w:pPr>
      <w:ins w:id="469" w:author="Master Repository Process" w:date="2021-07-31T16:58:00Z">
        <w:r>
          <w:rPr>
            <w:vertAlign w:val="superscript"/>
          </w:rPr>
          <w:t>5</w:t>
        </w:r>
        <w:r>
          <w:tab/>
          <w:t xml:space="preserve">On the date as at which this compilation was prepared, </w:t>
        </w:r>
        <w:r>
          <w:rPr>
            <w:snapToGrid w:val="0"/>
          </w:rPr>
          <w:t xml:space="preserve">the </w:t>
        </w:r>
        <w:r>
          <w:rPr>
            <w:i/>
          </w:rPr>
          <w:t>Caravan Parks and Camping Grounds Amendment Regulations 2015</w:t>
        </w:r>
        <w:r>
          <w:t xml:space="preserve"> Pt. 2 and 3 had not come into operation.  They read as follows:</w:t>
        </w:r>
      </w:ins>
    </w:p>
    <w:p>
      <w:pPr>
        <w:pStyle w:val="BlankOpen"/>
        <w:rPr>
          <w:ins w:id="470" w:author="Master Repository Process" w:date="2021-07-31T16:58:00Z"/>
        </w:rPr>
      </w:pPr>
    </w:p>
    <w:p>
      <w:pPr>
        <w:pStyle w:val="nzHeading2"/>
      </w:pPr>
      <w:ins w:id="471" w:author="Master Repository Process" w:date="2021-07-31T16:58:00Z">
        <w:r>
          <w:rPr>
            <w:rStyle w:val="CharPartNo"/>
          </w:rPr>
          <w:t>Part 2</w:t>
        </w:r>
        <w:r>
          <w:rPr>
            <w:rStyle w:val="CharDivNo"/>
          </w:rPr>
          <w:t> </w:t>
        </w:r>
        <w:r>
          <w:t>—</w:t>
        </w:r>
        <w:r>
          <w:rPr>
            <w:rStyle w:val="CharDivText"/>
          </w:rPr>
          <w:t> </w:t>
        </w:r>
        <w:r>
          <w:rPr>
            <w:rStyle w:val="CharPartText"/>
            <w:i/>
          </w:rPr>
          <w:t>Caravan Parks and Camping Grounds Regulations 1997</w:t>
        </w:r>
      </w:ins>
      <w:r>
        <w:rPr>
          <w:rStyle w:val="CharPartText"/>
        </w:rPr>
        <w:t xml:space="preserve"> amended</w:t>
      </w:r>
    </w:p>
    <w:p>
      <w:pPr>
        <w:pStyle w:val="nzHeading5"/>
        <w:rPr>
          <w:ins w:id="472" w:author="Master Repository Process" w:date="2021-07-31T16:58:00Z"/>
          <w:snapToGrid w:val="0"/>
        </w:rPr>
      </w:pPr>
      <w:ins w:id="473" w:author="Master Repository Process" w:date="2021-07-31T16:58:00Z">
        <w:r>
          <w:rPr>
            <w:rStyle w:val="CharSectno"/>
          </w:rPr>
          <w:t>3</w:t>
        </w:r>
        <w:r>
          <w:rPr>
            <w:snapToGrid w:val="0"/>
          </w:rPr>
          <w:t>.</w:t>
        </w:r>
        <w:r>
          <w:rPr>
            <w:snapToGrid w:val="0"/>
          </w:rPr>
          <w:tab/>
          <w:t>Regulations amended</w:t>
        </w:r>
      </w:ins>
    </w:p>
    <w:p>
      <w:pPr>
        <w:pStyle w:val="nzSubsection"/>
        <w:rPr>
          <w:ins w:id="474" w:author="Master Repository Process" w:date="2021-07-31T16:58:00Z"/>
        </w:rPr>
      </w:pPr>
      <w:ins w:id="475" w:author="Master Repository Process" w:date="2021-07-31T16:58:00Z">
        <w:r>
          <w:tab/>
        </w:r>
        <w:r>
          <w:tab/>
        </w:r>
        <w:r>
          <w:rPr>
            <w:spacing w:val="-2"/>
          </w:rPr>
          <w:t>This Part</w:t>
        </w:r>
        <w:r>
          <w:t xml:space="preserve"> amends the </w:t>
        </w:r>
        <w:r>
          <w:rPr>
            <w:i/>
          </w:rPr>
          <w:t>Caravan Parks and Camping Grounds Regulations 1997</w:t>
        </w:r>
        <w:r>
          <w:t>.</w:t>
        </w:r>
      </w:ins>
    </w:p>
    <w:p>
      <w:pPr>
        <w:pStyle w:val="nzHeading5"/>
        <w:rPr>
          <w:ins w:id="476" w:author="Master Repository Process" w:date="2021-07-31T16:58:00Z"/>
        </w:rPr>
      </w:pPr>
      <w:ins w:id="477" w:author="Master Repository Process" w:date="2021-07-31T16:58:00Z">
        <w:r>
          <w:rPr>
            <w:rStyle w:val="CharSectno"/>
          </w:rPr>
          <w:t>4</w:t>
        </w:r>
        <w:r>
          <w:t>.</w:t>
        </w:r>
        <w:r>
          <w:tab/>
          <w:t>Regulation 3 amended</w:t>
        </w:r>
      </w:ins>
    </w:p>
    <w:p>
      <w:pPr>
        <w:pStyle w:val="nzSubsection"/>
      </w:pPr>
      <w:r>
        <w:tab/>
      </w:r>
      <w:r>
        <w:tab/>
        <w:t xml:space="preserve">In </w:t>
      </w:r>
      <w:del w:id="478" w:author="Master Repository Process" w:date="2021-07-31T16:58:00Z">
        <w:r>
          <w:delText>Schedule 8</w:delText>
        </w:r>
      </w:del>
      <w:ins w:id="479" w:author="Master Repository Process" w:date="2021-07-31T16:58:00Z">
        <w:r>
          <w:t>regulation 3</w:t>
        </w:r>
      </w:ins>
      <w:r>
        <w:t xml:space="preserve"> in the definition of </w:t>
      </w:r>
      <w:r>
        <w:rPr>
          <w:b/>
          <w:i/>
        </w:rPr>
        <w:t>number plate</w:t>
      </w:r>
      <w:r>
        <w:t xml:space="preserve"> delete “</w:t>
      </w:r>
      <w:r>
        <w:rPr>
          <w:i/>
          <w:szCs w:val="24"/>
        </w:rPr>
        <w:t>Road Traffic Act 1974</w:t>
      </w:r>
      <w:r>
        <w:rPr>
          <w:szCs w:val="24"/>
        </w:rPr>
        <w:t>;</w:t>
      </w:r>
      <w:r>
        <w:t>” and insert:</w:t>
      </w:r>
    </w:p>
    <w:p>
      <w:pPr>
        <w:pStyle w:val="BlankOpen"/>
      </w:pPr>
    </w:p>
    <w:p>
      <w:pPr>
        <w:pStyle w:val="nzSubsection"/>
      </w:pPr>
      <w:r>
        <w:tab/>
      </w:r>
      <w:r>
        <w:tab/>
      </w:r>
      <w:r>
        <w:rPr>
          <w:i/>
          <w:szCs w:val="24"/>
        </w:rPr>
        <w:t>Road Traffic (Vehicles) Act 2012</w:t>
      </w:r>
      <w:r>
        <w:rPr>
          <w:szCs w:val="24"/>
        </w:rPr>
        <w:t xml:space="preserve"> section 3(1);</w:t>
      </w:r>
    </w:p>
    <w:p>
      <w:pPr>
        <w:pStyle w:val="BlankClose"/>
      </w:pPr>
    </w:p>
    <w:p>
      <w:pPr>
        <w:pStyle w:val="nzHeading2"/>
        <w:rPr>
          <w:ins w:id="480" w:author="Master Repository Process" w:date="2021-07-31T16:58:00Z"/>
          <w:rStyle w:val="CharPartText"/>
        </w:rPr>
      </w:pPr>
      <w:ins w:id="481" w:author="Master Repository Process" w:date="2021-07-31T16:58:00Z">
        <w:r>
          <w:rPr>
            <w:rStyle w:val="CharPartNo"/>
          </w:rPr>
          <w:t>Part 3</w:t>
        </w:r>
        <w:r>
          <w:rPr>
            <w:rStyle w:val="CharDivNo"/>
          </w:rPr>
          <w:t> </w:t>
        </w:r>
        <w:r>
          <w:t>—</w:t>
        </w:r>
        <w:r>
          <w:rPr>
            <w:rStyle w:val="CharDivText"/>
          </w:rPr>
          <w:t> </w:t>
        </w:r>
        <w:r>
          <w:rPr>
            <w:rStyle w:val="CharPartText"/>
          </w:rPr>
          <w:t>Consequential amendment to other regulations</w:t>
        </w:r>
      </w:ins>
    </w:p>
    <w:p>
      <w:pPr>
        <w:pStyle w:val="nzHeading5"/>
        <w:rPr>
          <w:ins w:id="482" w:author="Master Repository Process" w:date="2021-07-31T16:58:00Z"/>
        </w:rPr>
      </w:pPr>
      <w:ins w:id="483" w:author="Master Repository Process" w:date="2021-07-31T16:58:00Z">
        <w:r>
          <w:rPr>
            <w:rStyle w:val="CharSectno"/>
          </w:rPr>
          <w:t>5</w:t>
        </w:r>
        <w:r>
          <w:t>.</w:t>
        </w:r>
        <w:r>
          <w:tab/>
          <w:t>Regulations amended</w:t>
        </w:r>
      </w:ins>
    </w:p>
    <w:p>
      <w:pPr>
        <w:pStyle w:val="nzSubsection"/>
        <w:rPr>
          <w:ins w:id="484" w:author="Master Repository Process" w:date="2021-07-31T16:58:00Z"/>
        </w:rPr>
      </w:pPr>
      <w:ins w:id="485" w:author="Master Repository Process" w:date="2021-07-31T16:58:00Z">
        <w:r>
          <w:tab/>
        </w:r>
        <w:r>
          <w:tab/>
          <w:t xml:space="preserve">This Part amends the </w:t>
        </w:r>
        <w:r>
          <w:rPr>
            <w:i/>
          </w:rPr>
          <w:t>Caravan Parks and Camping Grounds Amendment Regulations 2014.</w:t>
        </w:r>
      </w:ins>
    </w:p>
    <w:p>
      <w:pPr>
        <w:pStyle w:val="nzHeading5"/>
        <w:rPr>
          <w:ins w:id="486" w:author="Master Repository Process" w:date="2021-07-31T16:58:00Z"/>
        </w:rPr>
      </w:pPr>
      <w:ins w:id="487" w:author="Master Repository Process" w:date="2021-07-31T16:58:00Z">
        <w:r>
          <w:rPr>
            <w:rStyle w:val="CharSectno"/>
          </w:rPr>
          <w:t>6</w:t>
        </w:r>
        <w:r>
          <w:t>.</w:t>
        </w:r>
        <w:r>
          <w:tab/>
          <w:t>Regulation 6 deleted</w:t>
        </w:r>
      </w:ins>
    </w:p>
    <w:p>
      <w:pPr>
        <w:pStyle w:val="nzSubsection"/>
        <w:rPr>
          <w:ins w:id="488" w:author="Master Repository Process" w:date="2021-07-31T16:58:00Z"/>
        </w:rPr>
      </w:pPr>
      <w:ins w:id="489" w:author="Master Repository Process" w:date="2021-07-31T16:58:00Z">
        <w:r>
          <w:tab/>
        </w:r>
        <w:r>
          <w:tab/>
          <w:t>Delete regulation 6.</w:t>
        </w:r>
      </w:ins>
    </w:p>
    <w:p>
      <w:pPr>
        <w:pStyle w:val="BlankClose"/>
        <w:rPr>
          <w:ins w:id="490" w:author="Master Repository Process" w:date="2021-07-31T16:58:00Z"/>
        </w:rPr>
      </w:pPr>
    </w:p>
    <w:p>
      <w:pPr>
        <w:pStyle w:val="BlankClose"/>
      </w:pP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2" w:name="Schedule"/>
    <w:bookmarkEnd w:id="4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1" w:name="Compilation"/>
    <w:bookmarkEnd w:id="4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2" w:name="Coversheet"/>
    <w:bookmarkEnd w:id="4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119021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9D28B5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CDA3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2B014E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7"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4"/>
  </w:num>
  <w:num w:numId="2">
    <w:abstractNumId w:val="26"/>
  </w:num>
  <w:num w:numId="3">
    <w:abstractNumId w:val="27"/>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6161145"/>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973AA58D-2C27-4A07-BF69-0B7562606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23548-A0DC-4366-8B43-4814245A5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19459</Words>
  <Characters>89710</Characters>
  <Application>Microsoft Office Word</Application>
  <DocSecurity>0</DocSecurity>
  <Lines>2893</Lines>
  <Paragraphs>1949</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107220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01-g0-01 - 01-h0-00</dc:title>
  <dc:subject/>
  <dc:creator/>
  <cp:keywords/>
  <dc:description/>
  <cp:lastModifiedBy>Master Repository Process</cp:lastModifiedBy>
  <cp:revision>2</cp:revision>
  <cp:lastPrinted>2003-11-20T00:24:00Z</cp:lastPrinted>
  <dcterms:created xsi:type="dcterms:W3CDTF">2021-07-31T08:58:00Z</dcterms:created>
  <dcterms:modified xsi:type="dcterms:W3CDTF">2021-07-31T08:58:00Z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CommencementDate">
    <vt:lpwstr>20150410</vt:lpwstr>
  </property>
  <property fmtid="{D5CDD505-2E9C-101B-9397-08002B2CF9AE}" pid="6" name="FromSuffix">
    <vt:lpwstr>01-g0-01</vt:lpwstr>
  </property>
  <property fmtid="{D5CDD505-2E9C-101B-9397-08002B2CF9AE}" pid="7" name="FromAsAtDate">
    <vt:lpwstr>08 Jan 2015</vt:lpwstr>
  </property>
  <property fmtid="{D5CDD505-2E9C-101B-9397-08002B2CF9AE}" pid="8" name="ToSuffix">
    <vt:lpwstr>01-h0-00</vt:lpwstr>
  </property>
  <property fmtid="{D5CDD505-2E9C-101B-9397-08002B2CF9AE}" pid="9" name="ToAsAtDate">
    <vt:lpwstr>10 Apr 2015</vt:lpwstr>
  </property>
</Properties>
</file>