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2015</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11340762"/>
      <w:bookmarkStart w:id="2" w:name="_Toc417463607"/>
      <w:bookmarkStart w:id="3" w:name="_Toc416445868"/>
      <w:r>
        <w:rPr>
          <w:rStyle w:val="CharSectno"/>
        </w:rPr>
        <w:t>1</w:t>
      </w:r>
      <w:bookmarkStart w:id="4" w:name="_GoBack"/>
      <w:bookmarkEnd w:id="4"/>
      <w:r>
        <w:t>.</w:t>
      </w:r>
      <w:r>
        <w:tab/>
        <w:t>Citation</w:t>
      </w:r>
      <w:bookmarkEnd w:id="1"/>
      <w:bookmarkEnd w:id="2"/>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17463608"/>
      <w:bookmarkStart w:id="7" w:name="_Toc416445869"/>
      <w:r>
        <w:rPr>
          <w:rStyle w:val="CharSectno"/>
        </w:rPr>
        <w:t>2</w:t>
      </w:r>
      <w:r>
        <w:t>.</w:t>
      </w:r>
      <w:r>
        <w:tab/>
        <w:t>Commencement</w:t>
      </w:r>
      <w:bookmarkEnd w:id="5"/>
      <w:bookmarkEnd w:id="6"/>
      <w:bookmarkEnd w:id="7"/>
    </w:p>
    <w:p>
      <w:pPr>
        <w:pStyle w:val="Subsection"/>
      </w:pPr>
      <w:r>
        <w:tab/>
      </w:r>
      <w:r>
        <w:tab/>
        <w:t>These regulations come into operation on 1 January 2002.</w:t>
      </w:r>
    </w:p>
    <w:p>
      <w:pPr>
        <w:pStyle w:val="Heading5"/>
      </w:pPr>
      <w:bookmarkStart w:id="8" w:name="_Toc411340764"/>
      <w:bookmarkStart w:id="9" w:name="_Toc417463609"/>
      <w:bookmarkStart w:id="10" w:name="_Toc416445870"/>
      <w:r>
        <w:rPr>
          <w:rStyle w:val="CharSectno"/>
        </w:rPr>
        <w:t>3</w:t>
      </w:r>
      <w:r>
        <w:rPr>
          <w:snapToGrid w:val="0"/>
        </w:rPr>
        <w:t>.</w:t>
      </w:r>
      <w:r>
        <w:rPr>
          <w:snapToGrid w:val="0"/>
        </w:rPr>
        <w:tab/>
      </w:r>
      <w:r>
        <w:t>Terms used</w:t>
      </w:r>
      <w:bookmarkEnd w:id="8"/>
      <w:bookmarkEnd w:id="9"/>
      <w:bookmarkEnd w:id="1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11" w:name="_Toc411340765"/>
      <w:bookmarkStart w:id="12" w:name="_Toc417463610"/>
      <w:bookmarkStart w:id="13" w:name="_Toc416445871"/>
      <w:r>
        <w:rPr>
          <w:rStyle w:val="CharSectno"/>
        </w:rPr>
        <w:t>4</w:t>
      </w:r>
      <w:r>
        <w:rPr>
          <w:snapToGrid w:val="0"/>
        </w:rPr>
        <w:t>.</w:t>
      </w:r>
      <w:r>
        <w:rPr>
          <w:snapToGrid w:val="0"/>
        </w:rPr>
        <w:tab/>
        <w:t>Fees to be charged</w:t>
      </w:r>
      <w:bookmarkEnd w:id="11"/>
      <w:bookmarkEnd w:id="12"/>
      <w:bookmarkEnd w:id="13"/>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4" w:name="_Toc411340766"/>
      <w:bookmarkStart w:id="15" w:name="_Toc417463611"/>
      <w:bookmarkStart w:id="16" w:name="_Toc416445872"/>
      <w:r>
        <w:rPr>
          <w:rStyle w:val="CharSectno"/>
        </w:rPr>
        <w:t>5</w:t>
      </w:r>
      <w:r>
        <w:rPr>
          <w:snapToGrid w:val="0"/>
        </w:rPr>
        <w:t>.</w:t>
      </w:r>
      <w:r>
        <w:rPr>
          <w:snapToGrid w:val="0"/>
        </w:rPr>
        <w:tab/>
        <w:t>Exemptions</w:t>
      </w:r>
      <w:bookmarkEnd w:id="14"/>
      <w:bookmarkEnd w:id="15"/>
      <w:bookmarkEnd w:id="16"/>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7" w:name="_Toc411340767"/>
      <w:bookmarkStart w:id="18" w:name="_Toc417463612"/>
      <w:bookmarkStart w:id="19" w:name="_Toc416445873"/>
      <w:r>
        <w:t>5A.</w:t>
      </w:r>
      <w:r>
        <w:tab/>
        <w:t>Disputes regarding fees</w:t>
      </w:r>
      <w:bookmarkEnd w:id="17"/>
      <w:bookmarkEnd w:id="18"/>
      <w:bookmarkEnd w:id="1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0" w:name="_Toc411340768"/>
      <w:bookmarkStart w:id="21" w:name="_Toc417463613"/>
      <w:bookmarkStart w:id="22" w:name="_Toc416445874"/>
      <w:r>
        <w:rPr>
          <w:rStyle w:val="CharSectno"/>
        </w:rPr>
        <w:t>6</w:t>
      </w:r>
      <w:r>
        <w:rPr>
          <w:snapToGrid w:val="0"/>
        </w:rPr>
        <w:t>.</w:t>
      </w:r>
      <w:r>
        <w:rPr>
          <w:snapToGrid w:val="0"/>
        </w:rPr>
        <w:tab/>
      </w:r>
      <w:r>
        <w:rPr>
          <w:rStyle w:val="CharSectno"/>
        </w:rPr>
        <w:t>F</w:t>
      </w:r>
      <w:r>
        <w:rPr>
          <w:snapToGrid w:val="0"/>
        </w:rPr>
        <w:t>ees to be paid before documents etc. filed</w:t>
      </w:r>
      <w:bookmarkEnd w:id="20"/>
      <w:bookmarkEnd w:id="21"/>
      <w:bookmarkEnd w:id="22"/>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23" w:name="_Toc411340769"/>
      <w:bookmarkStart w:id="24" w:name="_Toc417463614"/>
      <w:bookmarkStart w:id="25" w:name="_Toc416445875"/>
      <w:r>
        <w:rPr>
          <w:rStyle w:val="CharSectno"/>
        </w:rPr>
        <w:t>7</w:t>
      </w:r>
      <w:r>
        <w:rPr>
          <w:snapToGrid w:val="0"/>
        </w:rPr>
        <w:t>.</w:t>
      </w:r>
      <w:r>
        <w:rPr>
          <w:snapToGrid w:val="0"/>
        </w:rPr>
        <w:tab/>
        <w:t>Court or registrar may remit fees</w:t>
      </w:r>
      <w:bookmarkEnd w:id="23"/>
      <w:bookmarkEnd w:id="24"/>
      <w:bookmarkEnd w:id="25"/>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26" w:name="_Toc411340770"/>
      <w:bookmarkStart w:id="27" w:name="_Toc417463615"/>
      <w:bookmarkStart w:id="28" w:name="_Toc416445876"/>
      <w:r>
        <w:rPr>
          <w:rStyle w:val="CharSectno"/>
        </w:rPr>
        <w:t>8</w:t>
      </w:r>
      <w:r>
        <w:rPr>
          <w:snapToGrid w:val="0"/>
        </w:rPr>
        <w:t>.</w:t>
      </w:r>
      <w:r>
        <w:rPr>
          <w:snapToGrid w:val="0"/>
        </w:rPr>
        <w:tab/>
        <w:t>Conventions</w:t>
      </w:r>
      <w:bookmarkEnd w:id="26"/>
      <w:bookmarkEnd w:id="27"/>
      <w:bookmarkEnd w:id="28"/>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9" w:name="_Toc411340771"/>
      <w:bookmarkStart w:id="30" w:name="_Toc417463616"/>
      <w:bookmarkStart w:id="31" w:name="_Toc416445877"/>
      <w:r>
        <w:t>9.</w:t>
      </w:r>
      <w:r>
        <w:tab/>
        <w:t>Allocation of hearing date — Schedule 1 item 6</w:t>
      </w:r>
      <w:bookmarkEnd w:id="29"/>
      <w:bookmarkEnd w:id="30"/>
      <w:bookmarkEnd w:id="31"/>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32" w:name="_Toc411340772"/>
      <w:bookmarkStart w:id="33" w:name="_Toc417463617"/>
      <w:bookmarkStart w:id="34" w:name="_Toc416445878"/>
      <w:r>
        <w:rPr>
          <w:rStyle w:val="CharSectno"/>
        </w:rPr>
        <w:t>10</w:t>
      </w:r>
      <w:r>
        <w:t>.</w:t>
      </w:r>
      <w:r>
        <w:tab/>
        <w:t>Schedule 1 item 7 fee</w:t>
      </w:r>
      <w:bookmarkEnd w:id="32"/>
      <w:bookmarkEnd w:id="33"/>
      <w:bookmarkEnd w:id="3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5" w:name="_Toc411340773"/>
      <w:bookmarkStart w:id="36" w:name="_Toc417463618"/>
      <w:bookmarkStart w:id="37" w:name="_Toc416445879"/>
      <w:r>
        <w:t>11.</w:t>
      </w:r>
      <w:r>
        <w:tab/>
        <w:t>Recovery of unpaid fees</w:t>
      </w:r>
      <w:bookmarkEnd w:id="35"/>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411340774"/>
      <w:bookmarkStart w:id="39" w:name="_Toc417463619"/>
      <w:bookmarkStart w:id="40" w:name="_Toc416445880"/>
      <w:r>
        <w:t>11A.</w:t>
      </w:r>
      <w:r>
        <w:tab/>
        <w:t>Searchable information</w:t>
      </w:r>
      <w:bookmarkEnd w:id="38"/>
      <w:bookmarkEnd w:id="39"/>
      <w:bookmarkEnd w:id="4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1" w:name="_Toc411340775"/>
      <w:bookmarkStart w:id="42" w:name="_Toc417463620"/>
      <w:bookmarkStart w:id="43" w:name="_Toc416445881"/>
      <w:r>
        <w:rPr>
          <w:rStyle w:val="CharSectno"/>
        </w:rPr>
        <w:t>12</w:t>
      </w:r>
      <w:r>
        <w:t>.</w:t>
      </w:r>
      <w:r>
        <w:tab/>
        <w:t>Transitional</w:t>
      </w:r>
      <w:bookmarkEnd w:id="41"/>
      <w:bookmarkEnd w:id="42"/>
      <w:bookmarkEnd w:id="4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4" w:name="_Toc402166230"/>
      <w:bookmarkStart w:id="45" w:name="_Toc404007905"/>
      <w:bookmarkStart w:id="46" w:name="_Toc404007995"/>
      <w:bookmarkStart w:id="47" w:name="_Toc411340706"/>
      <w:bookmarkStart w:id="48" w:name="_Toc411340776"/>
      <w:bookmarkStart w:id="49" w:name="_Toc416445862"/>
      <w:bookmarkStart w:id="50" w:name="_Toc416445882"/>
      <w:bookmarkStart w:id="51" w:name="_Toc417463558"/>
      <w:bookmarkStart w:id="52" w:name="_Toc417463621"/>
      <w:r>
        <w:rPr>
          <w:rStyle w:val="CharSchNo"/>
        </w:rPr>
        <w:t>Schedule 1</w:t>
      </w:r>
      <w:r>
        <w:t xml:space="preserve"> — </w:t>
      </w:r>
      <w:r>
        <w:rPr>
          <w:rStyle w:val="CharSchText"/>
        </w:rPr>
        <w:t>Registry fees</w:t>
      </w:r>
      <w:bookmarkEnd w:id="44"/>
      <w:bookmarkEnd w:id="45"/>
      <w:bookmarkEnd w:id="46"/>
      <w:bookmarkEnd w:id="47"/>
      <w:bookmarkEnd w:id="48"/>
      <w:bookmarkEnd w:id="49"/>
      <w:bookmarkEnd w:id="50"/>
      <w:bookmarkEnd w:id="51"/>
      <w:bookmarkEnd w:id="52"/>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r>
              <w:rPr>
                <w:sz w:val="22"/>
              </w:rPr>
              <w:t>645.00</w:t>
            </w:r>
          </w:p>
        </w:tc>
        <w:tc>
          <w:tcPr>
            <w:tcW w:w="1233" w:type="dxa"/>
            <w:vAlign w:val="bottom"/>
          </w:tcPr>
          <w:p>
            <w:pPr>
              <w:pStyle w:val="yTableNAm"/>
              <w:tabs>
                <w:tab w:val="clear" w:pos="567"/>
              </w:tabs>
              <w:spacing w:before="100"/>
              <w:ind w:right="132"/>
              <w:jc w:val="right"/>
              <w:rPr>
                <w:szCs w:val="22"/>
              </w:rPr>
            </w:pPr>
            <w:r>
              <w:rPr>
                <w:szCs w:val="22"/>
              </w:rPr>
              <w:t>1 258.00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w:t>
            </w:r>
            <w:del w:id="53" w:author="Master Repository Process" w:date="2021-08-01T05:33:00Z">
              <w:r>
                <w:rPr>
                  <w:szCs w:val="22"/>
                </w:rPr>
                <w:delText xml:space="preserve">for an extraordinary licence </w:delText>
              </w:r>
            </w:del>
            <w:r>
              <w:rPr>
                <w:szCs w:val="22"/>
              </w:rPr>
              <w:t xml:space="preserve">under the </w:t>
            </w:r>
            <w:r>
              <w:rPr>
                <w:i/>
                <w:szCs w:val="22"/>
              </w:rPr>
              <w:t>Road Traffic</w:t>
            </w:r>
            <w:del w:id="54" w:author="Master Repository Process" w:date="2021-08-01T05:33:00Z">
              <w:r>
                <w:rPr>
                  <w:i/>
                  <w:szCs w:val="22"/>
                </w:rPr>
                <w:delText> </w:delText>
              </w:r>
            </w:del>
            <w:ins w:id="55" w:author="Master Repository Process" w:date="2021-08-01T05:33:00Z">
              <w:r>
                <w:rPr>
                  <w:i/>
                  <w:szCs w:val="22"/>
                </w:rPr>
                <w:t xml:space="preserve"> (Authorisation to Drive) </w:t>
              </w:r>
            </w:ins>
            <w:r>
              <w:rPr>
                <w:i/>
                <w:szCs w:val="22"/>
              </w:rPr>
              <w:t>Act </w:t>
            </w:r>
            <w:del w:id="56" w:author="Master Repository Process" w:date="2021-08-01T05:33:00Z">
              <w:r>
                <w:rPr>
                  <w:i/>
                  <w:szCs w:val="22"/>
                </w:rPr>
                <w:delText>1974</w:delText>
              </w:r>
              <w:r>
                <w:rPr>
                  <w:iCs/>
                  <w:szCs w:val="22"/>
                </w:rPr>
                <w:delText>,</w:delText>
              </w:r>
            </w:del>
            <w:ins w:id="57" w:author="Master Repository Process" w:date="2021-08-01T05:33:00Z">
              <w:r>
                <w:rPr>
                  <w:i/>
                  <w:szCs w:val="22"/>
                </w:rPr>
                <w:t>2008</w:t>
              </w:r>
            </w:ins>
            <w:r>
              <w:rPr>
                <w:i/>
                <w:szCs w:val="22"/>
              </w:rPr>
              <w:t xml:space="preserve"> </w:t>
            </w:r>
            <w:r>
              <w:rPr>
                <w:szCs w:val="22"/>
              </w:rPr>
              <w:t>section </w:t>
            </w:r>
            <w:del w:id="58" w:author="Master Repository Process" w:date="2021-08-01T05:33:00Z">
              <w:r>
                <w:rPr>
                  <w:iCs/>
                  <w:szCs w:val="22"/>
                </w:rPr>
                <w:delText>76</w:delText>
              </w:r>
            </w:del>
            <w:ins w:id="59" w:author="Master Repository Process" w:date="2021-08-01T05:33:00Z">
              <w:r>
                <w:rPr>
                  <w:szCs w:val="22"/>
                </w:rPr>
                <w:t>24</w:t>
              </w:r>
            </w:ins>
            <w:r>
              <w:rPr>
                <w:szCs w:val="22"/>
              </w:rPr>
              <w:t xml:space="preserve">(1) </w:t>
            </w:r>
            <w:ins w:id="60" w:author="Master Repository Process" w:date="2021-08-01T05:33:00Z">
              <w:r>
                <w:rPr>
                  <w:szCs w:val="22"/>
                </w:rPr>
                <w:t xml:space="preserve">for the removal of a disqualification </w:t>
              </w:r>
            </w:ins>
            <w:r>
              <w:rPr>
                <w:szCs w:val="22"/>
              </w:rPr>
              <w:t xml:space="preserve">or </w:t>
            </w:r>
            <w:del w:id="61" w:author="Master Repository Process" w:date="2021-08-01T05:33:00Z">
              <w:r>
                <w:rPr>
                  <w:szCs w:val="22"/>
                </w:rPr>
                <w:delText xml:space="preserve">78(1) </w:delText>
              </w:r>
              <w:r>
                <w:rPr>
                  <w:szCs w:val="22"/>
                </w:rPr>
                <w:tab/>
              </w:r>
            </w:del>
            <w:ins w:id="62" w:author="Master Repository Process" w:date="2021-08-01T05:33:00Z">
              <w:r>
                <w:rPr>
                  <w:szCs w:val="22"/>
                </w:rPr>
                <w:t xml:space="preserve">under section 27 of that Act for an extraordinary licence </w:t>
              </w:r>
              <w:r>
                <w:rPr>
                  <w:szCs w:val="22"/>
                </w:rPr>
                <w:tab/>
              </w:r>
            </w:ins>
          </w:p>
        </w:tc>
        <w:tc>
          <w:tcPr>
            <w:tcW w:w="1299" w:type="dxa"/>
            <w:vAlign w:val="bottom"/>
          </w:tcPr>
          <w:p>
            <w:pPr>
              <w:pStyle w:val="zTableNAm"/>
              <w:tabs>
                <w:tab w:val="clear" w:pos="567"/>
              </w:tabs>
              <w:spacing w:before="100"/>
              <w:ind w:right="228"/>
              <w:jc w:val="right"/>
              <w:rPr>
                <w:sz w:val="22"/>
              </w:rPr>
            </w:pPr>
            <w:r>
              <w:rPr>
                <w:sz w:val="22"/>
              </w:rPr>
              <w:t>162.50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r>
              <w:rPr>
                <w:sz w:val="22"/>
              </w:rPr>
              <w:t>94.00</w:t>
            </w:r>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r>
              <w:rPr>
                <w:sz w:val="22"/>
              </w:rPr>
              <w:t>645.00</w:t>
            </w:r>
          </w:p>
        </w:tc>
        <w:tc>
          <w:tcPr>
            <w:tcW w:w="1233" w:type="dxa"/>
          </w:tcPr>
          <w:p>
            <w:pPr>
              <w:pStyle w:val="yTableNAm"/>
              <w:tabs>
                <w:tab w:val="clear" w:pos="567"/>
              </w:tabs>
              <w:spacing w:before="60"/>
              <w:ind w:right="132"/>
              <w:jc w:val="right"/>
              <w:rPr>
                <w:szCs w:val="22"/>
              </w:rPr>
            </w:pPr>
            <w:r>
              <w:t>1 258.00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r>
              <w:rPr>
                <w:sz w:val="22"/>
              </w:rPr>
              <w:t>645.00</w:t>
            </w:r>
          </w:p>
        </w:tc>
        <w:tc>
          <w:tcPr>
            <w:tcW w:w="1233" w:type="dxa"/>
          </w:tcPr>
          <w:p>
            <w:pPr>
              <w:pStyle w:val="yTableNAm"/>
              <w:tabs>
                <w:tab w:val="clear" w:pos="567"/>
              </w:tabs>
              <w:spacing w:before="60"/>
              <w:ind w:right="132"/>
              <w:jc w:val="right"/>
              <w:rPr>
                <w:szCs w:val="22"/>
              </w:rPr>
            </w:pPr>
            <w:r>
              <w:t>1 258.00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r>
              <w:rPr>
                <w:sz w:val="22"/>
              </w:rPr>
              <w:t>243.00</w:t>
            </w:r>
          </w:p>
        </w:tc>
        <w:tc>
          <w:tcPr>
            <w:tcW w:w="1233" w:type="dxa"/>
            <w:vAlign w:val="bottom"/>
          </w:tcPr>
          <w:p>
            <w:pPr>
              <w:pStyle w:val="yTableNAm"/>
              <w:tabs>
                <w:tab w:val="clear" w:pos="567"/>
              </w:tabs>
              <w:spacing w:before="60"/>
              <w:ind w:right="132"/>
              <w:jc w:val="right"/>
              <w:rPr>
                <w:szCs w:val="22"/>
              </w:rPr>
            </w:pPr>
            <w:r>
              <w:t>418.00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r>
              <w:t>243.00</w:t>
            </w:r>
          </w:p>
        </w:tc>
        <w:tc>
          <w:tcPr>
            <w:tcW w:w="1233" w:type="dxa"/>
            <w:vAlign w:val="bottom"/>
          </w:tcPr>
          <w:p>
            <w:pPr>
              <w:pStyle w:val="yTableNAm"/>
              <w:keepNext/>
              <w:keepLines/>
              <w:tabs>
                <w:tab w:val="clear" w:pos="567"/>
              </w:tabs>
              <w:ind w:right="132"/>
              <w:jc w:val="right"/>
              <w:rPr>
                <w:szCs w:val="22"/>
              </w:rPr>
            </w:pPr>
            <w:r>
              <w:t>418.00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r>
              <w:t>365.00</w:t>
            </w:r>
          </w:p>
        </w:tc>
        <w:tc>
          <w:tcPr>
            <w:tcW w:w="1233" w:type="dxa"/>
            <w:vAlign w:val="bottom"/>
          </w:tcPr>
          <w:p>
            <w:pPr>
              <w:pStyle w:val="yTableNAm"/>
              <w:tabs>
                <w:tab w:val="clear" w:pos="567"/>
              </w:tabs>
              <w:ind w:right="132"/>
              <w:jc w:val="right"/>
            </w:pPr>
            <w:r>
              <w:t>945.00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r>
              <w:t>283.00</w:t>
            </w:r>
          </w:p>
        </w:tc>
        <w:tc>
          <w:tcPr>
            <w:tcW w:w="1233" w:type="dxa"/>
            <w:vAlign w:val="bottom"/>
          </w:tcPr>
          <w:p>
            <w:pPr>
              <w:pStyle w:val="yTableNAm"/>
              <w:tabs>
                <w:tab w:val="clear" w:pos="567"/>
              </w:tabs>
              <w:ind w:right="132"/>
              <w:jc w:val="right"/>
            </w:pPr>
            <w:r>
              <w:t>737.00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r>
              <w:t>645.00</w:t>
            </w:r>
          </w:p>
        </w:tc>
        <w:tc>
          <w:tcPr>
            <w:tcW w:w="1233" w:type="dxa"/>
            <w:vAlign w:val="bottom"/>
          </w:tcPr>
          <w:p>
            <w:pPr>
              <w:pStyle w:val="yTableNAm"/>
              <w:tabs>
                <w:tab w:val="clear" w:pos="567"/>
              </w:tabs>
              <w:ind w:right="132"/>
              <w:jc w:val="right"/>
              <w:rPr>
                <w:szCs w:val="22"/>
              </w:rPr>
            </w:pPr>
            <w:r>
              <w:t>1 258.00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r>
              <w:rPr>
                <w:sz w:val="22"/>
              </w:rPr>
              <w:t>566.00</w:t>
            </w:r>
          </w:p>
        </w:tc>
        <w:tc>
          <w:tcPr>
            <w:tcW w:w="1233" w:type="dxa"/>
            <w:vAlign w:val="bottom"/>
          </w:tcPr>
          <w:p>
            <w:pPr>
              <w:pStyle w:val="zTableNAm"/>
              <w:tabs>
                <w:tab w:val="clear" w:pos="567"/>
              </w:tabs>
              <w:ind w:right="132"/>
              <w:jc w:val="right"/>
              <w:rPr>
                <w:sz w:val="22"/>
                <w:szCs w:val="22"/>
              </w:rPr>
            </w:pPr>
            <w:r>
              <w:rPr>
                <w:sz w:val="22"/>
                <w:szCs w:val="22"/>
              </w:rPr>
              <w:t>1 473.00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r>
              <w:t>566.00</w:t>
            </w:r>
          </w:p>
        </w:tc>
        <w:tc>
          <w:tcPr>
            <w:tcW w:w="1233" w:type="dxa"/>
            <w:vAlign w:val="bottom"/>
          </w:tcPr>
          <w:p>
            <w:pPr>
              <w:pStyle w:val="yTableNAm"/>
              <w:tabs>
                <w:tab w:val="clear" w:pos="567"/>
              </w:tabs>
              <w:ind w:right="132"/>
              <w:jc w:val="right"/>
              <w:rPr>
                <w:szCs w:val="22"/>
              </w:rPr>
            </w:pPr>
            <w:r>
              <w:t>1 473.00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r>
              <w:t>161.50</w:t>
            </w:r>
          </w:p>
        </w:tc>
        <w:tc>
          <w:tcPr>
            <w:tcW w:w="1233" w:type="dxa"/>
            <w:vAlign w:val="bottom"/>
          </w:tcPr>
          <w:p>
            <w:pPr>
              <w:pStyle w:val="yTableNAm"/>
              <w:keepNext/>
              <w:tabs>
                <w:tab w:val="clear" w:pos="567"/>
              </w:tabs>
              <w:ind w:right="132"/>
              <w:jc w:val="right"/>
              <w:rPr>
                <w:szCs w:val="22"/>
              </w:rPr>
            </w:pPr>
            <w:r>
              <w:t>315.00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r>
              <w:t>161.50</w:t>
            </w:r>
          </w:p>
        </w:tc>
        <w:tc>
          <w:tcPr>
            <w:tcW w:w="1233" w:type="dxa"/>
            <w:vAlign w:val="bottom"/>
          </w:tcPr>
          <w:p>
            <w:pPr>
              <w:pStyle w:val="yTableNAm"/>
              <w:tabs>
                <w:tab w:val="clear" w:pos="567"/>
              </w:tabs>
              <w:ind w:right="132"/>
              <w:jc w:val="right"/>
              <w:rPr>
                <w:szCs w:val="22"/>
              </w:rPr>
            </w:pPr>
            <w:r>
              <w:t>315.00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r>
              <w:t>32.70</w:t>
            </w:r>
          </w:p>
        </w:tc>
        <w:tc>
          <w:tcPr>
            <w:tcW w:w="1233" w:type="dxa"/>
            <w:vAlign w:val="bottom"/>
          </w:tcPr>
          <w:p>
            <w:pPr>
              <w:pStyle w:val="yTableNAm"/>
              <w:tabs>
                <w:tab w:val="clear" w:pos="567"/>
              </w:tabs>
              <w:ind w:right="132"/>
              <w:jc w:val="right"/>
              <w:rPr>
                <w:szCs w:val="22"/>
              </w:rPr>
            </w:pPr>
            <w:r>
              <w:t>32.70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t>1.45</w:t>
            </w:r>
          </w:p>
        </w:tc>
        <w:tc>
          <w:tcPr>
            <w:tcW w:w="1233" w:type="dxa"/>
            <w:vAlign w:val="bottom"/>
          </w:tcPr>
          <w:p>
            <w:pPr>
              <w:pStyle w:val="yTableNAm"/>
              <w:tabs>
                <w:tab w:val="clear" w:pos="567"/>
              </w:tabs>
              <w:ind w:right="132"/>
              <w:jc w:val="right"/>
              <w:rPr>
                <w:b/>
                <w:szCs w:val="22"/>
              </w:rPr>
            </w:pPr>
            <w:r>
              <w:t>1.45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t>1 483.00</w:t>
            </w:r>
          </w:p>
        </w:tc>
        <w:tc>
          <w:tcPr>
            <w:tcW w:w="1233" w:type="dxa"/>
            <w:vAlign w:val="bottom"/>
          </w:tcPr>
          <w:p>
            <w:pPr>
              <w:pStyle w:val="yTableNAm"/>
              <w:tabs>
                <w:tab w:val="clear" w:pos="567"/>
              </w:tabs>
              <w:ind w:right="132"/>
              <w:jc w:val="right"/>
              <w:rPr>
                <w:szCs w:val="22"/>
              </w:rPr>
            </w:pPr>
            <w:r>
              <w:t>1 483.00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r>
              <w:t>48.10</w:t>
            </w:r>
          </w:p>
        </w:tc>
        <w:tc>
          <w:tcPr>
            <w:tcW w:w="1233" w:type="dxa"/>
            <w:vAlign w:val="bottom"/>
          </w:tcPr>
          <w:p>
            <w:pPr>
              <w:pStyle w:val="yTableNAm"/>
              <w:tabs>
                <w:tab w:val="clear" w:pos="567"/>
              </w:tabs>
              <w:ind w:right="132"/>
              <w:jc w:val="right"/>
              <w:rPr>
                <w:szCs w:val="22"/>
              </w:rPr>
            </w:pPr>
            <w:r>
              <w:t>48.10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r>
              <w:t>81.00</w:t>
            </w:r>
          </w:p>
        </w:tc>
        <w:tc>
          <w:tcPr>
            <w:tcW w:w="1233" w:type="dxa"/>
            <w:vAlign w:val="bottom"/>
          </w:tcPr>
          <w:p>
            <w:pPr>
              <w:pStyle w:val="yTableNAm"/>
              <w:tabs>
                <w:tab w:val="clear" w:pos="567"/>
              </w:tabs>
              <w:ind w:right="132"/>
              <w:jc w:val="right"/>
              <w:rPr>
                <w:szCs w:val="22"/>
              </w:rPr>
            </w:pPr>
            <w:r>
              <w:t>81.00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228"/>
              <w:jc w:val="right"/>
              <w:rPr>
                <w:szCs w:val="22"/>
              </w:rPr>
            </w:pPr>
            <w:r>
              <w:rPr>
                <w:szCs w:val="22"/>
              </w:rPr>
              <w:br/>
            </w:r>
            <w:r>
              <w:rPr>
                <w:szCs w:val="22"/>
              </w:rPr>
              <w:br/>
            </w:r>
            <w:r>
              <w:t>1.45</w:t>
            </w:r>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r>
              <w:t>11.40</w:t>
            </w:r>
          </w:p>
          <w:p>
            <w:pPr>
              <w:pStyle w:val="yTableNAm"/>
              <w:tabs>
                <w:tab w:val="clear" w:pos="567"/>
              </w:tabs>
              <w:ind w:right="132"/>
              <w:jc w:val="right"/>
              <w:rPr>
                <w:szCs w:val="22"/>
              </w:rPr>
            </w:pPr>
            <w:r>
              <w:rPr>
                <w:szCs w:val="22"/>
              </w:rPr>
              <w:br/>
            </w:r>
            <w:r>
              <w:rPr>
                <w:szCs w:val="22"/>
              </w:rPr>
              <w:br/>
            </w:r>
            <w:r>
              <w:t>1.45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r>
              <w:t>34.00</w:t>
            </w:r>
          </w:p>
        </w:tc>
        <w:tc>
          <w:tcPr>
            <w:tcW w:w="1233" w:type="dxa"/>
            <w:vAlign w:val="bottom"/>
          </w:tcPr>
          <w:p>
            <w:pPr>
              <w:pStyle w:val="yTableNAm"/>
              <w:tabs>
                <w:tab w:val="clear" w:pos="567"/>
              </w:tabs>
              <w:ind w:right="132"/>
              <w:jc w:val="right"/>
              <w:rPr>
                <w:szCs w:val="22"/>
              </w:rPr>
            </w:pPr>
            <w:r>
              <w:t>34.00</w:t>
            </w:r>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r>
              <w:t>6.35</w:t>
            </w:r>
          </w:p>
        </w:tc>
        <w:tc>
          <w:tcPr>
            <w:tcW w:w="1233" w:type="dxa"/>
            <w:vAlign w:val="bottom"/>
          </w:tcPr>
          <w:p>
            <w:pPr>
              <w:pStyle w:val="yTableNAm"/>
              <w:tabs>
                <w:tab w:val="clear" w:pos="567"/>
              </w:tabs>
              <w:ind w:right="132"/>
              <w:jc w:val="right"/>
              <w:rPr>
                <w:szCs w:val="22"/>
              </w:rPr>
            </w:pPr>
            <w:r>
              <w:t>6.35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del w:id="63" w:author="Master Repository Process" w:date="2021-08-01T05:33:00Z">
              <w:r>
                <w:rPr>
                  <w:szCs w:val="22"/>
                </w:rPr>
                <w:tab/>
              </w:r>
            </w:del>
          </w:p>
        </w:tc>
        <w:tc>
          <w:tcPr>
            <w:tcW w:w="1299" w:type="dxa"/>
            <w:vAlign w:val="bottom"/>
          </w:tcPr>
          <w:p>
            <w:pPr>
              <w:pStyle w:val="yTableNAm"/>
              <w:tabs>
                <w:tab w:val="clear" w:pos="567"/>
              </w:tabs>
              <w:ind w:right="228"/>
              <w:jc w:val="right"/>
              <w:rPr>
                <w:szCs w:val="22"/>
              </w:rPr>
            </w:pPr>
            <w:r>
              <w:t>15.75</w:t>
            </w:r>
          </w:p>
        </w:tc>
        <w:tc>
          <w:tcPr>
            <w:tcW w:w="1233" w:type="dxa"/>
            <w:vAlign w:val="bottom"/>
          </w:tcPr>
          <w:p>
            <w:pPr>
              <w:pStyle w:val="yTableNAm"/>
              <w:tabs>
                <w:tab w:val="clear" w:pos="567"/>
              </w:tabs>
              <w:ind w:right="132"/>
              <w:jc w:val="right"/>
              <w:rPr>
                <w:szCs w:val="22"/>
              </w:rPr>
            </w:pPr>
            <w:r>
              <w:t>15.75</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w:t>
      </w:r>
      <w:ins w:id="64" w:author="Master Repository Process" w:date="2021-08-01T05:33:00Z">
        <w:r>
          <w:t>; 10 Feb 2015 p. 607</w:t>
        </w:r>
      </w:ins>
      <w:r>
        <w:t>.]</w:t>
      </w:r>
    </w:p>
    <w:p>
      <w:pPr>
        <w:pStyle w:val="yScheduleHeading"/>
      </w:pPr>
      <w:bookmarkStart w:id="65" w:name="_Toc402166231"/>
      <w:bookmarkStart w:id="66" w:name="_Toc404007906"/>
      <w:bookmarkStart w:id="67" w:name="_Toc404007996"/>
      <w:bookmarkStart w:id="68" w:name="_Toc411340707"/>
      <w:bookmarkStart w:id="69" w:name="_Toc411340777"/>
      <w:bookmarkStart w:id="70" w:name="_Toc416445863"/>
      <w:bookmarkStart w:id="71" w:name="_Toc416445883"/>
      <w:bookmarkStart w:id="72" w:name="_Toc417463559"/>
      <w:bookmarkStart w:id="73" w:name="_Toc417463622"/>
      <w:r>
        <w:rPr>
          <w:rStyle w:val="CharSchNo"/>
        </w:rPr>
        <w:t>Schedule 2</w:t>
      </w:r>
      <w:r>
        <w:t> — </w:t>
      </w:r>
      <w:r>
        <w:rPr>
          <w:rStyle w:val="CharSchText"/>
        </w:rPr>
        <w:t>Sheriff’s fees</w:t>
      </w:r>
      <w:bookmarkEnd w:id="65"/>
      <w:bookmarkEnd w:id="66"/>
      <w:bookmarkEnd w:id="67"/>
      <w:bookmarkEnd w:id="68"/>
      <w:bookmarkEnd w:id="69"/>
      <w:bookmarkEnd w:id="70"/>
      <w:bookmarkEnd w:id="71"/>
      <w:bookmarkEnd w:id="72"/>
      <w:bookmarkEnd w:id="73"/>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r>
              <w:rPr>
                <w:szCs w:val="22"/>
              </w:rPr>
              <w:t>102.50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r>
              <w:rPr>
                <w:szCs w:val="22"/>
              </w:rPr>
              <w:t>27.20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56.50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1.45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1.60</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r>
              <w:rPr>
                <w:szCs w:val="22"/>
              </w:rPr>
              <w:t>54.50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rPr>
                <w:szCs w:val="22"/>
              </w:rPr>
              <w:t>174.50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75" w:name="_Toc402166232"/>
      <w:bookmarkStart w:id="76" w:name="_Toc404007907"/>
      <w:bookmarkStart w:id="77" w:name="_Toc404007997"/>
      <w:bookmarkStart w:id="78" w:name="_Toc411340708"/>
      <w:bookmarkStart w:id="79" w:name="_Toc411340778"/>
      <w:bookmarkStart w:id="80" w:name="_Toc416445864"/>
      <w:bookmarkStart w:id="81" w:name="_Toc416445884"/>
      <w:bookmarkStart w:id="82" w:name="_Toc417463560"/>
      <w:bookmarkStart w:id="83" w:name="_Toc417463623"/>
      <w:r>
        <w:rPr>
          <w:rStyle w:val="CharSchNo"/>
        </w:rPr>
        <w:t>Schedule 3</w:t>
      </w:r>
      <w:r>
        <w:t xml:space="preserve"> — </w:t>
      </w:r>
      <w:r>
        <w:rPr>
          <w:rStyle w:val="CharSchText"/>
        </w:rPr>
        <w:t>Forms</w:t>
      </w:r>
      <w:bookmarkEnd w:id="75"/>
      <w:bookmarkEnd w:id="76"/>
      <w:bookmarkEnd w:id="77"/>
      <w:bookmarkEnd w:id="78"/>
      <w:bookmarkEnd w:id="79"/>
      <w:bookmarkEnd w:id="80"/>
      <w:bookmarkEnd w:id="81"/>
      <w:bookmarkEnd w:id="82"/>
      <w:bookmarkEnd w:id="83"/>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84" w:name="_Toc402166233"/>
      <w:bookmarkStart w:id="85" w:name="_Toc404007908"/>
      <w:bookmarkStart w:id="86" w:name="_Toc404007998"/>
      <w:bookmarkStart w:id="87" w:name="_Toc411340709"/>
      <w:bookmarkStart w:id="88" w:name="_Toc411340779"/>
      <w:bookmarkStart w:id="89" w:name="_Toc416445865"/>
      <w:bookmarkStart w:id="90" w:name="_Toc416445885"/>
      <w:bookmarkStart w:id="91" w:name="_Toc417463561"/>
      <w:bookmarkStart w:id="92" w:name="_Toc417463624"/>
      <w:r>
        <w:t>Notes</w:t>
      </w:r>
      <w:bookmarkEnd w:id="84"/>
      <w:bookmarkEnd w:id="85"/>
      <w:bookmarkEnd w:id="86"/>
      <w:bookmarkEnd w:id="87"/>
      <w:bookmarkEnd w:id="88"/>
      <w:bookmarkEnd w:id="89"/>
      <w:bookmarkEnd w:id="90"/>
      <w:bookmarkEnd w:id="91"/>
      <w:bookmarkEnd w:id="92"/>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del w:id="93" w:author="Master Repository Process" w:date="2021-08-01T05:33: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94" w:name="_Toc411340780"/>
      <w:bookmarkStart w:id="95" w:name="_Toc417463625"/>
      <w:bookmarkStart w:id="96" w:name="_Toc416445886"/>
      <w:r>
        <w:t>Compilation table</w:t>
      </w:r>
      <w:bookmarkEnd w:id="94"/>
      <w:bookmarkEnd w:id="95"/>
      <w:bookmarkEnd w:id="9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bl>
    <w:p>
      <w:pPr>
        <w:pStyle w:val="nSubsection"/>
        <w:tabs>
          <w:tab w:val="clear" w:pos="454"/>
          <w:tab w:val="left" w:pos="567"/>
        </w:tabs>
        <w:spacing w:before="120"/>
        <w:ind w:left="567" w:hanging="567"/>
        <w:rPr>
          <w:del w:id="97" w:author="Master Repository Process" w:date="2021-08-01T05:33:00Z"/>
          <w:snapToGrid w:val="0"/>
        </w:rPr>
      </w:pPr>
      <w:del w:id="98" w:author="Master Repository Process" w:date="2021-08-01T05:3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9" w:author="Master Repository Process" w:date="2021-08-01T05:33:00Z"/>
        </w:rPr>
      </w:pPr>
      <w:bookmarkStart w:id="100" w:name="_Toc7405065"/>
      <w:bookmarkStart w:id="101" w:name="_Toc411340781"/>
      <w:bookmarkStart w:id="102" w:name="_Toc416445887"/>
      <w:del w:id="103" w:author="Master Repository Process" w:date="2021-08-01T05:33:00Z">
        <w:r>
          <w:delText>Provisions that have not come into operation</w:delText>
        </w:r>
        <w:bookmarkEnd w:id="100"/>
        <w:bookmarkEnd w:id="101"/>
        <w:bookmarkEnd w:id="102"/>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104" w:author="Master Repository Process" w:date="2021-08-01T05:33:00Z"/>
        </w:trPr>
        <w:tc>
          <w:tcPr>
            <w:tcW w:w="3118" w:type="dxa"/>
            <w:tcBorders>
              <w:top w:val="single" w:sz="8" w:space="0" w:color="auto"/>
              <w:bottom w:val="single" w:sz="8" w:space="0" w:color="auto"/>
            </w:tcBorders>
          </w:tcPr>
          <w:p>
            <w:pPr>
              <w:pStyle w:val="nTable"/>
              <w:spacing w:after="40"/>
              <w:rPr>
                <w:del w:id="105" w:author="Master Repository Process" w:date="2021-08-01T05:33:00Z"/>
                <w:b/>
              </w:rPr>
            </w:pPr>
            <w:del w:id="106" w:author="Master Repository Process" w:date="2021-08-01T05:33:00Z">
              <w:r>
                <w:rPr>
                  <w:b/>
                </w:rPr>
                <w:delText>Citation</w:delText>
              </w:r>
            </w:del>
          </w:p>
        </w:tc>
        <w:tc>
          <w:tcPr>
            <w:tcW w:w="1276" w:type="dxa"/>
            <w:tcBorders>
              <w:top w:val="single" w:sz="8" w:space="0" w:color="auto"/>
              <w:bottom w:val="single" w:sz="8" w:space="0" w:color="auto"/>
            </w:tcBorders>
          </w:tcPr>
          <w:p>
            <w:pPr>
              <w:pStyle w:val="nTable"/>
              <w:spacing w:after="40"/>
              <w:rPr>
                <w:del w:id="107" w:author="Master Repository Process" w:date="2021-08-01T05:33:00Z"/>
                <w:b/>
              </w:rPr>
            </w:pPr>
            <w:del w:id="108" w:author="Master Repository Process" w:date="2021-08-01T05:33:00Z">
              <w:r>
                <w:rPr>
                  <w:b/>
                </w:rPr>
                <w:delText>Gazettal</w:delText>
              </w:r>
            </w:del>
          </w:p>
        </w:tc>
        <w:tc>
          <w:tcPr>
            <w:tcW w:w="2693" w:type="dxa"/>
            <w:tcBorders>
              <w:top w:val="single" w:sz="8" w:space="0" w:color="auto"/>
              <w:bottom w:val="single" w:sz="8" w:space="0" w:color="auto"/>
            </w:tcBorders>
          </w:tcPr>
          <w:p>
            <w:pPr>
              <w:pStyle w:val="nTable"/>
              <w:spacing w:after="40"/>
              <w:rPr>
                <w:del w:id="109" w:author="Master Repository Process" w:date="2021-08-01T05:33:00Z"/>
                <w:b/>
              </w:rPr>
            </w:pPr>
            <w:del w:id="110" w:author="Master Repository Process" w:date="2021-08-01T05:33:00Z">
              <w:r>
                <w:rPr>
                  <w:b/>
                </w:rPr>
                <w:delText>Commencement</w:delText>
              </w:r>
            </w:del>
          </w:p>
        </w:tc>
      </w:tr>
      <w:tr>
        <w:tc>
          <w:tcPr>
            <w:tcW w:w="3118" w:type="dxa"/>
            <w:tcBorders>
              <w:bottom w:val="single" w:sz="8" w:space="0" w:color="auto"/>
            </w:tcBorders>
          </w:tcPr>
          <w:p>
            <w:pPr>
              <w:pStyle w:val="nTable"/>
              <w:spacing w:after="40"/>
              <w:rPr>
                <w:szCs w:val="19"/>
              </w:rPr>
            </w:pPr>
            <w:r>
              <w:rPr>
                <w:i/>
                <w:szCs w:val="19"/>
              </w:rPr>
              <w:t>District Court (Fees) Amendment Regulations 2015</w:t>
            </w:r>
            <w:r>
              <w:rPr>
                <w:szCs w:val="19"/>
              </w:rPr>
              <w:t> </w:t>
            </w:r>
            <w:del w:id="111" w:author="Master Repository Process" w:date="2021-08-01T05:33:00Z">
              <w:r>
                <w:delText>r. 3 and 4 </w:delText>
              </w:r>
              <w:r>
                <w:rPr>
                  <w:vertAlign w:val="superscript"/>
                </w:rPr>
                <w:delText>6</w:delText>
              </w:r>
            </w:del>
          </w:p>
        </w:tc>
        <w:tc>
          <w:tcPr>
            <w:tcW w:w="1276" w:type="dxa"/>
            <w:tcBorders>
              <w:bottom w:val="single" w:sz="8" w:space="0" w:color="auto"/>
            </w:tcBorders>
          </w:tcPr>
          <w:p>
            <w:pPr>
              <w:pStyle w:val="nTable"/>
              <w:spacing w:after="40"/>
              <w:rPr>
                <w:szCs w:val="19"/>
              </w:rPr>
            </w:pPr>
            <w:r>
              <w:rPr>
                <w:szCs w:val="19"/>
              </w:rPr>
              <w:t>10 Feb 2015 p. 607</w:t>
            </w:r>
          </w:p>
        </w:tc>
        <w:tc>
          <w:tcPr>
            <w:tcW w:w="2693" w:type="dxa"/>
            <w:tcBorders>
              <w:bottom w:val="single" w:sz="8" w:space="0" w:color="auto"/>
            </w:tcBorders>
          </w:tcPr>
          <w:p>
            <w:pPr>
              <w:rPr>
                <w:sz w:val="19"/>
                <w:szCs w:val="19"/>
              </w:rPr>
            </w:pPr>
            <w:del w:id="112" w:author="Master Repository Process" w:date="2021-08-01T05:33:00Z">
              <w:r>
                <w:delText xml:space="preserve">Operative on the day fixed under the </w:delText>
              </w:r>
              <w:r>
                <w:rPr>
                  <w:i/>
                </w:rPr>
                <w:delText>Road Traffic (Administration) Act 2008</w:delText>
              </w:r>
              <w:r>
                <w:delText xml:space="preserve"> section 2(b) (see r. 2(b))</w:delText>
              </w:r>
            </w:del>
            <w:ins w:id="113" w:author="Master Repository Process" w:date="2021-08-01T05:33:00Z">
              <w:r>
                <w:rPr>
                  <w:rFonts w:ascii="Times" w:hAnsi="Times"/>
                  <w:bCs/>
                  <w:snapToGrid w:val="0"/>
                  <w:spacing w:val="-2"/>
                  <w:sz w:val="19"/>
                  <w:szCs w:val="19"/>
                </w:rPr>
                <w:t>r. 1 and 2: 10 Feb 2015 (see r. 2(a));</w:t>
              </w:r>
              <w:r>
                <w:rPr>
                  <w:rFonts w:ascii="Times" w:hAnsi="Times"/>
                  <w:bCs/>
                  <w:snapToGrid w:val="0"/>
                  <w:spacing w:val="-2"/>
                  <w:sz w:val="19"/>
                  <w:szCs w:val="19"/>
                </w:rPr>
                <w:br/>
                <w:t xml:space="preserve">Regulations other than r. 1 and 2: 27 Apr 2015 (see r. 2(b) and </w:t>
              </w:r>
              <w:r>
                <w:rPr>
                  <w:rFonts w:ascii="Times" w:hAnsi="Times"/>
                  <w:bCs/>
                  <w:i/>
                  <w:snapToGrid w:val="0"/>
                  <w:spacing w:val="-2"/>
                  <w:sz w:val="19"/>
                  <w:szCs w:val="19"/>
                </w:rPr>
                <w:t>Gazette</w:t>
              </w:r>
              <w:r>
                <w:rPr>
                  <w:rFonts w:ascii="Times" w:hAnsi="Times"/>
                  <w:bCs/>
                  <w:snapToGrid w:val="0"/>
                  <w:spacing w:val="-2"/>
                  <w:sz w:val="19"/>
                  <w:szCs w:val="19"/>
                </w:rPr>
                <w:t xml:space="preserve"> 17 Apr 2015 p. 1371)</w:t>
              </w:r>
            </w:ins>
          </w:p>
        </w:tc>
      </w:tr>
    </w:tbl>
    <w:p>
      <w:pPr>
        <w:pStyle w:val="nSubsection"/>
        <w:tabs>
          <w:tab w:val="clear" w:pos="454"/>
          <w:tab w:val="left" w:pos="567"/>
        </w:tabs>
        <w:spacing w:before="120"/>
        <w:ind w:left="567" w:hanging="567"/>
        <w:rPr>
          <w:ins w:id="114" w:author="Master Repository Process" w:date="2021-08-01T05:33:00Z"/>
          <w:snapToGrid w:val="0"/>
          <w:vertAlign w:val="superscript"/>
        </w:rPr>
      </w:pPr>
    </w:p>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keepNext/>
        <w:keepLines/>
        <w:rPr>
          <w:del w:id="115" w:author="Master Repository Process" w:date="2021-08-01T05:33:00Z"/>
          <w:snapToGrid w:val="0"/>
        </w:rPr>
      </w:pPr>
      <w:del w:id="116" w:author="Master Repository Process" w:date="2021-08-01T05:33:00Z">
        <w:r>
          <w:rPr>
            <w:snapToGrid w:val="0"/>
            <w:vertAlign w:val="superscript"/>
          </w:rPr>
          <w:delText>6</w:delText>
        </w:r>
        <w:r>
          <w:rPr>
            <w:snapToGrid w:val="0"/>
          </w:rPr>
          <w:tab/>
        </w:r>
        <w:r>
          <w:delText xml:space="preserve">On the date as at which this compilation was prepared, </w:delText>
        </w:r>
        <w:r>
          <w:rPr>
            <w:snapToGrid w:val="0"/>
          </w:rPr>
          <w:delText xml:space="preserve">the </w:delText>
        </w:r>
        <w:r>
          <w:rPr>
            <w:i/>
          </w:rPr>
          <w:delText>District Court (Fees) Amendment Regulations 2015</w:delText>
        </w:r>
        <w:r>
          <w:delText xml:space="preserve"> r. 3 and 4 </w:delText>
        </w:r>
        <w:r>
          <w:rPr>
            <w:snapToGrid w:val="0"/>
          </w:rPr>
          <w:delText>had not come into operation.  They read as follows:</w:delText>
        </w:r>
      </w:del>
    </w:p>
    <w:p>
      <w:pPr>
        <w:pStyle w:val="BlankClose"/>
        <w:rPr>
          <w:del w:id="117" w:author="Master Repository Process" w:date="2021-08-01T05:33:00Z"/>
        </w:rPr>
      </w:pPr>
    </w:p>
    <w:p>
      <w:pPr>
        <w:pStyle w:val="nzHeading5"/>
        <w:rPr>
          <w:del w:id="118" w:author="Master Repository Process" w:date="2021-08-01T05:33:00Z"/>
          <w:snapToGrid w:val="0"/>
        </w:rPr>
      </w:pPr>
      <w:del w:id="119" w:author="Master Repository Process" w:date="2021-08-01T05:33:00Z">
        <w:r>
          <w:rPr>
            <w:rStyle w:val="CharSectno"/>
          </w:rPr>
          <w:delText>3</w:delText>
        </w:r>
        <w:r>
          <w:rPr>
            <w:snapToGrid w:val="0"/>
          </w:rPr>
          <w:delText>.</w:delText>
        </w:r>
        <w:r>
          <w:rPr>
            <w:snapToGrid w:val="0"/>
          </w:rPr>
          <w:tab/>
          <w:delText>Regulations amended</w:delText>
        </w:r>
      </w:del>
    </w:p>
    <w:p>
      <w:pPr>
        <w:pStyle w:val="nzSubsection"/>
        <w:rPr>
          <w:del w:id="120" w:author="Master Repository Process" w:date="2021-08-01T05:33:00Z"/>
        </w:rPr>
      </w:pPr>
      <w:del w:id="121" w:author="Master Repository Process" w:date="2021-08-01T05:33:00Z">
        <w:r>
          <w:tab/>
        </w:r>
        <w:r>
          <w:tab/>
        </w:r>
        <w:r>
          <w:rPr>
            <w:spacing w:val="-2"/>
          </w:rPr>
          <w:delText>These</w:delText>
        </w:r>
        <w:r>
          <w:delText xml:space="preserve"> regulations amend the </w:delText>
        </w:r>
        <w:r>
          <w:rPr>
            <w:i/>
          </w:rPr>
          <w:delText>District Court (Fees) Regulations 2002</w:delText>
        </w:r>
        <w:r>
          <w:delText>.</w:delText>
        </w:r>
      </w:del>
    </w:p>
    <w:p>
      <w:pPr>
        <w:pStyle w:val="nzHeading5"/>
        <w:rPr>
          <w:del w:id="122" w:author="Master Repository Process" w:date="2021-08-01T05:33:00Z"/>
        </w:rPr>
      </w:pPr>
      <w:del w:id="123" w:author="Master Repository Process" w:date="2021-08-01T05:33:00Z">
        <w:r>
          <w:rPr>
            <w:rStyle w:val="CharSectno"/>
          </w:rPr>
          <w:delText>4</w:delText>
        </w:r>
        <w:r>
          <w:delText>.</w:delText>
        </w:r>
        <w:r>
          <w:tab/>
          <w:delText>Schedule 1 amended</w:delText>
        </w:r>
      </w:del>
    </w:p>
    <w:p>
      <w:pPr>
        <w:pStyle w:val="nzSubsection"/>
        <w:rPr>
          <w:del w:id="124" w:author="Master Repository Process" w:date="2021-08-01T05:33:00Z"/>
        </w:rPr>
      </w:pPr>
      <w:del w:id="125" w:author="Master Repository Process" w:date="2021-08-01T05:33:00Z">
        <w:r>
          <w:tab/>
        </w:r>
        <w:r>
          <w:tab/>
          <w:delText xml:space="preserve">In Schedule 1 item 2A delete “for an extraordinary licence under the </w:delText>
        </w:r>
        <w:r>
          <w:rPr>
            <w:i/>
          </w:rPr>
          <w:delText>Road Traffic Act 1974</w:delText>
        </w:r>
        <w:r>
          <w:rPr>
            <w:iCs/>
          </w:rPr>
          <w:delText xml:space="preserve">, section 76(1) </w:delText>
        </w:r>
        <w:r>
          <w:delText>or 78(1)” and insert:</w:delText>
        </w:r>
      </w:del>
    </w:p>
    <w:p>
      <w:pPr>
        <w:pStyle w:val="BlankOpen"/>
        <w:widowControl w:val="0"/>
        <w:rPr>
          <w:del w:id="126" w:author="Master Repository Process" w:date="2021-08-01T05:33:00Z"/>
        </w:rPr>
      </w:pPr>
    </w:p>
    <w:p>
      <w:pPr>
        <w:pStyle w:val="nzSubsection"/>
        <w:rPr>
          <w:del w:id="127" w:author="Master Repository Process" w:date="2021-08-01T05:33:00Z"/>
        </w:rPr>
      </w:pPr>
      <w:del w:id="128" w:author="Master Repository Process" w:date="2021-08-01T05:33:00Z">
        <w:r>
          <w:tab/>
        </w:r>
        <w:r>
          <w:tab/>
          <w:delText xml:space="preserve">under the </w:delText>
        </w:r>
        <w:r>
          <w:rPr>
            <w:i/>
          </w:rPr>
          <w:delText xml:space="preserve">Road Traffic (Authorisation to Drive) Act 2008 </w:delText>
        </w:r>
        <w:r>
          <w:delText>section 24(1) for the removal of a disqualification or under section 27 of that Act for an extraordinary licence</w:delText>
        </w:r>
      </w:del>
    </w:p>
    <w:p>
      <w:pPr>
        <w:pStyle w:val="BlankClose"/>
        <w:keepNext/>
        <w:widowControl w:val="0"/>
        <w:rPr>
          <w:del w:id="129" w:author="Master Repository Process" w:date="2021-08-01T05:33:00Z"/>
        </w:rPr>
      </w:pPr>
    </w:p>
    <w:p>
      <w:pPr>
        <w:pStyle w:val="BlankClose"/>
        <w:keepNext/>
        <w:widowControl w:val="0"/>
        <w:rPr>
          <w:del w:id="130" w:author="Master Repository Process" w:date="2021-08-01T05:33:00Z"/>
        </w:rPr>
      </w:pPr>
    </w:p>
    <w:p>
      <w:pPr>
        <w:rPr>
          <w:u w:val="words"/>
        </w:rPr>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4" w:name="Schedule"/>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0161433"/>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6FDCB11-6FE8-4D30-AEA8-25F28CF9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2A5A-A373-4B2D-BC30-C2D68E8C2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6932</Words>
  <Characters>36535</Characters>
  <Application>Microsoft Office Word</Application>
  <DocSecurity>0</DocSecurity>
  <Lines>1461</Lines>
  <Paragraphs>776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03-b0-01 - 03-c0-02</dc:title>
  <dc:subject/>
  <dc:creator/>
  <cp:keywords/>
  <dc:description/>
  <cp:lastModifiedBy>Master Repository Process</cp:lastModifiedBy>
  <cp:revision>2</cp:revision>
  <cp:lastPrinted>2014-10-27T02:17:00Z</cp:lastPrinted>
  <dcterms:created xsi:type="dcterms:W3CDTF">2021-07-31T21:33:00Z</dcterms:created>
  <dcterms:modified xsi:type="dcterms:W3CDTF">2021-07-31T21:33:00Z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20150427</vt:lpwstr>
  </property>
  <property fmtid="{D5CDD505-2E9C-101B-9397-08002B2CF9AE}" pid="4" name="DocumentType">
    <vt:lpwstr>Reg</vt:lpwstr>
  </property>
  <property fmtid="{D5CDD505-2E9C-101B-9397-08002B2CF9AE}" pid="5" name="OwlsUID">
    <vt:i4>3577</vt:i4>
  </property>
  <property fmtid="{D5CDD505-2E9C-101B-9397-08002B2CF9AE}" pid="6" name="ReprintNo">
    <vt:lpwstr>3</vt:lpwstr>
  </property>
  <property fmtid="{D5CDD505-2E9C-101B-9397-08002B2CF9AE}" pid="7" name="ReprintedAsAt">
    <vt:filetime>2014-11-06T16:00:00Z</vt:filetime>
  </property>
  <property fmtid="{D5CDD505-2E9C-101B-9397-08002B2CF9AE}" pid="8" name="FromSuffix">
    <vt:lpwstr>03-b0-01</vt:lpwstr>
  </property>
  <property fmtid="{D5CDD505-2E9C-101B-9397-08002B2CF9AE}" pid="9" name="FromAsAtDate">
    <vt:lpwstr>10 Feb 2015</vt:lpwstr>
  </property>
  <property fmtid="{D5CDD505-2E9C-101B-9397-08002B2CF9AE}" pid="10" name="ToSuffix">
    <vt:lpwstr>03-c0-02</vt:lpwstr>
  </property>
  <property fmtid="{D5CDD505-2E9C-101B-9397-08002B2CF9AE}" pid="11" name="ToAsAtDate">
    <vt:lpwstr>27 Apr 2015</vt:lpwstr>
  </property>
</Properties>
</file>