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1" w:name="_Toc476918151"/>
      <w:bookmarkStart w:id="2" w:name="_Toc407625589"/>
      <w:bookmarkStart w:id="3" w:name="_Toc417033950"/>
      <w:bookmarkStart w:id="4" w:name="_Toc41703397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6918152"/>
      <w:bookmarkStart w:id="7" w:name="_Toc407625590"/>
      <w:bookmarkStart w:id="8" w:name="_Toc417033974"/>
      <w:r>
        <w:rPr>
          <w:rStyle w:val="CharSectno"/>
        </w:rPr>
        <w:t>1</w:t>
      </w:r>
      <w:r>
        <w:t>.</w:t>
      </w:r>
      <w:r>
        <w:tab/>
        <w:t>Citation</w:t>
      </w:r>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may be cited as the </w:t>
      </w:r>
      <w:r>
        <w:rPr>
          <w:i/>
        </w:rPr>
        <w:t>Road Traffic (Written-Off Vehicle Register) Regulations 2003</w:t>
      </w:r>
      <w:r>
        <w:rPr>
          <w:vertAlign w:val="superscript"/>
        </w:rPr>
        <w:t> 1</w:t>
      </w:r>
      <w:r>
        <w:t>.</w:t>
      </w:r>
    </w:p>
    <w:p>
      <w:pPr>
        <w:pStyle w:val="Heading5"/>
      </w:pPr>
      <w:bookmarkStart w:id="10" w:name="_Toc476918153"/>
      <w:bookmarkStart w:id="11" w:name="_Toc407625591"/>
      <w:bookmarkStart w:id="12" w:name="_Toc417033975"/>
      <w:r>
        <w:rPr>
          <w:rStyle w:val="CharSectno"/>
        </w:rPr>
        <w:t>2</w:t>
      </w:r>
      <w:r>
        <w:t>.</w:t>
      </w:r>
      <w:r>
        <w:tab/>
        <w:t>Terms used</w:t>
      </w:r>
      <w:bookmarkEnd w:id="10"/>
      <w:bookmarkEnd w:id="11"/>
      <w:bookmarkEnd w:id="12"/>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 or</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 or</w:t>
      </w:r>
    </w:p>
    <w:p>
      <w:pPr>
        <w:pStyle w:val="Defsubpara"/>
        <w:keepLines w:val="0"/>
      </w:pPr>
      <w:r>
        <w:tab/>
        <w:t>(ii)</w:t>
      </w:r>
      <w:r>
        <w:tab/>
        <w:t>for the purpose of effectuating a security over the vehicle bought or sold; or</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r>
      <w:r>
        <w:tab/>
        <w:t>or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r>
      <w:r>
        <w:tab/>
        <w:t>or</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13" w:name="_Toc476918154"/>
      <w:bookmarkStart w:id="14" w:name="_Toc407625592"/>
      <w:bookmarkStart w:id="15" w:name="_Toc417033976"/>
      <w:r>
        <w:rPr>
          <w:rStyle w:val="CharSectno"/>
        </w:rPr>
        <w:t>3</w:t>
      </w:r>
      <w:r>
        <w:t>.</w:t>
      </w:r>
      <w:r>
        <w:tab/>
        <w:t>Modified penalties for infringements</w:t>
      </w:r>
      <w:bookmarkEnd w:id="13"/>
      <w:bookmarkEnd w:id="14"/>
      <w:bookmarkEnd w:id="15"/>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16" w:name="_Toc476918155"/>
      <w:bookmarkStart w:id="17" w:name="_Toc407625593"/>
      <w:bookmarkStart w:id="18" w:name="_Toc417033977"/>
      <w:r>
        <w:rPr>
          <w:rStyle w:val="CharSectno"/>
        </w:rPr>
        <w:t>4</w:t>
      </w:r>
      <w:r>
        <w:t>.</w:t>
      </w:r>
      <w:r>
        <w:tab/>
        <w:t>Total loss — meaning</w:t>
      </w:r>
      <w:bookmarkEnd w:id="16"/>
      <w:bookmarkEnd w:id="17"/>
      <w:bookmarkEnd w:id="18"/>
    </w:p>
    <w:p>
      <w:pPr>
        <w:pStyle w:val="Subsection"/>
      </w:pPr>
      <w:r>
        <w:tab/>
      </w:r>
      <w:r>
        <w:tab/>
        <w:t xml:space="preserve">A vehicle is a total loss if an assessor determines that the extent of the damage is such that — </w:t>
      </w:r>
    </w:p>
    <w:p>
      <w:pPr>
        <w:pStyle w:val="Subsection"/>
        <w:rPr>
          <w:b/>
        </w:rPr>
      </w:pPr>
      <w:r>
        <w:tab/>
      </w:r>
      <w:r>
        <w:tab/>
      </w:r>
      <w:r>
        <w:rPr>
          <w:b/>
        </w:rPr>
        <w:t>A ≤  B</w:t>
      </w:r>
    </w:p>
    <w:p>
      <w:pPr>
        <w:pStyle w:val="Subsection"/>
      </w:pPr>
      <w:r>
        <w:tab/>
      </w:r>
      <w:r>
        <w:tab/>
        <w:t xml:space="preserve">where — </w:t>
      </w:r>
    </w:p>
    <w:p>
      <w:pPr>
        <w:pStyle w:val="Indenta"/>
      </w:pPr>
      <w:r>
        <w:tab/>
      </w:r>
      <w:r>
        <w:rPr>
          <w:b/>
        </w:rPr>
        <w:t>A</w:t>
      </w:r>
      <w:r>
        <w:tab/>
        <w:t xml:space="preserve">is — </w:t>
      </w:r>
    </w:p>
    <w:p>
      <w:pPr>
        <w:pStyle w:val="Indenti"/>
      </w:pPr>
      <w:r>
        <w:tab/>
        <w:t>(a)</w:t>
      </w:r>
      <w:r>
        <w:tab/>
        <w:t>if the vehicle was insured at the time of the event that caused the damage — the value for which the vehicle was insured at the time of that event; or</w:t>
      </w:r>
    </w:p>
    <w:p>
      <w:pPr>
        <w:pStyle w:val="Indenti"/>
      </w:pPr>
      <w:r>
        <w:tab/>
        <w:t>(b)</w:t>
      </w:r>
      <w:r>
        <w:tab/>
        <w:t>if the vehicle was not insured at the time of the event that caused the damage —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19" w:name="_Toc476918156"/>
      <w:bookmarkStart w:id="20" w:name="_Toc407625594"/>
      <w:bookmarkStart w:id="21" w:name="_Toc417033978"/>
      <w:r>
        <w:rPr>
          <w:rStyle w:val="CharSectno"/>
        </w:rPr>
        <w:t>5</w:t>
      </w:r>
      <w:r>
        <w:t>.</w:t>
      </w:r>
      <w:r>
        <w:tab/>
        <w:t>Written</w:t>
      </w:r>
      <w:r>
        <w:noBreakHyphen/>
        <w:t>off vehicles</w:t>
      </w:r>
      <w:bookmarkEnd w:id="19"/>
      <w:bookmarkEnd w:id="20"/>
      <w:bookmarkEnd w:id="21"/>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22" w:name="_Toc476918157"/>
      <w:bookmarkStart w:id="23" w:name="_Toc407625595"/>
      <w:bookmarkStart w:id="24" w:name="_Toc417033979"/>
      <w:r>
        <w:rPr>
          <w:rStyle w:val="CharSectno"/>
        </w:rPr>
        <w:t>6</w:t>
      </w:r>
      <w:r>
        <w:t>.</w:t>
      </w:r>
      <w:r>
        <w:tab/>
        <w:t>Notifiable vehicles</w:t>
      </w:r>
      <w:bookmarkEnd w:id="22"/>
      <w:bookmarkEnd w:id="23"/>
      <w:bookmarkEnd w:id="24"/>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 and</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25" w:name="_Toc476918158"/>
      <w:bookmarkStart w:id="26" w:name="_Toc407625596"/>
      <w:bookmarkStart w:id="27" w:name="_Toc417033980"/>
      <w:r>
        <w:rPr>
          <w:rStyle w:val="CharSectno"/>
        </w:rPr>
        <w:t>7</w:t>
      </w:r>
      <w:r>
        <w:t>.</w:t>
      </w:r>
      <w:r>
        <w:tab/>
        <w:t>Statutory write</w:t>
      </w:r>
      <w:r>
        <w:noBreakHyphen/>
        <w:t>offs</w:t>
      </w:r>
      <w:bookmarkEnd w:id="25"/>
      <w:bookmarkEnd w:id="26"/>
      <w:bookmarkEnd w:id="27"/>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subregulation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28" w:name="_Toc476918159"/>
      <w:bookmarkStart w:id="29" w:name="_Toc407625597"/>
      <w:bookmarkStart w:id="30" w:name="_Toc417033981"/>
      <w:r>
        <w:rPr>
          <w:rStyle w:val="CharSectno"/>
        </w:rPr>
        <w:t>8</w:t>
      </w:r>
      <w:r>
        <w:t>.</w:t>
      </w:r>
      <w:r>
        <w:tab/>
        <w:t>Repairable write</w:t>
      </w:r>
      <w:r>
        <w:noBreakHyphen/>
        <w:t>offs</w:t>
      </w:r>
      <w:bookmarkEnd w:id="28"/>
      <w:bookmarkEnd w:id="29"/>
      <w:bookmarkEnd w:id="30"/>
    </w:p>
    <w:p>
      <w:pPr>
        <w:pStyle w:val="Subsection"/>
      </w:pPr>
      <w:r>
        <w:tab/>
      </w:r>
      <w:r>
        <w:tab/>
        <w:t>A notifiable vehicle is a repairable write</w:t>
      </w:r>
      <w:r>
        <w:noBreakHyphen/>
        <w:t>off if it is not a statutory write</w:t>
      </w:r>
      <w:r>
        <w:noBreakHyphen/>
        <w:t>off.</w:t>
      </w:r>
    </w:p>
    <w:p>
      <w:pPr>
        <w:pStyle w:val="Heading2"/>
      </w:pPr>
      <w:bookmarkStart w:id="31" w:name="_Toc476918160"/>
      <w:bookmarkStart w:id="32" w:name="_Toc407625598"/>
      <w:bookmarkStart w:id="33" w:name="_Toc417033959"/>
      <w:bookmarkStart w:id="34" w:name="_Toc417033982"/>
      <w:r>
        <w:rPr>
          <w:rStyle w:val="CharPartNo"/>
        </w:rPr>
        <w:t>Part 2</w:t>
      </w:r>
      <w:r>
        <w:rPr>
          <w:rStyle w:val="CharDivNo"/>
        </w:rPr>
        <w:t> </w:t>
      </w:r>
      <w:r>
        <w:t>—</w:t>
      </w:r>
      <w:r>
        <w:rPr>
          <w:rStyle w:val="CharDivText"/>
        </w:rPr>
        <w:t> </w:t>
      </w:r>
      <w:r>
        <w:rPr>
          <w:rStyle w:val="CharPartText"/>
        </w:rPr>
        <w:t>Dealing with notifiable vehicles</w:t>
      </w:r>
      <w:bookmarkEnd w:id="31"/>
      <w:bookmarkEnd w:id="32"/>
      <w:bookmarkEnd w:id="33"/>
      <w:bookmarkEnd w:id="34"/>
    </w:p>
    <w:p>
      <w:pPr>
        <w:pStyle w:val="Heading5"/>
      </w:pPr>
      <w:bookmarkStart w:id="35" w:name="_Toc476918161"/>
      <w:bookmarkStart w:id="36" w:name="_Toc407625599"/>
      <w:bookmarkStart w:id="37" w:name="_Toc417033983"/>
      <w:r>
        <w:rPr>
          <w:rStyle w:val="CharSectno"/>
        </w:rPr>
        <w:t>9</w:t>
      </w:r>
      <w:r>
        <w:t>.</w:t>
      </w:r>
      <w:r>
        <w:tab/>
        <w:t>Notification and marking of write</w:t>
      </w:r>
      <w:r>
        <w:noBreakHyphen/>
        <w:t>offs</w:t>
      </w:r>
      <w:bookmarkEnd w:id="35"/>
      <w:bookmarkEnd w:id="36"/>
      <w:bookmarkEnd w:id="37"/>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38" w:name="_Toc476918162"/>
      <w:bookmarkStart w:id="39" w:name="_Toc407625600"/>
      <w:bookmarkStart w:id="40" w:name="_Toc417033984"/>
      <w:r>
        <w:rPr>
          <w:rStyle w:val="CharSectno"/>
        </w:rPr>
        <w:t>10</w:t>
      </w:r>
      <w:r>
        <w:t>.</w:t>
      </w:r>
      <w:r>
        <w:tab/>
        <w:t>Written</w:t>
      </w:r>
      <w:r>
        <w:noBreakHyphen/>
        <w:t>off vehicle notices</w:t>
      </w:r>
      <w:bookmarkEnd w:id="38"/>
      <w:bookmarkEnd w:id="39"/>
      <w:bookmarkEnd w:id="40"/>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41" w:name="_Toc476918163"/>
      <w:bookmarkStart w:id="42" w:name="_Toc407625601"/>
      <w:bookmarkStart w:id="43" w:name="_Toc417033985"/>
      <w:r>
        <w:rPr>
          <w:rStyle w:val="CharSectno"/>
        </w:rPr>
        <w:t>11</w:t>
      </w:r>
      <w:r>
        <w:t>.</w:t>
      </w:r>
      <w:r>
        <w:tab/>
        <w:t>Written</w:t>
      </w:r>
      <w:r>
        <w:noBreakHyphen/>
        <w:t>off warning labels</w:t>
      </w:r>
      <w:bookmarkEnd w:id="41"/>
      <w:bookmarkEnd w:id="42"/>
      <w:bookmarkEnd w:id="43"/>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44" w:name="_Toc476918164"/>
      <w:bookmarkStart w:id="45" w:name="_Toc407625602"/>
      <w:bookmarkStart w:id="46" w:name="_Toc417033986"/>
      <w:r>
        <w:rPr>
          <w:rStyle w:val="CharSectno"/>
        </w:rPr>
        <w:t>12</w:t>
      </w:r>
      <w:r>
        <w:t>.</w:t>
      </w:r>
      <w:r>
        <w:tab/>
        <w:t>Defacing vehicle identifiers of statutory write</w:t>
      </w:r>
      <w:r>
        <w:noBreakHyphen/>
        <w:t>offs</w:t>
      </w:r>
      <w:bookmarkEnd w:id="44"/>
      <w:bookmarkEnd w:id="45"/>
      <w:bookmarkEnd w:id="46"/>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47" w:name="_Toc476918165"/>
      <w:bookmarkStart w:id="48" w:name="_Toc407625603"/>
      <w:bookmarkStart w:id="49" w:name="_Toc417033964"/>
      <w:bookmarkStart w:id="50" w:name="_Toc417033987"/>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47"/>
      <w:bookmarkEnd w:id="48"/>
      <w:bookmarkEnd w:id="49"/>
      <w:bookmarkEnd w:id="50"/>
    </w:p>
    <w:p>
      <w:pPr>
        <w:pStyle w:val="Heading5"/>
        <w:spacing w:before="280"/>
      </w:pPr>
      <w:bookmarkStart w:id="51" w:name="_Toc476918166"/>
      <w:bookmarkStart w:id="52" w:name="_Toc407625604"/>
      <w:bookmarkStart w:id="53" w:name="_Toc417033988"/>
      <w:r>
        <w:rPr>
          <w:rStyle w:val="CharSectno"/>
        </w:rPr>
        <w:t>13</w:t>
      </w:r>
      <w:r>
        <w:t>.</w:t>
      </w:r>
      <w:r>
        <w:tab/>
        <w:t>Written</w:t>
      </w:r>
      <w:r>
        <w:noBreakHyphen/>
        <w:t>Off Vehicle Register</w:t>
      </w:r>
      <w:bookmarkEnd w:id="51"/>
      <w:bookmarkEnd w:id="52"/>
      <w:bookmarkEnd w:id="53"/>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54" w:name="_Toc476918167"/>
      <w:bookmarkStart w:id="55" w:name="_Toc407625605"/>
      <w:bookmarkStart w:id="56" w:name="_Toc417033989"/>
      <w:r>
        <w:rPr>
          <w:rStyle w:val="CharSectno"/>
        </w:rPr>
        <w:t>14</w:t>
      </w:r>
      <w:r>
        <w:t>.</w:t>
      </w:r>
      <w:r>
        <w:tab/>
        <w:t>WOVR to include particulars of notifiable vehicles</w:t>
      </w:r>
      <w:bookmarkEnd w:id="54"/>
      <w:bookmarkEnd w:id="55"/>
      <w:bookmarkEnd w:id="56"/>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57" w:name="_Toc476918168"/>
      <w:bookmarkStart w:id="58" w:name="_Toc407625606"/>
      <w:bookmarkStart w:id="59" w:name="_Toc417033990"/>
      <w:r>
        <w:rPr>
          <w:rStyle w:val="CharSectno"/>
        </w:rPr>
        <w:t>15</w:t>
      </w:r>
      <w:r>
        <w:t>.</w:t>
      </w:r>
      <w:r>
        <w:tab/>
        <w:t>Public access to information on WOVR</w:t>
      </w:r>
      <w:bookmarkEnd w:id="57"/>
      <w:bookmarkEnd w:id="58"/>
      <w:bookmarkEnd w:id="59"/>
    </w:p>
    <w:p>
      <w:pPr>
        <w:pStyle w:val="Subsection"/>
        <w:spacing w:before="180"/>
      </w:pPr>
      <w:r>
        <w:tab/>
        <w:t>(1)</w:t>
      </w:r>
      <w:r>
        <w:tab/>
        <w:t xml:space="preserve">On the request of a person, the Director General is to tell the person — </w:t>
      </w:r>
    </w:p>
    <w:p>
      <w:pPr>
        <w:pStyle w:val="Indenta"/>
        <w:spacing w:before="100"/>
      </w:pPr>
      <w:r>
        <w:tab/>
        <w:t>(a)</w:t>
      </w:r>
      <w:r>
        <w:tab/>
        <w:t>whether a particular vehicle, or a particular identifier, is or has ever been registered in the WOVR; and</w:t>
      </w:r>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60" w:name="_Toc476918169"/>
      <w:bookmarkStart w:id="61" w:name="_Toc407625607"/>
      <w:bookmarkStart w:id="62" w:name="_Toc417033991"/>
      <w:r>
        <w:rPr>
          <w:rStyle w:val="CharSectno"/>
        </w:rPr>
        <w:t>16</w:t>
      </w:r>
      <w:r>
        <w:t>.</w:t>
      </w:r>
      <w:r>
        <w:tab/>
        <w:t>Cancellation of entry in WOVR</w:t>
      </w:r>
      <w:bookmarkEnd w:id="60"/>
      <w:bookmarkEnd w:id="61"/>
      <w:bookmarkEnd w:id="62"/>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 and</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63" w:name="_Toc476918170"/>
      <w:bookmarkStart w:id="64" w:name="_Toc407625608"/>
      <w:bookmarkStart w:id="65" w:name="_Toc417033992"/>
      <w:r>
        <w:rPr>
          <w:rStyle w:val="CharSectno"/>
        </w:rPr>
        <w:t>17</w:t>
      </w:r>
      <w:r>
        <w:t>.</w:t>
      </w:r>
      <w:r>
        <w:tab/>
        <w:t>Implementing the national scheme</w:t>
      </w:r>
      <w:bookmarkEnd w:id="63"/>
      <w:bookmarkEnd w:id="64"/>
      <w:bookmarkEnd w:id="65"/>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ins w:id="66" w:author="Master Repository Process" w:date="2021-09-12T10:41: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09" w:footer="3380" w:gutter="0"/>
          <w:pgNumType w:start="1"/>
          <w:cols w:space="720"/>
          <w:noEndnote/>
          <w:titlePg/>
          <w:docGrid w:linePitch="326"/>
        </w:sectPr>
      </w:pPr>
    </w:p>
    <w:p>
      <w:pPr>
        <w:pStyle w:val="nHeading2"/>
        <w:rPr>
          <w:ins w:id="67" w:author="Master Repository Process" w:date="2021-09-12T10:41:00Z"/>
        </w:rPr>
      </w:pPr>
      <w:bookmarkStart w:id="68" w:name="_Toc476918171"/>
      <w:ins w:id="69" w:author="Master Repository Process" w:date="2021-09-12T10:41:00Z">
        <w:r>
          <w:t>Notes</w:t>
        </w:r>
        <w:bookmarkEnd w:id="68"/>
      </w:ins>
    </w:p>
    <w:p>
      <w:pPr>
        <w:pStyle w:val="nSubsection"/>
        <w:rPr>
          <w:ins w:id="70" w:author="Master Repository Process" w:date="2021-09-12T10:41:00Z"/>
          <w:snapToGrid w:val="0"/>
        </w:rPr>
      </w:pPr>
      <w:ins w:id="71" w:author="Master Repository Process" w:date="2021-09-12T10:41:00Z">
        <w:r>
          <w:rPr>
            <w:snapToGrid w:val="0"/>
            <w:vertAlign w:val="superscript"/>
          </w:rPr>
          <w:t>1</w:t>
        </w:r>
        <w:r>
          <w:rPr>
            <w:snapToGrid w:val="0"/>
          </w:rPr>
          <w:tab/>
          <w:t>This is a compilation of the</w:t>
        </w:r>
        <w:r>
          <w:t xml:space="preserve"> </w:t>
        </w:r>
        <w:r>
          <w:rPr>
            <w:i/>
            <w:snapToGrid w:val="0"/>
          </w:rPr>
          <w:t xml:space="preserve">Road Traffic (Written-Off Vehicle Register) Regulations 2003 </w:t>
        </w:r>
        <w:r>
          <w:rPr>
            <w:snapToGrid w:val="0"/>
          </w:rPr>
          <w:t>and includes the amendments made by the other written laws referred to in the following table.  The table also contains information about any reprint.</w:t>
        </w:r>
      </w:ins>
    </w:p>
    <w:p>
      <w:pPr>
        <w:pStyle w:val="nHeading3"/>
        <w:rPr>
          <w:ins w:id="72" w:author="Master Repository Process" w:date="2021-09-12T10:41:00Z"/>
        </w:rPr>
      </w:pPr>
      <w:bookmarkStart w:id="73" w:name="_Toc476918172"/>
      <w:ins w:id="74" w:author="Master Repository Process" w:date="2021-09-12T10:41:00Z">
        <w:r>
          <w:t>Compilation table</w:t>
        </w:r>
        <w:bookmarkEnd w:id="7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1-09-12T10:41:00Z"/>
        </w:trPr>
        <w:tc>
          <w:tcPr>
            <w:tcW w:w="3118" w:type="dxa"/>
            <w:tcBorders>
              <w:top w:val="single" w:sz="8" w:space="0" w:color="auto"/>
              <w:bottom w:val="single" w:sz="8" w:space="0" w:color="auto"/>
            </w:tcBorders>
            <w:shd w:val="clear" w:color="auto" w:fill="auto"/>
          </w:tcPr>
          <w:p>
            <w:pPr>
              <w:pStyle w:val="nTable"/>
              <w:spacing w:after="40"/>
              <w:rPr>
                <w:ins w:id="76" w:author="Master Repository Process" w:date="2021-09-12T10:41:00Z"/>
                <w:b/>
              </w:rPr>
            </w:pPr>
            <w:ins w:id="77" w:author="Master Repository Process" w:date="2021-09-12T10:41: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78" w:author="Master Repository Process" w:date="2021-09-12T10:41:00Z"/>
                <w:b/>
              </w:rPr>
            </w:pPr>
            <w:ins w:id="79" w:author="Master Repository Process" w:date="2021-09-12T10:41: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80" w:author="Master Repository Process" w:date="2021-09-12T10:41:00Z"/>
                <w:b/>
              </w:rPr>
            </w:pPr>
            <w:ins w:id="81" w:author="Master Repository Process" w:date="2021-09-12T10:41:00Z">
              <w:r>
                <w:rPr>
                  <w:b/>
                </w:rPr>
                <w:t>Commencement</w:t>
              </w:r>
            </w:ins>
          </w:p>
        </w:tc>
      </w:tr>
      <w:tr>
        <w:trPr>
          <w:ins w:id="82" w:author="Master Repository Process" w:date="2021-09-12T10:41:00Z"/>
        </w:trPr>
        <w:tc>
          <w:tcPr>
            <w:tcW w:w="3118" w:type="dxa"/>
            <w:tcBorders>
              <w:top w:val="single" w:sz="8" w:space="0" w:color="auto"/>
            </w:tcBorders>
          </w:tcPr>
          <w:p>
            <w:pPr>
              <w:pStyle w:val="nTable"/>
              <w:spacing w:after="40"/>
              <w:rPr>
                <w:ins w:id="83" w:author="Master Repository Process" w:date="2021-09-12T10:41:00Z"/>
              </w:rPr>
            </w:pPr>
            <w:ins w:id="84" w:author="Master Repository Process" w:date="2021-09-12T10:41:00Z">
              <w:r>
                <w:rPr>
                  <w:i/>
                </w:rPr>
                <w:t>Road Traffic (Written-Off Vehicle Register) Regulations 2003</w:t>
              </w:r>
            </w:ins>
          </w:p>
        </w:tc>
        <w:tc>
          <w:tcPr>
            <w:tcW w:w="1276" w:type="dxa"/>
            <w:tcBorders>
              <w:top w:val="single" w:sz="8" w:space="0" w:color="auto"/>
            </w:tcBorders>
          </w:tcPr>
          <w:p>
            <w:pPr>
              <w:pStyle w:val="nTable"/>
              <w:spacing w:after="40"/>
              <w:rPr>
                <w:ins w:id="85" w:author="Master Repository Process" w:date="2021-09-12T10:41:00Z"/>
              </w:rPr>
            </w:pPr>
            <w:ins w:id="86" w:author="Master Repository Process" w:date="2021-09-12T10:41:00Z">
              <w:r>
                <w:t>31 Oct 2003 p. 4595-610</w:t>
              </w:r>
            </w:ins>
          </w:p>
        </w:tc>
        <w:tc>
          <w:tcPr>
            <w:tcW w:w="2693" w:type="dxa"/>
            <w:tcBorders>
              <w:top w:val="single" w:sz="8" w:space="0" w:color="auto"/>
            </w:tcBorders>
          </w:tcPr>
          <w:p>
            <w:pPr>
              <w:pStyle w:val="nTable"/>
              <w:spacing w:after="40"/>
              <w:rPr>
                <w:ins w:id="87" w:author="Master Repository Process" w:date="2021-09-12T10:41:00Z"/>
              </w:rPr>
            </w:pPr>
            <w:ins w:id="88" w:author="Master Repository Process" w:date="2021-09-12T10:41:00Z">
              <w:r>
                <w:t>31 Oct 2003</w:t>
              </w:r>
            </w:ins>
          </w:p>
        </w:tc>
      </w:tr>
      <w:tr>
        <w:trPr>
          <w:ins w:id="89" w:author="Master Repository Process" w:date="2021-09-12T10:41:00Z"/>
        </w:trPr>
        <w:tc>
          <w:tcPr>
            <w:tcW w:w="3118" w:type="dxa"/>
          </w:tcPr>
          <w:p>
            <w:pPr>
              <w:pStyle w:val="nTable"/>
              <w:spacing w:after="40"/>
              <w:rPr>
                <w:ins w:id="90" w:author="Master Repository Process" w:date="2021-09-12T10:41:00Z"/>
                <w:i/>
              </w:rPr>
            </w:pPr>
            <w:ins w:id="91" w:author="Master Repository Process" w:date="2021-09-12T10:41:00Z">
              <w:r>
                <w:rPr>
                  <w:i/>
                </w:rPr>
                <w:t>Road Traffic (Written-Off Vehicle Register) Amendment Regulations 2005</w:t>
              </w:r>
            </w:ins>
          </w:p>
        </w:tc>
        <w:tc>
          <w:tcPr>
            <w:tcW w:w="1276" w:type="dxa"/>
          </w:tcPr>
          <w:p>
            <w:pPr>
              <w:pStyle w:val="nTable"/>
              <w:spacing w:after="40"/>
              <w:rPr>
                <w:ins w:id="92" w:author="Master Repository Process" w:date="2021-09-12T10:41:00Z"/>
              </w:rPr>
            </w:pPr>
            <w:ins w:id="93" w:author="Master Repository Process" w:date="2021-09-12T10:41:00Z">
              <w:r>
                <w:t>16 Sep 2005 p. 4324-5</w:t>
              </w:r>
            </w:ins>
          </w:p>
        </w:tc>
        <w:tc>
          <w:tcPr>
            <w:tcW w:w="2693" w:type="dxa"/>
          </w:tcPr>
          <w:p>
            <w:pPr>
              <w:pStyle w:val="nTable"/>
              <w:spacing w:after="40"/>
              <w:rPr>
                <w:ins w:id="94" w:author="Master Repository Process" w:date="2021-09-12T10:41:00Z"/>
              </w:rPr>
            </w:pPr>
            <w:ins w:id="95" w:author="Master Repository Process" w:date="2021-09-12T10:41:00Z">
              <w:r>
                <w:t>16 Sep 2005</w:t>
              </w:r>
            </w:ins>
          </w:p>
        </w:tc>
      </w:tr>
      <w:tr>
        <w:trPr>
          <w:ins w:id="96" w:author="Master Repository Process" w:date="2021-09-12T10:41:00Z"/>
        </w:trPr>
        <w:tc>
          <w:tcPr>
            <w:tcW w:w="3118" w:type="dxa"/>
          </w:tcPr>
          <w:p>
            <w:pPr>
              <w:pStyle w:val="nTable"/>
              <w:spacing w:after="40"/>
              <w:rPr>
                <w:ins w:id="97" w:author="Master Repository Process" w:date="2021-09-12T10:41:00Z"/>
                <w:i/>
              </w:rPr>
            </w:pPr>
            <w:ins w:id="98" w:author="Master Repository Process" w:date="2021-09-12T10:41:00Z">
              <w:r>
                <w:rPr>
                  <w:i/>
                </w:rPr>
                <w:t>Road Traffic (Written-Off Vehicle Register) Amendment Regulations 2007</w:t>
              </w:r>
            </w:ins>
          </w:p>
        </w:tc>
        <w:tc>
          <w:tcPr>
            <w:tcW w:w="1276" w:type="dxa"/>
          </w:tcPr>
          <w:p>
            <w:pPr>
              <w:pStyle w:val="nTable"/>
              <w:spacing w:after="40"/>
              <w:rPr>
                <w:ins w:id="99" w:author="Master Repository Process" w:date="2021-09-12T10:41:00Z"/>
              </w:rPr>
            </w:pPr>
            <w:ins w:id="100" w:author="Master Repository Process" w:date="2021-09-12T10:41:00Z">
              <w:r>
                <w:t>9 Mar 2007 p. 849</w:t>
              </w:r>
            </w:ins>
          </w:p>
        </w:tc>
        <w:tc>
          <w:tcPr>
            <w:tcW w:w="2693" w:type="dxa"/>
          </w:tcPr>
          <w:p>
            <w:pPr>
              <w:pStyle w:val="nTable"/>
              <w:spacing w:after="40"/>
              <w:rPr>
                <w:ins w:id="101" w:author="Master Repository Process" w:date="2021-09-12T10:41:00Z"/>
              </w:rPr>
            </w:pPr>
            <w:ins w:id="102" w:author="Master Repository Process" w:date="2021-09-12T10:41:00Z">
              <w:r>
                <w:t>9 Mar 2007</w:t>
              </w:r>
            </w:ins>
          </w:p>
        </w:tc>
      </w:tr>
      <w:tr>
        <w:trPr>
          <w:ins w:id="103" w:author="Master Repository Process" w:date="2021-09-12T10:41:00Z"/>
        </w:trPr>
        <w:tc>
          <w:tcPr>
            <w:tcW w:w="3118" w:type="dxa"/>
          </w:tcPr>
          <w:p>
            <w:pPr>
              <w:pStyle w:val="nTable"/>
              <w:spacing w:after="40"/>
              <w:rPr>
                <w:ins w:id="104" w:author="Master Repository Process" w:date="2021-09-12T10:41:00Z"/>
                <w:i/>
              </w:rPr>
            </w:pPr>
            <w:ins w:id="105" w:author="Master Repository Process" w:date="2021-09-12T10:41:00Z">
              <w:r>
                <w:rPr>
                  <w:i/>
                </w:rPr>
                <w:t>Road Traffic (Written-Off Vehicles Register) Amendment Regulations 2011</w:t>
              </w:r>
            </w:ins>
          </w:p>
        </w:tc>
        <w:tc>
          <w:tcPr>
            <w:tcW w:w="1276" w:type="dxa"/>
          </w:tcPr>
          <w:p>
            <w:pPr>
              <w:pStyle w:val="nTable"/>
              <w:spacing w:after="40"/>
              <w:rPr>
                <w:ins w:id="106" w:author="Master Repository Process" w:date="2021-09-12T10:41:00Z"/>
              </w:rPr>
            </w:pPr>
            <w:ins w:id="107" w:author="Master Repository Process" w:date="2021-09-12T10:41:00Z">
              <w:r>
                <w:t>5 Aug 2011 p. 3186</w:t>
              </w:r>
              <w:r>
                <w:noBreakHyphen/>
                <w:t>7</w:t>
              </w:r>
            </w:ins>
          </w:p>
        </w:tc>
        <w:tc>
          <w:tcPr>
            <w:tcW w:w="2693" w:type="dxa"/>
          </w:tcPr>
          <w:p>
            <w:pPr>
              <w:pStyle w:val="nTable"/>
              <w:spacing w:after="40"/>
              <w:rPr>
                <w:ins w:id="108" w:author="Master Repository Process" w:date="2021-09-12T10:41:00Z"/>
              </w:rPr>
            </w:pPr>
            <w:ins w:id="109" w:author="Master Repository Process" w:date="2021-09-12T10:41:00Z">
              <w:r>
                <w:rPr>
                  <w:snapToGrid w:val="0"/>
                  <w:spacing w:val="-2"/>
                </w:rPr>
                <w:t>r. 1 and 2: 5 Aug 2011 (see r. 2(a));</w:t>
              </w:r>
              <w:r>
                <w:rPr>
                  <w:snapToGrid w:val="0"/>
                  <w:spacing w:val="-2"/>
                </w:rPr>
                <w:br/>
                <w:t>Regulations other than r. 1 and 2: 6 Aug 2011 (see r. 2(b))</w:t>
              </w:r>
            </w:ins>
          </w:p>
        </w:tc>
      </w:tr>
      <w:tr>
        <w:trPr>
          <w:ins w:id="110" w:author="Master Repository Process" w:date="2021-09-12T10:41:00Z"/>
        </w:trPr>
        <w:tc>
          <w:tcPr>
            <w:tcW w:w="3118" w:type="dxa"/>
          </w:tcPr>
          <w:p>
            <w:pPr>
              <w:pStyle w:val="nTable"/>
              <w:spacing w:after="40"/>
              <w:rPr>
                <w:ins w:id="111" w:author="Master Repository Process" w:date="2021-09-12T10:41:00Z"/>
                <w:i/>
              </w:rPr>
            </w:pPr>
            <w:ins w:id="112" w:author="Master Repository Process" w:date="2021-09-12T10:41:00Z">
              <w:r>
                <w:rPr>
                  <w:i/>
                </w:rPr>
                <w:t>Road Traffic (Written Off Vehicle Register) Amendment Regulations 2012</w:t>
              </w:r>
            </w:ins>
          </w:p>
        </w:tc>
        <w:tc>
          <w:tcPr>
            <w:tcW w:w="1276" w:type="dxa"/>
          </w:tcPr>
          <w:p>
            <w:pPr>
              <w:pStyle w:val="nTable"/>
              <w:spacing w:after="40"/>
              <w:rPr>
                <w:ins w:id="113" w:author="Master Repository Process" w:date="2021-09-12T10:41:00Z"/>
              </w:rPr>
            </w:pPr>
            <w:ins w:id="114" w:author="Master Repository Process" w:date="2021-09-12T10:41:00Z">
              <w:r>
                <w:t>14 Dec 2012 p. 6205</w:t>
              </w:r>
              <w:r>
                <w:noBreakHyphen/>
                <w:t>7</w:t>
              </w:r>
            </w:ins>
          </w:p>
        </w:tc>
        <w:tc>
          <w:tcPr>
            <w:tcW w:w="2693" w:type="dxa"/>
          </w:tcPr>
          <w:p>
            <w:pPr>
              <w:pStyle w:val="nTable"/>
              <w:spacing w:after="40"/>
              <w:rPr>
                <w:ins w:id="115" w:author="Master Repository Process" w:date="2021-09-12T10:41:00Z"/>
                <w:snapToGrid w:val="0"/>
                <w:spacing w:val="-2"/>
              </w:rPr>
            </w:pPr>
            <w:ins w:id="116" w:author="Master Repository Process" w:date="2021-09-12T10:41:00Z">
              <w:r>
                <w:rPr>
                  <w:snapToGrid w:val="0"/>
                  <w:spacing w:val="-2"/>
                </w:rPr>
                <w:t>r. 1 and 2: 14 Dec 2012 (see r. 2(a));</w:t>
              </w:r>
              <w:r>
                <w:rPr>
                  <w:snapToGrid w:val="0"/>
                  <w:spacing w:val="-2"/>
                </w:rPr>
                <w:br/>
                <w:t>Regulations other than r. 1 and 2: 15 Dec 2012 (see r. 2(b))</w:t>
              </w:r>
            </w:ins>
          </w:p>
        </w:tc>
      </w:tr>
      <w:tr>
        <w:trPr>
          <w:ins w:id="117" w:author="Master Repository Process" w:date="2021-09-12T10:41:00Z"/>
        </w:trPr>
        <w:tc>
          <w:tcPr>
            <w:tcW w:w="7087" w:type="dxa"/>
            <w:gridSpan w:val="3"/>
            <w:shd w:val="clear" w:color="auto" w:fill="auto"/>
          </w:tcPr>
          <w:p>
            <w:pPr>
              <w:pStyle w:val="nTable"/>
              <w:spacing w:after="40"/>
              <w:rPr>
                <w:ins w:id="118" w:author="Master Repository Process" w:date="2021-09-12T10:41:00Z"/>
                <w:snapToGrid w:val="0"/>
                <w:spacing w:val="-2"/>
              </w:rPr>
            </w:pPr>
            <w:ins w:id="119" w:author="Master Repository Process" w:date="2021-09-12T10:41:00Z">
              <w:r>
                <w:rPr>
                  <w:b/>
                  <w:snapToGrid w:val="0"/>
                  <w:spacing w:val="-2"/>
                </w:rPr>
                <w:t xml:space="preserve">Reprint 1:  The </w:t>
              </w:r>
              <w:r>
                <w:rPr>
                  <w:b/>
                  <w:i/>
                </w:rPr>
                <w:t>Road Traffic (Written-Off Vehicle Register) Regulations 2003 </w:t>
              </w:r>
              <w:r>
                <w:rPr>
                  <w:b/>
                  <w:snapToGrid w:val="0"/>
                  <w:spacing w:val="-2"/>
                </w:rPr>
                <w:t>as at 21 Feb 2014</w:t>
              </w:r>
              <w:r>
                <w:rPr>
                  <w:snapToGrid w:val="0"/>
                  <w:spacing w:val="-2"/>
                </w:rPr>
                <w:t xml:space="preserve"> (includes amendments listed above) </w:t>
              </w:r>
            </w:ins>
          </w:p>
        </w:tc>
      </w:tr>
      <w:tr>
        <w:trPr>
          <w:ins w:id="120" w:author="Master Repository Process" w:date="2021-09-12T10:41:00Z"/>
        </w:trPr>
        <w:tc>
          <w:tcPr>
            <w:tcW w:w="7087" w:type="dxa"/>
            <w:gridSpan w:val="3"/>
            <w:tcBorders>
              <w:bottom w:val="single" w:sz="4" w:space="0" w:color="auto"/>
            </w:tcBorders>
            <w:shd w:val="clear" w:color="auto" w:fill="auto"/>
          </w:tcPr>
          <w:p>
            <w:pPr>
              <w:pStyle w:val="nTable"/>
              <w:spacing w:after="40"/>
              <w:rPr>
                <w:ins w:id="121" w:author="Master Repository Process" w:date="2021-09-12T10:41:00Z"/>
                <w:b/>
                <w:snapToGrid w:val="0"/>
                <w:spacing w:val="-2"/>
              </w:rPr>
            </w:pPr>
            <w:ins w:id="122" w:author="Master Repository Process" w:date="2021-09-12T10:41:00Z">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10135930"/>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 w:name="WAFER_20141224101701" w:val="RemoveTocBookmarks,RemoveUnusedBookmarks,RemoveLanguageTags,UsedStyles,ResetPageSize,UpdateArrangement"/>
    <w:docVar w:name="WAFER_20141224101701_GUID" w:val="a8ad8104-84e5-401e-9075-bb553efeb6d3"/>
    <w:docVar w:name="WAFER_20141229140146" w:val="RemoveTocBookmarks,RunningHeaders"/>
    <w:docVar w:name="WAFER_20141229140146_GUID" w:val="975cb31d-317a-499d-b25a-e6311a582957"/>
    <w:docVar w:name="WAFER_20150417105334" w:val="ResetPageSize,UpdateArrangement,UpdateNTable"/>
    <w:docVar w:name="WAFER_20150417105334_GUID" w:val="21e68a05-e0ba-4867-a55d-855497624360"/>
    <w:docVar w:name="WAFER_20151117141608" w:val="UpdateStyles,UsedStyles"/>
    <w:docVar w:name="WAFER_20151117141608_GUID" w:val="2b1d1e4b-02e7-4acd-8cba-e8beb4a48a3e"/>
    <w:docVar w:name="WAFER_20170310135930" w:val="RemoveTocBookmarks,RemoveUnusedBookmarks,RemoveLanguageTags,UsedStyles,ResetPageSize"/>
    <w:docVar w:name="WAFER_20170310135930_GUID" w:val="bd5ff7bf-e0a7-4aea-b37a-3b2dfe1297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88342A-5304-45CA-BB6C-DC488BE6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2BC0D-4FCA-4257-83CA-9640ED2E0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2789</Words>
  <Characters>13923</Characters>
  <Application>Microsoft Office Word</Application>
  <DocSecurity>0</DocSecurity>
  <Lines>409</Lines>
  <Paragraphs>228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01-b0-01 - 01-c0-03</dc:title>
  <dc:subject/>
  <dc:creator/>
  <cp:keywords/>
  <dc:description/>
  <cp:lastModifiedBy>Master Repository Process</cp:lastModifiedBy>
  <cp:revision>2</cp:revision>
  <cp:lastPrinted>2014-02-17T02:52:00Z</cp:lastPrinted>
  <dcterms:created xsi:type="dcterms:W3CDTF">2021-09-12T02:41:00Z</dcterms:created>
  <dcterms:modified xsi:type="dcterms:W3CDTF">2021-09-12T02:41:00Z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DocumentType">
    <vt:lpwstr>Reg</vt:lpwstr>
  </property>
  <property fmtid="{D5CDD505-2E9C-101B-9397-08002B2CF9AE}" pid="4" name="OwlsUID">
    <vt:i4>9835</vt:i4>
  </property>
  <property fmtid="{D5CDD505-2E9C-101B-9397-08002B2CF9AE}" pid="5" name="ReprintNo">
    <vt:lpwstr>1</vt:lpwstr>
  </property>
  <property fmtid="{D5CDD505-2E9C-101B-9397-08002B2CF9AE}" pid="6" name="ReprintedAsAt">
    <vt:filetime>2014-02-20T16:00:00Z</vt:filetime>
  </property>
  <property fmtid="{D5CDD505-2E9C-101B-9397-08002B2CF9AE}" pid="7" name="Status">
    <vt:lpwstr>NIF</vt:lpwstr>
  </property>
  <property fmtid="{D5CDD505-2E9C-101B-9397-08002B2CF9AE}" pid="8" name="CommencementDate">
    <vt:lpwstr>20150427</vt:lpwstr>
  </property>
  <property fmtid="{D5CDD505-2E9C-101B-9397-08002B2CF9AE}" pid="9" name="FromSuffix">
    <vt:lpwstr>01-b0-01</vt:lpwstr>
  </property>
  <property fmtid="{D5CDD505-2E9C-101B-9397-08002B2CF9AE}" pid="10" name="FromAsAtDate">
    <vt:lpwstr>23 Dec 2014</vt:lpwstr>
  </property>
  <property fmtid="{D5CDD505-2E9C-101B-9397-08002B2CF9AE}" pid="11" name="ToSuffix">
    <vt:lpwstr>01-c0-03</vt:lpwstr>
  </property>
  <property fmtid="{D5CDD505-2E9C-101B-9397-08002B2CF9AE}" pid="12" name="ToAsAtDate">
    <vt:lpwstr>27 Apr 2015</vt:lpwstr>
  </property>
</Properties>
</file>