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Young Offenders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Mar 2015</w:t>
      </w:r>
      <w:r>
        <w:fldChar w:fldCharType="end"/>
      </w:r>
      <w:r>
        <w:t xml:space="preserve">, </w:t>
      </w:r>
      <w:r>
        <w:fldChar w:fldCharType="begin"/>
      </w:r>
      <w:r>
        <w:instrText xml:space="preserve"> DocProperty FromSuffix </w:instrText>
      </w:r>
      <w:r>
        <w:fldChar w:fldCharType="separate"/>
      </w:r>
      <w:r>
        <w:t>05-h0-01</w:t>
      </w:r>
      <w:r>
        <w:fldChar w:fldCharType="end"/>
      </w:r>
      <w:r>
        <w:t>] and [</w:t>
      </w:r>
      <w:r>
        <w:fldChar w:fldCharType="begin"/>
      </w:r>
      <w:r>
        <w:instrText xml:space="preserve"> DocProperty ToAsAtDate</w:instrText>
      </w:r>
      <w:r>
        <w:fldChar w:fldCharType="separate"/>
      </w:r>
      <w:r>
        <w:t>27 Apr 2015</w:t>
      </w:r>
      <w:r>
        <w:fldChar w:fldCharType="end"/>
      </w:r>
      <w:r>
        <w:t xml:space="preserve">, </w:t>
      </w:r>
      <w:r>
        <w:fldChar w:fldCharType="begin"/>
      </w:r>
      <w:r>
        <w:instrText xml:space="preserve"> DocProperty ToSuffix</w:instrText>
      </w:r>
      <w:r>
        <w:fldChar w:fldCharType="separate"/>
      </w:r>
      <w:r>
        <w:t>05-i0-01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680" w:after="1000"/>
      </w:pPr>
      <w:r>
        <w:t xml:space="preserve">Young Offenders Act 1994 </w:t>
      </w:r>
    </w:p>
    <w:p>
      <w:pPr>
        <w:pStyle w:val="LongTitle"/>
        <w:rPr>
          <w:snapToGrid w:val="0"/>
        </w:rPr>
      </w:pPr>
      <w:r>
        <w:rPr>
          <w:snapToGrid w:val="0"/>
        </w:rPr>
        <w:t>A</w:t>
      </w:r>
      <w:bookmarkStart w:id="1" w:name="_GoBack"/>
      <w:bookmarkEnd w:id="1"/>
      <w:r>
        <w:rPr>
          <w:snapToGrid w:val="0"/>
        </w:rPr>
        <w:t>n Act relating to young persons who commit offences against the law, to amend certain Acts</w:t>
      </w:r>
      <w:r>
        <w:rPr>
          <w:b w:val="0"/>
          <w:snapToGrid w:val="0"/>
          <w:vertAlign w:val="superscript"/>
        </w:rPr>
        <w:t> 2</w:t>
      </w:r>
      <w:r>
        <w:rPr>
          <w:snapToGrid w:val="0"/>
        </w:rPr>
        <w:t xml:space="preserve">, and for related purposes. </w:t>
      </w:r>
    </w:p>
    <w:p>
      <w:pPr>
        <w:pStyle w:val="Heading2"/>
      </w:pPr>
      <w:bookmarkStart w:id="2" w:name="_Toc405453100"/>
      <w:bookmarkStart w:id="3" w:name="_Toc413336825"/>
      <w:bookmarkStart w:id="4" w:name="_Toc413337101"/>
      <w:bookmarkStart w:id="5" w:name="_Toc413336915"/>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r>
        <w:rPr>
          <w:rStyle w:val="CharPartText"/>
        </w:rPr>
        <w:t xml:space="preserve"> </w:t>
      </w:r>
    </w:p>
    <w:p>
      <w:pPr>
        <w:pStyle w:val="Heading5"/>
        <w:rPr>
          <w:snapToGrid w:val="0"/>
        </w:rPr>
      </w:pPr>
      <w:bookmarkStart w:id="6" w:name="_Toc405453101"/>
      <w:bookmarkStart w:id="7" w:name="_Toc413336916"/>
      <w:r>
        <w:rPr>
          <w:rStyle w:val="CharSectno"/>
        </w:rPr>
        <w:t>1</w:t>
      </w:r>
      <w:r>
        <w:rPr>
          <w:snapToGrid w:val="0"/>
        </w:rPr>
        <w:t>.</w:t>
      </w:r>
      <w:r>
        <w:rPr>
          <w:snapToGrid w:val="0"/>
        </w:rPr>
        <w:tab/>
        <w:t>Short title</w:t>
      </w:r>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 </w:t>
      </w:r>
      <w:r>
        <w:rPr>
          <w:snapToGrid w:val="0"/>
          <w:vertAlign w:val="superscript"/>
        </w:rPr>
        <w:t>1</w:t>
      </w:r>
      <w:r>
        <w:rPr>
          <w:snapToGrid w:val="0"/>
        </w:rPr>
        <w:t>.</w:t>
      </w:r>
    </w:p>
    <w:p>
      <w:pPr>
        <w:pStyle w:val="Heading5"/>
        <w:rPr>
          <w:snapToGrid w:val="0"/>
        </w:rPr>
      </w:pPr>
      <w:bookmarkStart w:id="8" w:name="_Toc405453102"/>
      <w:bookmarkStart w:id="9" w:name="_Toc413336917"/>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10" w:name="_Toc405453103"/>
      <w:bookmarkStart w:id="11" w:name="_Toc413336918"/>
      <w:r>
        <w:rPr>
          <w:rStyle w:val="CharSectno"/>
        </w:rPr>
        <w:t>3</w:t>
      </w:r>
      <w:r>
        <w:rPr>
          <w:snapToGrid w:val="0"/>
        </w:rPr>
        <w:t>.</w:t>
      </w:r>
      <w:r>
        <w:rPr>
          <w:snapToGrid w:val="0"/>
        </w:rPr>
        <w:tab/>
        <w:t>Terms used</w:t>
      </w:r>
      <w:bookmarkEnd w:id="10"/>
      <w:bookmarkEnd w:id="11"/>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Aboriginal community</w:t>
      </w:r>
      <w:r>
        <w:t xml:space="preserve"> has the meaning given to that term in section 3 of the </w:t>
      </w:r>
      <w:r>
        <w:rPr>
          <w:i/>
        </w:rPr>
        <w:t>Aboriginal Communities Act 1979</w:t>
      </w:r>
      <w:r>
        <w:t>;</w:t>
      </w:r>
    </w:p>
    <w:p>
      <w:pPr>
        <w:pStyle w:val="Defstart"/>
      </w:pPr>
      <w:r>
        <w:rPr>
          <w:b/>
        </w:rPr>
        <w:tab/>
      </w:r>
      <w:r>
        <w:rPr>
          <w:rStyle w:val="CharDefText"/>
        </w:rPr>
        <w:t>attendance conditions</w:t>
      </w:r>
      <w:r>
        <w:t xml:space="preserve"> means conditions referred to in section 73(1)(a);</w:t>
      </w:r>
    </w:p>
    <w:p>
      <w:pPr>
        <w:pStyle w:val="Defstart"/>
      </w:pPr>
      <w:r>
        <w:rPr>
          <w:b/>
        </w:rPr>
        <w:tab/>
      </w:r>
      <w:r>
        <w:rPr>
          <w:rStyle w:val="CharDefText"/>
        </w:rPr>
        <w:t>body sample</w:t>
      </w:r>
      <w:r>
        <w:t xml:space="preserve"> means a sample of a person’s blood, breath, or urine;</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community work conditions</w:t>
      </w:r>
      <w:r>
        <w:t xml:space="preserve"> means conditions referred to in section 73(1)(b);</w:t>
      </w:r>
    </w:p>
    <w:p>
      <w:pPr>
        <w:pStyle w:val="Defstart"/>
      </w:pPr>
      <w:r>
        <w:rPr>
          <w:b/>
        </w:rPr>
        <w:tab/>
      </w:r>
      <w:r>
        <w:rPr>
          <w:rStyle w:val="CharDefText"/>
        </w:rPr>
        <w:t>conditional release order</w:t>
      </w:r>
      <w:r>
        <w:t xml:space="preserve"> has the meaning given by section 101;</w:t>
      </w:r>
    </w:p>
    <w:p>
      <w:pPr>
        <w:pStyle w:val="Defstart"/>
      </w:pPr>
      <w:r>
        <w:rPr>
          <w:b/>
        </w:rPr>
        <w:tab/>
      </w:r>
      <w:r>
        <w:rPr>
          <w:rStyle w:val="CharDefText"/>
        </w:rPr>
        <w:t>court</w:t>
      </w:r>
      <w:r>
        <w:t xml:space="preserve"> means the Children’s Court or other court dealing with a young person for an offence;</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detainee</w:t>
      </w:r>
      <w:r>
        <w:t xml:space="preserve"> means a person who is detained in a detention centre;</w:t>
      </w:r>
    </w:p>
    <w:p>
      <w:pPr>
        <w:pStyle w:val="Defstart"/>
      </w:pPr>
      <w:r>
        <w:rPr>
          <w:b/>
        </w:rPr>
        <w:tab/>
      </w:r>
      <w:r>
        <w:rPr>
          <w:rStyle w:val="CharDefText"/>
        </w:rPr>
        <w:t>detention</w:t>
      </w:r>
      <w:r>
        <w:t>, when referring to a sentence of detention, means detention in a detention centre;</w:t>
      </w:r>
    </w:p>
    <w:p>
      <w:pPr>
        <w:pStyle w:val="Defstart"/>
      </w:pPr>
      <w:r>
        <w:rPr>
          <w:b/>
        </w:rPr>
        <w:tab/>
      </w:r>
      <w:r>
        <w:rPr>
          <w:rStyle w:val="CharDefText"/>
        </w:rPr>
        <w:t>detention centre</w:t>
      </w:r>
      <w:r>
        <w:t xml:space="preserve"> means a place declared to be a detention centre under section 13;</w:t>
      </w:r>
    </w:p>
    <w:p>
      <w:pPr>
        <w:pStyle w:val="Defstart"/>
      </w:pPr>
      <w:r>
        <w:rPr>
          <w:b/>
        </w:rPr>
        <w:lastRenderedPageBreak/>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r>
      <w:r>
        <w:rPr>
          <w:rStyle w:val="CharDefText"/>
        </w:rPr>
        <w:t>exempt responsible adult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 or</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 or</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r>
        <w:rPr>
          <w:rStyle w:val="CharDefText"/>
        </w:rPr>
        <w:t>general principles of juvenile justice</w:t>
      </w:r>
      <w:r>
        <w:t xml:space="preserve"> means the principles described in section 7;</w:t>
      </w:r>
    </w:p>
    <w:p>
      <w:pPr>
        <w:pStyle w:val="Defstart"/>
      </w:pPr>
      <w:r>
        <w:rPr>
          <w:b/>
        </w:rPr>
        <w:tab/>
      </w:r>
      <w:r>
        <w:rPr>
          <w:rStyle w:val="CharDefText"/>
        </w:rPr>
        <w:t>imprisonment</w:t>
      </w:r>
      <w:r>
        <w:t xml:space="preserve"> means imprisonment in a prison under the </w:t>
      </w:r>
      <w:r>
        <w:rPr>
          <w:i/>
        </w:rPr>
        <w:t>Prisons Act 1981</w:t>
      </w:r>
      <w:r>
        <w:t>;</w:t>
      </w:r>
    </w:p>
    <w:p>
      <w:pPr>
        <w:pStyle w:val="Defstart"/>
        <w:keepNext/>
      </w:pPr>
      <w:r>
        <w:rPr>
          <w:b/>
        </w:rPr>
        <w:tab/>
      </w:r>
      <w:r>
        <w:rPr>
          <w:rStyle w:val="CharDefText"/>
        </w:rPr>
        <w:t>independent young person</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r>
        <w:rPr>
          <w:rStyle w:val="CharDefText"/>
        </w:rPr>
        <w:t>intensive youth supervision order</w:t>
      </w:r>
      <w:r>
        <w:t xml:space="preserve"> means an order made under section 98;</w:t>
      </w:r>
    </w:p>
    <w:p>
      <w:pPr>
        <w:pStyle w:val="Defstart"/>
      </w:pPr>
      <w:r>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pPr>
        <w:pStyle w:val="Defstart"/>
      </w:pPr>
      <w:r>
        <w:rPr>
          <w:b/>
        </w:rPr>
        <w:tab/>
      </w:r>
      <w:r>
        <w:rPr>
          <w:rStyle w:val="CharDefText"/>
        </w:rPr>
        <w:t>notice to attend court</w:t>
      </w:r>
      <w:r>
        <w:t xml:space="preserve"> means a notice to attend court issued to a young person in accordance with section 43;</w:t>
      </w:r>
    </w:p>
    <w:p>
      <w:pPr>
        <w:pStyle w:val="Defstart"/>
      </w:pPr>
      <w:r>
        <w:lastRenderedPageBreak/>
        <w:tab/>
      </w:r>
      <w:r>
        <w:rPr>
          <w:rStyle w:val="CharDefText"/>
        </w:rPr>
        <w:t>registrar of the court</w:t>
      </w:r>
      <w:r>
        <w:t>, in relation to the Children’s Court, means the registrar of the Children’s Court at the place where the relevant matter was heard;</w:t>
      </w:r>
    </w:p>
    <w:p>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pPr>
        <w:pStyle w:val="Defstart"/>
        <w:outlineLvl w:val="0"/>
      </w:pPr>
      <w:r>
        <w:rPr>
          <w:b/>
        </w:rPr>
        <w:tab/>
      </w:r>
      <w:r>
        <w:rPr>
          <w:rStyle w:val="CharDefText"/>
        </w:rPr>
        <w:t>Schedule 1 offence</w:t>
      </w:r>
      <w:r>
        <w:t xml:space="preserve"> means — </w:t>
      </w:r>
    </w:p>
    <w:p>
      <w:pPr>
        <w:pStyle w:val="Defpara"/>
        <w:keepNext/>
      </w:pPr>
      <w:r>
        <w:tab/>
        <w:t>(a)</w:t>
      </w:r>
      <w:r>
        <w:tab/>
        <w:t>an offence that is committed against an enactment referred to in column 1 of Schedule 1 and is — </w:t>
      </w:r>
    </w:p>
    <w:p>
      <w:pPr>
        <w:pStyle w:val="Defsubpara"/>
        <w:rPr>
          <w:snapToGrid w:val="0"/>
        </w:rPr>
      </w:pPr>
      <w:r>
        <w:rPr>
          <w:snapToGrid w:val="0"/>
        </w:rPr>
        <w:tab/>
        <w:t>(i)</w:t>
      </w:r>
      <w:r>
        <w:rPr>
          <w:snapToGrid w:val="0"/>
        </w:rPr>
        <w:tab/>
        <w:t>described in column 2 of Schedule 1 opposite the reference; or</w:t>
      </w:r>
    </w:p>
    <w:p>
      <w:pPr>
        <w:pStyle w:val="Defsubpara"/>
        <w:rPr>
          <w:snapToGrid w:val="0"/>
        </w:rPr>
      </w:pPr>
      <w:r>
        <w:rPr>
          <w:snapToGrid w:val="0"/>
        </w:rPr>
        <w:tab/>
        <w:t>(ii)</w:t>
      </w:r>
      <w:r>
        <w:rPr>
          <w:snapToGrid w:val="0"/>
        </w:rP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outlineLvl w:val="0"/>
      </w:pPr>
      <w:r>
        <w:rPr>
          <w:b/>
        </w:rPr>
        <w:tab/>
      </w:r>
      <w:r>
        <w:rPr>
          <w:rStyle w:val="CharDefText"/>
        </w:rPr>
        <w:t>Schedule 2 offence</w:t>
      </w:r>
      <w:r>
        <w:t xml:space="preserve"> means — </w:t>
      </w:r>
    </w:p>
    <w:p>
      <w:pPr>
        <w:pStyle w:val="Defpara"/>
        <w:keepNext/>
      </w:pPr>
      <w:r>
        <w:tab/>
        <w:t>(a)</w:t>
      </w:r>
      <w:r>
        <w:tab/>
        <w:t>an offence that is committed against an enactment referred to in column 1 of Schedule 2 and is — </w:t>
      </w:r>
    </w:p>
    <w:p>
      <w:pPr>
        <w:pStyle w:val="Defsubpara"/>
        <w:rPr>
          <w:snapToGrid w:val="0"/>
        </w:rPr>
      </w:pPr>
      <w:r>
        <w:rPr>
          <w:snapToGrid w:val="0"/>
        </w:rPr>
        <w:tab/>
        <w:t>(i)</w:t>
      </w:r>
      <w:r>
        <w:rPr>
          <w:snapToGrid w:val="0"/>
        </w:rPr>
        <w:tab/>
        <w:t>described in column 2 of Schedule 2 opposite the reference; or</w:t>
      </w:r>
    </w:p>
    <w:p>
      <w:pPr>
        <w:pStyle w:val="Defsubpara"/>
        <w:rPr>
          <w:snapToGrid w:val="0"/>
        </w:rPr>
      </w:pPr>
      <w:r>
        <w:rPr>
          <w:snapToGrid w:val="0"/>
        </w:rPr>
        <w:tab/>
        <w:t>(ii)</w:t>
      </w:r>
      <w:r>
        <w:rPr>
          <w:snapToGrid w:val="0"/>
        </w:rP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special order</w:t>
      </w:r>
      <w:r>
        <w:t xml:space="preserve"> means an order made under section 126;</w:t>
      </w:r>
    </w:p>
    <w:p>
      <w:pPr>
        <w:pStyle w:val="Defstart"/>
      </w:pPr>
      <w:r>
        <w:rPr>
          <w:b/>
        </w:rPr>
        <w:tab/>
      </w:r>
      <w:r>
        <w:rPr>
          <w:rStyle w:val="CharDefText"/>
        </w:rPr>
        <w:t>superintendent</w:t>
      </w:r>
      <w:r>
        <w:t xml:space="preserve"> means the person in charge of a detention centre;</w:t>
      </w:r>
    </w:p>
    <w:p>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pPr>
        <w:pStyle w:val="Defstart"/>
      </w:pPr>
      <w:r>
        <w:rPr>
          <w:b/>
        </w:rPr>
        <w:tab/>
      </w:r>
      <w:r>
        <w:rPr>
          <w:rStyle w:val="CharDefText"/>
        </w:rPr>
        <w:t>supervision conditions</w:t>
      </w:r>
      <w:r>
        <w:t xml:space="preserve"> means conditions referred to in section 73(1)(c);</w:t>
      </w:r>
    </w:p>
    <w:p>
      <w:pPr>
        <w:pStyle w:val="Defstart"/>
      </w:pPr>
      <w:r>
        <w:rPr>
          <w:b/>
        </w:rPr>
        <w:tab/>
      </w:r>
      <w:r>
        <w:rPr>
          <w:rStyle w:val="CharDefText"/>
        </w:rPr>
        <w:t>work</w:t>
      </w:r>
      <w:r>
        <w:t xml:space="preserve"> includes any form of work, service or activity;</w:t>
      </w:r>
    </w:p>
    <w:p>
      <w:pPr>
        <w:pStyle w:val="Defstart"/>
        <w:keepNext/>
      </w:pPr>
      <w:r>
        <w:rPr>
          <w:b/>
        </w:rPr>
        <w:tab/>
      </w:r>
      <w:r>
        <w:rPr>
          <w:rStyle w:val="CharDefText"/>
        </w:rPr>
        <w:t>young person</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r>
        <w:rPr>
          <w:rStyle w:val="CharDefText"/>
        </w:rPr>
        <w:t>youth community based order</w:t>
      </w:r>
      <w:r>
        <w:t xml:space="preserve"> means an order made under section 73.</w:t>
      </w:r>
    </w:p>
    <w:p>
      <w:pPr>
        <w:pStyle w:val="Footnotesection"/>
      </w:pPr>
      <w:r>
        <w:tab/>
        <w:t xml:space="preserve">[Section 3 amended by No. 47 of 1999 s. 40; </w:t>
      </w:r>
      <w:r>
        <w:rPr>
          <w:spacing w:val="-6"/>
        </w:rPr>
        <w:t>No. 34 of 2004 s. </w:t>
      </w:r>
      <w:r>
        <w:t>251; No. 58 of 2004 s. 4; No. 59 of 2004 s. 141.]</w:t>
      </w:r>
    </w:p>
    <w:p>
      <w:pPr>
        <w:pStyle w:val="Footnotesection"/>
        <w:ind w:left="890" w:hanging="890"/>
      </w:pPr>
      <w:r>
        <w:tab/>
        <w:t>[Section 3. Modifications to be applied in order to give effect to Cross-border Justice Act 2008: section altered 1 Dec 2009. See endnote 1M.]</w:t>
      </w:r>
    </w:p>
    <w:p>
      <w:pPr>
        <w:pStyle w:val="Heading5"/>
        <w:rPr>
          <w:snapToGrid w:val="0"/>
        </w:rPr>
      </w:pPr>
      <w:bookmarkStart w:id="12" w:name="_Toc405453104"/>
      <w:bookmarkStart w:id="13" w:name="_Toc413336919"/>
      <w:r>
        <w:rPr>
          <w:rStyle w:val="CharSectno"/>
        </w:rPr>
        <w:t>4</w:t>
      </w:r>
      <w:r>
        <w:rPr>
          <w:snapToGrid w:val="0"/>
        </w:rPr>
        <w:t>.</w:t>
      </w:r>
      <w:r>
        <w:rPr>
          <w:snapToGrid w:val="0"/>
        </w:rPr>
        <w:tab/>
        <w:t>Young offenders reaching 18</w:t>
      </w:r>
      <w:bookmarkEnd w:id="12"/>
      <w:bookmarkEnd w:id="13"/>
      <w:r>
        <w:rPr>
          <w:snapToGrid w:val="0"/>
        </w:rPr>
        <w:t xml:space="preserve"> </w:t>
      </w:r>
    </w:p>
    <w:p>
      <w:pPr>
        <w:pStyle w:val="Subsection"/>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rPr>
          <w:snapToGrid w:val="0"/>
        </w:rPr>
      </w:pPr>
      <w:bookmarkStart w:id="14" w:name="_Toc405453105"/>
      <w:bookmarkStart w:id="15" w:name="_Toc413336920"/>
      <w:r>
        <w:rPr>
          <w:rStyle w:val="CharSectno"/>
        </w:rPr>
        <w:t>5</w:t>
      </w:r>
      <w:r>
        <w:rPr>
          <w:snapToGrid w:val="0"/>
        </w:rPr>
        <w:t>.</w:t>
      </w:r>
      <w:r>
        <w:rPr>
          <w:snapToGrid w:val="0"/>
        </w:rPr>
        <w:tab/>
      </w:r>
      <w:r>
        <w:rPr>
          <w:i/>
        </w:rPr>
        <w:t>Criminal Procedure Act 2004</w:t>
      </w:r>
      <w:r>
        <w:t xml:space="preserve"> </w:t>
      </w:r>
      <w:r>
        <w:rPr>
          <w:snapToGrid w:val="0"/>
        </w:rPr>
        <w:t>overridden</w:t>
      </w:r>
      <w:bookmarkEnd w:id="14"/>
      <w:bookmarkEnd w:id="15"/>
      <w:r>
        <w:rPr>
          <w:snapToGrid w:val="0"/>
        </w:rPr>
        <w:t xml:space="preserve"> </w:t>
      </w:r>
    </w:p>
    <w:p>
      <w:pPr>
        <w:pStyle w:val="Subsection"/>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pPr>
      <w:r>
        <w:tab/>
        <w:t>[Section 5 amended by No. 59 of 2004 s. 141; No. 84 of 2004 s. 77.]</w:t>
      </w:r>
    </w:p>
    <w:p>
      <w:pPr>
        <w:pStyle w:val="Heading5"/>
      </w:pPr>
      <w:bookmarkStart w:id="16" w:name="_Toc405453106"/>
      <w:bookmarkStart w:id="17" w:name="_Toc413336921"/>
      <w:r>
        <w:rPr>
          <w:rStyle w:val="CharSectno"/>
        </w:rPr>
        <w:t>6A</w:t>
      </w:r>
      <w:r>
        <w:t>.</w:t>
      </w:r>
      <w:r>
        <w:tab/>
      </w:r>
      <w:r>
        <w:rPr>
          <w:i/>
        </w:rPr>
        <w:t>Courts and Tribunals (Electronic Processes Facilitation) Act 2013</w:t>
      </w:r>
      <w:r>
        <w:t xml:space="preserve"> Part 2 applies</w:t>
      </w:r>
      <w:bookmarkEnd w:id="16"/>
      <w:bookmarkEnd w:id="17"/>
    </w:p>
    <w:p>
      <w:pPr>
        <w:pStyle w:val="Subsection"/>
        <w:keepNext/>
      </w:pPr>
      <w:r>
        <w:tab/>
      </w:r>
      <w:r>
        <w:tab/>
        <w:t xml:space="preserve">The </w:t>
      </w:r>
      <w:r>
        <w:rPr>
          <w:i/>
        </w:rPr>
        <w:t>Courts and Tribunals (Electronic Processes Facilitation) Act 2013</w:t>
      </w:r>
      <w:r>
        <w:t xml:space="preserve"> Part 2 applies to this Act.</w:t>
      </w:r>
    </w:p>
    <w:p>
      <w:pPr>
        <w:pStyle w:val="Footnotesection"/>
      </w:pPr>
      <w:r>
        <w:tab/>
        <w:t>[Section 6A inserted by No. 20 of 2013 s. 137.]</w:t>
      </w:r>
    </w:p>
    <w:p>
      <w:pPr>
        <w:pStyle w:val="Heading2"/>
      </w:pPr>
      <w:bookmarkStart w:id="18" w:name="_Toc405453107"/>
      <w:bookmarkStart w:id="19" w:name="_Toc413336832"/>
      <w:bookmarkStart w:id="20" w:name="_Toc413337108"/>
      <w:bookmarkStart w:id="21" w:name="_Toc413336922"/>
      <w:r>
        <w:rPr>
          <w:rStyle w:val="CharPartNo"/>
        </w:rPr>
        <w:t>Part 2</w:t>
      </w:r>
      <w:r>
        <w:rPr>
          <w:rStyle w:val="CharDivNo"/>
        </w:rPr>
        <w:t> </w:t>
      </w:r>
      <w:r>
        <w:t>—</w:t>
      </w:r>
      <w:r>
        <w:rPr>
          <w:rStyle w:val="CharDivText"/>
        </w:rPr>
        <w:t> </w:t>
      </w:r>
      <w:r>
        <w:rPr>
          <w:rStyle w:val="CharPartText"/>
        </w:rPr>
        <w:t>Objectives and principles</w:t>
      </w:r>
      <w:bookmarkEnd w:id="18"/>
      <w:bookmarkEnd w:id="19"/>
      <w:bookmarkEnd w:id="20"/>
      <w:bookmarkEnd w:id="21"/>
      <w:r>
        <w:rPr>
          <w:rStyle w:val="CharPartText"/>
        </w:rPr>
        <w:t xml:space="preserve"> </w:t>
      </w:r>
    </w:p>
    <w:p>
      <w:pPr>
        <w:pStyle w:val="Heading5"/>
        <w:rPr>
          <w:snapToGrid w:val="0"/>
        </w:rPr>
      </w:pPr>
      <w:bookmarkStart w:id="22" w:name="_Toc405453108"/>
      <w:bookmarkStart w:id="23" w:name="_Toc413336923"/>
      <w:r>
        <w:rPr>
          <w:rStyle w:val="CharSectno"/>
        </w:rPr>
        <w:t>6</w:t>
      </w:r>
      <w:r>
        <w:rPr>
          <w:snapToGrid w:val="0"/>
        </w:rPr>
        <w:t>.</w:t>
      </w:r>
      <w:r>
        <w:rPr>
          <w:snapToGrid w:val="0"/>
        </w:rPr>
        <w:tab/>
        <w:t>Objectives</w:t>
      </w:r>
      <w:bookmarkEnd w:id="22"/>
      <w:bookmarkEnd w:id="23"/>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 and</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 and</w:t>
      </w:r>
    </w:p>
    <w:p>
      <w:pPr>
        <w:pStyle w:val="Indenta"/>
        <w:rPr>
          <w:snapToGrid w:val="0"/>
        </w:rPr>
      </w:pPr>
      <w:r>
        <w:rPr>
          <w:snapToGrid w:val="0"/>
        </w:rPr>
        <w:tab/>
        <w:t>(c)</w:t>
      </w:r>
      <w:r>
        <w:rPr>
          <w:snapToGrid w:val="0"/>
        </w:rPr>
        <w:tab/>
        <w:t>to ensure that the legal rights of young persons involved with the criminal justice system are observed; and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 and</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24" w:name="_Toc405453109"/>
      <w:bookmarkStart w:id="25" w:name="_Toc413336925"/>
      <w:r>
        <w:rPr>
          <w:rStyle w:val="CharSectno"/>
        </w:rPr>
        <w:t>7</w:t>
      </w:r>
      <w:r>
        <w:rPr>
          <w:snapToGrid w:val="0"/>
        </w:rPr>
        <w:t>.</w:t>
      </w:r>
      <w:r>
        <w:rPr>
          <w:snapToGrid w:val="0"/>
        </w:rPr>
        <w:tab/>
        <w:t>General principles of juvenile justice</w:t>
      </w:r>
      <w:bookmarkEnd w:id="24"/>
      <w:bookmarkEnd w:id="25"/>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 and</w:t>
      </w:r>
    </w:p>
    <w:p>
      <w:pPr>
        <w:pStyle w:val="Indenta"/>
        <w:keepLines/>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 and</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 and</w:t>
      </w:r>
    </w:p>
    <w:p>
      <w:pPr>
        <w:pStyle w:val="Indenta"/>
        <w:rPr>
          <w:snapToGrid w:val="0"/>
        </w:rPr>
      </w:pPr>
      <w:r>
        <w:rPr>
          <w:snapToGrid w:val="0"/>
        </w:rPr>
        <w:tab/>
        <w:t>(d)</w:t>
      </w:r>
      <w:r>
        <w:rPr>
          <w:snapToGrid w:val="0"/>
        </w:rPr>
        <w:tab/>
        <w:t>the community must be protected from illegal behaviour; and</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 and</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 and</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 and</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 and</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 and</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 and</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 and</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 and</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by No. 82 of 1994 s. 20; No. 78 of 1995 s. 145; No. 29 of 1998 s. 20.] </w:t>
      </w:r>
    </w:p>
    <w:p>
      <w:pPr>
        <w:pStyle w:val="Heading5"/>
        <w:rPr>
          <w:snapToGrid w:val="0"/>
        </w:rPr>
      </w:pPr>
      <w:bookmarkStart w:id="26" w:name="_Toc405453110"/>
      <w:bookmarkStart w:id="27" w:name="_Toc413336927"/>
      <w:r>
        <w:rPr>
          <w:rStyle w:val="CharSectno"/>
        </w:rPr>
        <w:t>8</w:t>
      </w:r>
      <w:r>
        <w:rPr>
          <w:snapToGrid w:val="0"/>
        </w:rPr>
        <w:t>.</w:t>
      </w:r>
      <w:r>
        <w:rPr>
          <w:snapToGrid w:val="0"/>
        </w:rPr>
        <w:tab/>
        <w:t>Responsible adults, role of</w:t>
      </w:r>
      <w:bookmarkEnd w:id="26"/>
      <w:bookmarkEnd w:id="27"/>
      <w:r>
        <w:rPr>
          <w:snapToGrid w:val="0"/>
        </w:rPr>
        <w:t xml:space="preserve"> </w:t>
      </w:r>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 and</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 and</w:t>
      </w:r>
    </w:p>
    <w:p>
      <w:pPr>
        <w:pStyle w:val="Indenta"/>
        <w:keepLines/>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28" w:name="_Toc405453111"/>
      <w:bookmarkStart w:id="29" w:name="_Toc413336836"/>
      <w:bookmarkStart w:id="30" w:name="_Toc413337112"/>
      <w:bookmarkStart w:id="31" w:name="_Toc413336928"/>
      <w:r>
        <w:rPr>
          <w:rStyle w:val="CharPartNo"/>
        </w:rPr>
        <w:t>Part 3</w:t>
      </w:r>
      <w:r>
        <w:t> — </w:t>
      </w:r>
      <w:r>
        <w:rPr>
          <w:rStyle w:val="CharPartText"/>
        </w:rPr>
        <w:t>Administration</w:t>
      </w:r>
      <w:bookmarkEnd w:id="28"/>
      <w:bookmarkEnd w:id="29"/>
      <w:bookmarkEnd w:id="30"/>
      <w:bookmarkEnd w:id="31"/>
      <w:r>
        <w:rPr>
          <w:rStyle w:val="CharPartText"/>
        </w:rPr>
        <w:t xml:space="preserve"> </w:t>
      </w:r>
    </w:p>
    <w:p>
      <w:pPr>
        <w:pStyle w:val="Heading3"/>
      </w:pPr>
      <w:bookmarkStart w:id="32" w:name="_Toc405453112"/>
      <w:bookmarkStart w:id="33" w:name="_Toc413336837"/>
      <w:bookmarkStart w:id="34" w:name="_Toc413337113"/>
      <w:bookmarkStart w:id="35" w:name="_Toc413336930"/>
      <w:r>
        <w:rPr>
          <w:rStyle w:val="CharDivNo"/>
        </w:rPr>
        <w:t>Division 1</w:t>
      </w:r>
      <w:r>
        <w:t> — </w:t>
      </w:r>
      <w:r>
        <w:rPr>
          <w:rStyle w:val="CharDivText"/>
        </w:rPr>
        <w:t>General</w:t>
      </w:r>
      <w:bookmarkEnd w:id="32"/>
      <w:bookmarkEnd w:id="33"/>
      <w:bookmarkEnd w:id="34"/>
      <w:bookmarkEnd w:id="35"/>
    </w:p>
    <w:p>
      <w:pPr>
        <w:pStyle w:val="Footnoteheading"/>
        <w:tabs>
          <w:tab w:val="left" w:pos="851"/>
        </w:tabs>
      </w:pPr>
      <w:r>
        <w:tab/>
        <w:t>[Heading inserted by No. 58 of 2004 s. 5.]</w:t>
      </w:r>
    </w:p>
    <w:p>
      <w:pPr>
        <w:pStyle w:val="Heading5"/>
        <w:rPr>
          <w:snapToGrid w:val="0"/>
        </w:rPr>
      </w:pPr>
      <w:bookmarkStart w:id="36" w:name="_Toc405453113"/>
      <w:bookmarkStart w:id="37" w:name="_Toc413336931"/>
      <w:r>
        <w:rPr>
          <w:rStyle w:val="CharSectno"/>
        </w:rPr>
        <w:t>9</w:t>
      </w:r>
      <w:r>
        <w:rPr>
          <w:snapToGrid w:val="0"/>
        </w:rPr>
        <w:t>.</w:t>
      </w:r>
      <w:r>
        <w:rPr>
          <w:snapToGrid w:val="0"/>
        </w:rPr>
        <w:tab/>
        <w:t>Chief executive officer, functions of</w:t>
      </w:r>
      <w:bookmarkEnd w:id="36"/>
      <w:bookmarkEnd w:id="37"/>
      <w:r>
        <w:rPr>
          <w:snapToGrid w:val="0"/>
        </w:rPr>
        <w:t xml:space="preserve"> </w:t>
      </w:r>
    </w:p>
    <w:p>
      <w:pPr>
        <w:pStyle w:val="Subsection"/>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rPr>
          <w:snapToGrid w:val="0"/>
        </w:rPr>
      </w:pPr>
      <w:bookmarkStart w:id="38" w:name="_Toc405453114"/>
      <w:bookmarkStart w:id="39" w:name="_Toc413336933"/>
      <w:r>
        <w:rPr>
          <w:rStyle w:val="CharSectno"/>
        </w:rPr>
        <w:t>10</w:t>
      </w:r>
      <w:r>
        <w:rPr>
          <w:snapToGrid w:val="0"/>
        </w:rPr>
        <w:t>.</w:t>
      </w:r>
      <w:r>
        <w:rPr>
          <w:snapToGrid w:val="0"/>
        </w:rPr>
        <w:tab/>
        <w:t>Chief executive officer may delegate</w:t>
      </w:r>
      <w:bookmarkEnd w:id="38"/>
      <w:bookmarkEnd w:id="39"/>
      <w:r>
        <w:rPr>
          <w:snapToGrid w:val="0"/>
        </w:rPr>
        <w:t xml:space="preserve"> </w:t>
      </w:r>
    </w:p>
    <w:p>
      <w:pPr>
        <w:pStyle w:val="Subsection"/>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Footnotesection"/>
      </w:pPr>
      <w:r>
        <w:tab/>
        <w:t>[Section 10. Modifications to be applied in order to give effect to Cross-border Justice Act 2008: section altered 1 Dec 2009. See endnote 1M.]</w:t>
      </w:r>
    </w:p>
    <w:p>
      <w:pPr>
        <w:pStyle w:val="Heading5"/>
        <w:rPr>
          <w:snapToGrid w:val="0"/>
        </w:rPr>
      </w:pPr>
      <w:bookmarkStart w:id="40" w:name="_Toc405453115"/>
      <w:bookmarkStart w:id="41" w:name="_Toc413336934"/>
      <w:r>
        <w:rPr>
          <w:rStyle w:val="CharSectno"/>
        </w:rPr>
        <w:t>11</w:t>
      </w:r>
      <w:r>
        <w:rPr>
          <w:snapToGrid w:val="0"/>
        </w:rPr>
        <w:t>.</w:t>
      </w:r>
      <w:r>
        <w:rPr>
          <w:snapToGrid w:val="0"/>
        </w:rPr>
        <w:tab/>
        <w:t>Officers and employees, appointment of</w:t>
      </w:r>
      <w:bookmarkEnd w:id="40"/>
      <w:bookmarkEnd w:id="41"/>
      <w:r>
        <w:rPr>
          <w:snapToGrid w:val="0"/>
        </w:rPr>
        <w:t xml:space="preserve"> </w:t>
      </w:r>
    </w:p>
    <w:p>
      <w:pPr>
        <w:pStyle w:val="Subsection"/>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 (</w:t>
      </w:r>
      <w:r>
        <w:rPr>
          <w:rStyle w:val="CharDefText"/>
        </w:rPr>
        <w:t>group workers</w:t>
      </w:r>
      <w:r>
        <w:t>);</w:t>
      </w:r>
      <w:r>
        <w:rPr>
          <w:b/>
        </w:rPr>
        <w:t xml:space="preserve"> </w:t>
      </w:r>
      <w:r>
        <w:t>and</w:t>
      </w:r>
    </w:p>
    <w:p>
      <w:pPr>
        <w:pStyle w:val="Indenta"/>
      </w:pPr>
      <w:r>
        <w:tab/>
        <w:t>(b)</w:t>
      </w:r>
      <w:r>
        <w:tab/>
        <w:t xml:space="preserve">officers and employees of particular classes as are prescribed by the regulations, </w:t>
      </w:r>
    </w:p>
    <w:p>
      <w:pPr>
        <w:pStyle w:val="Subsection"/>
      </w:pPr>
      <w:r>
        <w:tab/>
      </w:r>
      <w:r>
        <w:tab/>
        <w:t>and may terminate the appointment of those persons in the prescribed circumstances.</w:t>
      </w:r>
    </w:p>
    <w:p>
      <w:pPr>
        <w:pStyle w:val="Subsection"/>
      </w:pPr>
      <w:r>
        <w:tab/>
        <w:t>(1b)</w:t>
      </w:r>
      <w:r>
        <w:tab/>
        <w:t xml:space="preserve">The custodial officers appointed under subsection (1a)(a) — </w:t>
      </w:r>
    </w:p>
    <w:p>
      <w:pPr>
        <w:pStyle w:val="Indenta"/>
        <w:spacing w:before="100"/>
      </w:pPr>
      <w:r>
        <w:tab/>
        <w:t>(a)</w:t>
      </w:r>
      <w:r>
        <w:tab/>
        <w:t>may be subject to employment conditions set out in an award or industrial agreement; and</w:t>
      </w:r>
    </w:p>
    <w:p>
      <w:pPr>
        <w:pStyle w:val="Indenta"/>
        <w:spacing w:before="100"/>
      </w:pPr>
      <w:r>
        <w:tab/>
        <w:t>(b)</w:t>
      </w:r>
      <w:r>
        <w:tab/>
        <w:t>in prescribed circumstances, may be subject to such disciplinary procedures as are set out in the regulations.</w:t>
      </w:r>
    </w:p>
    <w:p>
      <w:pPr>
        <w:pStyle w:val="Subsection"/>
        <w:spacing w:before="180"/>
      </w:pPr>
      <w:r>
        <w:tab/>
        <w:t>(2)</w:t>
      </w:r>
      <w:r>
        <w:tab/>
        <w:t xml:space="preserve">The officers and employees appointed under subsection (1a)(b) — </w:t>
      </w:r>
    </w:p>
    <w:p>
      <w:pPr>
        <w:pStyle w:val="Indenta"/>
        <w:spacing w:before="100"/>
      </w:pPr>
      <w:r>
        <w:tab/>
        <w:t>(a)</w:t>
      </w:r>
      <w:r>
        <w:tab/>
        <w:t>are to have such functions as are given to them under the regulations; and</w:t>
      </w:r>
    </w:p>
    <w:p>
      <w:pPr>
        <w:pStyle w:val="Indenta"/>
        <w:spacing w:before="100"/>
      </w:pPr>
      <w:r>
        <w:tab/>
        <w:t>(b)</w:t>
      </w:r>
      <w:r>
        <w:tab/>
        <w:t>may be subject to employment conditions set out in an award or industrial agreement; and</w:t>
      </w:r>
    </w:p>
    <w:p>
      <w:pPr>
        <w:pStyle w:val="Indenta"/>
        <w:spacing w:before="100"/>
      </w:pPr>
      <w:r>
        <w:tab/>
        <w:t>(c)</w:t>
      </w:r>
      <w:r>
        <w:tab/>
        <w:t>in prescribed circumstances, may be subject to such disciplinary procedures as are set out in the regulations.</w:t>
      </w:r>
    </w:p>
    <w:p>
      <w:pPr>
        <w:pStyle w:val="Subsection"/>
        <w:spacing w:before="180"/>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ind w:left="890" w:hanging="890"/>
      </w:pPr>
      <w:r>
        <w:tab/>
        <w:t>[Section 11 amended by No. 58 of 2004 s. 6(1) and (2).]</w:t>
      </w:r>
    </w:p>
    <w:p>
      <w:pPr>
        <w:pStyle w:val="Ednotesection"/>
        <w:spacing w:before="240"/>
        <w:ind w:left="890" w:hanging="890"/>
      </w:pPr>
      <w:r>
        <w:t>[</w:t>
      </w:r>
      <w:r>
        <w:rPr>
          <w:b/>
          <w:bCs/>
        </w:rPr>
        <w:t>11AA.</w:t>
      </w:r>
      <w:r>
        <w:rPr>
          <w:i w:val="0"/>
          <w:iCs/>
          <w:vertAlign w:val="superscript"/>
        </w:rPr>
        <w:t xml:space="preserve"> 1M  </w:t>
      </w:r>
      <w:r>
        <w:t>Modifications to be applied in order to give effect to Cross</w:t>
      </w:r>
      <w:r>
        <w:noBreakHyphen/>
        <w:t>border Justice Act 2008: section inserted 1 Nov 2009. See endnote 1M.]</w:t>
      </w:r>
    </w:p>
    <w:p>
      <w:pPr>
        <w:pStyle w:val="Heading5"/>
        <w:spacing w:before="240"/>
      </w:pPr>
      <w:bookmarkStart w:id="42" w:name="_Toc405453116"/>
      <w:bookmarkStart w:id="43" w:name="_Toc413336936"/>
      <w:r>
        <w:rPr>
          <w:rStyle w:val="CharSectno"/>
        </w:rPr>
        <w:t>11A</w:t>
      </w:r>
      <w:r>
        <w:t>.</w:t>
      </w:r>
      <w:r>
        <w:tab/>
        <w:t>Duties of all officers and employees</w:t>
      </w:r>
      <w:bookmarkEnd w:id="42"/>
      <w:bookmarkEnd w:id="43"/>
      <w:r>
        <w:t xml:space="preserve"> </w:t>
      </w:r>
    </w:p>
    <w:p>
      <w:pPr>
        <w:pStyle w:val="Subsection"/>
        <w:spacing w:before="180"/>
      </w:pPr>
      <w:r>
        <w:tab/>
      </w:r>
      <w:r>
        <w:tab/>
        <w:t xml:space="preserve">Every officer, person or employee appointed under section 11 — </w:t>
      </w:r>
    </w:p>
    <w:p>
      <w:pPr>
        <w:pStyle w:val="Indenta"/>
        <w:spacing w:before="100"/>
      </w:pPr>
      <w:r>
        <w:tab/>
        <w:t>(a)</w:t>
      </w:r>
      <w:r>
        <w:tab/>
        <w:t>must observe all rules made under this Act; and</w:t>
      </w:r>
    </w:p>
    <w:p>
      <w:pPr>
        <w:pStyle w:val="Indenta"/>
        <w:spacing w:before="100"/>
      </w:pPr>
      <w:r>
        <w:tab/>
        <w:t>(b)</w:t>
      </w:r>
      <w:r>
        <w:tab/>
        <w:t>must make such returns and reports to the chief executive officer as the chief executive officer may from time to time direct; and</w:t>
      </w:r>
    </w:p>
    <w:p>
      <w:pPr>
        <w:pStyle w:val="Indenta"/>
        <w:keepNext/>
        <w:spacing w:before="100"/>
      </w:pPr>
      <w:r>
        <w:tab/>
        <w:t>(c)</w:t>
      </w:r>
      <w:r>
        <w:tab/>
        <w:t>must make any records relating to any young offender available, upon request of the chief executive officer, to the chief executive officer or a delegate of the chief executive officer.</w:t>
      </w:r>
    </w:p>
    <w:p>
      <w:pPr>
        <w:pStyle w:val="Footnotesection"/>
        <w:ind w:left="890" w:hanging="890"/>
      </w:pPr>
      <w:r>
        <w:tab/>
        <w:t>[Section 11A inserted by No. 58 of 2004 s. 7.]</w:t>
      </w:r>
    </w:p>
    <w:p>
      <w:pPr>
        <w:pStyle w:val="Footnotesection"/>
        <w:ind w:left="890" w:hanging="890"/>
      </w:pPr>
      <w:r>
        <w:tab/>
        <w:t>[Section 11A. Modifications to be applied in order to give effect to Cross-border Justice Act 2008: section altered 1 Dec 2009. See endnote 1M.]</w:t>
      </w:r>
    </w:p>
    <w:p>
      <w:pPr>
        <w:pStyle w:val="Heading5"/>
      </w:pPr>
      <w:bookmarkStart w:id="44" w:name="_Toc405453117"/>
      <w:bookmarkStart w:id="45" w:name="_Toc413336937"/>
      <w:r>
        <w:rPr>
          <w:rStyle w:val="CharSectno"/>
        </w:rPr>
        <w:t>11B</w:t>
      </w:r>
      <w:r>
        <w:t>.</w:t>
      </w:r>
      <w:r>
        <w:tab/>
        <w:t>Powers and duties of custodial staff</w:t>
      </w:r>
      <w:bookmarkEnd w:id="44"/>
      <w:bookmarkEnd w:id="45"/>
      <w:r>
        <w:t xml:space="preserve"> </w:t>
      </w:r>
    </w:p>
    <w:p>
      <w:pPr>
        <w:pStyle w:val="Subsection"/>
      </w:pPr>
      <w:r>
        <w:tab/>
      </w:r>
      <w:r>
        <w:tab/>
        <w:t xml:space="preserve">A person who is appointed under section 11(1) or (1a) as a custodial officer — </w:t>
      </w:r>
    </w:p>
    <w:p>
      <w:pPr>
        <w:pStyle w:val="Indenta"/>
      </w:pPr>
      <w:r>
        <w:tab/>
        <w:t>(a)</w:t>
      </w:r>
      <w:r>
        <w:tab/>
        <w:t>has a responsibility to maintain the security of the facility or detention centre where he or she is employed; and</w:t>
      </w:r>
    </w:p>
    <w:p>
      <w:pPr>
        <w:pStyle w:val="Indenta"/>
      </w:pPr>
      <w:r>
        <w:tab/>
        <w:t>(b)</w:t>
      </w:r>
      <w:r>
        <w:tab/>
        <w:t>is liable to answer for the escape of a detainee placed in his or her charge or for whom when on duty he or she has a responsibility; and</w:t>
      </w:r>
    </w:p>
    <w:p>
      <w:pPr>
        <w:pStyle w:val="Indenta"/>
      </w:pPr>
      <w:r>
        <w:tab/>
        <w:t>(c)</w:t>
      </w:r>
      <w:r>
        <w:tab/>
        <w:t>must obey all lawful orders given to him or her by the officer under whose control or supervision he or she is placed; and</w:t>
      </w:r>
    </w:p>
    <w:p>
      <w:pPr>
        <w:pStyle w:val="Indenta"/>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by No. 58 of 2004 s. 7.]</w:t>
      </w:r>
    </w:p>
    <w:p>
      <w:pPr>
        <w:pStyle w:val="Heading5"/>
      </w:pPr>
      <w:bookmarkStart w:id="46" w:name="_Toc405453118"/>
      <w:bookmarkStart w:id="47" w:name="_Toc413336938"/>
      <w:r>
        <w:rPr>
          <w:rStyle w:val="CharSectno"/>
        </w:rPr>
        <w:t>11C</w:t>
      </w:r>
      <w:r>
        <w:t>.</w:t>
      </w:r>
      <w:r>
        <w:tab/>
        <w:t>Use of force</w:t>
      </w:r>
      <w:bookmarkEnd w:id="46"/>
      <w:bookmarkEnd w:id="47"/>
    </w:p>
    <w:p>
      <w:pPr>
        <w:pStyle w:val="Subsection"/>
      </w:pPr>
      <w:r>
        <w:tab/>
        <w:t>(1)</w:t>
      </w:r>
      <w:r>
        <w:tab/>
        <w:t>A person who is appointed under section 11(1) or (1a) as a custodial officer is authorised to use no more than prescribed force in the management, control and security of a facility or detention centre.</w:t>
      </w:r>
    </w:p>
    <w:p>
      <w:pPr>
        <w:pStyle w:val="Subsection"/>
      </w:pPr>
      <w:r>
        <w:tab/>
        <w:t>(2)</w:t>
      </w:r>
      <w:r>
        <w:tab/>
        <w:t>A person who is appointed under section 11(1) or (1a) as a custodial officer must not use force on a young offender unless that force is used in the prescribed circumstances.</w:t>
      </w:r>
    </w:p>
    <w:p>
      <w:pPr>
        <w:pStyle w:val="Footnotesection"/>
      </w:pPr>
      <w:r>
        <w:tab/>
        <w:t>[Section 11C inserted by No. 58 of 2004 s. 7.]</w:t>
      </w:r>
    </w:p>
    <w:p>
      <w:pPr>
        <w:pStyle w:val="Heading5"/>
      </w:pPr>
      <w:bookmarkStart w:id="48" w:name="_Toc405453119"/>
      <w:bookmarkStart w:id="49" w:name="_Toc413336939"/>
      <w:r>
        <w:rPr>
          <w:rStyle w:val="CharSectno"/>
        </w:rPr>
        <w:t>11D</w:t>
      </w:r>
      <w:r>
        <w:t>.</w:t>
      </w:r>
      <w:r>
        <w:tab/>
        <w:t>Use of restraints</w:t>
      </w:r>
      <w:bookmarkEnd w:id="48"/>
      <w:bookmarkEnd w:id="49"/>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 or</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by No. 58 of 2004 s. 7.]</w:t>
      </w:r>
    </w:p>
    <w:p>
      <w:pPr>
        <w:pStyle w:val="Heading5"/>
      </w:pPr>
      <w:bookmarkStart w:id="50" w:name="_Toc405453120"/>
      <w:bookmarkStart w:id="51" w:name="_Toc413336940"/>
      <w:r>
        <w:rPr>
          <w:rStyle w:val="CharSectno"/>
        </w:rPr>
        <w:t>11E</w:t>
      </w:r>
      <w:r>
        <w:t>.</w:t>
      </w:r>
      <w:r>
        <w:tab/>
        <w:t>Assistance by prison officers</w:t>
      </w:r>
      <w:bookmarkEnd w:id="50"/>
      <w:bookmarkEnd w:id="51"/>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in addition to the powers and duties conferred and imposed on that prison officer by or under any other law.</w:t>
      </w:r>
    </w:p>
    <w:p>
      <w:pPr>
        <w:pStyle w:val="Subsection"/>
      </w:pPr>
      <w:r>
        <w:tab/>
        <w:t>(3)</w:t>
      </w:r>
      <w:r>
        <w:tab/>
        <w:t>A prison officer who is assisting may use such force as can be used by a custodial officer appointed under section 11(1) or (1a) and, with the approval of the chief executive officer, may use such control weapons as are necessary in the circumstances.</w:t>
      </w:r>
    </w:p>
    <w:p>
      <w:pPr>
        <w:pStyle w:val="Footnotesection"/>
      </w:pPr>
      <w:r>
        <w:tab/>
        <w:t>[Section 11E inserted by No. 58 of 2004 s. 7.]</w:t>
      </w:r>
    </w:p>
    <w:p>
      <w:pPr>
        <w:pStyle w:val="Heading5"/>
      </w:pPr>
      <w:bookmarkStart w:id="52" w:name="_Toc405453121"/>
      <w:bookmarkStart w:id="53" w:name="_Toc413336941"/>
      <w:r>
        <w:rPr>
          <w:rStyle w:val="CharSectno"/>
        </w:rPr>
        <w:t>11F</w:t>
      </w:r>
      <w:r>
        <w:t>.</w:t>
      </w:r>
      <w:r>
        <w:tab/>
        <w:t>Assistance by police officers</w:t>
      </w:r>
      <w:bookmarkEnd w:id="52"/>
      <w:bookmarkEnd w:id="53"/>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in addition to the powers and duties conferred and imposed on that police officer by or under any other law.</w:t>
      </w:r>
    </w:p>
    <w:p>
      <w:pPr>
        <w:pStyle w:val="Footnotesection"/>
      </w:pPr>
      <w:r>
        <w:tab/>
        <w:t>[Section 11F inserted by No. 58 of 2004 s. 7.]</w:t>
      </w:r>
    </w:p>
    <w:p>
      <w:pPr>
        <w:pStyle w:val="Heading5"/>
        <w:rPr>
          <w:snapToGrid w:val="0"/>
        </w:rPr>
      </w:pPr>
      <w:bookmarkStart w:id="54" w:name="_Toc405453122"/>
      <w:bookmarkStart w:id="55" w:name="_Toc413336942"/>
      <w:r>
        <w:rPr>
          <w:rStyle w:val="CharSectno"/>
        </w:rPr>
        <w:t>12</w:t>
      </w:r>
      <w:r>
        <w:rPr>
          <w:snapToGrid w:val="0"/>
        </w:rPr>
        <w:t>.</w:t>
      </w:r>
      <w:r>
        <w:rPr>
          <w:snapToGrid w:val="0"/>
        </w:rPr>
        <w:tab/>
        <w:t>Departmental and subsidised facilities, establishment of</w:t>
      </w:r>
      <w:bookmarkEnd w:id="54"/>
      <w:bookmarkEnd w:id="55"/>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by No. 58 of 2004 s. 8; No. 65 of 2006 s. 75.]</w:t>
      </w:r>
    </w:p>
    <w:p>
      <w:pPr>
        <w:pStyle w:val="Heading5"/>
        <w:rPr>
          <w:snapToGrid w:val="0"/>
        </w:rPr>
      </w:pPr>
      <w:bookmarkStart w:id="56" w:name="_Toc405453123"/>
      <w:bookmarkStart w:id="57" w:name="_Toc413336943"/>
      <w:r>
        <w:rPr>
          <w:rStyle w:val="CharSectno"/>
        </w:rPr>
        <w:t>13</w:t>
      </w:r>
      <w:r>
        <w:rPr>
          <w:snapToGrid w:val="0"/>
        </w:rPr>
        <w:t>.</w:t>
      </w:r>
      <w:r>
        <w:rPr>
          <w:snapToGrid w:val="0"/>
        </w:rPr>
        <w:tab/>
        <w:t>Detention centres, establishing</w:t>
      </w:r>
      <w:bookmarkEnd w:id="56"/>
      <w:bookmarkEnd w:id="57"/>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58" w:name="_Toc405453124"/>
      <w:bookmarkStart w:id="59" w:name="_Toc413336944"/>
      <w:r>
        <w:rPr>
          <w:rStyle w:val="CharSectno"/>
        </w:rPr>
        <w:t>14</w:t>
      </w:r>
      <w:r>
        <w:rPr>
          <w:snapToGrid w:val="0"/>
        </w:rPr>
        <w:t>.</w:t>
      </w:r>
      <w:r>
        <w:rPr>
          <w:snapToGrid w:val="0"/>
        </w:rPr>
        <w:tab/>
        <w:t>Records of young offenders, duty to keep</w:t>
      </w:r>
      <w:bookmarkEnd w:id="58"/>
      <w:bookmarkEnd w:id="59"/>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 and</w:t>
      </w:r>
    </w:p>
    <w:p>
      <w:pPr>
        <w:pStyle w:val="Indenta"/>
        <w:rPr>
          <w:snapToGrid w:val="0"/>
        </w:rPr>
      </w:pPr>
      <w:r>
        <w:rPr>
          <w:snapToGrid w:val="0"/>
        </w:rPr>
        <w:tab/>
        <w:t>(b)</w:t>
      </w:r>
      <w:r>
        <w:rPr>
          <w:snapToGrid w:val="0"/>
        </w:rPr>
        <w:tab/>
        <w:t>details of any detention or any way in which the young person has been dealt with for an offence; and</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 and</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60" w:name="_Toc405453125"/>
      <w:bookmarkStart w:id="61" w:name="_Toc413336945"/>
      <w:r>
        <w:rPr>
          <w:rStyle w:val="CharSectno"/>
        </w:rPr>
        <w:t>15</w:t>
      </w:r>
      <w:r>
        <w:rPr>
          <w:snapToGrid w:val="0"/>
        </w:rPr>
        <w:t>.</w:t>
      </w:r>
      <w:r>
        <w:rPr>
          <w:snapToGrid w:val="0"/>
        </w:rPr>
        <w:tab/>
        <w:t>Records of young offenders, access to</w:t>
      </w:r>
      <w:bookmarkEnd w:id="60"/>
      <w:bookmarkEnd w:id="61"/>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 or</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ind w:left="890" w:hanging="890"/>
      </w:pPr>
      <w:r>
        <w:tab/>
        <w:t>[Section 15 amended by No. 47 of 1999 s. 41.]</w:t>
      </w:r>
    </w:p>
    <w:p>
      <w:pPr>
        <w:pStyle w:val="Heading5"/>
      </w:pPr>
      <w:bookmarkStart w:id="62" w:name="_Toc405453126"/>
      <w:bookmarkStart w:id="63" w:name="_Toc413336946"/>
      <w:r>
        <w:rPr>
          <w:rStyle w:val="CharSectno"/>
        </w:rPr>
        <w:t>15A</w:t>
      </w:r>
      <w:r>
        <w:t>.</w:t>
      </w:r>
      <w:r>
        <w:tab/>
        <w:t>Disclosure of personal information relating to young offenders</w:t>
      </w:r>
      <w:bookmarkEnd w:id="62"/>
      <w:bookmarkEnd w:id="63"/>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 or</w:t>
      </w:r>
    </w:p>
    <w:p>
      <w:pPr>
        <w:pStyle w:val="Indenta"/>
      </w:pPr>
      <w:r>
        <w:tab/>
        <w:t>(b)</w:t>
      </w:r>
      <w:r>
        <w:tab/>
        <w:t>to assist in the placement of the young person; or</w:t>
      </w:r>
    </w:p>
    <w:p>
      <w:pPr>
        <w:pStyle w:val="Indenta"/>
      </w:pPr>
      <w:r>
        <w:tab/>
        <w:t>(c)</w:t>
      </w:r>
      <w:r>
        <w:tab/>
        <w:t>to protect the physical safety of a child, whether or not in the care of the welfare agency; or</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r>
        <w:rPr>
          <w:rStyle w:val="CharDefText"/>
        </w:rPr>
        <w:t>CEO (child welfare)</w:t>
      </w:r>
      <w:r>
        <w:t xml:space="preserve"> means the chief executive officer of the welfare agency;</w:t>
      </w:r>
    </w:p>
    <w:p>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Subsection"/>
      </w:pPr>
      <w:r>
        <w:tab/>
        <w:t>(3a)</w:t>
      </w:r>
      <w:r>
        <w:tab/>
        <w:t xml:space="preserve">Upon being requested to do so by an authorised officer, the chief executive officer is to provide — </w:t>
      </w:r>
    </w:p>
    <w:p>
      <w:pPr>
        <w:pStyle w:val="Indenta"/>
      </w:pPr>
      <w:r>
        <w:tab/>
        <w:t>(a)</w:t>
      </w:r>
      <w:r>
        <w:tab/>
        <w:t>the officer with information relating to a child who is, or was, a young offender or detainee, for the purposes of proceedings for or in respect of a responsible parenting order in respect of the child; or</w:t>
      </w:r>
    </w:p>
    <w:p>
      <w:pPr>
        <w:pStyle w:val="Indenta"/>
      </w:pPr>
      <w:r>
        <w:tab/>
        <w:t>(b)</w:t>
      </w:r>
      <w:r>
        <w:tab/>
        <w:t>an appointed person or body with information relating to a person who is, or was, a young offender or detainee, for the purposes of section 39 of that Act.</w:t>
      </w:r>
    </w:p>
    <w:p>
      <w:pPr>
        <w:pStyle w:val="Subsection"/>
      </w:pPr>
      <w:r>
        <w:tab/>
        <w:t>(3b)</w:t>
      </w:r>
      <w:r>
        <w:tab/>
        <w:t>The information provided under subsection (3a)(b) must be in a form that would not reveal the identity of the person.</w:t>
      </w:r>
    </w:p>
    <w:p>
      <w:pPr>
        <w:pStyle w:val="Subsection"/>
      </w:pPr>
      <w:r>
        <w:tab/>
        <w:t>(3c)</w:t>
      </w:r>
      <w:r>
        <w:tab/>
        <w:t xml:space="preserve">In subsection (3a) — </w:t>
      </w:r>
    </w:p>
    <w:p>
      <w:pPr>
        <w:pStyle w:val="Defstart"/>
      </w:pPr>
      <w:r>
        <w:rPr>
          <w:b/>
        </w:rPr>
        <w:tab/>
      </w:r>
      <w:r>
        <w:rPr>
          <w:rStyle w:val="CharDefText"/>
        </w:rPr>
        <w:t>appointed person or body</w:t>
      </w:r>
      <w:r>
        <w:t xml:space="preserve"> means a person or body appointed under section 39(1) of the </w:t>
      </w:r>
      <w:r>
        <w:rPr>
          <w:i/>
          <w:iCs/>
        </w:rPr>
        <w:t>Parental Support and Responsibility Act 2008</w:t>
      </w:r>
      <w:r>
        <w:t>;</w:t>
      </w:r>
    </w:p>
    <w:p>
      <w:pPr>
        <w:pStyle w:val="Defstart"/>
      </w:pPr>
      <w:r>
        <w:rPr>
          <w:b/>
        </w:rPr>
        <w:tab/>
      </w:r>
      <w:r>
        <w:rPr>
          <w:rStyle w:val="CharDefText"/>
        </w:rPr>
        <w:t>authorised officer</w:t>
      </w:r>
      <w:r>
        <w:t xml:space="preserve"> has the meaning given to that term in section 3 of the </w:t>
      </w:r>
      <w:r>
        <w:rPr>
          <w:i/>
          <w:iCs/>
        </w:rPr>
        <w:t>Parental Support and Responsibility Act 2008</w:t>
      </w:r>
      <w:r>
        <w:t>;</w:t>
      </w:r>
    </w:p>
    <w:p>
      <w:pPr>
        <w:pStyle w:val="Defstart"/>
      </w:pPr>
      <w:r>
        <w:rPr>
          <w:b/>
        </w:rPr>
        <w:tab/>
      </w:r>
      <w:r>
        <w:rPr>
          <w:rStyle w:val="CharDefText"/>
        </w:rPr>
        <w:t>child</w:t>
      </w:r>
      <w:r>
        <w:t xml:space="preserve"> means a person who is under 15 years of age;</w:t>
      </w:r>
    </w:p>
    <w:p>
      <w:pPr>
        <w:pStyle w:val="Defstart"/>
      </w:pPr>
      <w:r>
        <w:rPr>
          <w:b/>
        </w:rPr>
        <w:tab/>
      </w:r>
      <w:r>
        <w:rPr>
          <w:rStyle w:val="CharDefText"/>
        </w:rPr>
        <w:t>proceedings for or in respect of a responsible parenting order</w:t>
      </w:r>
      <w:r>
        <w:t xml:space="preserve"> has the meaning given to </w:t>
      </w:r>
      <w:r>
        <w:rPr>
          <w:b/>
          <w:i/>
        </w:rPr>
        <w:t>proceedings for or in respect of an order</w:t>
      </w:r>
      <w:r>
        <w:t xml:space="preserve"> in section 26 of the </w:t>
      </w:r>
      <w:r>
        <w:rPr>
          <w:i/>
          <w:iCs/>
        </w:rPr>
        <w:t>Parental Support and Responsibility Act 2008</w:t>
      </w:r>
      <w:r>
        <w:t>.</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by No. 58 of 2004 s. 9; amended by No. 84 of 2004 s. 82; No. 41 of 2006 s. 86; No. 65 of 2006 s. 76; No. 14 of 2008 s. 44.]</w:t>
      </w:r>
    </w:p>
    <w:p>
      <w:pPr>
        <w:pStyle w:val="Heading5"/>
      </w:pPr>
      <w:bookmarkStart w:id="64" w:name="_Toc405453127"/>
      <w:bookmarkStart w:id="65" w:name="_Toc413336947"/>
      <w:r>
        <w:rPr>
          <w:rStyle w:val="CharSectno"/>
        </w:rPr>
        <w:t>16</w:t>
      </w:r>
      <w:r>
        <w:t>.</w:t>
      </w:r>
      <w:r>
        <w:tab/>
        <w:t>Exchange of information</w:t>
      </w:r>
      <w:bookmarkEnd w:id="64"/>
      <w:bookmarkEnd w:id="65"/>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pPr>
        <w:pStyle w:val="Defstart"/>
      </w:pPr>
      <w:r>
        <w:rPr>
          <w:b/>
        </w:rPr>
        <w:tab/>
      </w:r>
      <w:r>
        <w:rPr>
          <w:rStyle w:val="CharDefText"/>
        </w:rPr>
        <w:t>research</w:t>
      </w:r>
      <w:r>
        <w:t xml:space="preserve"> means research to promote the development of juvenile justice services and includes research for the purposes of the project known as “Developmental Pathways Project” conducted by the Telethon Institute for Child Health Research.</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keepNext/>
      </w:pPr>
      <w:r>
        <w:tab/>
        <w:t>(5)</w:t>
      </w:r>
      <w:r>
        <w:tab/>
        <w:t xml:space="preserve">The chief executive officer may disclose information regarding — </w:t>
      </w:r>
    </w:p>
    <w:p>
      <w:pPr>
        <w:pStyle w:val="Indenta"/>
      </w:pPr>
      <w:r>
        <w:tab/>
        <w:t>(a)</w:t>
      </w:r>
      <w:r>
        <w:tab/>
        <w:t>young persons who have committed offences; or</w:t>
      </w:r>
    </w:p>
    <w:p>
      <w:pPr>
        <w:pStyle w:val="Indenta"/>
        <w:keepNext/>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by No. 65 of 2006 s. 77; amended by No. 26 of 2011 s. 8.]</w:t>
      </w:r>
    </w:p>
    <w:p>
      <w:pPr>
        <w:pStyle w:val="Heading5"/>
      </w:pPr>
      <w:bookmarkStart w:id="66" w:name="_Toc405453128"/>
      <w:bookmarkStart w:id="67" w:name="_Toc413336948"/>
      <w:r>
        <w:rPr>
          <w:rStyle w:val="CharSectno"/>
        </w:rPr>
        <w:t>16A</w:t>
      </w:r>
      <w:r>
        <w:t>.</w:t>
      </w:r>
      <w:r>
        <w:tab/>
        <w:t>Disclosure authorised</w:t>
      </w:r>
      <w:bookmarkEnd w:id="66"/>
      <w:bookmarkEnd w:id="67"/>
    </w:p>
    <w:p>
      <w:pPr>
        <w:pStyle w:val="Subsection"/>
      </w:pPr>
      <w:r>
        <w:tab/>
        <w:t>(1)</w:t>
      </w:r>
      <w:r>
        <w:tab/>
        <w:t>Information may be disclosed under section 15 or 16 despite any written law relating to confidentiality or secrecy.</w:t>
      </w:r>
    </w:p>
    <w:p>
      <w:pPr>
        <w:pStyle w:val="Subsection"/>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by No. 65 of 2006 s. 77.]</w:t>
      </w:r>
    </w:p>
    <w:p>
      <w:pPr>
        <w:pStyle w:val="Heading5"/>
        <w:rPr>
          <w:snapToGrid w:val="0"/>
        </w:rPr>
      </w:pPr>
      <w:bookmarkStart w:id="68" w:name="_Toc405453129"/>
      <w:bookmarkStart w:id="69" w:name="_Toc413336949"/>
      <w:r>
        <w:rPr>
          <w:rStyle w:val="CharSectno"/>
        </w:rPr>
        <w:t>17</w:t>
      </w:r>
      <w:r>
        <w:rPr>
          <w:snapToGrid w:val="0"/>
        </w:rPr>
        <w:t>.</w:t>
      </w:r>
      <w:r>
        <w:rPr>
          <w:snapToGrid w:val="0"/>
        </w:rPr>
        <w:tab/>
        <w:t>Confidentiality</w:t>
      </w:r>
      <w:bookmarkEnd w:id="68"/>
      <w:bookmarkEnd w:id="69"/>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 or</w:t>
      </w:r>
    </w:p>
    <w:p>
      <w:pPr>
        <w:pStyle w:val="Indenta"/>
        <w:rPr>
          <w:snapToGrid w:val="0"/>
        </w:rPr>
      </w:pPr>
      <w:r>
        <w:rPr>
          <w:snapToGrid w:val="0"/>
        </w:rPr>
        <w:tab/>
        <w:t>(b)</w:t>
      </w:r>
      <w:r>
        <w:rPr>
          <w:snapToGrid w:val="0"/>
        </w:rPr>
        <w:tab/>
        <w:t>under this Act or another law; or</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spacing w:before="100"/>
        <w:ind w:left="890" w:hanging="890"/>
      </w:pPr>
      <w:r>
        <w:tab/>
        <w:t>[Section 17 amended by No. 58 of 2004 s. 10.]</w:t>
      </w:r>
    </w:p>
    <w:p>
      <w:pPr>
        <w:pStyle w:val="Heading3"/>
        <w:spacing w:before="220"/>
      </w:pPr>
      <w:bookmarkStart w:id="70" w:name="_Toc405453130"/>
      <w:bookmarkStart w:id="71" w:name="_Toc413336855"/>
      <w:bookmarkStart w:id="72" w:name="_Toc413337131"/>
      <w:bookmarkStart w:id="73" w:name="_Toc413336950"/>
      <w:r>
        <w:rPr>
          <w:rStyle w:val="CharDivNo"/>
        </w:rPr>
        <w:t>Division 2</w:t>
      </w:r>
      <w:r>
        <w:t xml:space="preserve"> — </w:t>
      </w:r>
      <w:r>
        <w:rPr>
          <w:rStyle w:val="CharDivText"/>
        </w:rPr>
        <w:t>Arrangements with the council of an Aboriginal community</w:t>
      </w:r>
      <w:bookmarkEnd w:id="70"/>
      <w:bookmarkEnd w:id="71"/>
      <w:bookmarkEnd w:id="72"/>
      <w:bookmarkEnd w:id="73"/>
    </w:p>
    <w:p>
      <w:pPr>
        <w:pStyle w:val="Footnoteheading"/>
        <w:tabs>
          <w:tab w:val="left" w:pos="851"/>
        </w:tabs>
      </w:pPr>
      <w:r>
        <w:tab/>
        <w:t>[Heading inserted by No. 58 of 2004 s. 11.]</w:t>
      </w:r>
    </w:p>
    <w:p>
      <w:pPr>
        <w:pStyle w:val="Heading5"/>
        <w:spacing w:before="180"/>
      </w:pPr>
      <w:bookmarkStart w:id="74" w:name="_Toc405453131"/>
      <w:bookmarkStart w:id="75" w:name="_Toc413336952"/>
      <w:r>
        <w:rPr>
          <w:rStyle w:val="CharSectno"/>
        </w:rPr>
        <w:t>17A</w:t>
      </w:r>
      <w:r>
        <w:t>.</w:t>
      </w:r>
      <w:r>
        <w:tab/>
        <w:t>Terms used</w:t>
      </w:r>
      <w:bookmarkEnd w:id="74"/>
      <w:bookmarkEnd w:id="75"/>
    </w:p>
    <w:p>
      <w:pPr>
        <w:pStyle w:val="Subsection"/>
      </w:pPr>
      <w:r>
        <w:tab/>
      </w:r>
      <w:r>
        <w:tab/>
        <w:t>In this Division, unless the contrary intention appears —</w:t>
      </w:r>
    </w:p>
    <w:p>
      <w:pPr>
        <w:pStyle w:val="Defstart"/>
      </w:pPr>
      <w:r>
        <w:tab/>
      </w:r>
      <w:r>
        <w:rPr>
          <w:rStyle w:val="CharDefText"/>
        </w:rPr>
        <w:t>council</w:t>
      </w:r>
      <w:r>
        <w:t xml:space="preserve"> has the meaning given to that term in section 3 of the </w:t>
      </w:r>
      <w:r>
        <w:rPr>
          <w:i/>
        </w:rPr>
        <w:t>Aboriginal Communities Act 1979</w:t>
      </w:r>
      <w:r>
        <w:t>;</w:t>
      </w:r>
    </w:p>
    <w:p>
      <w:pPr>
        <w:pStyle w:val="Defstart"/>
      </w:pPr>
      <w:r>
        <w:tab/>
      </w:r>
      <w:r>
        <w:rPr>
          <w:rStyle w:val="CharDefText"/>
        </w:rPr>
        <w:t>monitor</w:t>
      </w:r>
      <w:r>
        <w:t xml:space="preserve"> means a person appointed under section 17C;</w:t>
      </w:r>
    </w:p>
    <w:p>
      <w:pPr>
        <w:pStyle w:val="Defstart"/>
      </w:pPr>
      <w:r>
        <w:tab/>
      </w:r>
      <w:r>
        <w:rPr>
          <w:rStyle w:val="CharDefText"/>
        </w:rPr>
        <w:t>supervise</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r>
        <w:tab/>
      </w:r>
    </w:p>
    <w:p>
      <w:pPr>
        <w:pStyle w:val="Footnotesection"/>
      </w:pPr>
      <w:r>
        <w:tab/>
        <w:t>[Section 17A inserted by No. 58 of 2004 s. 11.]</w:t>
      </w:r>
    </w:p>
    <w:p>
      <w:pPr>
        <w:pStyle w:val="Footnotesection"/>
      </w:pPr>
      <w:r>
        <w:tab/>
        <w:t>[Section 17A. Modifications to be applied in order to give effect to Cross-border Justice Act 2008: section altered 1 Dec 2009. See endnote 1M.]</w:t>
      </w:r>
    </w:p>
    <w:p>
      <w:pPr>
        <w:pStyle w:val="Heading5"/>
        <w:spacing w:before="180"/>
      </w:pPr>
      <w:bookmarkStart w:id="76" w:name="_Toc405453132"/>
      <w:bookmarkStart w:id="77" w:name="_Toc413336954"/>
      <w:r>
        <w:rPr>
          <w:rStyle w:val="CharSectno"/>
        </w:rPr>
        <w:t>17B</w:t>
      </w:r>
      <w:r>
        <w:t>.</w:t>
      </w:r>
      <w:r>
        <w:tab/>
        <w:t>Community supervision agreement</w:t>
      </w:r>
      <w:bookmarkEnd w:id="76"/>
      <w:bookmarkEnd w:id="77"/>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 or</w:t>
      </w:r>
    </w:p>
    <w:p>
      <w:pPr>
        <w:pStyle w:val="Indenta"/>
      </w:pPr>
      <w:r>
        <w:tab/>
        <w:t>(b)</w:t>
      </w:r>
      <w:r>
        <w:tab/>
        <w:t xml:space="preserve">a youth community based order; or </w:t>
      </w:r>
    </w:p>
    <w:p>
      <w:pPr>
        <w:pStyle w:val="Indenta"/>
      </w:pPr>
      <w:r>
        <w:tab/>
        <w:t>(c)</w:t>
      </w:r>
      <w:r>
        <w:tab/>
        <w:t>an intensive youth supervision order; or</w:t>
      </w:r>
    </w:p>
    <w:p>
      <w:pPr>
        <w:pStyle w:val="Indenta"/>
      </w:pPr>
      <w:r>
        <w:tab/>
        <w:t>(d)</w:t>
      </w:r>
      <w:r>
        <w:tab/>
        <w:t>a conditional release order; or</w:t>
      </w:r>
    </w:p>
    <w:p>
      <w:pPr>
        <w:pStyle w:val="Indenta"/>
      </w:pPr>
      <w:r>
        <w:tab/>
        <w:t>(e)</w:t>
      </w:r>
      <w:r>
        <w:tab/>
        <w:t>a supervised release order.</w:t>
      </w:r>
    </w:p>
    <w:p>
      <w:pPr>
        <w:pStyle w:val="Footnotesection"/>
        <w:spacing w:before="100"/>
        <w:ind w:left="890" w:hanging="890"/>
      </w:pPr>
      <w:r>
        <w:tab/>
        <w:t>[Section 17B inserted by No. 58 of 2004 s. 11.]</w:t>
      </w:r>
    </w:p>
    <w:p>
      <w:pPr>
        <w:pStyle w:val="Heading5"/>
        <w:spacing w:before="180"/>
      </w:pPr>
      <w:bookmarkStart w:id="78" w:name="_Toc405453133"/>
      <w:bookmarkStart w:id="79" w:name="_Toc413336955"/>
      <w:r>
        <w:rPr>
          <w:rStyle w:val="CharSectno"/>
        </w:rPr>
        <w:t>17C</w:t>
      </w:r>
      <w:r>
        <w:t>.</w:t>
      </w:r>
      <w:r>
        <w:tab/>
        <w:t>Appointment of monitor</w:t>
      </w:r>
      <w:bookmarkEnd w:id="78"/>
      <w:bookmarkEnd w:id="79"/>
    </w:p>
    <w:p>
      <w:pPr>
        <w:pStyle w:val="Subsection"/>
        <w:spacing w:before="140"/>
      </w:pPr>
      <w:r>
        <w:tab/>
        <w:t>(1)</w:t>
      </w:r>
      <w:r>
        <w:tab/>
        <w:t>The chief executive officer may appoint as a monitor of a young person who has an aboriginal background, a person who is appointed from a panel of persons nominated under subsection (2).</w:t>
      </w:r>
    </w:p>
    <w:p>
      <w:pPr>
        <w:pStyle w:val="Subsection"/>
        <w:spacing w:before="140"/>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spacing w:before="140"/>
      </w:pPr>
      <w:r>
        <w:tab/>
        <w:t>(3)</w:t>
      </w:r>
      <w:r>
        <w:tab/>
        <w:t>The appointment of a person as a monitor may be made on a paid or honorary basis.</w:t>
      </w:r>
    </w:p>
    <w:p>
      <w:pPr>
        <w:pStyle w:val="Subsection"/>
        <w:spacing w:before="140"/>
      </w:pPr>
      <w:r>
        <w:tab/>
        <w:t>(4)</w:t>
      </w:r>
      <w:r>
        <w:tab/>
        <w:t>The chief executive officer may at any time cancel the appointment of a monitor.</w:t>
      </w:r>
    </w:p>
    <w:p>
      <w:pPr>
        <w:pStyle w:val="Footnotesection"/>
        <w:spacing w:before="100"/>
        <w:ind w:left="890" w:hanging="890"/>
      </w:pPr>
      <w:r>
        <w:tab/>
        <w:t>[Section 17C inserted by No. 58 of 2004 s. 11.]</w:t>
      </w:r>
    </w:p>
    <w:p>
      <w:pPr>
        <w:pStyle w:val="Heading5"/>
        <w:spacing w:before="180"/>
      </w:pPr>
      <w:bookmarkStart w:id="80" w:name="_Toc405453134"/>
      <w:bookmarkStart w:id="81" w:name="_Toc413336956"/>
      <w:r>
        <w:rPr>
          <w:rStyle w:val="CharSectno"/>
        </w:rPr>
        <w:t>17D</w:t>
      </w:r>
      <w:r>
        <w:t>.</w:t>
      </w:r>
      <w:r>
        <w:tab/>
        <w:t>Compensation for injury</w:t>
      </w:r>
      <w:bookmarkEnd w:id="80"/>
      <w:bookmarkEnd w:id="81"/>
    </w:p>
    <w:p>
      <w:pPr>
        <w:pStyle w:val="Subsection"/>
        <w:spacing w:before="120"/>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keepLines w:val="0"/>
        <w:spacing w:before="80"/>
        <w:ind w:left="890" w:hanging="890"/>
      </w:pPr>
      <w:r>
        <w:tab/>
        <w:t>[Section 17D inserted by No. 58 of 2004 s. 11.]</w:t>
      </w:r>
    </w:p>
    <w:p>
      <w:pPr>
        <w:pStyle w:val="Heading2"/>
      </w:pPr>
      <w:bookmarkStart w:id="82" w:name="_Toc405453135"/>
      <w:bookmarkStart w:id="83" w:name="_Toc413336860"/>
      <w:bookmarkStart w:id="84" w:name="_Toc413337136"/>
      <w:bookmarkStart w:id="85" w:name="_Toc413336957"/>
      <w:r>
        <w:rPr>
          <w:rStyle w:val="CharPartNo"/>
        </w:rPr>
        <w:t>Part 4</w:t>
      </w:r>
      <w:r>
        <w:rPr>
          <w:rStyle w:val="CharDivNo"/>
        </w:rPr>
        <w:t> </w:t>
      </w:r>
      <w:r>
        <w:t>—</w:t>
      </w:r>
      <w:r>
        <w:rPr>
          <w:rStyle w:val="CharDivText"/>
        </w:rPr>
        <w:t> </w:t>
      </w:r>
      <w:r>
        <w:rPr>
          <w:rStyle w:val="CharPartText"/>
        </w:rPr>
        <w:t>Young persons in custody before being dealt with for an offence</w:t>
      </w:r>
      <w:bookmarkEnd w:id="82"/>
      <w:bookmarkEnd w:id="83"/>
      <w:bookmarkEnd w:id="84"/>
      <w:bookmarkEnd w:id="85"/>
      <w:r>
        <w:rPr>
          <w:rStyle w:val="CharPartText"/>
        </w:rPr>
        <w:t xml:space="preserve"> </w:t>
      </w:r>
    </w:p>
    <w:p>
      <w:pPr>
        <w:pStyle w:val="Ednotesection"/>
      </w:pPr>
      <w:r>
        <w:t>[</w:t>
      </w:r>
      <w:r>
        <w:rPr>
          <w:b/>
        </w:rPr>
        <w:t>18.</w:t>
      </w:r>
      <w:r>
        <w:tab/>
        <w:t xml:space="preserve">Deleted by No. 50 of 2000 s. 30.] </w:t>
      </w:r>
    </w:p>
    <w:p>
      <w:pPr>
        <w:pStyle w:val="Heading5"/>
        <w:rPr>
          <w:snapToGrid w:val="0"/>
        </w:rPr>
      </w:pPr>
      <w:bookmarkStart w:id="86" w:name="_Toc405453136"/>
      <w:bookmarkStart w:id="87" w:name="_Toc413336958"/>
      <w:r>
        <w:rPr>
          <w:rStyle w:val="CharSectno"/>
        </w:rPr>
        <w:t>19</w:t>
      </w:r>
      <w:r>
        <w:rPr>
          <w:snapToGrid w:val="0"/>
        </w:rPr>
        <w:t>.</w:t>
      </w:r>
      <w:r>
        <w:rPr>
          <w:snapToGrid w:val="0"/>
        </w:rPr>
        <w:tab/>
        <w:t>Detention of young offenders apprehended by police</w:t>
      </w:r>
      <w:bookmarkEnd w:id="86"/>
      <w:bookmarkEnd w:id="87"/>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88" w:name="_Toc405453137"/>
      <w:bookmarkStart w:id="89" w:name="_Toc413336959"/>
      <w:r>
        <w:rPr>
          <w:rStyle w:val="CharSectno"/>
        </w:rPr>
        <w:t>20</w:t>
      </w:r>
      <w:r>
        <w:rPr>
          <w:snapToGrid w:val="0"/>
        </w:rPr>
        <w:t>.</w:t>
      </w:r>
      <w:r>
        <w:rPr>
          <w:snapToGrid w:val="0"/>
        </w:rPr>
        <w:tab/>
        <w:t>Responsible adult to be notified</w:t>
      </w:r>
      <w:bookmarkEnd w:id="88"/>
      <w:bookmarkEnd w:id="89"/>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 and</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90" w:name="_Toc405453138"/>
      <w:bookmarkStart w:id="91" w:name="_Toc413336961"/>
      <w:r>
        <w:rPr>
          <w:rStyle w:val="CharSectno"/>
        </w:rPr>
        <w:t>21</w:t>
      </w:r>
      <w:r>
        <w:rPr>
          <w:snapToGrid w:val="0"/>
        </w:rPr>
        <w:t>.</w:t>
      </w:r>
      <w:r>
        <w:rPr>
          <w:snapToGrid w:val="0"/>
        </w:rPr>
        <w:tab/>
        <w:t>Young person in custody awaiting trial</w:t>
      </w:r>
      <w:bookmarkEnd w:id="90"/>
      <w:bookmarkEnd w:id="91"/>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92" w:name="_Toc405453139"/>
      <w:bookmarkStart w:id="93" w:name="_Toc413336864"/>
      <w:bookmarkStart w:id="94" w:name="_Toc413337140"/>
      <w:bookmarkStart w:id="95" w:name="_Toc413336962"/>
      <w:r>
        <w:rPr>
          <w:rStyle w:val="CharPartNo"/>
        </w:rPr>
        <w:t>Part 5</w:t>
      </w:r>
      <w:r>
        <w:t> — </w:t>
      </w:r>
      <w:r>
        <w:rPr>
          <w:rStyle w:val="CharPartText"/>
        </w:rPr>
        <w:t>Dealing with young offenders without taking court proceedings</w:t>
      </w:r>
      <w:bookmarkEnd w:id="92"/>
      <w:bookmarkEnd w:id="93"/>
      <w:bookmarkEnd w:id="94"/>
      <w:bookmarkEnd w:id="95"/>
      <w:r>
        <w:rPr>
          <w:rStyle w:val="CharPartText"/>
        </w:rPr>
        <w:t xml:space="preserve"> </w:t>
      </w:r>
    </w:p>
    <w:p>
      <w:pPr>
        <w:pStyle w:val="Heading3"/>
        <w:rPr>
          <w:snapToGrid w:val="0"/>
        </w:rPr>
      </w:pPr>
      <w:bookmarkStart w:id="96" w:name="_Toc405453140"/>
      <w:bookmarkStart w:id="97" w:name="_Toc413336865"/>
      <w:bookmarkStart w:id="98" w:name="_Toc413337141"/>
      <w:bookmarkStart w:id="99" w:name="_Toc413336963"/>
      <w:r>
        <w:rPr>
          <w:rStyle w:val="CharDivNo"/>
        </w:rPr>
        <w:t>Division 1</w:t>
      </w:r>
      <w:r>
        <w:rPr>
          <w:snapToGrid w:val="0"/>
        </w:rPr>
        <w:t> — </w:t>
      </w:r>
      <w:r>
        <w:rPr>
          <w:rStyle w:val="CharDivText"/>
        </w:rPr>
        <w:t>Cautioning</w:t>
      </w:r>
      <w:bookmarkEnd w:id="96"/>
      <w:bookmarkEnd w:id="97"/>
      <w:bookmarkEnd w:id="98"/>
      <w:bookmarkEnd w:id="99"/>
      <w:r>
        <w:rPr>
          <w:rStyle w:val="CharDivText"/>
        </w:rPr>
        <w:t xml:space="preserve"> </w:t>
      </w:r>
    </w:p>
    <w:p>
      <w:pPr>
        <w:pStyle w:val="Heading5"/>
        <w:rPr>
          <w:snapToGrid w:val="0"/>
        </w:rPr>
      </w:pPr>
      <w:bookmarkStart w:id="100" w:name="_Toc405453141"/>
      <w:bookmarkStart w:id="101" w:name="_Toc413336965"/>
      <w:r>
        <w:rPr>
          <w:rStyle w:val="CharSectno"/>
        </w:rPr>
        <w:t>22A</w:t>
      </w:r>
      <w:r>
        <w:rPr>
          <w:snapToGrid w:val="0"/>
        </w:rPr>
        <w:t>.</w:t>
      </w:r>
      <w:r>
        <w:rPr>
          <w:snapToGrid w:val="0"/>
        </w:rPr>
        <w:tab/>
        <w:t>Purpose of this Division</w:t>
      </w:r>
      <w:bookmarkEnd w:id="100"/>
      <w:bookmarkEnd w:id="101"/>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102" w:name="_Toc405453142"/>
      <w:bookmarkStart w:id="103" w:name="_Toc413336966"/>
      <w:r>
        <w:rPr>
          <w:rStyle w:val="CharSectno"/>
        </w:rPr>
        <w:t>22B</w:t>
      </w:r>
      <w:r>
        <w:rPr>
          <w:snapToGrid w:val="0"/>
        </w:rPr>
        <w:t>.</w:t>
      </w:r>
      <w:r>
        <w:rPr>
          <w:snapToGrid w:val="0"/>
        </w:rPr>
        <w:tab/>
        <w:t>Police officer to consider alternatives to court proceedings</w:t>
      </w:r>
      <w:bookmarkEnd w:id="102"/>
      <w:bookmarkEnd w:id="103"/>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104" w:name="_Toc405453143"/>
      <w:bookmarkStart w:id="105" w:name="_Toc413336967"/>
      <w:r>
        <w:rPr>
          <w:rStyle w:val="CharSectno"/>
        </w:rPr>
        <w:t>22</w:t>
      </w:r>
      <w:r>
        <w:rPr>
          <w:snapToGrid w:val="0"/>
        </w:rPr>
        <w:t>.</w:t>
      </w:r>
      <w:r>
        <w:rPr>
          <w:snapToGrid w:val="0"/>
        </w:rPr>
        <w:tab/>
        <w:t>Cautions may be given except for Sch. 1 or 2 offences</w:t>
      </w:r>
      <w:bookmarkEnd w:id="104"/>
      <w:bookmarkEnd w:id="105"/>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106" w:name="_Toc405453144"/>
      <w:bookmarkStart w:id="107" w:name="_Toc413336968"/>
      <w:r>
        <w:rPr>
          <w:rStyle w:val="CharSectno"/>
        </w:rPr>
        <w:t>23</w:t>
      </w:r>
      <w:r>
        <w:rPr>
          <w:snapToGrid w:val="0"/>
        </w:rPr>
        <w:t>.</w:t>
      </w:r>
      <w:r>
        <w:rPr>
          <w:snapToGrid w:val="0"/>
        </w:rPr>
        <w:tab/>
        <w:t>Cautioning to be preferred in certain cases</w:t>
      </w:r>
      <w:bookmarkEnd w:id="106"/>
      <w:bookmarkEnd w:id="107"/>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spacing w:before="120"/>
        <w:rPr>
          <w:snapToGrid w:val="0"/>
        </w:rPr>
      </w:pPr>
      <w:bookmarkStart w:id="108" w:name="_Toc405453145"/>
      <w:bookmarkStart w:id="109" w:name="_Toc413336969"/>
      <w:r>
        <w:rPr>
          <w:rStyle w:val="CharSectno"/>
        </w:rPr>
        <w:t>23A</w:t>
      </w:r>
      <w:r>
        <w:rPr>
          <w:snapToGrid w:val="0"/>
        </w:rPr>
        <w:t>.</w:t>
      </w:r>
      <w:r>
        <w:rPr>
          <w:snapToGrid w:val="0"/>
        </w:rPr>
        <w:tab/>
        <w:t>Caution certificate to be given</w:t>
      </w:r>
      <w:bookmarkEnd w:id="108"/>
      <w:bookmarkEnd w:id="109"/>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by No. 47 of 1998 s. 8.]</w:t>
      </w:r>
    </w:p>
    <w:p>
      <w:pPr>
        <w:pStyle w:val="Heading5"/>
        <w:rPr>
          <w:snapToGrid w:val="0"/>
        </w:rPr>
      </w:pPr>
      <w:bookmarkStart w:id="110" w:name="_Toc405453146"/>
      <w:bookmarkStart w:id="111" w:name="_Toc413336970"/>
      <w:r>
        <w:rPr>
          <w:rStyle w:val="CharSectno"/>
        </w:rPr>
        <w:t>23B</w:t>
      </w:r>
      <w:r>
        <w:rPr>
          <w:snapToGrid w:val="0"/>
        </w:rPr>
        <w:t>.</w:t>
      </w:r>
      <w:r>
        <w:rPr>
          <w:snapToGrid w:val="0"/>
        </w:rPr>
        <w:tab/>
        <w:t>Police officer may retain a thing relating to an offence</w:t>
      </w:r>
      <w:bookmarkEnd w:id="110"/>
      <w:bookmarkEnd w:id="111"/>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rStyle w:val="CharDefText"/>
        </w:rPr>
        <w:t>appropriate person</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ind w:left="890" w:hanging="890"/>
      </w:pPr>
      <w:r>
        <w:tab/>
        <w:t>[Section 23B inserted by No. 47 of 1998 s. 9.]</w:t>
      </w:r>
    </w:p>
    <w:p>
      <w:pPr>
        <w:pStyle w:val="Heading3"/>
        <w:rPr>
          <w:snapToGrid w:val="0"/>
        </w:rPr>
      </w:pPr>
      <w:bookmarkStart w:id="112" w:name="_Toc405453147"/>
      <w:bookmarkStart w:id="113" w:name="_Toc413336872"/>
      <w:bookmarkStart w:id="114" w:name="_Toc413337148"/>
      <w:bookmarkStart w:id="115" w:name="_Toc413336971"/>
      <w:r>
        <w:rPr>
          <w:rStyle w:val="CharDivNo"/>
        </w:rPr>
        <w:t>Division 2</w:t>
      </w:r>
      <w:r>
        <w:rPr>
          <w:snapToGrid w:val="0"/>
        </w:rPr>
        <w:t> — </w:t>
      </w:r>
      <w:r>
        <w:rPr>
          <w:rStyle w:val="CharDivText"/>
        </w:rPr>
        <w:t>Referral to juvenile justice team</w:t>
      </w:r>
      <w:bookmarkEnd w:id="112"/>
      <w:bookmarkEnd w:id="113"/>
      <w:bookmarkEnd w:id="114"/>
      <w:bookmarkEnd w:id="115"/>
      <w:r>
        <w:rPr>
          <w:rStyle w:val="CharDivText"/>
        </w:rPr>
        <w:t xml:space="preserve"> </w:t>
      </w:r>
    </w:p>
    <w:p>
      <w:pPr>
        <w:pStyle w:val="Heading5"/>
        <w:rPr>
          <w:snapToGrid w:val="0"/>
        </w:rPr>
      </w:pPr>
      <w:bookmarkStart w:id="116" w:name="_Toc405453148"/>
      <w:bookmarkStart w:id="117" w:name="_Toc413336972"/>
      <w:r>
        <w:rPr>
          <w:rStyle w:val="CharSectno"/>
        </w:rPr>
        <w:t>24</w:t>
      </w:r>
      <w:r>
        <w:rPr>
          <w:snapToGrid w:val="0"/>
        </w:rPr>
        <w:t>.</w:t>
      </w:r>
      <w:r>
        <w:rPr>
          <w:snapToGrid w:val="0"/>
        </w:rPr>
        <w:tab/>
        <w:t>Principles</w:t>
      </w:r>
      <w:bookmarkEnd w:id="116"/>
      <w:bookmarkEnd w:id="117"/>
      <w:r>
        <w:rPr>
          <w:snapToGrid w:val="0"/>
        </w:rPr>
        <w:t xml:space="preserve"> </w:t>
      </w:r>
    </w:p>
    <w:p>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keepLines/>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 and</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rPr>
          <w:snapToGrid w:val="0"/>
        </w:rPr>
      </w:pPr>
      <w:bookmarkStart w:id="118" w:name="_Toc405453149"/>
      <w:bookmarkStart w:id="119" w:name="_Toc413336973"/>
      <w:r>
        <w:rPr>
          <w:rStyle w:val="CharSectno"/>
        </w:rPr>
        <w:t>25</w:t>
      </w:r>
      <w:r>
        <w:rPr>
          <w:snapToGrid w:val="0"/>
        </w:rPr>
        <w:t>.</w:t>
      </w:r>
      <w:r>
        <w:rPr>
          <w:snapToGrid w:val="0"/>
        </w:rPr>
        <w:tab/>
        <w:t>Only certain matters may be referred to teams</w:t>
      </w:r>
      <w:bookmarkEnd w:id="118"/>
      <w:bookmarkEnd w:id="119"/>
      <w:r>
        <w:rPr>
          <w:snapToGrid w:val="0"/>
        </w:rPr>
        <w:t xml:space="preserve"> </w:t>
      </w:r>
    </w:p>
    <w:p>
      <w:pPr>
        <w:pStyle w:val="Subsection"/>
        <w:rPr>
          <w:snapToGrid w:val="0"/>
        </w:rPr>
      </w:pPr>
      <w:r>
        <w:rPr>
          <w:snapToGrid w:val="0"/>
        </w:rPr>
        <w:tab/>
        <w:t>(1)</w:t>
      </w:r>
      <w:r>
        <w:rPr>
          <w:snapToGrid w:val="0"/>
        </w:rPr>
        <w:tab/>
        <w:t>A matter cannot be referred to a juvenile justice team if the offence is a Schedule 1 offence or a Schedule 2 offence.</w:t>
      </w:r>
    </w:p>
    <w:p>
      <w:pPr>
        <w:pStyle w:val="Subsection"/>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pPr>
      <w:r>
        <w:tab/>
        <w:t>(3)</w:t>
      </w:r>
      <w:r>
        <w:tab/>
        <w:t xml:space="preserve">In subsection (2) — </w:t>
      </w:r>
    </w:p>
    <w:p>
      <w:pPr>
        <w:pStyle w:val="Defstart"/>
      </w:pPr>
      <w:r>
        <w:tab/>
      </w:r>
      <w:r>
        <w:rPr>
          <w:rStyle w:val="CharDefText"/>
        </w:rPr>
        <w:t>infringement notice</w:t>
      </w:r>
      <w:r>
        <w:t xml:space="preserve"> means — </w:t>
      </w:r>
    </w:p>
    <w:p>
      <w:pPr>
        <w:pStyle w:val="Defpara"/>
      </w:pPr>
      <w:r>
        <w:tab/>
        <w:t>(a)</w:t>
      </w:r>
      <w:r>
        <w:tab/>
        <w:t>a notice issued under a written law to a person alleging the commission of an offence and offering the person an opportunity, by paying an amount of money prescribed under the written law and specified in the notice, to have the matter dealt with out of court; or</w:t>
      </w:r>
    </w:p>
    <w:p>
      <w:pPr>
        <w:pStyle w:val="Defpara"/>
      </w:pPr>
      <w:r>
        <w:tab/>
        <w:t>(b)</w:t>
      </w:r>
      <w:r>
        <w:tab/>
        <w:t xml:space="preserve">a cannabis intervention requirement given under the </w:t>
      </w:r>
      <w:r>
        <w:rPr>
          <w:i/>
          <w:iCs/>
        </w:rPr>
        <w:t xml:space="preserve">Misuse of Drugs Act 1981 </w:t>
      </w:r>
      <w:r>
        <w:t>Part IIIA.</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by No. 58 of 2004 s. 12; No. 45 of 2010 s. 12.]</w:t>
      </w:r>
    </w:p>
    <w:p>
      <w:pPr>
        <w:pStyle w:val="Heading5"/>
        <w:rPr>
          <w:snapToGrid w:val="0"/>
        </w:rPr>
      </w:pPr>
      <w:bookmarkStart w:id="120" w:name="_Toc405453150"/>
      <w:bookmarkStart w:id="121" w:name="_Toc413336974"/>
      <w:r>
        <w:rPr>
          <w:rStyle w:val="CharSectno"/>
        </w:rPr>
        <w:t>26</w:t>
      </w:r>
      <w:r>
        <w:rPr>
          <w:snapToGrid w:val="0"/>
        </w:rPr>
        <w:t>.</w:t>
      </w:r>
      <w:r>
        <w:rPr>
          <w:snapToGrid w:val="0"/>
        </w:rPr>
        <w:tab/>
        <w:t>Release of young person under arrest</w:t>
      </w:r>
      <w:bookmarkEnd w:id="120"/>
      <w:bookmarkEnd w:id="121"/>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122" w:name="_Toc405453151"/>
      <w:bookmarkStart w:id="123" w:name="_Toc413336975"/>
      <w:r>
        <w:rPr>
          <w:rStyle w:val="CharSectno"/>
        </w:rPr>
        <w:t>27</w:t>
      </w:r>
      <w:r>
        <w:rPr>
          <w:snapToGrid w:val="0"/>
        </w:rPr>
        <w:t>.</w:t>
      </w:r>
      <w:r>
        <w:rPr>
          <w:snapToGrid w:val="0"/>
        </w:rPr>
        <w:tab/>
        <w:t>Referral to team by prosecutor</w:t>
      </w:r>
      <w:bookmarkEnd w:id="122"/>
      <w:bookmarkEnd w:id="123"/>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124" w:name="_Toc405453152"/>
      <w:bookmarkStart w:id="125" w:name="_Toc413336976"/>
      <w:r>
        <w:rPr>
          <w:rStyle w:val="CharSectno"/>
        </w:rPr>
        <w:t>28</w:t>
      </w:r>
      <w:r>
        <w:t>.</w:t>
      </w:r>
      <w:r>
        <w:tab/>
      </w:r>
      <w:r>
        <w:rPr>
          <w:snapToGrid w:val="0"/>
        </w:rPr>
        <w:t>Referral to team by court</w:t>
      </w:r>
      <w:bookmarkEnd w:id="124"/>
      <w:bookmarkEnd w:id="125"/>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 or</w:t>
      </w:r>
    </w:p>
    <w:p>
      <w:pPr>
        <w:pStyle w:val="Indenta"/>
      </w:pPr>
      <w:r>
        <w:tab/>
        <w:t>(b)</w:t>
      </w:r>
      <w:r>
        <w:tab/>
        <w:t>after a plea of guilty has been entered but before the court records a finding that the young person is guilty of the offence; or</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by No. 58 of 2004 s. 13.]</w:t>
      </w:r>
    </w:p>
    <w:p>
      <w:pPr>
        <w:pStyle w:val="Heading5"/>
        <w:rPr>
          <w:snapToGrid w:val="0"/>
        </w:rPr>
      </w:pPr>
      <w:bookmarkStart w:id="126" w:name="_Toc405453153"/>
      <w:bookmarkStart w:id="127" w:name="_Toc413336977"/>
      <w:r>
        <w:rPr>
          <w:rStyle w:val="CharSectno"/>
        </w:rPr>
        <w:t>29</w:t>
      </w:r>
      <w:r>
        <w:rPr>
          <w:snapToGrid w:val="0"/>
        </w:rPr>
        <w:t>.</w:t>
      </w:r>
      <w:r>
        <w:rPr>
          <w:snapToGrid w:val="0"/>
        </w:rPr>
        <w:tab/>
        <w:t>First offenders usually should be referred to team</w:t>
      </w:r>
      <w:bookmarkEnd w:id="126"/>
      <w:bookmarkEnd w:id="127"/>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r>
        <w:tab/>
        <w:t>(2)</w:t>
      </w:r>
      <w:r>
        <w:tab/>
      </w:r>
      <w:r>
        <w:rPr>
          <w:snapToGrid w:val="0"/>
        </w:rPr>
        <w:t>A young person is not to be taken to have previously offended against the law merely because he or she —</w:t>
      </w:r>
    </w:p>
    <w:p>
      <w:pPr>
        <w:pStyle w:val="Indenta"/>
      </w:pPr>
      <w:r>
        <w:tab/>
        <w:t>(a)</w:t>
      </w:r>
      <w:r>
        <w:tab/>
        <w:t>has been cautioned under section 22; or</w:t>
      </w:r>
    </w:p>
    <w:p>
      <w:pPr>
        <w:pStyle w:val="Indenta"/>
      </w:pPr>
      <w:r>
        <w:tab/>
        <w:t>(ba)</w:t>
      </w:r>
      <w:r>
        <w:tab/>
        <w:t>has been given an infringement notice, as defined in section 25(3); or</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by No. 58 of 2004 s. 14; No. 45 of 2010 s. 13.]</w:t>
      </w:r>
    </w:p>
    <w:p>
      <w:pPr>
        <w:pStyle w:val="Heading5"/>
        <w:rPr>
          <w:snapToGrid w:val="0"/>
        </w:rPr>
      </w:pPr>
      <w:bookmarkStart w:id="128" w:name="_Toc405453154"/>
      <w:bookmarkStart w:id="129" w:name="_Toc413336978"/>
      <w:r>
        <w:rPr>
          <w:rStyle w:val="CharSectno"/>
        </w:rPr>
        <w:t>30</w:t>
      </w:r>
      <w:r>
        <w:rPr>
          <w:snapToGrid w:val="0"/>
        </w:rPr>
        <w:t>.</w:t>
      </w:r>
      <w:r>
        <w:rPr>
          <w:snapToGrid w:val="0"/>
        </w:rPr>
        <w:tab/>
        <w:t>Role of responsible adult</w:t>
      </w:r>
      <w:bookmarkEnd w:id="128"/>
      <w:bookmarkEnd w:id="129"/>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130" w:name="_Toc405453155"/>
      <w:bookmarkStart w:id="131" w:name="_Toc413336979"/>
      <w:r>
        <w:rPr>
          <w:rStyle w:val="CharSectno"/>
        </w:rPr>
        <w:t>31</w:t>
      </w:r>
      <w:r>
        <w:rPr>
          <w:snapToGrid w:val="0"/>
        </w:rPr>
        <w:t>.</w:t>
      </w:r>
      <w:r>
        <w:rPr>
          <w:snapToGrid w:val="0"/>
        </w:rPr>
        <w:tab/>
        <w:t>Role of victim</w:t>
      </w:r>
      <w:bookmarkEnd w:id="130"/>
      <w:bookmarkEnd w:id="131"/>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by No. 58 of 2004 s. 15.]</w:t>
      </w:r>
    </w:p>
    <w:p>
      <w:pPr>
        <w:pStyle w:val="Heading5"/>
        <w:rPr>
          <w:snapToGrid w:val="0"/>
        </w:rPr>
      </w:pPr>
      <w:bookmarkStart w:id="132" w:name="_Toc405453156"/>
      <w:bookmarkStart w:id="133" w:name="_Toc413336980"/>
      <w:r>
        <w:rPr>
          <w:rStyle w:val="CharSectno"/>
        </w:rPr>
        <w:t>32</w:t>
      </w:r>
      <w:r>
        <w:rPr>
          <w:snapToGrid w:val="0"/>
        </w:rPr>
        <w:t>.</w:t>
      </w:r>
      <w:r>
        <w:rPr>
          <w:snapToGrid w:val="0"/>
        </w:rPr>
        <w:tab/>
        <w:t>Powers of juvenile justice team</w:t>
      </w:r>
      <w:bookmarkEnd w:id="132"/>
      <w:bookmarkEnd w:id="133"/>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keepNext/>
        <w:keepLines/>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rPr>
          <w:snapToGrid w:val="0"/>
        </w:rPr>
      </w:pPr>
      <w:r>
        <w:rPr>
          <w:snapToGrid w:val="0"/>
        </w:rPr>
        <w:tab/>
        <w:t>(b)</w:t>
      </w:r>
      <w:r>
        <w:rPr>
          <w:snapToGrid w:val="0"/>
        </w:rPr>
        <w:tab/>
        <w:t>for any reason, the matter should be dealt with in court,</w:t>
      </w:r>
    </w:p>
    <w:p>
      <w:pPr>
        <w:pStyle w:val="Subsection"/>
        <w:rPr>
          <w:snapToGrid w:val="0"/>
        </w:rPr>
      </w:pPr>
      <w:r>
        <w:rPr>
          <w:snapToGrid w:val="0"/>
        </w:rPr>
        <w:tab/>
      </w:r>
      <w:r>
        <w:rPr>
          <w:snapToGrid w:val="0"/>
        </w:rPr>
        <w:tab/>
        <w:t>it may send the matter back to the person who referred the matter with a report to that effect.</w:t>
      </w:r>
    </w:p>
    <w:p>
      <w:pPr>
        <w:pStyle w:val="Subsection"/>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by No. 58 of 2004 s. 16.]</w:t>
      </w:r>
    </w:p>
    <w:p>
      <w:pPr>
        <w:pStyle w:val="Heading5"/>
        <w:rPr>
          <w:snapToGrid w:val="0"/>
        </w:rPr>
      </w:pPr>
      <w:bookmarkStart w:id="134" w:name="_Toc405453157"/>
      <w:bookmarkStart w:id="135" w:name="_Toc413336981"/>
      <w:r>
        <w:rPr>
          <w:rStyle w:val="CharSectno"/>
        </w:rPr>
        <w:t>33</w:t>
      </w:r>
      <w:r>
        <w:rPr>
          <w:snapToGrid w:val="0"/>
        </w:rPr>
        <w:t>.</w:t>
      </w:r>
      <w:r>
        <w:rPr>
          <w:snapToGrid w:val="0"/>
        </w:rPr>
        <w:tab/>
        <w:t>Effect on liability to be dealt with by court</w:t>
      </w:r>
      <w:bookmarkEnd w:id="134"/>
      <w:bookmarkEnd w:id="135"/>
      <w:r>
        <w:rPr>
          <w:snapToGrid w:val="0"/>
        </w:rPr>
        <w:t xml:space="preserve"> </w:t>
      </w:r>
    </w:p>
    <w:p>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by No. 84 of 2004 s. 80.]</w:t>
      </w:r>
    </w:p>
    <w:p>
      <w:pPr>
        <w:pStyle w:val="Heading5"/>
        <w:rPr>
          <w:snapToGrid w:val="0"/>
        </w:rPr>
      </w:pPr>
      <w:bookmarkStart w:id="136" w:name="_Toc405453158"/>
      <w:bookmarkStart w:id="137" w:name="_Toc413336982"/>
      <w:r>
        <w:rPr>
          <w:rStyle w:val="CharSectno"/>
        </w:rPr>
        <w:t>34</w:t>
      </w:r>
      <w:r>
        <w:rPr>
          <w:snapToGrid w:val="0"/>
        </w:rPr>
        <w:t>.</w:t>
      </w:r>
      <w:r>
        <w:rPr>
          <w:snapToGrid w:val="0"/>
        </w:rPr>
        <w:tab/>
        <w:t>Civil liability not affected</w:t>
      </w:r>
      <w:bookmarkEnd w:id="136"/>
      <w:bookmarkEnd w:id="137"/>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138" w:name="_Toc405453159"/>
      <w:bookmarkStart w:id="139" w:name="_Toc413336884"/>
      <w:bookmarkStart w:id="140" w:name="_Toc413337160"/>
      <w:bookmarkStart w:id="141" w:name="_Toc413336983"/>
      <w:r>
        <w:rPr>
          <w:rStyle w:val="CharDivNo"/>
        </w:rPr>
        <w:t>Division 3</w:t>
      </w:r>
      <w:r>
        <w:rPr>
          <w:snapToGrid w:val="0"/>
        </w:rPr>
        <w:t> — </w:t>
      </w:r>
      <w:r>
        <w:rPr>
          <w:rStyle w:val="CharDivText"/>
        </w:rPr>
        <w:t>Juvenile justice teams</w:t>
      </w:r>
      <w:bookmarkEnd w:id="138"/>
      <w:bookmarkEnd w:id="139"/>
      <w:bookmarkEnd w:id="140"/>
      <w:bookmarkEnd w:id="141"/>
      <w:r>
        <w:rPr>
          <w:rStyle w:val="CharDivText"/>
        </w:rPr>
        <w:t xml:space="preserve"> </w:t>
      </w:r>
    </w:p>
    <w:p>
      <w:pPr>
        <w:pStyle w:val="Heading5"/>
        <w:spacing w:before="180"/>
        <w:rPr>
          <w:snapToGrid w:val="0"/>
        </w:rPr>
      </w:pPr>
      <w:bookmarkStart w:id="142" w:name="_Toc405453160"/>
      <w:bookmarkStart w:id="143" w:name="_Toc413336984"/>
      <w:r>
        <w:rPr>
          <w:rStyle w:val="CharSectno"/>
        </w:rPr>
        <w:t>35</w:t>
      </w:r>
      <w:r>
        <w:rPr>
          <w:snapToGrid w:val="0"/>
        </w:rPr>
        <w:t>.</w:t>
      </w:r>
      <w:r>
        <w:rPr>
          <w:snapToGrid w:val="0"/>
        </w:rPr>
        <w:tab/>
        <w:t>Terms used</w:t>
      </w:r>
      <w:bookmarkEnd w:id="142"/>
      <w:bookmarkEnd w:id="143"/>
    </w:p>
    <w:p>
      <w:pPr>
        <w:pStyle w:val="Subsection"/>
        <w:keepNext/>
        <w:spacing w:before="120"/>
        <w:rPr>
          <w:snapToGrid w:val="0"/>
        </w:rPr>
      </w:pPr>
      <w:r>
        <w:rPr>
          <w:snapToGrid w:val="0"/>
        </w:rPr>
        <w:tab/>
      </w:r>
      <w:r>
        <w:rPr>
          <w:snapToGrid w:val="0"/>
        </w:rPr>
        <w:tab/>
        <w:t>In this Division,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Coordinator</w:t>
      </w:r>
      <w:r>
        <w:t xml:space="preserve"> means a person appointed under section 36 to be a Juvenile Justice Team Coordinator.</w:t>
      </w:r>
    </w:p>
    <w:p>
      <w:pPr>
        <w:pStyle w:val="Footnotesection"/>
      </w:pPr>
      <w:r>
        <w:tab/>
        <w:t>[Section 35 amended by No. 58 of 2004 s. 17.]</w:t>
      </w:r>
    </w:p>
    <w:p>
      <w:pPr>
        <w:pStyle w:val="Heading5"/>
        <w:spacing w:before="180"/>
        <w:rPr>
          <w:snapToGrid w:val="0"/>
        </w:rPr>
      </w:pPr>
      <w:bookmarkStart w:id="144" w:name="_Toc405453161"/>
      <w:bookmarkStart w:id="145" w:name="_Toc413336985"/>
      <w:r>
        <w:rPr>
          <w:rStyle w:val="CharSectno"/>
        </w:rPr>
        <w:t>36</w:t>
      </w:r>
      <w:r>
        <w:rPr>
          <w:snapToGrid w:val="0"/>
        </w:rPr>
        <w:t>.</w:t>
      </w:r>
      <w:r>
        <w:rPr>
          <w:snapToGrid w:val="0"/>
        </w:rPr>
        <w:tab/>
        <w:t>Juvenile Justice Team Coordinator, appointment of</w:t>
      </w:r>
      <w:bookmarkEnd w:id="144"/>
      <w:bookmarkEnd w:id="145"/>
      <w:r>
        <w:rPr>
          <w:snapToGrid w:val="0"/>
        </w:rPr>
        <w:t xml:space="preserve"> </w:t>
      </w:r>
    </w:p>
    <w:p>
      <w:pPr>
        <w:pStyle w:val="Subsection"/>
        <w:spacing w:before="120"/>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spacing w:before="120"/>
      </w:pPr>
      <w:r>
        <w:tab/>
        <w:t>(2)</w:t>
      </w:r>
      <w:r>
        <w:tab/>
        <w:t>The chief executive officer may appoint a member of an approved Aboriginal community to be a Juvenile Justice Team Coordinator on a paid or honorary basis, and may revoke any such appointment.</w:t>
      </w:r>
    </w:p>
    <w:p>
      <w:pPr>
        <w:pStyle w:val="Footnotesection"/>
      </w:pPr>
      <w:r>
        <w:tab/>
        <w:t>[Section 36 amended by No. 58 of 2004 s. 18.]</w:t>
      </w:r>
    </w:p>
    <w:p>
      <w:pPr>
        <w:pStyle w:val="Footnotesection"/>
      </w:pPr>
      <w:r>
        <w:tab/>
        <w:t>[Section 36. Modifications to be applied in order to give effect to Cross-border Justice Act 2008: section altered 1 Dec 2009. See endnote 1M.]</w:t>
      </w:r>
    </w:p>
    <w:p>
      <w:pPr>
        <w:pStyle w:val="Heading5"/>
        <w:spacing w:before="180"/>
        <w:rPr>
          <w:snapToGrid w:val="0"/>
        </w:rPr>
      </w:pPr>
      <w:bookmarkStart w:id="146" w:name="_Toc405453162"/>
      <w:bookmarkStart w:id="147" w:name="_Toc413336986"/>
      <w:r>
        <w:rPr>
          <w:rStyle w:val="CharSectno"/>
        </w:rPr>
        <w:t>37</w:t>
      </w:r>
      <w:r>
        <w:rPr>
          <w:snapToGrid w:val="0"/>
        </w:rPr>
        <w:t>.</w:t>
      </w:r>
      <w:r>
        <w:rPr>
          <w:snapToGrid w:val="0"/>
        </w:rPr>
        <w:tab/>
        <w:t>Establishing juvenile justice teams</w:t>
      </w:r>
      <w:bookmarkEnd w:id="146"/>
      <w:bookmarkEnd w:id="147"/>
      <w:r>
        <w:rPr>
          <w:snapToGrid w:val="0"/>
        </w:rPr>
        <w:t xml:space="preserve"> </w:t>
      </w:r>
    </w:p>
    <w:p>
      <w:pPr>
        <w:pStyle w:val="Subsection"/>
        <w:spacing w:before="120"/>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keepLines/>
        <w:spacing w:before="120"/>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spacing w:before="120"/>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spacing w:before="120"/>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spacing w:before="120"/>
        <w:rPr>
          <w:snapToGrid w:val="0"/>
        </w:rPr>
      </w:pPr>
      <w:r>
        <w:rPr>
          <w:snapToGrid w:val="0"/>
        </w:rPr>
        <w:tab/>
        <w:t>(3)</w:t>
      </w:r>
      <w:r>
        <w:rPr>
          <w:snapToGrid w:val="0"/>
        </w:rPr>
        <w:tab/>
        <w:t>The team may also include such other persons as the Coordinator appoints.</w:t>
      </w:r>
    </w:p>
    <w:p>
      <w:pPr>
        <w:pStyle w:val="Footnotesection"/>
        <w:spacing w:before="100"/>
        <w:ind w:left="890" w:hanging="890"/>
      </w:pPr>
      <w:r>
        <w:tab/>
        <w:t>[Section 37 amended by No. 36 of 1999 s. 247; No. 58 of 2004 s. 19.]</w:t>
      </w:r>
    </w:p>
    <w:p>
      <w:pPr>
        <w:pStyle w:val="Heading5"/>
        <w:spacing w:before="180"/>
      </w:pPr>
      <w:bookmarkStart w:id="148" w:name="_Toc405453163"/>
      <w:bookmarkStart w:id="149" w:name="_Toc413336988"/>
      <w:r>
        <w:rPr>
          <w:rStyle w:val="CharSectno"/>
        </w:rPr>
        <w:t>37A</w:t>
      </w:r>
      <w:r>
        <w:t>.</w:t>
      </w:r>
      <w:r>
        <w:tab/>
        <w:t>No representation by legal practitioner or agent</w:t>
      </w:r>
      <w:bookmarkEnd w:id="148"/>
      <w:bookmarkEnd w:id="149"/>
    </w:p>
    <w:p>
      <w:pPr>
        <w:pStyle w:val="Subsection"/>
        <w:spacing w:before="120"/>
      </w:pPr>
      <w:r>
        <w:tab/>
        <w:t>(1)</w:t>
      </w:r>
      <w:r>
        <w:tab/>
        <w:t xml:space="preserve">In this section — </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Subsection"/>
        <w:spacing w:before="120"/>
      </w:pPr>
      <w:r>
        <w:tab/>
        <w:t>(2)</w:t>
      </w:r>
      <w:r>
        <w:tab/>
        <w:t>During the consideration of a matter by a juvenile justice team, a participant in the proceedings of the team is not to be represented in those proceedings by a lawyer or other agent.</w:t>
      </w:r>
    </w:p>
    <w:p>
      <w:pPr>
        <w:pStyle w:val="Footnotesection"/>
      </w:pPr>
      <w:r>
        <w:tab/>
        <w:t>[Section 37A inserted by No. 58 of 2004 s. 20; amended by No. 21 of 2008 s. 714(2) and (3).]</w:t>
      </w:r>
    </w:p>
    <w:p>
      <w:pPr>
        <w:pStyle w:val="Heading5"/>
        <w:keepNext w:val="0"/>
        <w:keepLines w:val="0"/>
        <w:spacing w:before="180"/>
        <w:rPr>
          <w:snapToGrid w:val="0"/>
        </w:rPr>
      </w:pPr>
      <w:bookmarkStart w:id="150" w:name="_Toc405453164"/>
      <w:bookmarkStart w:id="151" w:name="_Toc413336989"/>
      <w:r>
        <w:rPr>
          <w:rStyle w:val="CharSectno"/>
        </w:rPr>
        <w:t>38</w:t>
      </w:r>
      <w:r>
        <w:rPr>
          <w:snapToGrid w:val="0"/>
        </w:rPr>
        <w:t>.</w:t>
      </w:r>
      <w:r>
        <w:rPr>
          <w:snapToGrid w:val="0"/>
        </w:rPr>
        <w:tab/>
        <w:t>Decisions to be unanimous</w:t>
      </w:r>
      <w:bookmarkEnd w:id="150"/>
      <w:bookmarkEnd w:id="151"/>
      <w:r>
        <w:rPr>
          <w:snapToGrid w:val="0"/>
        </w:rPr>
        <w:t xml:space="preserve"> </w:t>
      </w:r>
    </w:p>
    <w:p>
      <w:pPr>
        <w:pStyle w:val="Subsection"/>
        <w:spacing w:before="100"/>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spacing w:before="180"/>
        <w:rPr>
          <w:snapToGrid w:val="0"/>
        </w:rPr>
      </w:pPr>
      <w:bookmarkStart w:id="152" w:name="_Toc405453165"/>
      <w:bookmarkStart w:id="153" w:name="_Toc413336990"/>
      <w:r>
        <w:rPr>
          <w:rStyle w:val="CharSectno"/>
        </w:rPr>
        <w:t>39</w:t>
      </w:r>
      <w:r>
        <w:rPr>
          <w:snapToGrid w:val="0"/>
        </w:rPr>
        <w:t>.</w:t>
      </w:r>
      <w:r>
        <w:rPr>
          <w:snapToGrid w:val="0"/>
        </w:rPr>
        <w:tab/>
        <w:t>Records to be kept</w:t>
      </w:r>
      <w:bookmarkEnd w:id="152"/>
      <w:bookmarkEnd w:id="153"/>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spacing w:before="180"/>
        <w:rPr>
          <w:snapToGrid w:val="0"/>
        </w:rPr>
      </w:pPr>
      <w:bookmarkStart w:id="154" w:name="_Toc405453166"/>
      <w:bookmarkStart w:id="155" w:name="_Toc413336991"/>
      <w:r>
        <w:rPr>
          <w:rStyle w:val="CharSectno"/>
        </w:rPr>
        <w:t>40</w:t>
      </w:r>
      <w:r>
        <w:rPr>
          <w:snapToGrid w:val="0"/>
        </w:rPr>
        <w:t>.</w:t>
      </w:r>
      <w:r>
        <w:rPr>
          <w:snapToGrid w:val="0"/>
        </w:rPr>
        <w:tab/>
        <w:t>No report of proceedings to be published</w:t>
      </w:r>
      <w:bookmarkEnd w:id="154"/>
      <w:bookmarkEnd w:id="155"/>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spacing w:before="120"/>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156" w:name="_Toc405453167"/>
      <w:bookmarkStart w:id="157" w:name="_Toc413336892"/>
      <w:bookmarkStart w:id="158" w:name="_Toc413337168"/>
      <w:bookmarkStart w:id="159" w:name="_Toc413336992"/>
      <w:r>
        <w:rPr>
          <w:rStyle w:val="CharPartNo"/>
        </w:rPr>
        <w:t>Part 6</w:t>
      </w:r>
      <w:r>
        <w:rPr>
          <w:rStyle w:val="CharDivNo"/>
        </w:rPr>
        <w:t> </w:t>
      </w:r>
      <w:r>
        <w:t>—</w:t>
      </w:r>
      <w:r>
        <w:rPr>
          <w:rStyle w:val="CharDivText"/>
        </w:rPr>
        <w:t> </w:t>
      </w:r>
      <w:r>
        <w:rPr>
          <w:rStyle w:val="CharPartText"/>
        </w:rPr>
        <w:t>Court proceedings</w:t>
      </w:r>
      <w:bookmarkEnd w:id="156"/>
      <w:bookmarkEnd w:id="157"/>
      <w:bookmarkEnd w:id="158"/>
      <w:bookmarkEnd w:id="159"/>
      <w:r>
        <w:rPr>
          <w:rStyle w:val="CharPartText"/>
        </w:rPr>
        <w:t xml:space="preserve"> </w:t>
      </w:r>
    </w:p>
    <w:p>
      <w:pPr>
        <w:pStyle w:val="Heading5"/>
        <w:rPr>
          <w:snapToGrid w:val="0"/>
        </w:rPr>
      </w:pPr>
      <w:bookmarkStart w:id="160" w:name="_Toc405453168"/>
      <w:bookmarkStart w:id="161" w:name="_Toc413336993"/>
      <w:r>
        <w:rPr>
          <w:rStyle w:val="CharSectno"/>
        </w:rPr>
        <w:t>41</w:t>
      </w:r>
      <w:r>
        <w:rPr>
          <w:snapToGrid w:val="0"/>
        </w:rPr>
        <w:t>.</w:t>
      </w:r>
      <w:r>
        <w:rPr>
          <w:snapToGrid w:val="0"/>
        </w:rPr>
        <w:tab/>
        <w:t>Preliminary considerations for police before prosecuting</w:t>
      </w:r>
      <w:bookmarkEnd w:id="160"/>
      <w:bookmarkEnd w:id="161"/>
      <w:r>
        <w:rPr>
          <w:snapToGrid w:val="0"/>
        </w:rPr>
        <w:t xml:space="preserve"> </w:t>
      </w:r>
    </w:p>
    <w:p>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162" w:name="_Toc405453169"/>
      <w:bookmarkStart w:id="163" w:name="_Toc413336994"/>
      <w:r>
        <w:rPr>
          <w:rStyle w:val="CharSectno"/>
        </w:rPr>
        <w:t>42</w:t>
      </w:r>
      <w:r>
        <w:rPr>
          <w:snapToGrid w:val="0"/>
        </w:rPr>
        <w:t>.</w:t>
      </w:r>
      <w:r>
        <w:rPr>
          <w:snapToGrid w:val="0"/>
        </w:rPr>
        <w:tab/>
        <w:t>Notice to attend court usually preferable to summons</w:t>
      </w:r>
      <w:bookmarkEnd w:id="162"/>
      <w:bookmarkEnd w:id="163"/>
      <w:r>
        <w:rPr>
          <w:snapToGrid w:val="0"/>
        </w:rPr>
        <w:t xml:space="preserve"> </w:t>
      </w:r>
    </w:p>
    <w:p>
      <w:pPr>
        <w:pStyle w:val="Subsection"/>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20"/>
        <w:rPr>
          <w:snapToGrid w:val="0"/>
        </w:rPr>
      </w:pPr>
      <w:r>
        <w:rPr>
          <w:snapToGrid w:val="0"/>
        </w:rPr>
        <w:tab/>
      </w:r>
      <w:r>
        <w:rPr>
          <w:snapToGrid w:val="0"/>
        </w:rPr>
        <w:tab/>
        <w:t>may instead issue to the young person a notice to attend court.</w:t>
      </w:r>
    </w:p>
    <w:p>
      <w:pPr>
        <w:pStyle w:val="Subsection"/>
        <w:spacing w:before="12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 and</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rPr>
          <w:snapToGrid w:val="0"/>
        </w:rPr>
      </w:pPr>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by No. 84 of 2004 s. 80.]</w:t>
      </w:r>
    </w:p>
    <w:p>
      <w:pPr>
        <w:pStyle w:val="Heading5"/>
        <w:rPr>
          <w:snapToGrid w:val="0"/>
        </w:rPr>
      </w:pPr>
      <w:bookmarkStart w:id="164" w:name="_Toc405453170"/>
      <w:bookmarkStart w:id="165" w:name="_Toc413336995"/>
      <w:r>
        <w:rPr>
          <w:rStyle w:val="CharSectno"/>
        </w:rPr>
        <w:t>43</w:t>
      </w:r>
      <w:r>
        <w:rPr>
          <w:snapToGrid w:val="0"/>
        </w:rPr>
        <w:t>.</w:t>
      </w:r>
      <w:r>
        <w:rPr>
          <w:snapToGrid w:val="0"/>
        </w:rPr>
        <w:tab/>
        <w:t>Notices to attend court, general provisions about</w:t>
      </w:r>
      <w:bookmarkEnd w:id="164"/>
      <w:bookmarkEnd w:id="165"/>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 and</w:t>
      </w:r>
    </w:p>
    <w:p>
      <w:pPr>
        <w:pStyle w:val="Indenta"/>
        <w:rPr>
          <w:snapToGrid w:val="0"/>
        </w:rPr>
      </w:pPr>
      <w:r>
        <w:rPr>
          <w:snapToGrid w:val="0"/>
        </w:rPr>
        <w:tab/>
        <w:t>(b)</w:t>
      </w:r>
      <w:r>
        <w:rPr>
          <w:snapToGrid w:val="0"/>
        </w:rPr>
        <w:tab/>
        <w:t>be signed by the person issuing it; and</w:t>
      </w:r>
    </w:p>
    <w:p>
      <w:pPr>
        <w:pStyle w:val="Indenta"/>
        <w:rPr>
          <w:snapToGrid w:val="0"/>
        </w:rPr>
      </w:pPr>
      <w:r>
        <w:rPr>
          <w:snapToGrid w:val="0"/>
        </w:rPr>
        <w:tab/>
        <w:t>(c)</w:t>
      </w:r>
      <w:r>
        <w:rPr>
          <w:snapToGrid w:val="0"/>
        </w:rPr>
        <w:tab/>
        <w:t>name the young person to whom it is directed; and</w:t>
      </w:r>
    </w:p>
    <w:p>
      <w:pPr>
        <w:pStyle w:val="Indenta"/>
        <w:rPr>
          <w:snapToGrid w:val="0"/>
        </w:rPr>
      </w:pPr>
      <w:r>
        <w:rPr>
          <w:snapToGrid w:val="0"/>
        </w:rPr>
        <w:tab/>
        <w:t>(d)</w:t>
      </w:r>
      <w:r>
        <w:rPr>
          <w:snapToGrid w:val="0"/>
        </w:rPr>
        <w:tab/>
        <w:t>if the identity of a responsible adult is known, name that responsible adult; and</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 or</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 or</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166" w:name="_Toc405453171"/>
      <w:bookmarkStart w:id="167" w:name="_Toc413336997"/>
      <w:r>
        <w:rPr>
          <w:rStyle w:val="CharSectno"/>
        </w:rPr>
        <w:t>44</w:t>
      </w:r>
      <w:r>
        <w:rPr>
          <w:snapToGrid w:val="0"/>
        </w:rPr>
        <w:t>.</w:t>
      </w:r>
      <w:r>
        <w:rPr>
          <w:snapToGrid w:val="0"/>
        </w:rPr>
        <w:tab/>
        <w:t>Proceedings to be explained to young persons</w:t>
      </w:r>
      <w:bookmarkEnd w:id="166"/>
      <w:bookmarkEnd w:id="167"/>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spacing w:before="120"/>
        <w:rPr>
          <w:snapToGrid w:val="0"/>
        </w:rPr>
      </w:pPr>
      <w:bookmarkStart w:id="168" w:name="_Toc405453172"/>
      <w:bookmarkStart w:id="169" w:name="_Toc413336998"/>
      <w:r>
        <w:rPr>
          <w:rStyle w:val="CharSectno"/>
        </w:rPr>
        <w:t>45</w:t>
      </w:r>
      <w:r>
        <w:rPr>
          <w:snapToGrid w:val="0"/>
        </w:rPr>
        <w:t>.</w:t>
      </w:r>
      <w:r>
        <w:rPr>
          <w:snapToGrid w:val="0"/>
        </w:rPr>
        <w:tab/>
        <w:t>Responsible adult may be required to attend court</w:t>
      </w:r>
      <w:bookmarkEnd w:id="168"/>
      <w:bookmarkEnd w:id="169"/>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spacing w:before="60"/>
        <w:rPr>
          <w:snapToGrid w:val="0"/>
        </w:rPr>
      </w:pPr>
      <w:r>
        <w:rPr>
          <w:snapToGrid w:val="0"/>
        </w:rPr>
        <w:tab/>
        <w:t>(a)</w:t>
      </w:r>
      <w:r>
        <w:rPr>
          <w:snapToGrid w:val="0"/>
        </w:rPr>
        <w:tab/>
        <w:t>there is a valid reason to excuse attendance of a responsible adult; or</w:t>
      </w:r>
    </w:p>
    <w:p>
      <w:pPr>
        <w:pStyle w:val="Indenta"/>
        <w:spacing w:before="60"/>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rPr>
      </w:pPr>
      <w:r>
        <w:rPr>
          <w:snapToGrid w:val="0"/>
        </w:rPr>
        <w:tab/>
      </w:r>
      <w:r>
        <w:rPr>
          <w:snapToGrid w:val="0"/>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0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0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spacing w:before="60"/>
        <w:rPr>
          <w:snapToGrid w:val="0"/>
        </w:rPr>
      </w:pPr>
      <w:r>
        <w:rPr>
          <w:snapToGrid w:val="0"/>
        </w:rPr>
        <w:tab/>
        <w:t>(a)</w:t>
      </w:r>
      <w:r>
        <w:rPr>
          <w:snapToGrid w:val="0"/>
        </w:rPr>
        <w:tab/>
        <w:t>of the charge, or each charge, laid alleging the commission of an offence; and</w:t>
      </w:r>
    </w:p>
    <w:p>
      <w:pPr>
        <w:pStyle w:val="Indenta"/>
        <w:spacing w:before="60"/>
        <w:rPr>
          <w:snapToGrid w:val="0"/>
        </w:rPr>
      </w:pPr>
      <w:r>
        <w:rPr>
          <w:snapToGrid w:val="0"/>
        </w:rPr>
        <w:tab/>
        <w:t>(b)</w:t>
      </w:r>
      <w:r>
        <w:rPr>
          <w:snapToGrid w:val="0"/>
        </w:rPr>
        <w:tab/>
        <w:t>of any finding, order or decision made by the court in the proceedings; and</w:t>
      </w:r>
    </w:p>
    <w:p>
      <w:pPr>
        <w:pStyle w:val="Indenta"/>
        <w:spacing w:before="60"/>
        <w:rPr>
          <w:snapToGrid w:val="0"/>
        </w:rPr>
      </w:pPr>
      <w:r>
        <w:rPr>
          <w:snapToGrid w:val="0"/>
        </w:rPr>
        <w:tab/>
        <w:t>(c)</w:t>
      </w:r>
      <w:r>
        <w:rPr>
          <w:snapToGrid w:val="0"/>
        </w:rPr>
        <w:tab/>
        <w:t>of any other information that the court considers appropriate.</w:t>
      </w:r>
    </w:p>
    <w:p>
      <w:pPr>
        <w:pStyle w:val="Heading2"/>
      </w:pPr>
      <w:bookmarkStart w:id="170" w:name="_Toc405453173"/>
      <w:bookmarkStart w:id="171" w:name="_Toc413336898"/>
      <w:bookmarkStart w:id="172" w:name="_Toc413337174"/>
      <w:bookmarkStart w:id="173" w:name="_Toc413336999"/>
      <w:r>
        <w:rPr>
          <w:rStyle w:val="CharPartNo"/>
        </w:rPr>
        <w:t>Part 7</w:t>
      </w:r>
      <w:r>
        <w:t> — </w:t>
      </w:r>
      <w:r>
        <w:rPr>
          <w:rStyle w:val="CharPartText"/>
        </w:rPr>
        <w:t>Sentencing and related matters</w:t>
      </w:r>
      <w:bookmarkEnd w:id="170"/>
      <w:bookmarkEnd w:id="171"/>
      <w:bookmarkEnd w:id="172"/>
      <w:bookmarkEnd w:id="173"/>
      <w:r>
        <w:rPr>
          <w:rStyle w:val="CharPartText"/>
        </w:rPr>
        <w:t xml:space="preserve"> </w:t>
      </w:r>
    </w:p>
    <w:p>
      <w:pPr>
        <w:pStyle w:val="Heading3"/>
        <w:rPr>
          <w:snapToGrid w:val="0"/>
        </w:rPr>
      </w:pPr>
      <w:bookmarkStart w:id="174" w:name="_Toc405453174"/>
      <w:bookmarkStart w:id="175" w:name="_Toc413336899"/>
      <w:bookmarkStart w:id="176" w:name="_Toc413337175"/>
      <w:bookmarkStart w:id="177" w:name="_Toc413337000"/>
      <w:r>
        <w:rPr>
          <w:rStyle w:val="CharDivNo"/>
        </w:rPr>
        <w:t>Division 1</w:t>
      </w:r>
      <w:r>
        <w:rPr>
          <w:snapToGrid w:val="0"/>
        </w:rPr>
        <w:t> — </w:t>
      </w:r>
      <w:r>
        <w:rPr>
          <w:rStyle w:val="CharDivText"/>
        </w:rPr>
        <w:t>General</w:t>
      </w:r>
      <w:bookmarkEnd w:id="174"/>
      <w:bookmarkEnd w:id="175"/>
      <w:bookmarkEnd w:id="176"/>
      <w:bookmarkEnd w:id="177"/>
      <w:r>
        <w:rPr>
          <w:rStyle w:val="CharDivText"/>
        </w:rPr>
        <w:t xml:space="preserve"> </w:t>
      </w:r>
    </w:p>
    <w:p>
      <w:pPr>
        <w:pStyle w:val="Heading5"/>
        <w:spacing w:before="120"/>
        <w:rPr>
          <w:snapToGrid w:val="0"/>
        </w:rPr>
      </w:pPr>
      <w:bookmarkStart w:id="178" w:name="_Toc405453175"/>
      <w:bookmarkStart w:id="179" w:name="_Toc413337001"/>
      <w:r>
        <w:rPr>
          <w:rStyle w:val="CharSectno"/>
        </w:rPr>
        <w:t>46</w:t>
      </w:r>
      <w:r>
        <w:rPr>
          <w:snapToGrid w:val="0"/>
        </w:rPr>
        <w:t>.</w:t>
      </w:r>
      <w:r>
        <w:rPr>
          <w:snapToGrid w:val="0"/>
        </w:rPr>
        <w:tab/>
        <w:t>Principles and considerations to be applied to young offenders</w:t>
      </w:r>
      <w:bookmarkEnd w:id="178"/>
      <w:bookmarkEnd w:id="179"/>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 and</w:t>
      </w:r>
    </w:p>
    <w:p>
      <w:pPr>
        <w:pStyle w:val="Indenta"/>
        <w:rPr>
          <w:snapToGrid w:val="0"/>
        </w:rPr>
      </w:pPr>
      <w:r>
        <w:rPr>
          <w:snapToGrid w:val="0"/>
        </w:rPr>
        <w:tab/>
        <w:t>(b)</w:t>
      </w:r>
      <w:r>
        <w:rPr>
          <w:snapToGrid w:val="0"/>
        </w:rPr>
        <w:tab/>
        <w:t>any history of offences previously committed by the offender; and</w:t>
      </w:r>
    </w:p>
    <w:p>
      <w:pPr>
        <w:pStyle w:val="Indenta"/>
        <w:rPr>
          <w:snapToGrid w:val="0"/>
        </w:rPr>
      </w:pPr>
      <w:r>
        <w:rPr>
          <w:snapToGrid w:val="0"/>
        </w:rPr>
        <w:tab/>
        <w:t>(c)</w:t>
      </w:r>
      <w:r>
        <w:rPr>
          <w:snapToGrid w:val="0"/>
        </w:rPr>
        <w:tab/>
        <w:t>the cultural background of the offender; and</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w:t>
      </w:r>
      <w:del w:id="180" w:author="svcMRProcess" w:date="2020-02-21T14:22:00Z">
        <w:r>
          <w:rPr>
            <w:snapToGrid w:val="0"/>
          </w:rPr>
          <w:delText xml:space="preserve">section 106 of </w:delText>
        </w:r>
      </w:del>
      <w:r>
        <w:t xml:space="preserve">the </w:t>
      </w:r>
      <w:r>
        <w:rPr>
          <w:i/>
          <w:iCs/>
        </w:rPr>
        <w:t xml:space="preserve">Road Traffic </w:t>
      </w:r>
      <w:ins w:id="181" w:author="svcMRProcess" w:date="2020-02-21T14:22:00Z">
        <w:r>
          <w:rPr>
            <w:i/>
            <w:iCs/>
          </w:rPr>
          <w:t xml:space="preserve">(Administration) </w:t>
        </w:r>
      </w:ins>
      <w:r>
        <w:rPr>
          <w:i/>
          <w:iCs/>
        </w:rPr>
        <w:t>Act </w:t>
      </w:r>
      <w:del w:id="182" w:author="svcMRProcess" w:date="2020-02-21T14:22:00Z">
        <w:r>
          <w:rPr>
            <w:i/>
            <w:snapToGrid w:val="0"/>
          </w:rPr>
          <w:delText>1974</w:delText>
        </w:r>
      </w:del>
      <w:ins w:id="183" w:author="svcMRProcess" w:date="2020-02-21T14:22:00Z">
        <w:r>
          <w:rPr>
            <w:i/>
            <w:iCs/>
          </w:rPr>
          <w:t>2008</w:t>
        </w:r>
        <w:r>
          <w:t xml:space="preserve"> section 121</w:t>
        </w:r>
      </w:ins>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[Section 46 amended by No. 78 of 1995 s. 145</w:t>
      </w:r>
      <w:ins w:id="184" w:author="svcMRProcess" w:date="2020-02-21T14:22:00Z">
        <w:r>
          <w:t>; No. 8 of 2012 s. 201</w:t>
        </w:r>
      </w:ins>
      <w:r>
        <w:t xml:space="preserve">.] </w:t>
      </w:r>
    </w:p>
    <w:p>
      <w:pPr>
        <w:pStyle w:val="Heading5"/>
        <w:rPr>
          <w:snapToGrid w:val="0"/>
        </w:rPr>
      </w:pPr>
      <w:bookmarkStart w:id="185" w:name="_Toc405453176"/>
      <w:bookmarkStart w:id="186" w:name="_Toc413337002"/>
      <w:r>
        <w:rPr>
          <w:rStyle w:val="CharSectno"/>
        </w:rPr>
        <w:t>46A</w:t>
      </w:r>
      <w:r>
        <w:rPr>
          <w:snapToGrid w:val="0"/>
        </w:rPr>
        <w:t>.</w:t>
      </w:r>
      <w:r>
        <w:rPr>
          <w:snapToGrid w:val="0"/>
        </w:rPr>
        <w:tab/>
        <w:t xml:space="preserve">Application of </w:t>
      </w:r>
      <w:r>
        <w:rPr>
          <w:i/>
          <w:snapToGrid w:val="0"/>
        </w:rPr>
        <w:t>Sentencing Act 1995</w:t>
      </w:r>
      <w:bookmarkEnd w:id="185"/>
      <w:bookmarkEnd w:id="186"/>
      <w:r>
        <w:rPr>
          <w:snapToGrid w:val="0"/>
        </w:rPr>
        <w:t xml:space="preserve"> </w:t>
      </w:r>
    </w:p>
    <w:p>
      <w:pPr>
        <w:pStyle w:val="Subsection"/>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 or</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rPr>
          <w:snapToGrid w:val="0"/>
        </w:rPr>
      </w:pPr>
      <w:r>
        <w:rPr>
          <w:snapToGrid w:val="0"/>
        </w:rPr>
        <w:tab/>
        <w:t>(b)</w:t>
      </w:r>
      <w:r>
        <w:rPr>
          <w:snapToGrid w:val="0"/>
        </w:rPr>
        <w:tab/>
        <w:t>in a case to which section 50B applies.</w:t>
      </w:r>
    </w:p>
    <w:p>
      <w:pPr>
        <w:pStyle w:val="Footnotesection"/>
      </w:pPr>
      <w:r>
        <w:tab/>
        <w:t xml:space="preserve">[Section 46A inserted by No. 78 of 1995 s. 140.] </w:t>
      </w:r>
    </w:p>
    <w:p>
      <w:pPr>
        <w:pStyle w:val="Heading5"/>
        <w:rPr>
          <w:snapToGrid w:val="0"/>
        </w:rPr>
      </w:pPr>
      <w:bookmarkStart w:id="187" w:name="_Toc405453177"/>
      <w:bookmarkStart w:id="188" w:name="_Toc413337003"/>
      <w:r>
        <w:rPr>
          <w:rStyle w:val="CharSectno"/>
        </w:rPr>
        <w:t>47</w:t>
      </w:r>
      <w:r>
        <w:rPr>
          <w:snapToGrid w:val="0"/>
        </w:rPr>
        <w:t>.</w:t>
      </w:r>
      <w:r>
        <w:rPr>
          <w:snapToGrid w:val="0"/>
        </w:rPr>
        <w:tab/>
        <w:t>Court may request information</w:t>
      </w:r>
      <w:bookmarkEnd w:id="187"/>
      <w:bookmarkEnd w:id="188"/>
      <w:r>
        <w:rPr>
          <w:snapToGrid w:val="0"/>
        </w:rPr>
        <w:t xml:space="preserve"> </w:t>
      </w:r>
    </w:p>
    <w:p>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rPr>
          <w:snapToGrid w:val="0"/>
        </w:rPr>
      </w:pPr>
      <w:r>
        <w:rPr>
          <w:snapToGrid w:val="0"/>
        </w:rPr>
        <w:tab/>
        <w:t>(3)</w:t>
      </w:r>
      <w:r>
        <w:rPr>
          <w:snapToGrid w:val="0"/>
        </w:rPr>
        <w:tab/>
        <w:t>The chief executive officer is to cause the requested reports to be prepared and submitted to the court.</w:t>
      </w:r>
    </w:p>
    <w:p>
      <w:pPr>
        <w:pStyle w:val="Heading5"/>
        <w:rPr>
          <w:snapToGrid w:val="0"/>
        </w:rPr>
      </w:pPr>
      <w:bookmarkStart w:id="189" w:name="_Toc405453178"/>
      <w:bookmarkStart w:id="190" w:name="_Toc413337006"/>
      <w:r>
        <w:rPr>
          <w:rStyle w:val="CharSectno"/>
        </w:rPr>
        <w:t>48</w:t>
      </w:r>
      <w:r>
        <w:rPr>
          <w:snapToGrid w:val="0"/>
        </w:rPr>
        <w:t>.</w:t>
      </w:r>
      <w:r>
        <w:rPr>
          <w:snapToGrid w:val="0"/>
        </w:rPr>
        <w:tab/>
        <w:t>Certain reports required</w:t>
      </w:r>
      <w:bookmarkEnd w:id="189"/>
      <w:bookmarkEnd w:id="190"/>
      <w:r>
        <w:rPr>
          <w:snapToGrid w:val="0"/>
        </w:rPr>
        <w:t xml:space="preserve"> </w:t>
      </w:r>
    </w:p>
    <w:p>
      <w:pPr>
        <w:pStyle w:val="Subsection"/>
        <w:rPr>
          <w:snapToGrid w:val="0"/>
        </w:rPr>
      </w:pPr>
      <w:r>
        <w:rPr>
          <w:snapToGrid w:val="0"/>
        </w:rPr>
        <w:tab/>
        <w:t>(1)</w:t>
      </w:r>
      <w:r>
        <w:rPr>
          <w:snapToGrid w:val="0"/>
        </w:rPr>
        <w:tab/>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rPr>
          <w:snapToGrid w:val="0"/>
        </w:rPr>
      </w:pPr>
      <w:r>
        <w:rPr>
          <w:snapToGrid w:val="0"/>
        </w:rPr>
        <w:tab/>
        <w:t>(3)</w:t>
      </w:r>
      <w:r>
        <w:rPr>
          <w:snapToGrid w:val="0"/>
        </w:rPr>
        <w:tab/>
        <w:t>The court is to consider the report and, if the court thinks necessary, hear an officer of the Department on the matter.</w:t>
      </w:r>
    </w:p>
    <w:p>
      <w:pPr>
        <w:pStyle w:val="Footnotesection"/>
      </w:pPr>
      <w:r>
        <w:tab/>
        <w:t>[Section 48. Modifications to be applied in order to give effect to Cross-border Justice Act 2008: section altered 1 Dec 2009. See endnote 1M.]</w:t>
      </w:r>
    </w:p>
    <w:p>
      <w:pPr>
        <w:pStyle w:val="Heading5"/>
        <w:rPr>
          <w:snapToGrid w:val="0"/>
        </w:rPr>
      </w:pPr>
      <w:bookmarkStart w:id="191" w:name="_Toc405453179"/>
      <w:bookmarkStart w:id="192" w:name="_Toc413337008"/>
      <w:r>
        <w:rPr>
          <w:rStyle w:val="CharSectno"/>
        </w:rPr>
        <w:t>49</w:t>
      </w:r>
      <w:r>
        <w:rPr>
          <w:snapToGrid w:val="0"/>
        </w:rPr>
        <w:t>.</w:t>
      </w:r>
      <w:r>
        <w:rPr>
          <w:snapToGrid w:val="0"/>
        </w:rPr>
        <w:tab/>
        <w:t>Remand for observation</w:t>
      </w:r>
      <w:bookmarkEnd w:id="191"/>
      <w:bookmarkEnd w:id="192"/>
      <w:r>
        <w:rPr>
          <w:snapToGrid w:val="0"/>
        </w:rPr>
        <w:t xml:space="preserve"> </w:t>
      </w:r>
    </w:p>
    <w:p>
      <w:pPr>
        <w:pStyle w:val="Subsection"/>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keepNext/>
        <w:rPr>
          <w:snapToGrid w:val="0"/>
        </w:rPr>
      </w:pPr>
      <w:r>
        <w:rPr>
          <w:snapToGrid w:val="0"/>
        </w:rPr>
        <w:tab/>
        <w:t>(b)</w:t>
      </w:r>
      <w:r>
        <w:rPr>
          <w:snapToGrid w:val="0"/>
        </w:rPr>
        <w:tab/>
        <w:t>should be remanded for observation, assessment and recommendation as to his future treatment,</w:t>
      </w:r>
    </w:p>
    <w:p>
      <w:pPr>
        <w:pStyle w:val="Subsection"/>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rPr>
          <w:snapToGrid w:val="0"/>
        </w:rPr>
      </w:pPr>
      <w:bookmarkStart w:id="193" w:name="_Toc405453180"/>
      <w:bookmarkStart w:id="194" w:name="_Toc413337009"/>
      <w:r>
        <w:rPr>
          <w:rStyle w:val="CharSectno"/>
        </w:rPr>
        <w:t>50</w:t>
      </w:r>
      <w:r>
        <w:rPr>
          <w:snapToGrid w:val="0"/>
        </w:rPr>
        <w:t>.</w:t>
      </w:r>
      <w:r>
        <w:rPr>
          <w:snapToGrid w:val="0"/>
        </w:rPr>
        <w:tab/>
        <w:t>Offender aged under 17 at time of sentence, options</w:t>
      </w:r>
      <w:bookmarkEnd w:id="193"/>
      <w:bookmarkEnd w:id="194"/>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under 17 </w:t>
      </w:r>
      <w:r>
        <w:t>years old (the</w:t>
      </w:r>
      <w:r>
        <w:rPr>
          <w:b/>
          <w:i/>
          <w:snapToGrid w:val="0"/>
        </w:rPr>
        <w:t xml:space="preserve"> </w:t>
      </w:r>
      <w:r>
        <w:rPr>
          <w:rStyle w:val="CharDefText"/>
        </w:rPr>
        <w:t>offender</w:t>
      </w:r>
      <w:r>
        <w:rPr>
          <w:snapToGrid w:val="0"/>
        </w:rPr>
        <w:t>).</w:t>
      </w:r>
    </w:p>
    <w:p>
      <w:pPr>
        <w:pStyle w:val="Subsection"/>
        <w:rPr>
          <w:snapToGrid w:val="0"/>
        </w:rPr>
      </w:pPr>
      <w:r>
        <w:rPr>
          <w:snapToGrid w:val="0"/>
        </w:rPr>
        <w:tab/>
        <w:t>(2)</w:t>
      </w:r>
      <w:r>
        <w:rPr>
          <w:snapToGrid w:val="0"/>
        </w:rPr>
        <w:tab/>
        <w:t>The court dealing with the offender must dispose of the matter in one of the ways provided for in this Part.</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pPr>
      <w:r>
        <w:tab/>
        <w:t xml:space="preserve">[Section 50 inserted by No. 78 of 1995 s. 142.] </w:t>
      </w:r>
    </w:p>
    <w:p>
      <w:pPr>
        <w:pStyle w:val="Heading5"/>
        <w:rPr>
          <w:snapToGrid w:val="0"/>
        </w:rPr>
      </w:pPr>
      <w:bookmarkStart w:id="195" w:name="_Toc405453181"/>
      <w:bookmarkStart w:id="196" w:name="_Toc413337010"/>
      <w:r>
        <w:rPr>
          <w:rStyle w:val="CharSectno"/>
        </w:rPr>
        <w:t>50A</w:t>
      </w:r>
      <w:r>
        <w:rPr>
          <w:snapToGrid w:val="0"/>
        </w:rPr>
        <w:t>.</w:t>
      </w:r>
      <w:r>
        <w:rPr>
          <w:snapToGrid w:val="0"/>
        </w:rPr>
        <w:tab/>
        <w:t>Offender aged 17 or over but under 18 at time of sentence, options</w:t>
      </w:r>
      <w:bookmarkEnd w:id="195"/>
      <w:bookmarkEnd w:id="196"/>
      <w:r>
        <w:rPr>
          <w:snapToGrid w:val="0"/>
        </w:rPr>
        <w:t xml:space="preserve"> </w:t>
      </w:r>
    </w:p>
    <w:p>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at least 17 years old but under 18 years </w:t>
      </w:r>
      <w:r>
        <w:t>old (the</w:t>
      </w:r>
      <w:r>
        <w:rPr>
          <w:b/>
          <w:i/>
          <w:snapToGrid w:val="0"/>
        </w:rPr>
        <w:t xml:space="preserve"> </w:t>
      </w:r>
      <w:r>
        <w:rPr>
          <w:rStyle w:val="CharDefText"/>
        </w:rPr>
        <w:t>offender</w:t>
      </w:r>
      <w:r>
        <w:rPr>
          <w:snapToGrid w:val="0"/>
        </w:rPr>
        <w:t>).</w:t>
      </w:r>
    </w:p>
    <w:p>
      <w:pPr>
        <w:pStyle w:val="Subsection"/>
        <w:keepNext/>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by No. 78 of 1995 s. 142; amended by No. 50 of 2003 s. 29(3).] </w:t>
      </w:r>
    </w:p>
    <w:p>
      <w:pPr>
        <w:pStyle w:val="Heading5"/>
        <w:rPr>
          <w:snapToGrid w:val="0"/>
        </w:rPr>
      </w:pPr>
      <w:bookmarkStart w:id="197" w:name="_Toc405453182"/>
      <w:bookmarkStart w:id="198" w:name="_Toc413337011"/>
      <w:r>
        <w:rPr>
          <w:rStyle w:val="CharSectno"/>
        </w:rPr>
        <w:t>50B</w:t>
      </w:r>
      <w:r>
        <w:rPr>
          <w:snapToGrid w:val="0"/>
        </w:rPr>
        <w:t>.</w:t>
      </w:r>
      <w:r>
        <w:rPr>
          <w:snapToGrid w:val="0"/>
        </w:rPr>
        <w:tab/>
        <w:t>Offender aged 18 or over at time of sentence, options</w:t>
      </w:r>
      <w:bookmarkEnd w:id="197"/>
      <w:bookmarkEnd w:id="198"/>
      <w:r>
        <w:rPr>
          <w:snapToGrid w:val="0"/>
        </w:rPr>
        <w:t xml:space="preserve"> </w:t>
      </w:r>
    </w:p>
    <w:p>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18 years old or </w:t>
      </w:r>
      <w:r>
        <w:t>older (the</w:t>
      </w:r>
      <w:r>
        <w:rPr>
          <w:b/>
          <w:i/>
          <w:snapToGrid w:val="0"/>
        </w:rPr>
        <w:t xml:space="preserve"> </w:t>
      </w:r>
      <w:r>
        <w:rPr>
          <w:rStyle w:val="CharDefText"/>
        </w:rPr>
        <w:t>offender</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by No. 78 of 1995 s. 142; amended by No. 50 of 2003 s. 29(3).] </w:t>
      </w:r>
    </w:p>
    <w:p>
      <w:pPr>
        <w:pStyle w:val="Heading5"/>
        <w:rPr>
          <w:snapToGrid w:val="0"/>
        </w:rPr>
      </w:pPr>
      <w:bookmarkStart w:id="199" w:name="_Toc405453183"/>
      <w:bookmarkStart w:id="200" w:name="_Toc413337012"/>
      <w:r>
        <w:rPr>
          <w:rStyle w:val="CharSectno"/>
        </w:rPr>
        <w:t>51</w:t>
      </w:r>
      <w:r>
        <w:rPr>
          <w:snapToGrid w:val="0"/>
        </w:rPr>
        <w:t>.</w:t>
      </w:r>
      <w:r>
        <w:rPr>
          <w:snapToGrid w:val="0"/>
        </w:rPr>
        <w:tab/>
        <w:t>Responsible adult to be present for certain orders</w:t>
      </w:r>
      <w:bookmarkEnd w:id="199"/>
      <w:bookmarkEnd w:id="200"/>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201" w:name="_Toc405453184"/>
      <w:bookmarkStart w:id="202" w:name="_Toc413337013"/>
      <w:r>
        <w:rPr>
          <w:rStyle w:val="CharSectno"/>
        </w:rPr>
        <w:t>52</w:t>
      </w:r>
      <w:r>
        <w:rPr>
          <w:snapToGrid w:val="0"/>
        </w:rPr>
        <w:t>.</w:t>
      </w:r>
      <w:r>
        <w:rPr>
          <w:snapToGrid w:val="0"/>
        </w:rPr>
        <w:tab/>
        <w:t>Order requiring consent to be explained</w:t>
      </w:r>
      <w:bookmarkEnd w:id="201"/>
      <w:bookmarkEnd w:id="202"/>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spacing w:before="180"/>
      </w:pPr>
      <w:r>
        <w:t>[</w:t>
      </w:r>
      <w:r>
        <w:rPr>
          <w:b/>
        </w:rPr>
        <w:t>53.</w:t>
      </w:r>
      <w:r>
        <w:t xml:space="preserve"> </w:t>
      </w:r>
      <w:r>
        <w:tab/>
        <w:t xml:space="preserve">Deleted by No. 78 of 1995 s. 145.] </w:t>
      </w:r>
    </w:p>
    <w:p>
      <w:pPr>
        <w:pStyle w:val="Heading5"/>
        <w:spacing w:before="180"/>
        <w:rPr>
          <w:snapToGrid w:val="0"/>
        </w:rPr>
      </w:pPr>
      <w:bookmarkStart w:id="203" w:name="_Toc405453185"/>
      <w:bookmarkStart w:id="204" w:name="_Toc413337014"/>
      <w:r>
        <w:rPr>
          <w:rStyle w:val="CharSectno"/>
        </w:rPr>
        <w:t>54</w:t>
      </w:r>
      <w:r>
        <w:rPr>
          <w:snapToGrid w:val="0"/>
        </w:rPr>
        <w:t>.</w:t>
      </w:r>
      <w:r>
        <w:rPr>
          <w:snapToGrid w:val="0"/>
        </w:rPr>
        <w:tab/>
        <w:t>Body samples may be required to be provided</w:t>
      </w:r>
      <w:bookmarkEnd w:id="203"/>
      <w:bookmarkEnd w:id="204"/>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by No. 58 of 2004 s. 21.]</w:t>
      </w:r>
    </w:p>
    <w:p>
      <w:pPr>
        <w:pStyle w:val="Heading5"/>
        <w:spacing w:before="180"/>
        <w:rPr>
          <w:snapToGrid w:val="0"/>
        </w:rPr>
      </w:pPr>
      <w:bookmarkStart w:id="205" w:name="_Toc405453186"/>
      <w:bookmarkStart w:id="206" w:name="_Toc413337015"/>
      <w:r>
        <w:rPr>
          <w:rStyle w:val="CharSectno"/>
        </w:rPr>
        <w:t>55</w:t>
      </w:r>
      <w:r>
        <w:rPr>
          <w:snapToGrid w:val="0"/>
        </w:rPr>
        <w:t>.</w:t>
      </w:r>
      <w:r>
        <w:rPr>
          <w:snapToGrid w:val="0"/>
        </w:rPr>
        <w:tab/>
        <w:t>Conviction, when to be recorded</w:t>
      </w:r>
      <w:bookmarkEnd w:id="205"/>
      <w:bookmarkEnd w:id="206"/>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spacing w:before="120"/>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spacing w:before="120"/>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spacing w:before="120"/>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spacing w:before="120"/>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w:t>
      </w:r>
      <w:ins w:id="207" w:author="svcMRProcess" w:date="2020-02-21T14:22:00Z">
        <w:r>
          <w:t xml:space="preserve">a road law as defined in </w:t>
        </w:r>
      </w:ins>
      <w:r>
        <w:t xml:space="preserve">the </w:t>
      </w:r>
      <w:r>
        <w:rPr>
          <w:i/>
          <w:iCs/>
        </w:rPr>
        <w:t xml:space="preserve">Road Traffic </w:t>
      </w:r>
      <w:ins w:id="208" w:author="svcMRProcess" w:date="2020-02-21T14:22:00Z">
        <w:r>
          <w:rPr>
            <w:i/>
            <w:iCs/>
          </w:rPr>
          <w:t xml:space="preserve">(Administration) </w:t>
        </w:r>
      </w:ins>
      <w:r>
        <w:rPr>
          <w:i/>
          <w:iCs/>
        </w:rPr>
        <w:t>Act </w:t>
      </w:r>
      <w:del w:id="209" w:author="svcMRProcess" w:date="2020-02-21T14:22:00Z">
        <w:r>
          <w:rPr>
            <w:i/>
            <w:snapToGrid w:val="0"/>
          </w:rPr>
          <w:delText>1974</w:delText>
        </w:r>
      </w:del>
      <w:ins w:id="210" w:author="svcMRProcess" w:date="2020-02-21T14:22:00Z">
        <w:r>
          <w:rPr>
            <w:i/>
            <w:iCs/>
          </w:rPr>
          <w:t xml:space="preserve">2008 </w:t>
        </w:r>
        <w:r>
          <w:t>section 4</w:t>
        </w:r>
      </w:ins>
      <w:r>
        <w:t xml:space="preserve"> </w:t>
      </w:r>
      <w:r>
        <w:rPr>
          <w:snapToGrid w:val="0"/>
        </w:rPr>
        <w:t xml:space="preserve">relating to the cancellation of, or disqualification from holding or obtaining, a driver’s licence </w:t>
      </w:r>
      <w:del w:id="211" w:author="svcMRProcess" w:date="2020-02-21T14:22:00Z">
        <w:r>
          <w:rPr>
            <w:snapToGrid w:val="0"/>
          </w:rPr>
          <w:delText>under</w:delText>
        </w:r>
      </w:del>
      <w:ins w:id="212" w:author="svcMRProcess" w:date="2020-02-21T14:22:00Z">
        <w:r>
          <w:t>as defined in</w:t>
        </w:r>
      </w:ins>
      <w:r>
        <w:t xml:space="preserve"> that </w:t>
      </w:r>
      <w:del w:id="213" w:author="svcMRProcess" w:date="2020-02-21T14:22:00Z">
        <w:r>
          <w:rPr>
            <w:snapToGrid w:val="0"/>
          </w:rPr>
          <w:delText>Act</w:delText>
        </w:r>
      </w:del>
      <w:ins w:id="214" w:author="svcMRProcess" w:date="2020-02-21T14:22:00Z">
        <w:r>
          <w:t>section</w:t>
        </w:r>
      </w:ins>
      <w:r>
        <w:rPr>
          <w:snapToGrid w:val="0"/>
        </w:rPr>
        <w:t xml:space="preserve">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r>
        <w:tab/>
        <w:t>(6)</w:t>
      </w:r>
      <w:r>
        <w:tab/>
        <w:t xml:space="preserve">The powers in this section may be exercised despite section 147(1) of the </w:t>
      </w:r>
      <w:r>
        <w:rPr>
          <w:i/>
        </w:rPr>
        <w:t>Criminal Procedure Act 2004</w:t>
      </w:r>
      <w:r>
        <w:t>.</w:t>
      </w:r>
    </w:p>
    <w:p>
      <w:pPr>
        <w:pStyle w:val="Footnotesection"/>
      </w:pPr>
      <w:r>
        <w:tab/>
        <w:t>[Section 55 amended by No. 84 of 2004 s. </w:t>
      </w:r>
      <w:del w:id="215" w:author="svcMRProcess" w:date="2020-02-21T14:22:00Z">
        <w:r>
          <w:delText>74</w:delText>
        </w:r>
      </w:del>
      <w:ins w:id="216" w:author="svcMRProcess" w:date="2020-02-21T14:22:00Z">
        <w:r>
          <w:t>74; No. 8 of 2012 s. 202</w:t>
        </w:r>
      </w:ins>
      <w:r>
        <w:t>.]</w:t>
      </w:r>
    </w:p>
    <w:p>
      <w:pPr>
        <w:pStyle w:val="Heading5"/>
        <w:rPr>
          <w:snapToGrid w:val="0"/>
        </w:rPr>
      </w:pPr>
      <w:bookmarkStart w:id="217" w:name="_Toc405453187"/>
      <w:bookmarkStart w:id="218" w:name="_Toc413337016"/>
      <w:r>
        <w:rPr>
          <w:rStyle w:val="CharSectno"/>
        </w:rPr>
        <w:t>56</w:t>
      </w:r>
      <w:r>
        <w:rPr>
          <w:snapToGrid w:val="0"/>
        </w:rPr>
        <w:t>.</w:t>
      </w:r>
      <w:r>
        <w:rPr>
          <w:snapToGrid w:val="0"/>
        </w:rPr>
        <w:tab/>
        <w:t>Compensation and restitution, orders for</w:t>
      </w:r>
      <w:bookmarkEnd w:id="217"/>
      <w:bookmarkEnd w:id="218"/>
      <w:r>
        <w:rPr>
          <w:snapToGrid w:val="0"/>
        </w:rPr>
        <w:t xml:space="preserve"> </w:t>
      </w:r>
    </w:p>
    <w:p>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r>
        <w:tab/>
        <w:t>[Section 56 amended by No. 59 of 2004 s. 141.]</w:t>
      </w:r>
    </w:p>
    <w:p>
      <w:pPr>
        <w:pStyle w:val="Heading5"/>
        <w:rPr>
          <w:snapToGrid w:val="0"/>
        </w:rPr>
      </w:pPr>
      <w:bookmarkStart w:id="219" w:name="_Toc405453188"/>
      <w:bookmarkStart w:id="220" w:name="_Toc413337017"/>
      <w:r>
        <w:rPr>
          <w:rStyle w:val="CharSectno"/>
        </w:rPr>
        <w:t>57</w:t>
      </w:r>
      <w:r>
        <w:rPr>
          <w:snapToGrid w:val="0"/>
        </w:rPr>
        <w:t>.</w:t>
      </w:r>
      <w:r>
        <w:rPr>
          <w:snapToGrid w:val="0"/>
        </w:rPr>
        <w:tab/>
        <w:t>Costs may be ordered to be paid</w:t>
      </w:r>
      <w:bookmarkEnd w:id="219"/>
      <w:bookmarkEnd w:id="220"/>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221" w:name="_Toc405453189"/>
      <w:bookmarkStart w:id="222" w:name="_Toc413337018"/>
      <w:r>
        <w:rPr>
          <w:rStyle w:val="CharSectno"/>
        </w:rPr>
        <w:t>58</w:t>
      </w:r>
      <w:r>
        <w:rPr>
          <w:snapToGrid w:val="0"/>
        </w:rPr>
        <w:t>.</w:t>
      </w:r>
      <w:r>
        <w:rPr>
          <w:snapToGrid w:val="0"/>
        </w:rPr>
        <w:tab/>
        <w:t>Responsible adult may be made liable for fine etc.</w:t>
      </w:r>
      <w:bookmarkEnd w:id="221"/>
      <w:bookmarkEnd w:id="222"/>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pPr>
        <w:pStyle w:val="Subsection"/>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rPr>
          <w:snapToGrid w:val="0"/>
        </w:rPr>
      </w:pPr>
      <w:r>
        <w:rPr>
          <w:snapToGrid w:val="0"/>
        </w:rPr>
        <w:tab/>
        <w:t>(4)</w:t>
      </w:r>
      <w:r>
        <w:rPr>
          <w:snapToGrid w:val="0"/>
        </w:rPr>
        <w:tab/>
        <w:t>In an order for payment of any sum, the court may direct that such sum be paid by periodical payments.</w:t>
      </w:r>
    </w:p>
    <w:p>
      <w:pPr>
        <w:pStyle w:val="Subsection"/>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rPr>
          <w:snapToGrid w:val="0"/>
        </w:rPr>
      </w:pPr>
      <w:r>
        <w:rPr>
          <w:snapToGrid w:val="0"/>
        </w:rPr>
        <w:tab/>
        <w:t>(6)</w:t>
      </w:r>
      <w:r>
        <w:rPr>
          <w:snapToGrid w:val="0"/>
        </w:rPr>
        <w:tab/>
        <w:t>An order under subsection (2) or (5) may be made against more than one responsible adult.</w:t>
      </w:r>
    </w:p>
    <w:p>
      <w:pPr>
        <w:pStyle w:val="Subsection"/>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rPr>
          <w:snapToGrid w:val="0"/>
        </w:rPr>
      </w:pPr>
      <w:bookmarkStart w:id="223" w:name="_Toc405453190"/>
      <w:bookmarkStart w:id="224" w:name="_Toc413337019"/>
      <w:r>
        <w:rPr>
          <w:rStyle w:val="CharSectno"/>
        </w:rPr>
        <w:t>59</w:t>
      </w:r>
      <w:r>
        <w:rPr>
          <w:snapToGrid w:val="0"/>
        </w:rPr>
        <w:t>.</w:t>
      </w:r>
      <w:r>
        <w:rPr>
          <w:snapToGrid w:val="0"/>
        </w:rPr>
        <w:tab/>
        <w:t>Court orders to be provided in writing</w:t>
      </w:r>
      <w:bookmarkEnd w:id="223"/>
      <w:bookmarkEnd w:id="224"/>
      <w:r>
        <w:rPr>
          <w:snapToGrid w:val="0"/>
        </w:rPr>
        <w:t xml:space="preserve"> </w:t>
      </w:r>
    </w:p>
    <w:p>
      <w:pPr>
        <w:pStyle w:val="Subsection"/>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 and</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by No. 59 of 2004 s. 141.]</w:t>
      </w:r>
    </w:p>
    <w:p>
      <w:pPr>
        <w:pStyle w:val="Heading5"/>
      </w:pPr>
      <w:bookmarkStart w:id="225" w:name="_Toc405453191"/>
      <w:bookmarkStart w:id="226" w:name="_Toc413337020"/>
      <w:r>
        <w:rPr>
          <w:rStyle w:val="CharSectno"/>
        </w:rPr>
        <w:t>60</w:t>
      </w:r>
      <w:r>
        <w:t>.</w:t>
      </w:r>
      <w:r>
        <w:tab/>
        <w:t>Orders etc. under this Part are sentences</w:t>
      </w:r>
      <w:bookmarkEnd w:id="225"/>
      <w:bookmarkEnd w:id="226"/>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by No. 84 of 2004 s. 75.]</w:t>
      </w:r>
    </w:p>
    <w:p>
      <w:pPr>
        <w:pStyle w:val="Ednotesection"/>
      </w:pPr>
      <w:r>
        <w:t>[</w:t>
      </w:r>
      <w:r>
        <w:rPr>
          <w:b/>
        </w:rPr>
        <w:t>61.</w:t>
      </w:r>
      <w:r>
        <w:tab/>
        <w:t xml:space="preserve">Deleted by No. 92 of 1994 s. 44.] </w:t>
      </w:r>
    </w:p>
    <w:p>
      <w:pPr>
        <w:pStyle w:val="Heading5"/>
        <w:rPr>
          <w:snapToGrid w:val="0"/>
        </w:rPr>
      </w:pPr>
      <w:bookmarkStart w:id="227" w:name="_Toc405453192"/>
      <w:bookmarkStart w:id="228" w:name="_Toc413337021"/>
      <w:r>
        <w:rPr>
          <w:rStyle w:val="CharSectno"/>
        </w:rPr>
        <w:t>62</w:t>
      </w:r>
      <w:r>
        <w:rPr>
          <w:snapToGrid w:val="0"/>
        </w:rPr>
        <w:t>.</w:t>
      </w:r>
      <w:r>
        <w:rPr>
          <w:snapToGrid w:val="0"/>
        </w:rPr>
        <w:tab/>
        <w:t>Workers’ compensation for compulsory work</w:t>
      </w:r>
      <w:bookmarkEnd w:id="227"/>
      <w:bookmarkEnd w:id="228"/>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by No. 42 of 2004 s. 174.]</w:t>
      </w:r>
    </w:p>
    <w:p>
      <w:pPr>
        <w:pStyle w:val="Heading5"/>
        <w:rPr>
          <w:snapToGrid w:val="0"/>
        </w:rPr>
      </w:pPr>
      <w:bookmarkStart w:id="229" w:name="_Toc405453193"/>
      <w:bookmarkStart w:id="230" w:name="_Toc413337022"/>
      <w:r>
        <w:rPr>
          <w:rStyle w:val="CharSectno"/>
        </w:rPr>
        <w:t>63</w:t>
      </w:r>
      <w:r>
        <w:rPr>
          <w:snapToGrid w:val="0"/>
        </w:rPr>
        <w:t>.</w:t>
      </w:r>
      <w:r>
        <w:rPr>
          <w:snapToGrid w:val="0"/>
        </w:rPr>
        <w:tab/>
        <w:t>Terms used</w:t>
      </w:r>
      <w:bookmarkEnd w:id="229"/>
      <w:bookmarkEnd w:id="230"/>
      <w:r>
        <w:rPr>
          <w:snapToGrid w:val="0"/>
        </w:rPr>
        <w:t xml:space="preserve"> </w:t>
      </w:r>
    </w:p>
    <w:p>
      <w:pPr>
        <w:pStyle w:val="Subsection"/>
        <w:keepNext/>
      </w:pPr>
      <w:r>
        <w:tab/>
      </w:r>
      <w:r>
        <w:tab/>
        <w:t>In this section and in sections 64 to 65C </w:t>
      </w:r>
      <w:r>
        <w:rPr>
          <w:snapToGrid w:val="0"/>
        </w:rPr>
        <w:t>— </w:t>
      </w:r>
    </w:p>
    <w:p>
      <w:pPr>
        <w:pStyle w:val="Defstart"/>
      </w:pPr>
      <w:r>
        <w:rPr>
          <w:b/>
        </w:rPr>
        <w:tab/>
      </w:r>
      <w:r>
        <w:rPr>
          <w:rStyle w:val="CharDefText"/>
        </w:rPr>
        <w:t>community work order</w:t>
      </w:r>
      <w:r>
        <w:t xml:space="preserve"> has the meaning given by section 65B;</w:t>
      </w:r>
    </w:p>
    <w:p>
      <w:pPr>
        <w:pStyle w:val="Defstart"/>
      </w:pPr>
      <w:r>
        <w:rPr>
          <w:b/>
        </w:rPr>
        <w:tab/>
      </w:r>
      <w:r>
        <w:rPr>
          <w:rStyle w:val="CharDefText"/>
        </w:rPr>
        <w:t>detention order</w:t>
      </w:r>
      <w:r>
        <w:t xml:space="preserve"> has the meaning given by section 65C;</w:t>
      </w:r>
    </w:p>
    <w:p>
      <w:pPr>
        <w:pStyle w:val="Defstart"/>
      </w:pPr>
      <w:r>
        <w:rPr>
          <w:b/>
        </w:rPr>
        <w:tab/>
      </w:r>
      <w:r>
        <w:rPr>
          <w:rStyle w:val="CharDefText"/>
        </w:rPr>
        <w:t>fine</w:t>
      </w:r>
      <w:r>
        <w:t xml:space="preserve"> has the same definition as in Part 4 of the </w:t>
      </w:r>
      <w:r>
        <w:rPr>
          <w:i/>
        </w:rPr>
        <w:t>Fines, Penalties and Infringement Notices Enforcement Act 1994</w:t>
      </w:r>
      <w:r>
        <w:t>.</w:t>
      </w:r>
    </w:p>
    <w:p>
      <w:pPr>
        <w:pStyle w:val="Footnotesection"/>
      </w:pPr>
      <w:r>
        <w:tab/>
        <w:t xml:space="preserve">[Section 63 inserted by No. 92 of 1994 s. 45.] </w:t>
      </w:r>
    </w:p>
    <w:p>
      <w:pPr>
        <w:pStyle w:val="Heading5"/>
        <w:rPr>
          <w:snapToGrid w:val="0"/>
        </w:rPr>
      </w:pPr>
      <w:bookmarkStart w:id="231" w:name="_Toc405453194"/>
      <w:bookmarkStart w:id="232" w:name="_Toc413337023"/>
      <w:r>
        <w:rPr>
          <w:rStyle w:val="CharSectno"/>
        </w:rPr>
        <w:t>64</w:t>
      </w:r>
      <w:r>
        <w:rPr>
          <w:snapToGrid w:val="0"/>
        </w:rPr>
        <w:t>.</w:t>
      </w:r>
      <w:r>
        <w:rPr>
          <w:snapToGrid w:val="0"/>
        </w:rPr>
        <w:tab/>
        <w:t>Enforcing payment by young person who has reached 18</w:t>
      </w:r>
      <w:bookmarkEnd w:id="231"/>
      <w:bookmarkEnd w:id="232"/>
    </w:p>
    <w:p>
      <w:pPr>
        <w:pStyle w:val="Subsection"/>
        <w:keepNext/>
        <w:rPr>
          <w:snapToGrid w:val="0"/>
        </w:rPr>
      </w:pPr>
      <w:r>
        <w:rPr>
          <w:snapToGrid w:val="0"/>
        </w:rPr>
        <w:tab/>
      </w:r>
      <w:r>
        <w:t>(1)</w:t>
      </w:r>
      <w:r>
        <w:tab/>
        <w:t>If a young person</w:t>
      </w:r>
      <w:r>
        <w:rPr>
          <w:snapToGrid w:val="0"/>
        </w:rPr>
        <w:t xml:space="preserve"> has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Subsection"/>
        <w:keepNext/>
      </w:pPr>
      <w:r>
        <w:tab/>
        <w:t>(2)</w:t>
      </w:r>
      <w:r>
        <w:tab/>
        <w:t xml:space="preserve">Without limiting subsection (1) — </w:t>
      </w:r>
    </w:p>
    <w:p>
      <w:pPr>
        <w:pStyle w:val="Indenta"/>
      </w:pPr>
      <w:r>
        <w:tab/>
        <w:t>(a)</w:t>
      </w:r>
      <w:r>
        <w:tab/>
        <w:t xml:space="preserve">the </w:t>
      </w:r>
      <w:r>
        <w:rPr>
          <w:i/>
        </w:rPr>
        <w:t>Fines, Penalties and Infringement Notices Enforcement Act 1994</w:t>
      </w:r>
      <w:r>
        <w:t xml:space="preserve"> section 32(2) applies to and in relation to a fine to which subsection (1)(a) applies; and</w:t>
      </w:r>
    </w:p>
    <w:p>
      <w:pPr>
        <w:pStyle w:val="Indenta"/>
      </w:pPr>
      <w:r>
        <w:tab/>
        <w:t>(b)</w:t>
      </w:r>
      <w:r>
        <w:tab/>
        <w:t xml:space="preserve">section 59A(2) of that Act applies to and in relation to — </w:t>
      </w:r>
    </w:p>
    <w:p>
      <w:pPr>
        <w:pStyle w:val="Indenti"/>
      </w:pPr>
      <w:r>
        <w:tab/>
        <w:t>(i)</w:t>
      </w:r>
      <w:r>
        <w:tab/>
        <w:t>a forfeited bail undertaking to which subsection (1)(b) applies; and</w:t>
      </w:r>
    </w:p>
    <w:p>
      <w:pPr>
        <w:pStyle w:val="Indenti"/>
        <w:rPr>
          <w:snapToGrid w:val="0"/>
        </w:rPr>
      </w:pPr>
      <w:r>
        <w:tab/>
        <w:t>(ii)</w:t>
      </w:r>
      <w:r>
        <w:tab/>
        <w:t>a forfeited recognisance to which subsection (1)(c) applies.</w:t>
      </w:r>
    </w:p>
    <w:p>
      <w:pPr>
        <w:pStyle w:val="Footnotesection"/>
        <w:ind w:left="890" w:hanging="890"/>
      </w:pPr>
      <w:r>
        <w:tab/>
        <w:t xml:space="preserve">[Section 64 inserted by No. 92 of 1994 s. 45; amended by No. 20 of 2013 s. 140.] </w:t>
      </w:r>
    </w:p>
    <w:p>
      <w:pPr>
        <w:pStyle w:val="Heading5"/>
        <w:rPr>
          <w:snapToGrid w:val="0"/>
        </w:rPr>
      </w:pPr>
      <w:bookmarkStart w:id="233" w:name="_Toc405453195"/>
      <w:bookmarkStart w:id="234" w:name="_Toc413337024"/>
      <w:r>
        <w:rPr>
          <w:rStyle w:val="CharSectno"/>
        </w:rPr>
        <w:t>65</w:t>
      </w:r>
      <w:r>
        <w:rPr>
          <w:snapToGrid w:val="0"/>
        </w:rPr>
        <w:t>.</w:t>
      </w:r>
      <w:r>
        <w:rPr>
          <w:snapToGrid w:val="0"/>
        </w:rPr>
        <w:tab/>
        <w:t>Enforcing payment by young person who has not reached 18</w:t>
      </w:r>
      <w:bookmarkEnd w:id="233"/>
      <w:bookmarkEnd w:id="234"/>
      <w:r>
        <w:rPr>
          <w:snapToGrid w:val="0"/>
        </w:rPr>
        <w:t xml:space="preserve"> </w:t>
      </w:r>
    </w:p>
    <w:p>
      <w:pPr>
        <w:pStyle w:val="Subsection"/>
        <w:keepNext/>
        <w:spacing w:before="180"/>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spacing w:before="18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pPr>
      <w:r>
        <w:tab/>
        <w:t>(3A)</w:t>
      </w:r>
      <w:r>
        <w:tab/>
        <w:t xml:space="preserve">The </w:t>
      </w:r>
      <w:r>
        <w:rPr>
          <w:i/>
        </w:rPr>
        <w:t>Fines, Penalties and Infringement Notices Enforcement Act 1994</w:t>
      </w:r>
      <w:r>
        <w:t xml:space="preserve"> section 10B applies to fines, forfeited bail undertakings and forfeited recognisances to which subsection (1) applies.</w:t>
      </w:r>
    </w:p>
    <w:p>
      <w:pPr>
        <w:pStyle w:val="Subsection"/>
        <w:spacing w:before="180"/>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pPr>
      <w:r>
        <w:tab/>
        <w:t>(4A)</w:t>
      </w:r>
      <w:r>
        <w:tab/>
        <w:t xml:space="preserve">If, under subsection (3)(a), the court must register a fine or the amount of a forfeited undertaking or forfeited recognisance under the </w:t>
      </w:r>
      <w:r>
        <w:rPr>
          <w:i/>
        </w:rPr>
        <w:t>Fines, Penalties and Infringement Notices Enforcement Act 1994</w:t>
      </w:r>
      <w:r>
        <w:t xml:space="preserve">, then — </w:t>
      </w:r>
    </w:p>
    <w:p>
      <w:pPr>
        <w:pStyle w:val="Indenta"/>
      </w:pPr>
      <w:r>
        <w:tab/>
        <w:t>(a)</w:t>
      </w:r>
      <w:r>
        <w:tab/>
        <w:t>in the case of a fine, section 32(2) of that Act applies to and in relation to the fine; and</w:t>
      </w:r>
    </w:p>
    <w:p>
      <w:pPr>
        <w:pStyle w:val="Indenta"/>
      </w:pPr>
      <w:r>
        <w:tab/>
        <w:t>(b)</w:t>
      </w:r>
      <w:r>
        <w:tab/>
        <w:t>in the case of a forfeited undertaking or forfeited recognisance, section 59A(3) of that Act applies to and in relation to the amount forfeited.</w:t>
      </w:r>
    </w:p>
    <w:p>
      <w:pPr>
        <w:pStyle w:val="Subsection"/>
        <w:spacing w:before="180"/>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spacing w:before="180"/>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pPr>
      <w:r>
        <w:tab/>
        <w:t xml:space="preserve">[Section 65 inserted by No. 92 of 1994 s. 45; amended by No. 20 of 2013 s. 141.] </w:t>
      </w:r>
    </w:p>
    <w:p>
      <w:pPr>
        <w:pStyle w:val="Heading5"/>
        <w:spacing w:before="240"/>
        <w:rPr>
          <w:snapToGrid w:val="0"/>
        </w:rPr>
      </w:pPr>
      <w:bookmarkStart w:id="235" w:name="_Toc405453196"/>
      <w:bookmarkStart w:id="236" w:name="_Toc413337025"/>
      <w:r>
        <w:rPr>
          <w:rStyle w:val="CharSectno"/>
        </w:rPr>
        <w:t>65A</w:t>
      </w:r>
      <w:r>
        <w:rPr>
          <w:snapToGrid w:val="0"/>
        </w:rPr>
        <w:t>.</w:t>
      </w:r>
      <w:r>
        <w:rPr>
          <w:snapToGrid w:val="0"/>
        </w:rPr>
        <w:tab/>
        <w:t>Court’s powers to deal with defaulter</w:t>
      </w:r>
      <w:bookmarkEnd w:id="235"/>
      <w:bookmarkEnd w:id="236"/>
      <w:r>
        <w:rPr>
          <w:snapToGrid w:val="0"/>
        </w:rPr>
        <w:t xml:space="preserve"> </w:t>
      </w:r>
    </w:p>
    <w:p>
      <w:pPr>
        <w:pStyle w:val="Subsection"/>
        <w:spacing w:before="180"/>
        <w:rPr>
          <w:snapToGrid w:val="0"/>
        </w:rPr>
      </w:pPr>
      <w:r>
        <w:rPr>
          <w:snapToGrid w:val="0"/>
        </w:rPr>
        <w:tab/>
        <w:t>(1)</w:t>
      </w:r>
      <w:r>
        <w:rPr>
          <w:snapToGrid w:val="0"/>
        </w:rPr>
        <w:tab/>
        <w:t xml:space="preserve">If a notice to attend court is issued under section 65(3) to a young person </w:t>
      </w:r>
      <w:r>
        <w:t>(the</w:t>
      </w:r>
      <w:r>
        <w:rPr>
          <w:snapToGrid w:val="0"/>
        </w:rPr>
        <w:t xml:space="preserve"> </w:t>
      </w:r>
      <w:r>
        <w:rPr>
          <w:rStyle w:val="CharDefText"/>
        </w:rPr>
        <w:t>defaulter</w:t>
      </w:r>
      <w:r>
        <w:rPr>
          <w:snapToGrid w:val="0"/>
        </w:rPr>
        <w:t>) and the defaulter appears before the court, the court may invite the defaulter to consent to the making of a community work order in respect of the unpaid amount concerned.</w:t>
      </w:r>
    </w:p>
    <w:p>
      <w:pPr>
        <w:pStyle w:val="Subsection"/>
        <w:spacing w:before="180"/>
        <w:rPr>
          <w:snapToGrid w:val="0"/>
        </w:rPr>
      </w:pPr>
      <w:r>
        <w:rPr>
          <w:snapToGrid w:val="0"/>
        </w:rPr>
        <w:tab/>
        <w:t>(2)</w:t>
      </w:r>
      <w:r>
        <w:rPr>
          <w:snapToGrid w:val="0"/>
        </w:rPr>
        <w:tab/>
        <w:t>If the defaulter consents to the making of a community work order the court may make one.</w:t>
      </w:r>
    </w:p>
    <w:p>
      <w:pPr>
        <w:pStyle w:val="Subsection"/>
        <w:spacing w:before="180"/>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spacing w:before="180"/>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spacing w:before="180"/>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spacing w:before="80"/>
        <w:ind w:left="890" w:hanging="890"/>
      </w:pPr>
      <w:r>
        <w:tab/>
        <w:t xml:space="preserve">[Section 65A inserted by No. 92 of 1994 s. 45.] </w:t>
      </w:r>
    </w:p>
    <w:p>
      <w:pPr>
        <w:pStyle w:val="Footnotesection"/>
      </w:pPr>
      <w:r>
        <w:tab/>
        <w:t>[Section 65A. Modifications to be applied in order to give effect to Cross-border Justice Act 2008: section altered 1 Dec 2009. See endnote 1M.]</w:t>
      </w:r>
    </w:p>
    <w:p>
      <w:pPr>
        <w:pStyle w:val="Heading5"/>
        <w:rPr>
          <w:snapToGrid w:val="0"/>
        </w:rPr>
      </w:pPr>
      <w:bookmarkStart w:id="237" w:name="_Toc405453197"/>
      <w:bookmarkStart w:id="238" w:name="_Toc413337026"/>
      <w:r>
        <w:rPr>
          <w:rStyle w:val="CharSectno"/>
        </w:rPr>
        <w:t>65B</w:t>
      </w:r>
      <w:r>
        <w:rPr>
          <w:snapToGrid w:val="0"/>
        </w:rPr>
        <w:t>.</w:t>
      </w:r>
      <w:r>
        <w:rPr>
          <w:snapToGrid w:val="0"/>
        </w:rPr>
        <w:tab/>
        <w:t>Community work order</w:t>
      </w:r>
      <w:bookmarkEnd w:id="237"/>
      <w:bookmarkEnd w:id="238"/>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by No. 92 of 1994 s. 45.] </w:t>
      </w:r>
    </w:p>
    <w:p>
      <w:pPr>
        <w:pStyle w:val="Heading5"/>
        <w:spacing w:before="240"/>
        <w:rPr>
          <w:snapToGrid w:val="0"/>
        </w:rPr>
      </w:pPr>
      <w:bookmarkStart w:id="239" w:name="_Toc405453198"/>
      <w:bookmarkStart w:id="240" w:name="_Toc413337027"/>
      <w:r>
        <w:rPr>
          <w:rStyle w:val="CharSectno"/>
        </w:rPr>
        <w:t>65C</w:t>
      </w:r>
      <w:r>
        <w:rPr>
          <w:snapToGrid w:val="0"/>
        </w:rPr>
        <w:t>.</w:t>
      </w:r>
      <w:r>
        <w:rPr>
          <w:snapToGrid w:val="0"/>
        </w:rPr>
        <w:tab/>
        <w:t>Detention order</w:t>
      </w:r>
      <w:bookmarkEnd w:id="239"/>
      <w:bookmarkEnd w:id="240"/>
      <w:r>
        <w:rPr>
          <w:snapToGrid w:val="0"/>
        </w:rPr>
        <w:t xml:space="preserve"> </w:t>
      </w:r>
    </w:p>
    <w:p>
      <w:pPr>
        <w:pStyle w:val="Subsection"/>
        <w:spacing w:before="18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8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80"/>
        <w:rPr>
          <w:snapToGrid w:val="0"/>
        </w:rPr>
      </w:pPr>
      <w:r>
        <w:rPr>
          <w:snapToGrid w:val="0"/>
        </w:rPr>
        <w:tab/>
        <w:t>(3)</w:t>
      </w:r>
      <w:r>
        <w:rPr>
          <w:snapToGrid w:val="0"/>
        </w:rPr>
        <w:tab/>
        <w:t>If the court makes a detention order it is required to issue a warrant of commitment accordingly.</w:t>
      </w:r>
    </w:p>
    <w:p>
      <w:pPr>
        <w:pStyle w:val="Subsection"/>
        <w:keepLines/>
        <w:spacing w:before="18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spacing w:before="180"/>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by No. 92 of 1994 s. 45.] </w:t>
      </w:r>
    </w:p>
    <w:p>
      <w:pPr>
        <w:pStyle w:val="Footnotesection"/>
      </w:pPr>
      <w:r>
        <w:tab/>
        <w:t>[Section 65C. Modifications to be applied in order to give effect to Cross-border Justice Act 2008: section altered 1 Dec 2009. See endnote 1M.]</w:t>
      </w:r>
    </w:p>
    <w:p>
      <w:pPr>
        <w:pStyle w:val="Heading3"/>
        <w:rPr>
          <w:snapToGrid w:val="0"/>
        </w:rPr>
      </w:pPr>
      <w:bookmarkStart w:id="241" w:name="_Toc405453199"/>
      <w:bookmarkStart w:id="242" w:name="_Toc413336924"/>
      <w:bookmarkStart w:id="243" w:name="_Toc413337200"/>
      <w:bookmarkStart w:id="244" w:name="_Toc413337028"/>
      <w:r>
        <w:rPr>
          <w:rStyle w:val="CharDivNo"/>
        </w:rPr>
        <w:t>Division 2</w:t>
      </w:r>
      <w:r>
        <w:rPr>
          <w:snapToGrid w:val="0"/>
        </w:rPr>
        <w:t> — </w:t>
      </w:r>
      <w:r>
        <w:rPr>
          <w:rStyle w:val="CharDivText"/>
        </w:rPr>
        <w:t>No punishment and no conditions</w:t>
      </w:r>
      <w:bookmarkEnd w:id="241"/>
      <w:bookmarkEnd w:id="242"/>
      <w:bookmarkEnd w:id="243"/>
      <w:bookmarkEnd w:id="244"/>
      <w:r>
        <w:rPr>
          <w:rStyle w:val="CharDivText"/>
        </w:rPr>
        <w:t xml:space="preserve"> </w:t>
      </w:r>
    </w:p>
    <w:p>
      <w:pPr>
        <w:pStyle w:val="Heading5"/>
        <w:rPr>
          <w:snapToGrid w:val="0"/>
        </w:rPr>
      </w:pPr>
      <w:bookmarkStart w:id="245" w:name="_Toc405453200"/>
      <w:bookmarkStart w:id="246" w:name="_Toc413337029"/>
      <w:r>
        <w:rPr>
          <w:rStyle w:val="CharSectno"/>
        </w:rPr>
        <w:t>66</w:t>
      </w:r>
      <w:r>
        <w:rPr>
          <w:snapToGrid w:val="0"/>
        </w:rPr>
        <w:t>.</w:t>
      </w:r>
      <w:r>
        <w:rPr>
          <w:snapToGrid w:val="0"/>
        </w:rPr>
        <w:tab/>
        <w:t>Court may refrain from punishing in some cases</w:t>
      </w:r>
      <w:bookmarkEnd w:id="245"/>
      <w:bookmarkEnd w:id="246"/>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rPr>
          <w:snapToGrid w:val="0"/>
        </w:rPr>
      </w:pPr>
      <w:bookmarkStart w:id="247" w:name="_Toc405453201"/>
      <w:bookmarkStart w:id="248" w:name="_Toc413336926"/>
      <w:bookmarkStart w:id="249" w:name="_Toc413337202"/>
      <w:bookmarkStart w:id="250" w:name="_Toc413337031"/>
      <w:r>
        <w:rPr>
          <w:rStyle w:val="CharDivNo"/>
        </w:rPr>
        <w:t>Division 3</w:t>
      </w:r>
      <w:r>
        <w:rPr>
          <w:snapToGrid w:val="0"/>
        </w:rPr>
        <w:t> — </w:t>
      </w:r>
      <w:r>
        <w:rPr>
          <w:rStyle w:val="CharDivText"/>
        </w:rPr>
        <w:t>No punishment but conditions</w:t>
      </w:r>
      <w:bookmarkEnd w:id="247"/>
      <w:bookmarkEnd w:id="248"/>
      <w:bookmarkEnd w:id="249"/>
      <w:bookmarkEnd w:id="250"/>
      <w:r>
        <w:rPr>
          <w:rStyle w:val="CharDivText"/>
        </w:rPr>
        <w:t xml:space="preserve"> </w:t>
      </w:r>
    </w:p>
    <w:p>
      <w:pPr>
        <w:pStyle w:val="Heading5"/>
        <w:spacing w:before="240"/>
        <w:rPr>
          <w:snapToGrid w:val="0"/>
        </w:rPr>
      </w:pPr>
      <w:bookmarkStart w:id="251" w:name="_Toc405453202"/>
      <w:bookmarkStart w:id="252" w:name="_Toc413337032"/>
      <w:r>
        <w:rPr>
          <w:rStyle w:val="CharSectno"/>
        </w:rPr>
        <w:t>67</w:t>
      </w:r>
      <w:r>
        <w:rPr>
          <w:snapToGrid w:val="0"/>
        </w:rPr>
        <w:t>.</w:t>
      </w:r>
      <w:r>
        <w:rPr>
          <w:snapToGrid w:val="0"/>
        </w:rPr>
        <w:tab/>
        <w:t>Undertakings and informal punishment</w:t>
      </w:r>
      <w:bookmarkEnd w:id="251"/>
      <w:bookmarkEnd w:id="252"/>
      <w:r>
        <w:rPr>
          <w:snapToGrid w:val="0"/>
        </w:rPr>
        <w:t xml:space="preserve"> </w:t>
      </w:r>
    </w:p>
    <w:p>
      <w:pPr>
        <w:pStyle w:val="Subsection"/>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rPr>
          <w:snapToGrid w:val="0"/>
        </w:rPr>
      </w:pPr>
      <w:r>
        <w:rPr>
          <w:snapToGrid w:val="0"/>
        </w:rPr>
        <w:tab/>
        <w:t>(2)</w:t>
      </w:r>
      <w:r>
        <w:rPr>
          <w:snapToGrid w:val="0"/>
        </w:rPr>
        <w:tab/>
        <w:t>The power given by subsection (1) is independent of the power given by section 66(1).</w:t>
      </w:r>
    </w:p>
    <w:p>
      <w:pPr>
        <w:pStyle w:val="Heading5"/>
        <w:spacing w:before="240"/>
        <w:rPr>
          <w:snapToGrid w:val="0"/>
        </w:rPr>
      </w:pPr>
      <w:bookmarkStart w:id="253" w:name="_Toc405453203"/>
      <w:bookmarkStart w:id="254" w:name="_Toc413337033"/>
      <w:r>
        <w:rPr>
          <w:rStyle w:val="CharSectno"/>
        </w:rPr>
        <w:t>68</w:t>
      </w:r>
      <w:r>
        <w:rPr>
          <w:snapToGrid w:val="0"/>
        </w:rPr>
        <w:t>.</w:t>
      </w:r>
      <w:r>
        <w:rPr>
          <w:snapToGrid w:val="0"/>
        </w:rPr>
        <w:tab/>
        <w:t>Adjournment</w:t>
      </w:r>
      <w:bookmarkEnd w:id="253"/>
      <w:bookmarkEnd w:id="254"/>
      <w:r>
        <w:rPr>
          <w:snapToGrid w:val="0"/>
        </w:rPr>
        <w:t xml:space="preserve"> </w:t>
      </w:r>
    </w:p>
    <w:p>
      <w:pPr>
        <w:pStyle w:val="Subsection"/>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255" w:name="_Toc405453204"/>
      <w:bookmarkStart w:id="256" w:name="_Toc413336929"/>
      <w:bookmarkStart w:id="257" w:name="_Toc413337205"/>
      <w:bookmarkStart w:id="258" w:name="_Toc413337034"/>
      <w:r>
        <w:rPr>
          <w:rStyle w:val="CharDivNo"/>
        </w:rPr>
        <w:t>Division 4</w:t>
      </w:r>
      <w:r>
        <w:rPr>
          <w:snapToGrid w:val="0"/>
        </w:rPr>
        <w:t> — </w:t>
      </w:r>
      <w:r>
        <w:rPr>
          <w:rStyle w:val="CharDivText"/>
        </w:rPr>
        <w:t>No punishment but security or recognisance</w:t>
      </w:r>
      <w:bookmarkEnd w:id="255"/>
      <w:bookmarkEnd w:id="256"/>
      <w:bookmarkEnd w:id="257"/>
      <w:bookmarkEnd w:id="258"/>
      <w:r>
        <w:rPr>
          <w:rStyle w:val="CharDivText"/>
        </w:rPr>
        <w:t xml:space="preserve"> </w:t>
      </w:r>
    </w:p>
    <w:p>
      <w:pPr>
        <w:pStyle w:val="Heading5"/>
        <w:rPr>
          <w:snapToGrid w:val="0"/>
        </w:rPr>
      </w:pPr>
      <w:bookmarkStart w:id="259" w:name="_Toc405453205"/>
      <w:bookmarkStart w:id="260" w:name="_Toc413337035"/>
      <w:r>
        <w:rPr>
          <w:rStyle w:val="CharSectno"/>
        </w:rPr>
        <w:t>69</w:t>
      </w:r>
      <w:r>
        <w:rPr>
          <w:snapToGrid w:val="0"/>
        </w:rPr>
        <w:t>.</w:t>
      </w:r>
      <w:r>
        <w:rPr>
          <w:snapToGrid w:val="0"/>
        </w:rPr>
        <w:tab/>
        <w:t>Recognisance by offender to be of good behaviour etc.</w:t>
      </w:r>
      <w:bookmarkEnd w:id="259"/>
      <w:bookmarkEnd w:id="260"/>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261" w:name="_Toc405453206"/>
      <w:bookmarkStart w:id="262" w:name="_Toc413337036"/>
      <w:r>
        <w:rPr>
          <w:rStyle w:val="CharSectno"/>
        </w:rPr>
        <w:t>70</w:t>
      </w:r>
      <w:r>
        <w:rPr>
          <w:snapToGrid w:val="0"/>
        </w:rPr>
        <w:t>.</w:t>
      </w:r>
      <w:r>
        <w:rPr>
          <w:snapToGrid w:val="0"/>
        </w:rPr>
        <w:tab/>
        <w:t>Responsible adult may give security for offender’s good behaviour etc.</w:t>
      </w:r>
      <w:bookmarkEnd w:id="261"/>
      <w:bookmarkEnd w:id="262"/>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263" w:name="_Toc405453207"/>
      <w:bookmarkStart w:id="264" w:name="_Toc413336932"/>
      <w:bookmarkStart w:id="265" w:name="_Toc413337208"/>
      <w:bookmarkStart w:id="266" w:name="_Toc413337037"/>
      <w:r>
        <w:rPr>
          <w:rStyle w:val="CharDivNo"/>
        </w:rPr>
        <w:t>Division 5</w:t>
      </w:r>
      <w:r>
        <w:rPr>
          <w:snapToGrid w:val="0"/>
        </w:rPr>
        <w:t> — </w:t>
      </w:r>
      <w:r>
        <w:rPr>
          <w:rStyle w:val="CharDivText"/>
        </w:rPr>
        <w:t>Fine</w:t>
      </w:r>
      <w:bookmarkEnd w:id="263"/>
      <w:bookmarkEnd w:id="264"/>
      <w:bookmarkEnd w:id="265"/>
      <w:bookmarkEnd w:id="266"/>
      <w:r>
        <w:rPr>
          <w:rStyle w:val="CharDivText"/>
        </w:rPr>
        <w:t xml:space="preserve"> </w:t>
      </w:r>
    </w:p>
    <w:p>
      <w:pPr>
        <w:pStyle w:val="Heading5"/>
        <w:rPr>
          <w:snapToGrid w:val="0"/>
        </w:rPr>
      </w:pPr>
      <w:bookmarkStart w:id="267" w:name="_Toc405453208"/>
      <w:bookmarkStart w:id="268" w:name="_Toc413337038"/>
      <w:r>
        <w:rPr>
          <w:rStyle w:val="CharSectno"/>
        </w:rPr>
        <w:t>71</w:t>
      </w:r>
      <w:r>
        <w:rPr>
          <w:snapToGrid w:val="0"/>
        </w:rPr>
        <w:t>.</w:t>
      </w:r>
      <w:r>
        <w:rPr>
          <w:snapToGrid w:val="0"/>
        </w:rPr>
        <w:tab/>
        <w:t>Fine instead of imprisonment</w:t>
      </w:r>
      <w:bookmarkEnd w:id="267"/>
      <w:bookmarkEnd w:id="268"/>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269" w:name="_Toc405453209"/>
      <w:bookmarkStart w:id="270" w:name="_Toc413337039"/>
      <w:r>
        <w:rPr>
          <w:rStyle w:val="CharSectno"/>
        </w:rPr>
        <w:t>72</w:t>
      </w:r>
      <w:r>
        <w:rPr>
          <w:snapToGrid w:val="0"/>
        </w:rPr>
        <w:t>.</w:t>
      </w:r>
      <w:r>
        <w:rPr>
          <w:snapToGrid w:val="0"/>
        </w:rPr>
        <w:tab/>
        <w:t>Offender must be able to pay</w:t>
      </w:r>
      <w:bookmarkEnd w:id="269"/>
      <w:bookmarkEnd w:id="270"/>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271" w:name="_Toc405453210"/>
      <w:bookmarkStart w:id="272" w:name="_Toc413336935"/>
      <w:bookmarkStart w:id="273" w:name="_Toc413337211"/>
      <w:bookmarkStart w:id="274" w:name="_Toc413337040"/>
      <w:r>
        <w:rPr>
          <w:rStyle w:val="CharDivNo"/>
        </w:rPr>
        <w:t>Division 6</w:t>
      </w:r>
      <w:r>
        <w:rPr>
          <w:snapToGrid w:val="0"/>
        </w:rPr>
        <w:t> — </w:t>
      </w:r>
      <w:r>
        <w:rPr>
          <w:rStyle w:val="CharDivText"/>
        </w:rPr>
        <w:t>Youth community based order</w:t>
      </w:r>
      <w:bookmarkEnd w:id="271"/>
      <w:bookmarkEnd w:id="272"/>
      <w:bookmarkEnd w:id="273"/>
      <w:bookmarkEnd w:id="274"/>
      <w:r>
        <w:rPr>
          <w:rStyle w:val="CharDivText"/>
        </w:rPr>
        <w:t xml:space="preserve"> </w:t>
      </w:r>
    </w:p>
    <w:p>
      <w:pPr>
        <w:pStyle w:val="Heading5"/>
        <w:rPr>
          <w:snapToGrid w:val="0"/>
        </w:rPr>
      </w:pPr>
      <w:bookmarkStart w:id="275" w:name="_Toc405453211"/>
      <w:bookmarkStart w:id="276" w:name="_Toc413337041"/>
      <w:r>
        <w:rPr>
          <w:rStyle w:val="CharSectno"/>
        </w:rPr>
        <w:t>73</w:t>
      </w:r>
      <w:r>
        <w:rPr>
          <w:snapToGrid w:val="0"/>
        </w:rPr>
        <w:t>.</w:t>
      </w:r>
      <w:r>
        <w:rPr>
          <w:snapToGrid w:val="0"/>
        </w:rPr>
        <w:tab/>
        <w:t>Youth community based order, nature of</w:t>
      </w:r>
      <w:bookmarkEnd w:id="275"/>
      <w:bookmarkEnd w:id="276"/>
      <w:r>
        <w:rPr>
          <w:snapToGrid w:val="0"/>
        </w:rPr>
        <w:t xml:space="preserve"> </w:t>
      </w:r>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277" w:name="_Toc405453212"/>
      <w:bookmarkStart w:id="278" w:name="_Toc413337042"/>
      <w:r>
        <w:rPr>
          <w:rStyle w:val="CharSectno"/>
        </w:rPr>
        <w:t>74</w:t>
      </w:r>
      <w:r>
        <w:rPr>
          <w:snapToGrid w:val="0"/>
        </w:rPr>
        <w:t>.</w:t>
      </w:r>
      <w:r>
        <w:rPr>
          <w:snapToGrid w:val="0"/>
        </w:rPr>
        <w:tab/>
        <w:t>Offender must be suitable and consent</w:t>
      </w:r>
      <w:bookmarkEnd w:id="277"/>
      <w:bookmarkEnd w:id="278"/>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279" w:name="_Toc405453213"/>
      <w:bookmarkStart w:id="280" w:name="_Toc413337043"/>
      <w:r>
        <w:rPr>
          <w:rStyle w:val="CharSectno"/>
        </w:rPr>
        <w:t>75</w:t>
      </w:r>
      <w:r>
        <w:rPr>
          <w:snapToGrid w:val="0"/>
        </w:rPr>
        <w:t>.</w:t>
      </w:r>
      <w:r>
        <w:rPr>
          <w:snapToGrid w:val="0"/>
        </w:rPr>
        <w:tab/>
        <w:t>Proposed agenda required for suitable person</w:t>
      </w:r>
      <w:bookmarkEnd w:id="279"/>
      <w:bookmarkEnd w:id="280"/>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rPr>
          <w:snapToGrid w:val="0"/>
        </w:rPr>
      </w:pPr>
      <w:bookmarkStart w:id="281" w:name="_Toc405453214"/>
      <w:bookmarkStart w:id="282" w:name="_Toc413337044"/>
      <w:r>
        <w:rPr>
          <w:rStyle w:val="CharSectno"/>
        </w:rPr>
        <w:t>76</w:t>
      </w:r>
      <w:r>
        <w:rPr>
          <w:snapToGrid w:val="0"/>
        </w:rPr>
        <w:t>.</w:t>
      </w:r>
      <w:r>
        <w:rPr>
          <w:snapToGrid w:val="0"/>
        </w:rPr>
        <w:tab/>
        <w:t>Duration of order</w:t>
      </w:r>
      <w:bookmarkEnd w:id="281"/>
      <w:bookmarkEnd w:id="282"/>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283" w:name="_Toc405453215"/>
      <w:bookmarkStart w:id="284" w:name="_Toc413337045"/>
      <w:r>
        <w:rPr>
          <w:rStyle w:val="CharSectno"/>
        </w:rPr>
        <w:t>77</w:t>
      </w:r>
      <w:r>
        <w:rPr>
          <w:snapToGrid w:val="0"/>
        </w:rPr>
        <w:t>.</w:t>
      </w:r>
      <w:r>
        <w:rPr>
          <w:snapToGrid w:val="0"/>
        </w:rPr>
        <w:tab/>
        <w:t>Supervising officer</w:t>
      </w:r>
      <w:bookmarkEnd w:id="283"/>
      <w:bookmarkEnd w:id="284"/>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77. Modifications to be applied in order to give effect to Cross-border Justice Act 2008: section altered 1 Dec 2009. See endnote 1M.]</w:t>
      </w:r>
    </w:p>
    <w:p>
      <w:pPr>
        <w:pStyle w:val="Heading5"/>
        <w:rPr>
          <w:snapToGrid w:val="0"/>
        </w:rPr>
      </w:pPr>
      <w:bookmarkStart w:id="285" w:name="_Toc405453216"/>
      <w:bookmarkStart w:id="286" w:name="_Toc413337047"/>
      <w:r>
        <w:rPr>
          <w:rStyle w:val="CharSectno"/>
        </w:rPr>
        <w:t>78</w:t>
      </w:r>
      <w:r>
        <w:rPr>
          <w:snapToGrid w:val="0"/>
        </w:rPr>
        <w:t>.</w:t>
      </w:r>
      <w:r>
        <w:rPr>
          <w:snapToGrid w:val="0"/>
        </w:rPr>
        <w:tab/>
        <w:t>Conditions implied in order</w:t>
      </w:r>
      <w:bookmarkEnd w:id="285"/>
      <w:bookmarkEnd w:id="286"/>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287" w:name="_Toc405453217"/>
      <w:bookmarkStart w:id="288" w:name="_Toc413337048"/>
      <w:r>
        <w:rPr>
          <w:rStyle w:val="CharSectno"/>
        </w:rPr>
        <w:t>79</w:t>
      </w:r>
      <w:r>
        <w:rPr>
          <w:snapToGrid w:val="0"/>
        </w:rPr>
        <w:t>.</w:t>
      </w:r>
      <w:r>
        <w:rPr>
          <w:snapToGrid w:val="0"/>
        </w:rPr>
        <w:tab/>
        <w:t>Obligations under order may be suspended</w:t>
      </w:r>
      <w:bookmarkEnd w:id="287"/>
      <w:bookmarkEnd w:id="288"/>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289" w:name="_Toc405453218"/>
      <w:bookmarkStart w:id="290" w:name="_Toc413337049"/>
      <w:r>
        <w:rPr>
          <w:rStyle w:val="CharSectno"/>
        </w:rPr>
        <w:t>80</w:t>
      </w:r>
      <w:r>
        <w:rPr>
          <w:snapToGrid w:val="0"/>
        </w:rPr>
        <w:t>.</w:t>
      </w:r>
      <w:r>
        <w:rPr>
          <w:snapToGrid w:val="0"/>
        </w:rPr>
        <w:tab/>
        <w:t>Amendment of order, extent of power</w:t>
      </w:r>
      <w:bookmarkEnd w:id="289"/>
      <w:bookmarkEnd w:id="290"/>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 or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291" w:name="_Toc405453219"/>
      <w:bookmarkStart w:id="292" w:name="_Toc413337050"/>
      <w:r>
        <w:rPr>
          <w:rStyle w:val="CharSectno"/>
        </w:rPr>
        <w:t>81</w:t>
      </w:r>
      <w:r>
        <w:rPr>
          <w:snapToGrid w:val="0"/>
        </w:rPr>
        <w:t>.</w:t>
      </w:r>
      <w:r>
        <w:rPr>
          <w:snapToGrid w:val="0"/>
        </w:rPr>
        <w:tab/>
        <w:t>Amendment of order</w:t>
      </w:r>
      <w:bookmarkEnd w:id="291"/>
      <w:bookmarkEnd w:id="292"/>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293" w:name="_Toc405453220"/>
      <w:bookmarkStart w:id="294" w:name="_Toc413337051"/>
      <w:r>
        <w:rPr>
          <w:rStyle w:val="CharSectno"/>
        </w:rPr>
        <w:t>82</w:t>
      </w:r>
      <w:r>
        <w:rPr>
          <w:snapToGrid w:val="0"/>
        </w:rPr>
        <w:t>.</w:t>
      </w:r>
      <w:r>
        <w:rPr>
          <w:snapToGrid w:val="0"/>
        </w:rPr>
        <w:tab/>
        <w:t>Breach of order, CEO may require offender to attend court</w:t>
      </w:r>
      <w:bookmarkEnd w:id="293"/>
      <w:bookmarkEnd w:id="294"/>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295" w:name="_Toc405453221"/>
      <w:bookmarkStart w:id="296" w:name="_Toc413337052"/>
      <w:r>
        <w:rPr>
          <w:rStyle w:val="CharSectno"/>
        </w:rPr>
        <w:t>83</w:t>
      </w:r>
      <w:r>
        <w:rPr>
          <w:snapToGrid w:val="0"/>
        </w:rPr>
        <w:t>.</w:t>
      </w:r>
      <w:r>
        <w:rPr>
          <w:snapToGrid w:val="0"/>
        </w:rPr>
        <w:tab/>
        <w:t>Breach of order, powers to deal with</w:t>
      </w:r>
      <w:bookmarkEnd w:id="295"/>
      <w:bookmarkEnd w:id="296"/>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 or</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w:t>
      </w:r>
      <w:r>
        <w:t>called the</w:t>
      </w:r>
      <w:r>
        <w:rPr>
          <w:b/>
          <w:i/>
          <w:snapToGrid w:val="0"/>
        </w:rPr>
        <w:t xml:space="preserve"> </w:t>
      </w:r>
      <w:r>
        <w:rPr>
          <w:rStyle w:val="CharDefText"/>
        </w:rPr>
        <w:t>original offence</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 and</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297" w:name="_Toc405453222"/>
      <w:bookmarkStart w:id="298" w:name="_Toc413337053"/>
      <w:r>
        <w:rPr>
          <w:rStyle w:val="CharSectno"/>
        </w:rPr>
        <w:t>84</w:t>
      </w:r>
      <w:r>
        <w:rPr>
          <w:snapToGrid w:val="0"/>
        </w:rPr>
        <w:t>.</w:t>
      </w:r>
      <w:r>
        <w:rPr>
          <w:snapToGrid w:val="0"/>
        </w:rPr>
        <w:tab/>
        <w:t>Breach of order by re</w:t>
      </w:r>
      <w:r>
        <w:rPr>
          <w:snapToGrid w:val="0"/>
        </w:rPr>
        <w:noBreakHyphen/>
        <w:t>offending, new order may be made</w:t>
      </w:r>
      <w:bookmarkEnd w:id="297"/>
      <w:bookmarkEnd w:id="298"/>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299" w:name="_Toc405453223"/>
      <w:bookmarkStart w:id="300" w:name="_Toc413337054"/>
      <w:r>
        <w:rPr>
          <w:rStyle w:val="CharSectno"/>
        </w:rPr>
        <w:t>85</w:t>
      </w:r>
      <w:r>
        <w:rPr>
          <w:snapToGrid w:val="0"/>
        </w:rPr>
        <w:t>.</w:t>
      </w:r>
      <w:r>
        <w:rPr>
          <w:snapToGrid w:val="0"/>
        </w:rPr>
        <w:tab/>
        <w:t>Discharge or fulfillment of order, effect of</w:t>
      </w:r>
      <w:bookmarkEnd w:id="299"/>
      <w:bookmarkEnd w:id="300"/>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301" w:name="_Toc405453224"/>
      <w:bookmarkStart w:id="302" w:name="_Toc413337055"/>
      <w:r>
        <w:rPr>
          <w:rStyle w:val="CharSectno"/>
        </w:rPr>
        <w:t>86</w:t>
      </w:r>
      <w:r>
        <w:rPr>
          <w:snapToGrid w:val="0"/>
        </w:rPr>
        <w:t>.</w:t>
      </w:r>
      <w:r>
        <w:rPr>
          <w:snapToGrid w:val="0"/>
        </w:rPr>
        <w:tab/>
        <w:t>Proof of identity in proceedings for breach of order</w:t>
      </w:r>
      <w:bookmarkEnd w:id="301"/>
      <w:bookmarkEnd w:id="302"/>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rPr>
          <w:snapToGrid w:val="0"/>
        </w:rPr>
      </w:pPr>
      <w:bookmarkStart w:id="303" w:name="_Toc405453225"/>
      <w:bookmarkStart w:id="304" w:name="_Toc413337056"/>
      <w:r>
        <w:rPr>
          <w:rStyle w:val="CharSectno"/>
        </w:rPr>
        <w:t>87</w:t>
      </w:r>
      <w:r>
        <w:rPr>
          <w:snapToGrid w:val="0"/>
        </w:rPr>
        <w:t>.</w:t>
      </w:r>
      <w:r>
        <w:rPr>
          <w:snapToGrid w:val="0"/>
        </w:rPr>
        <w:tab/>
        <w:t>Notice of court applications</w:t>
      </w:r>
      <w:bookmarkEnd w:id="303"/>
      <w:bookmarkEnd w:id="304"/>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rPr>
          <w:snapToGrid w:val="0"/>
        </w:rPr>
      </w:pPr>
      <w:bookmarkStart w:id="305" w:name="_Toc405453226"/>
      <w:bookmarkStart w:id="306" w:name="_Toc413336951"/>
      <w:bookmarkStart w:id="307" w:name="_Toc413337227"/>
      <w:bookmarkStart w:id="308" w:name="_Toc413337057"/>
      <w:r>
        <w:rPr>
          <w:snapToGrid w:val="0"/>
        </w:rPr>
        <w:t>Subdivision 1 — Attendance conditions</w:t>
      </w:r>
      <w:bookmarkEnd w:id="305"/>
      <w:bookmarkEnd w:id="306"/>
      <w:bookmarkEnd w:id="307"/>
      <w:bookmarkEnd w:id="308"/>
      <w:r>
        <w:rPr>
          <w:snapToGrid w:val="0"/>
        </w:rPr>
        <w:t xml:space="preserve"> </w:t>
      </w:r>
    </w:p>
    <w:p>
      <w:pPr>
        <w:pStyle w:val="Heading5"/>
        <w:rPr>
          <w:snapToGrid w:val="0"/>
        </w:rPr>
      </w:pPr>
      <w:bookmarkStart w:id="309" w:name="_Toc405453227"/>
      <w:bookmarkStart w:id="310" w:name="_Toc413337058"/>
      <w:r>
        <w:rPr>
          <w:rStyle w:val="CharSectno"/>
        </w:rPr>
        <w:t>88</w:t>
      </w:r>
      <w:r>
        <w:rPr>
          <w:snapToGrid w:val="0"/>
        </w:rPr>
        <w:t>.</w:t>
      </w:r>
      <w:r>
        <w:rPr>
          <w:snapToGrid w:val="0"/>
        </w:rPr>
        <w:tab/>
        <w:t>Requirement to attend courses</w:t>
      </w:r>
      <w:bookmarkEnd w:id="309"/>
      <w:bookmarkEnd w:id="310"/>
      <w:r>
        <w:rPr>
          <w:snapToGrid w:val="0"/>
        </w:rPr>
        <w:t xml:space="preserve"> </w:t>
      </w:r>
    </w:p>
    <w:p>
      <w:pPr>
        <w:pStyle w:val="Subsection"/>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 or</w:t>
      </w:r>
    </w:p>
    <w:p>
      <w:pPr>
        <w:pStyle w:val="Indenta"/>
        <w:rPr>
          <w:snapToGrid w:val="0"/>
        </w:rPr>
      </w:pPr>
      <w:r>
        <w:rPr>
          <w:snapToGrid w:val="0"/>
        </w:rPr>
        <w:tab/>
        <w:t>(b)</w:t>
      </w:r>
      <w:r>
        <w:rPr>
          <w:snapToGrid w:val="0"/>
        </w:rPr>
        <w:tab/>
        <w:t>to attend at a place that is more than 30 km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rPr>
          <w:snapToGrid w:val="0"/>
        </w:rPr>
      </w:pPr>
      <w:bookmarkStart w:id="311" w:name="_Toc405453228"/>
      <w:bookmarkStart w:id="312" w:name="_Toc413336953"/>
      <w:bookmarkStart w:id="313" w:name="_Toc413337229"/>
      <w:bookmarkStart w:id="314" w:name="_Toc413337059"/>
      <w:r>
        <w:rPr>
          <w:snapToGrid w:val="0"/>
        </w:rPr>
        <w:t>Subdivision 2 — Community work conditions</w:t>
      </w:r>
      <w:bookmarkEnd w:id="311"/>
      <w:bookmarkEnd w:id="312"/>
      <w:bookmarkEnd w:id="313"/>
      <w:bookmarkEnd w:id="314"/>
      <w:r>
        <w:rPr>
          <w:snapToGrid w:val="0"/>
        </w:rPr>
        <w:t xml:space="preserve"> </w:t>
      </w:r>
    </w:p>
    <w:p>
      <w:pPr>
        <w:pStyle w:val="Heading5"/>
        <w:rPr>
          <w:snapToGrid w:val="0"/>
        </w:rPr>
      </w:pPr>
      <w:bookmarkStart w:id="315" w:name="_Toc405453229"/>
      <w:bookmarkStart w:id="316" w:name="_Toc413337060"/>
      <w:r>
        <w:rPr>
          <w:rStyle w:val="CharSectno"/>
        </w:rPr>
        <w:t>89</w:t>
      </w:r>
      <w:r>
        <w:rPr>
          <w:snapToGrid w:val="0"/>
        </w:rPr>
        <w:t>.</w:t>
      </w:r>
      <w:r>
        <w:rPr>
          <w:snapToGrid w:val="0"/>
        </w:rPr>
        <w:tab/>
        <w:t>Requirement to perform unpaid work</w:t>
      </w:r>
      <w:bookmarkEnd w:id="315"/>
      <w:bookmarkEnd w:id="316"/>
      <w:r>
        <w:rPr>
          <w:snapToGrid w:val="0"/>
        </w:rPr>
        <w:t xml:space="preserve"> </w:t>
      </w:r>
    </w:p>
    <w:p>
      <w:pPr>
        <w:pStyle w:val="Subsection"/>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317" w:name="_Toc405453230"/>
      <w:bookmarkStart w:id="318" w:name="_Toc413337061"/>
      <w:r>
        <w:rPr>
          <w:rStyle w:val="CharSectno"/>
        </w:rPr>
        <w:t>90</w:t>
      </w:r>
      <w:r>
        <w:rPr>
          <w:snapToGrid w:val="0"/>
        </w:rPr>
        <w:t>.</w:t>
      </w:r>
      <w:r>
        <w:rPr>
          <w:snapToGrid w:val="0"/>
        </w:rPr>
        <w:tab/>
        <w:t>Conditions cannot be imposed on child under 12</w:t>
      </w:r>
      <w:bookmarkEnd w:id="317"/>
      <w:bookmarkEnd w:id="318"/>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319" w:name="_Toc405453231"/>
      <w:bookmarkStart w:id="320" w:name="_Toc413337063"/>
      <w:r>
        <w:rPr>
          <w:rStyle w:val="CharSectno"/>
        </w:rPr>
        <w:t>91</w:t>
      </w:r>
      <w:r>
        <w:rPr>
          <w:snapToGrid w:val="0"/>
        </w:rPr>
        <w:t>.</w:t>
      </w:r>
      <w:r>
        <w:rPr>
          <w:snapToGrid w:val="0"/>
        </w:rPr>
        <w:tab/>
        <w:t>Community work, minimum and maximum hours of</w:t>
      </w:r>
      <w:bookmarkEnd w:id="319"/>
      <w:bookmarkEnd w:id="320"/>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321" w:name="_Toc405453232"/>
      <w:bookmarkStart w:id="322" w:name="_Toc413337064"/>
      <w:r>
        <w:rPr>
          <w:rStyle w:val="CharSectno"/>
        </w:rPr>
        <w:t>92</w:t>
      </w:r>
      <w:r>
        <w:rPr>
          <w:snapToGrid w:val="0"/>
        </w:rPr>
        <w:t>.</w:t>
      </w:r>
      <w:r>
        <w:rPr>
          <w:snapToGrid w:val="0"/>
        </w:rPr>
        <w:tab/>
        <w:t>Offender to attend before Departmental officer</w:t>
      </w:r>
      <w:bookmarkEnd w:id="321"/>
      <w:bookmarkEnd w:id="322"/>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Footnotesection"/>
      </w:pPr>
      <w:r>
        <w:tab/>
        <w:t>[Section 92. Modifications to be applied in order to give effect to Cross-border Justice Act 2008: section altered 1 Dec 2009. See endnote 1M.]</w:t>
      </w:r>
    </w:p>
    <w:p>
      <w:pPr>
        <w:pStyle w:val="Heading5"/>
        <w:rPr>
          <w:snapToGrid w:val="0"/>
        </w:rPr>
      </w:pPr>
      <w:bookmarkStart w:id="323" w:name="_Toc405453233"/>
      <w:bookmarkStart w:id="324" w:name="_Toc413337065"/>
      <w:r>
        <w:rPr>
          <w:rStyle w:val="CharSectno"/>
        </w:rPr>
        <w:t>93</w:t>
      </w:r>
      <w:r>
        <w:rPr>
          <w:snapToGrid w:val="0"/>
        </w:rPr>
        <w:t>.</w:t>
      </w:r>
      <w:r>
        <w:rPr>
          <w:snapToGrid w:val="0"/>
        </w:rPr>
        <w:tab/>
        <w:t>Performing the work</w:t>
      </w:r>
      <w:bookmarkEnd w:id="323"/>
      <w:bookmarkEnd w:id="324"/>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325" w:name="_Toc405453234"/>
      <w:bookmarkStart w:id="326" w:name="_Toc413337066"/>
      <w:r>
        <w:rPr>
          <w:rStyle w:val="CharSectno"/>
        </w:rPr>
        <w:t>94</w:t>
      </w:r>
      <w:r>
        <w:rPr>
          <w:snapToGrid w:val="0"/>
        </w:rPr>
        <w:t>.</w:t>
      </w:r>
      <w:r>
        <w:rPr>
          <w:snapToGrid w:val="0"/>
        </w:rPr>
        <w:tab/>
        <w:t>Regulations relating to community work conditions</w:t>
      </w:r>
      <w:bookmarkEnd w:id="325"/>
      <w:bookmarkEnd w:id="326"/>
      <w:r>
        <w:rPr>
          <w:snapToGrid w:val="0"/>
        </w:rPr>
        <w:t xml:space="preserve"> </w:t>
      </w:r>
    </w:p>
    <w:p>
      <w:pPr>
        <w:pStyle w:val="Subsection"/>
        <w:keepNext/>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rPr>
          <w:snapToGrid w:val="0"/>
        </w:rPr>
      </w:pPr>
      <w:bookmarkStart w:id="327" w:name="_Toc405453235"/>
      <w:bookmarkStart w:id="328" w:name="_Toc413336960"/>
      <w:bookmarkStart w:id="329" w:name="_Toc413337236"/>
      <w:bookmarkStart w:id="330" w:name="_Toc413337067"/>
      <w:r>
        <w:rPr>
          <w:snapToGrid w:val="0"/>
        </w:rPr>
        <w:t>Subdivision 3 — Supervision conditions</w:t>
      </w:r>
      <w:bookmarkEnd w:id="327"/>
      <w:bookmarkEnd w:id="328"/>
      <w:bookmarkEnd w:id="329"/>
      <w:bookmarkEnd w:id="330"/>
      <w:r>
        <w:rPr>
          <w:snapToGrid w:val="0"/>
        </w:rPr>
        <w:t xml:space="preserve"> </w:t>
      </w:r>
    </w:p>
    <w:p>
      <w:pPr>
        <w:pStyle w:val="Heading5"/>
        <w:rPr>
          <w:snapToGrid w:val="0"/>
        </w:rPr>
      </w:pPr>
      <w:bookmarkStart w:id="331" w:name="_Toc405453236"/>
      <w:bookmarkStart w:id="332" w:name="_Toc413337068"/>
      <w:r>
        <w:rPr>
          <w:rStyle w:val="CharSectno"/>
        </w:rPr>
        <w:t>95</w:t>
      </w:r>
      <w:r>
        <w:rPr>
          <w:snapToGrid w:val="0"/>
        </w:rPr>
        <w:t>.</w:t>
      </w:r>
      <w:r>
        <w:rPr>
          <w:snapToGrid w:val="0"/>
        </w:rPr>
        <w:tab/>
        <w:t>Requirement to be supervised</w:t>
      </w:r>
      <w:bookmarkEnd w:id="331"/>
      <w:bookmarkEnd w:id="332"/>
      <w:r>
        <w:rPr>
          <w:snapToGrid w:val="0"/>
        </w:rPr>
        <w:t xml:space="preserve"> </w:t>
      </w:r>
    </w:p>
    <w:p>
      <w:pPr>
        <w:pStyle w:val="Subsection"/>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333" w:name="_Toc405453237"/>
      <w:bookmarkStart w:id="334" w:name="_Toc413337069"/>
      <w:r>
        <w:rPr>
          <w:rStyle w:val="CharSectno"/>
        </w:rPr>
        <w:t>96</w:t>
      </w:r>
      <w:r>
        <w:rPr>
          <w:snapToGrid w:val="0"/>
        </w:rPr>
        <w:t>.</w:t>
      </w:r>
      <w:r>
        <w:rPr>
          <w:snapToGrid w:val="0"/>
        </w:rPr>
        <w:tab/>
        <w:t>Duration of supervision</w:t>
      </w:r>
      <w:bookmarkEnd w:id="333"/>
      <w:bookmarkEnd w:id="334"/>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 by No. 5 of 2008 s. 132(2).]</w:t>
      </w:r>
    </w:p>
    <w:p>
      <w:pPr>
        <w:pStyle w:val="Heading5"/>
        <w:rPr>
          <w:snapToGrid w:val="0"/>
        </w:rPr>
      </w:pPr>
      <w:bookmarkStart w:id="335" w:name="_Toc405453238"/>
      <w:bookmarkStart w:id="336" w:name="_Toc413337070"/>
      <w:r>
        <w:rPr>
          <w:rStyle w:val="CharSectno"/>
        </w:rPr>
        <w:t>97</w:t>
      </w:r>
      <w:r>
        <w:rPr>
          <w:snapToGrid w:val="0"/>
        </w:rPr>
        <w:t>.</w:t>
      </w:r>
      <w:r>
        <w:rPr>
          <w:snapToGrid w:val="0"/>
        </w:rPr>
        <w:tab/>
        <w:t>Changing duration of supervision</w:t>
      </w:r>
      <w:bookmarkEnd w:id="335"/>
      <w:bookmarkEnd w:id="336"/>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337" w:name="_Toc405453239"/>
      <w:bookmarkStart w:id="338" w:name="_Toc413336964"/>
      <w:bookmarkStart w:id="339" w:name="_Toc413337240"/>
      <w:bookmarkStart w:id="340" w:name="_Toc413337071"/>
      <w:r>
        <w:rPr>
          <w:rStyle w:val="CharDivNo"/>
        </w:rPr>
        <w:t>Division 7</w:t>
      </w:r>
      <w:r>
        <w:rPr>
          <w:snapToGrid w:val="0"/>
        </w:rPr>
        <w:t> — </w:t>
      </w:r>
      <w:r>
        <w:rPr>
          <w:rStyle w:val="CharDivText"/>
        </w:rPr>
        <w:t>Intensive youth supervision order</w:t>
      </w:r>
      <w:bookmarkEnd w:id="337"/>
      <w:bookmarkEnd w:id="338"/>
      <w:bookmarkEnd w:id="339"/>
      <w:bookmarkEnd w:id="340"/>
      <w:r>
        <w:rPr>
          <w:rStyle w:val="CharDivText"/>
        </w:rPr>
        <w:t xml:space="preserve"> </w:t>
      </w:r>
    </w:p>
    <w:p>
      <w:pPr>
        <w:pStyle w:val="Heading5"/>
        <w:rPr>
          <w:snapToGrid w:val="0"/>
        </w:rPr>
      </w:pPr>
      <w:bookmarkStart w:id="341" w:name="_Toc405453240"/>
      <w:bookmarkStart w:id="342" w:name="_Toc413337072"/>
      <w:r>
        <w:rPr>
          <w:rStyle w:val="CharSectno"/>
        </w:rPr>
        <w:t>98</w:t>
      </w:r>
      <w:r>
        <w:rPr>
          <w:snapToGrid w:val="0"/>
        </w:rPr>
        <w:t>.</w:t>
      </w:r>
      <w:r>
        <w:rPr>
          <w:snapToGrid w:val="0"/>
        </w:rPr>
        <w:tab/>
        <w:t>Intensive youth supervision order, nature of</w:t>
      </w:r>
      <w:bookmarkEnd w:id="341"/>
      <w:bookmarkEnd w:id="342"/>
      <w:r>
        <w:rPr>
          <w:snapToGrid w:val="0"/>
        </w:rPr>
        <w:t xml:space="preserve"> </w:t>
      </w:r>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spacing w:before="180"/>
        <w:rPr>
          <w:snapToGrid w:val="0"/>
        </w:rPr>
      </w:pPr>
      <w:bookmarkStart w:id="343" w:name="_Toc405453241"/>
      <w:bookmarkStart w:id="344" w:name="_Toc413337073"/>
      <w:r>
        <w:rPr>
          <w:rStyle w:val="CharSectno"/>
        </w:rPr>
        <w:t>99</w:t>
      </w:r>
      <w:r>
        <w:rPr>
          <w:snapToGrid w:val="0"/>
        </w:rPr>
        <w:t>.</w:t>
      </w:r>
      <w:r>
        <w:rPr>
          <w:snapToGrid w:val="0"/>
        </w:rPr>
        <w:tab/>
        <w:t>Order may be made with or without custodial sentence</w:t>
      </w:r>
      <w:bookmarkEnd w:id="343"/>
      <w:bookmarkEnd w:id="344"/>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spacing w:before="180"/>
        <w:rPr>
          <w:snapToGrid w:val="0"/>
        </w:rPr>
      </w:pPr>
      <w:bookmarkStart w:id="345" w:name="_Toc405453242"/>
      <w:bookmarkStart w:id="346" w:name="_Toc413337074"/>
      <w:r>
        <w:rPr>
          <w:rStyle w:val="CharSectno"/>
        </w:rPr>
        <w:t>100</w:t>
      </w:r>
      <w:r>
        <w:rPr>
          <w:snapToGrid w:val="0"/>
        </w:rPr>
        <w:t>.</w:t>
      </w:r>
      <w:r>
        <w:rPr>
          <w:snapToGrid w:val="0"/>
        </w:rPr>
        <w:tab/>
        <w:t>Order without custodial sentence</w:t>
      </w:r>
      <w:bookmarkEnd w:id="345"/>
      <w:bookmarkEnd w:id="346"/>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spacing w:before="180"/>
        <w:rPr>
          <w:snapToGrid w:val="0"/>
        </w:rPr>
      </w:pPr>
      <w:bookmarkStart w:id="347" w:name="_Toc405453243"/>
      <w:bookmarkStart w:id="348" w:name="_Toc413337075"/>
      <w:r>
        <w:rPr>
          <w:rStyle w:val="CharSectno"/>
        </w:rPr>
        <w:t>101</w:t>
      </w:r>
      <w:r>
        <w:rPr>
          <w:snapToGrid w:val="0"/>
        </w:rPr>
        <w:t>.</w:t>
      </w:r>
      <w:r>
        <w:rPr>
          <w:snapToGrid w:val="0"/>
        </w:rPr>
        <w:tab/>
        <w:t>Order with custodial sentence (conditional release order)</w:t>
      </w:r>
      <w:bookmarkEnd w:id="347"/>
      <w:bookmarkEnd w:id="348"/>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spacing w:before="120"/>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spacing w:before="120"/>
        <w:rPr>
          <w:snapToGrid w:val="0"/>
        </w:rPr>
      </w:pPr>
      <w:r>
        <w:rPr>
          <w:snapToGrid w:val="0"/>
        </w:rPr>
        <w:tab/>
        <w:t>(4)</w:t>
      </w:r>
      <w:r>
        <w:rPr>
          <w:snapToGrid w:val="0"/>
        </w:rPr>
        <w:tab/>
        <w:t>The offender only becomes liable to serve the term of detention, or a portion of it, if the order is cancelled.</w:t>
      </w:r>
    </w:p>
    <w:p>
      <w:pPr>
        <w:pStyle w:val="Heading5"/>
        <w:spacing w:before="180"/>
        <w:rPr>
          <w:snapToGrid w:val="0"/>
        </w:rPr>
      </w:pPr>
      <w:bookmarkStart w:id="349" w:name="_Toc405453244"/>
      <w:bookmarkStart w:id="350" w:name="_Toc413337076"/>
      <w:r>
        <w:rPr>
          <w:rStyle w:val="CharSectno"/>
        </w:rPr>
        <w:t>102</w:t>
      </w:r>
      <w:r>
        <w:rPr>
          <w:snapToGrid w:val="0"/>
        </w:rPr>
        <w:t>.</w:t>
      </w:r>
      <w:r>
        <w:rPr>
          <w:snapToGrid w:val="0"/>
        </w:rPr>
        <w:tab/>
        <w:t>Conditional release order to include agenda of conditions</w:t>
      </w:r>
      <w:bookmarkEnd w:id="349"/>
      <w:bookmarkEnd w:id="350"/>
      <w:r>
        <w:rPr>
          <w:snapToGrid w:val="0"/>
        </w:rPr>
        <w:t xml:space="preserve"> </w:t>
      </w:r>
    </w:p>
    <w:p>
      <w:pPr>
        <w:pStyle w:val="Subsection"/>
        <w:spacing w:before="140"/>
        <w:rPr>
          <w:snapToGrid w:val="0"/>
        </w:rPr>
      </w:pPr>
      <w:r>
        <w:rPr>
          <w:snapToGrid w:val="0"/>
        </w:rPr>
        <w:tab/>
        <w:t>(1)</w:t>
      </w:r>
      <w:r>
        <w:rPr>
          <w:snapToGrid w:val="0"/>
        </w:rPr>
        <w:tab/>
        <w:t>A conditional release order is required to have attached an agenda specifying the conditions that it imposes.</w:t>
      </w:r>
    </w:p>
    <w:p>
      <w:pPr>
        <w:pStyle w:val="Subsection"/>
        <w:spacing w:before="140"/>
        <w:rPr>
          <w:snapToGrid w:val="0"/>
        </w:rPr>
      </w:pPr>
      <w:r>
        <w:rPr>
          <w:snapToGrid w:val="0"/>
        </w:rPr>
        <w:tab/>
        <w:t>(2)</w:t>
      </w:r>
      <w:r>
        <w:rPr>
          <w:snapToGrid w:val="0"/>
        </w:rPr>
        <w:tab/>
        <w:t>The agenda attached to the order is to be considered a part of the order.</w:t>
      </w:r>
    </w:p>
    <w:p>
      <w:pPr>
        <w:pStyle w:val="Heading5"/>
        <w:spacing w:before="180"/>
        <w:rPr>
          <w:snapToGrid w:val="0"/>
        </w:rPr>
      </w:pPr>
      <w:bookmarkStart w:id="351" w:name="_Toc405453245"/>
      <w:bookmarkStart w:id="352" w:name="_Toc413337077"/>
      <w:r>
        <w:rPr>
          <w:rStyle w:val="CharSectno"/>
        </w:rPr>
        <w:t>103</w:t>
      </w:r>
      <w:r>
        <w:rPr>
          <w:snapToGrid w:val="0"/>
        </w:rPr>
        <w:t>.</w:t>
      </w:r>
      <w:r>
        <w:rPr>
          <w:snapToGrid w:val="0"/>
        </w:rPr>
        <w:tab/>
        <w:t>Offender must be suitable and consent</w:t>
      </w:r>
      <w:bookmarkEnd w:id="351"/>
      <w:bookmarkEnd w:id="352"/>
      <w:r>
        <w:rPr>
          <w:snapToGrid w:val="0"/>
        </w:rPr>
        <w:t xml:space="preserve"> </w:t>
      </w:r>
    </w:p>
    <w:p>
      <w:pPr>
        <w:pStyle w:val="Subsection"/>
        <w:spacing w:before="140"/>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spacing w:before="140"/>
        <w:rPr>
          <w:snapToGrid w:val="0"/>
        </w:rPr>
      </w:pPr>
      <w:r>
        <w:tab/>
      </w:r>
      <w:r>
        <w:rPr>
          <w:snapToGrid w:val="0"/>
        </w:rPr>
        <w:t>(2)</w:t>
      </w:r>
      <w:r>
        <w:rPr>
          <w:snapToGrid w:val="0"/>
        </w:rPr>
        <w:tab/>
        <w:t>The court cannot release an offender under this section unless the court has been given and considered a report under section 104.</w:t>
      </w:r>
    </w:p>
    <w:p>
      <w:pPr>
        <w:pStyle w:val="Subsection"/>
        <w:spacing w:before="140"/>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ind w:left="890" w:hanging="890"/>
      </w:pPr>
      <w:r>
        <w:tab/>
        <w:t>[Section 103 amended by No. 58 of 2004 s. 22.]</w:t>
      </w:r>
    </w:p>
    <w:p>
      <w:pPr>
        <w:pStyle w:val="Heading5"/>
        <w:spacing w:before="180"/>
        <w:rPr>
          <w:snapToGrid w:val="0"/>
        </w:rPr>
      </w:pPr>
      <w:bookmarkStart w:id="353" w:name="_Toc405453246"/>
      <w:bookmarkStart w:id="354" w:name="_Toc413337078"/>
      <w:r>
        <w:rPr>
          <w:rStyle w:val="CharSectno"/>
        </w:rPr>
        <w:t>104</w:t>
      </w:r>
      <w:r>
        <w:rPr>
          <w:snapToGrid w:val="0"/>
        </w:rPr>
        <w:t>.</w:t>
      </w:r>
      <w:r>
        <w:rPr>
          <w:snapToGrid w:val="0"/>
        </w:rPr>
        <w:tab/>
        <w:t>Agenda proposal required for suitable person</w:t>
      </w:r>
      <w:bookmarkEnd w:id="353"/>
      <w:bookmarkEnd w:id="354"/>
      <w:r>
        <w:rPr>
          <w:snapToGrid w:val="0"/>
        </w:rPr>
        <w:t xml:space="preserve"> </w:t>
      </w:r>
    </w:p>
    <w:p>
      <w:pPr>
        <w:pStyle w:val="Subsection"/>
        <w:spacing w:before="140"/>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keepNext w:val="0"/>
        <w:keepLines w:val="0"/>
        <w:spacing w:before="180"/>
        <w:rPr>
          <w:snapToGrid w:val="0"/>
        </w:rPr>
      </w:pPr>
      <w:bookmarkStart w:id="355" w:name="_Toc405453247"/>
      <w:bookmarkStart w:id="356" w:name="_Toc413337079"/>
      <w:r>
        <w:rPr>
          <w:rStyle w:val="CharSectno"/>
        </w:rPr>
        <w:t>105</w:t>
      </w:r>
      <w:r>
        <w:rPr>
          <w:snapToGrid w:val="0"/>
        </w:rPr>
        <w:t>.</w:t>
      </w:r>
      <w:r>
        <w:rPr>
          <w:snapToGrid w:val="0"/>
        </w:rPr>
        <w:tab/>
        <w:t>Conditional release order, duration of</w:t>
      </w:r>
      <w:bookmarkEnd w:id="355"/>
      <w:bookmarkEnd w:id="356"/>
      <w:r>
        <w:rPr>
          <w:snapToGrid w:val="0"/>
        </w:rPr>
        <w:t xml:space="preserve"> </w:t>
      </w:r>
    </w:p>
    <w:p>
      <w:pPr>
        <w:pStyle w:val="Subsection"/>
        <w:spacing w:before="140"/>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rPr>
          <w:snapToGrid w:val="0"/>
        </w:rPr>
      </w:pPr>
      <w:bookmarkStart w:id="357" w:name="_Toc405453248"/>
      <w:bookmarkStart w:id="358" w:name="_Toc413337082"/>
      <w:r>
        <w:rPr>
          <w:rStyle w:val="CharSectno"/>
        </w:rPr>
        <w:t>106</w:t>
      </w:r>
      <w:r>
        <w:rPr>
          <w:snapToGrid w:val="0"/>
        </w:rPr>
        <w:t>.</w:t>
      </w:r>
      <w:r>
        <w:rPr>
          <w:snapToGrid w:val="0"/>
        </w:rPr>
        <w:tab/>
        <w:t>Conditional release order may relate to several sentences</w:t>
      </w:r>
      <w:bookmarkEnd w:id="357"/>
      <w:bookmarkEnd w:id="358"/>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359" w:name="_Toc405453249"/>
      <w:bookmarkStart w:id="360" w:name="_Toc413337083"/>
      <w:r>
        <w:rPr>
          <w:rStyle w:val="CharSectno"/>
        </w:rPr>
        <w:t>107</w:t>
      </w:r>
      <w:r>
        <w:rPr>
          <w:snapToGrid w:val="0"/>
        </w:rPr>
        <w:t>.</w:t>
      </w:r>
      <w:r>
        <w:rPr>
          <w:snapToGrid w:val="0"/>
        </w:rPr>
        <w:tab/>
        <w:t>Conditional release not to exceed 12 months</w:t>
      </w:r>
      <w:bookmarkEnd w:id="359"/>
      <w:bookmarkEnd w:id="360"/>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361" w:name="_Toc405453250"/>
      <w:bookmarkStart w:id="362" w:name="_Toc413337084"/>
      <w:r>
        <w:rPr>
          <w:rStyle w:val="CharSectno"/>
        </w:rPr>
        <w:t>108</w:t>
      </w:r>
      <w:r>
        <w:rPr>
          <w:snapToGrid w:val="0"/>
        </w:rPr>
        <w:t>.</w:t>
      </w:r>
      <w:r>
        <w:rPr>
          <w:snapToGrid w:val="0"/>
        </w:rPr>
        <w:tab/>
        <w:t>Supervising officer</w:t>
      </w:r>
      <w:bookmarkEnd w:id="361"/>
      <w:bookmarkEnd w:id="362"/>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108. Modifications to be applied in order to give effect to Cross-border Justice Act 2008: section altered 1 Dec 2009. See endnote 1M.]</w:t>
      </w:r>
    </w:p>
    <w:p>
      <w:pPr>
        <w:pStyle w:val="Heading5"/>
        <w:rPr>
          <w:snapToGrid w:val="0"/>
        </w:rPr>
      </w:pPr>
      <w:bookmarkStart w:id="363" w:name="_Toc405453251"/>
      <w:bookmarkStart w:id="364" w:name="_Toc413337085"/>
      <w:r>
        <w:rPr>
          <w:rStyle w:val="CharSectno"/>
        </w:rPr>
        <w:t>109</w:t>
      </w:r>
      <w:r>
        <w:rPr>
          <w:snapToGrid w:val="0"/>
        </w:rPr>
        <w:t>.</w:t>
      </w:r>
      <w:r>
        <w:rPr>
          <w:snapToGrid w:val="0"/>
        </w:rPr>
        <w:tab/>
        <w:t>Conditional release order, implied conditions of</w:t>
      </w:r>
      <w:bookmarkEnd w:id="363"/>
      <w:bookmarkEnd w:id="364"/>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365" w:name="_Toc405453252"/>
      <w:bookmarkStart w:id="366" w:name="_Toc413337086"/>
      <w:r>
        <w:rPr>
          <w:rStyle w:val="CharSectno"/>
        </w:rPr>
        <w:t>109A</w:t>
      </w:r>
      <w:r>
        <w:rPr>
          <w:snapToGrid w:val="0"/>
        </w:rPr>
        <w:t>.</w:t>
      </w:r>
      <w:r>
        <w:rPr>
          <w:snapToGrid w:val="0"/>
        </w:rPr>
        <w:tab/>
        <w:t>Conditional release order: specified places</w:t>
      </w:r>
      <w:bookmarkEnd w:id="365"/>
      <w:bookmarkEnd w:id="366"/>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 xml:space="preserve">cannot be imposed so as to result in the requirement being in force for a continuous period that exceeds 6 months; </w:t>
      </w:r>
    </w:p>
    <w:p>
      <w:pPr>
        <w:pStyle w:val="Indenta"/>
        <w:rPr>
          <w:snapToGrid w:val="0"/>
        </w:rPr>
      </w:pPr>
      <w:r>
        <w:rPr>
          <w:snapToGrid w:val="0"/>
        </w:rPr>
        <w:tab/>
        <w:t>(b)</w:t>
      </w:r>
      <w:r>
        <w:rPr>
          <w:snapToGrid w:val="0"/>
        </w:rPr>
        <w:tab/>
        <w:t xml:space="preserve">cannot require an offender to remain at a place for periods that amount to less than 2 or more than 12 hours in any one day; </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by No. 58 of 2004 s. 23.]</w:t>
      </w:r>
    </w:p>
    <w:p>
      <w:pPr>
        <w:pStyle w:val="Heading5"/>
        <w:spacing w:before="180"/>
        <w:rPr>
          <w:snapToGrid w:val="0"/>
        </w:rPr>
      </w:pPr>
      <w:bookmarkStart w:id="367" w:name="_Toc405453253"/>
      <w:bookmarkStart w:id="368" w:name="_Toc413337088"/>
      <w:r>
        <w:rPr>
          <w:rStyle w:val="CharSectno"/>
        </w:rPr>
        <w:t>109B</w:t>
      </w:r>
      <w:r>
        <w:rPr>
          <w:snapToGrid w:val="0"/>
        </w:rPr>
        <w:t>.</w:t>
      </w:r>
      <w:r>
        <w:rPr>
          <w:snapToGrid w:val="0"/>
        </w:rPr>
        <w:tab/>
        <w:t>Conditional release order: devices</w:t>
      </w:r>
      <w:bookmarkEnd w:id="367"/>
      <w:bookmarkEnd w:id="368"/>
    </w:p>
    <w:p>
      <w:pPr>
        <w:pStyle w:val="Subsection"/>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ind w:left="890" w:hanging="890"/>
      </w:pPr>
      <w:r>
        <w:tab/>
        <w:t>[Section 109B inserted by No. 58 of 2004 s. 23.]</w:t>
      </w:r>
    </w:p>
    <w:p>
      <w:pPr>
        <w:pStyle w:val="Heading5"/>
        <w:rPr>
          <w:snapToGrid w:val="0"/>
        </w:rPr>
      </w:pPr>
      <w:bookmarkStart w:id="369" w:name="_Toc405453254"/>
      <w:bookmarkStart w:id="370" w:name="_Toc413337092"/>
      <w:r>
        <w:rPr>
          <w:rStyle w:val="CharSectno"/>
        </w:rPr>
        <w:t>110</w:t>
      </w:r>
      <w:r>
        <w:rPr>
          <w:snapToGrid w:val="0"/>
        </w:rPr>
        <w:t>.</w:t>
      </w:r>
      <w:r>
        <w:rPr>
          <w:snapToGrid w:val="0"/>
        </w:rPr>
        <w:tab/>
        <w:t>Obligations under order may be suspended</w:t>
      </w:r>
      <w:bookmarkEnd w:id="369"/>
      <w:bookmarkEnd w:id="370"/>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spacing w:before="240"/>
        <w:rPr>
          <w:snapToGrid w:val="0"/>
        </w:rPr>
      </w:pPr>
      <w:bookmarkStart w:id="371" w:name="_Toc405453255"/>
      <w:bookmarkStart w:id="372" w:name="_Toc413337093"/>
      <w:r>
        <w:rPr>
          <w:rStyle w:val="CharSectno"/>
        </w:rPr>
        <w:t>111</w:t>
      </w:r>
      <w:r>
        <w:rPr>
          <w:snapToGrid w:val="0"/>
        </w:rPr>
        <w:t>.</w:t>
      </w:r>
      <w:r>
        <w:rPr>
          <w:snapToGrid w:val="0"/>
        </w:rPr>
        <w:tab/>
        <w:t>Amendment of order, extent of power</w:t>
      </w:r>
      <w:bookmarkEnd w:id="371"/>
      <w:bookmarkEnd w:id="372"/>
      <w:r>
        <w:rPr>
          <w:snapToGrid w:val="0"/>
        </w:rPr>
        <w:t xml:space="preserve"> </w:t>
      </w:r>
    </w:p>
    <w:p>
      <w:pPr>
        <w:pStyle w:val="Subsection"/>
        <w:keepNext/>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spacing w:before="120"/>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spacing w:before="240"/>
        <w:rPr>
          <w:snapToGrid w:val="0"/>
        </w:rPr>
      </w:pPr>
      <w:bookmarkStart w:id="373" w:name="_Toc405453256"/>
      <w:bookmarkStart w:id="374" w:name="_Toc413337094"/>
      <w:r>
        <w:rPr>
          <w:rStyle w:val="CharSectno"/>
        </w:rPr>
        <w:t>112</w:t>
      </w:r>
      <w:r>
        <w:rPr>
          <w:snapToGrid w:val="0"/>
        </w:rPr>
        <w:t>.</w:t>
      </w:r>
      <w:r>
        <w:rPr>
          <w:snapToGrid w:val="0"/>
        </w:rPr>
        <w:tab/>
        <w:t>Amendment or cancellation of order</w:t>
      </w:r>
      <w:bookmarkEnd w:id="373"/>
      <w:bookmarkEnd w:id="374"/>
      <w:r>
        <w:rPr>
          <w:snapToGrid w:val="0"/>
        </w:rPr>
        <w:t xml:space="preserve"> </w:t>
      </w:r>
    </w:p>
    <w:p>
      <w:pPr>
        <w:pStyle w:val="Subsection"/>
        <w:spacing w:before="120"/>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spacing w:before="120"/>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375" w:name="_Toc405453257"/>
      <w:bookmarkStart w:id="376" w:name="_Toc413337095"/>
      <w:r>
        <w:rPr>
          <w:rStyle w:val="CharSectno"/>
        </w:rPr>
        <w:t>113</w:t>
      </w:r>
      <w:r>
        <w:rPr>
          <w:snapToGrid w:val="0"/>
        </w:rPr>
        <w:t>.</w:t>
      </w:r>
      <w:r>
        <w:rPr>
          <w:snapToGrid w:val="0"/>
        </w:rPr>
        <w:tab/>
        <w:t>Breach of order, CEO may require offender to attend court</w:t>
      </w:r>
      <w:bookmarkEnd w:id="375"/>
      <w:bookmarkEnd w:id="376"/>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377" w:name="_Toc405453258"/>
      <w:bookmarkStart w:id="378" w:name="_Toc413337096"/>
      <w:r>
        <w:rPr>
          <w:rStyle w:val="CharSectno"/>
        </w:rPr>
        <w:t>114</w:t>
      </w:r>
      <w:r>
        <w:rPr>
          <w:snapToGrid w:val="0"/>
        </w:rPr>
        <w:t>.</w:t>
      </w:r>
      <w:r>
        <w:rPr>
          <w:snapToGrid w:val="0"/>
        </w:rPr>
        <w:tab/>
        <w:t>Breach of order, powers to deal with</w:t>
      </w:r>
      <w:bookmarkEnd w:id="377"/>
      <w:bookmarkEnd w:id="378"/>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 or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 or</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by No. 58 of 2004 s. 24.]</w:t>
      </w:r>
    </w:p>
    <w:p>
      <w:pPr>
        <w:pStyle w:val="Heading5"/>
        <w:rPr>
          <w:snapToGrid w:val="0"/>
        </w:rPr>
      </w:pPr>
      <w:bookmarkStart w:id="379" w:name="_Toc405453259"/>
      <w:bookmarkStart w:id="380" w:name="_Toc413337097"/>
      <w:r>
        <w:rPr>
          <w:rStyle w:val="CharSectno"/>
        </w:rPr>
        <w:t>115</w:t>
      </w:r>
      <w:r>
        <w:rPr>
          <w:snapToGrid w:val="0"/>
        </w:rPr>
        <w:t>.</w:t>
      </w:r>
      <w:r>
        <w:rPr>
          <w:snapToGrid w:val="0"/>
        </w:rPr>
        <w:tab/>
        <w:t>Conditional release order, effect of expiry of</w:t>
      </w:r>
      <w:bookmarkEnd w:id="379"/>
      <w:bookmarkEnd w:id="380"/>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r>
        <w:tab/>
        <w:t>[Section 115 amended by No. 58 of 2004 s. 25.]</w:t>
      </w:r>
    </w:p>
    <w:p>
      <w:pPr>
        <w:pStyle w:val="Heading5"/>
        <w:rPr>
          <w:snapToGrid w:val="0"/>
        </w:rPr>
      </w:pPr>
      <w:bookmarkStart w:id="381" w:name="_Toc405453260"/>
      <w:bookmarkStart w:id="382" w:name="_Toc413337099"/>
      <w:r>
        <w:rPr>
          <w:rStyle w:val="CharSectno"/>
        </w:rPr>
        <w:t>116</w:t>
      </w:r>
      <w:r>
        <w:rPr>
          <w:snapToGrid w:val="0"/>
        </w:rPr>
        <w:t>.</w:t>
      </w:r>
      <w:r>
        <w:rPr>
          <w:snapToGrid w:val="0"/>
        </w:rPr>
        <w:tab/>
        <w:t>Cancellation of conditional release order, effect of</w:t>
      </w:r>
      <w:bookmarkEnd w:id="381"/>
      <w:bookmarkEnd w:id="382"/>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pPr>
      <w:r>
        <w:tab/>
        <w:t xml:space="preserve">[Section 116 amended by No. 78 of 1995 s. 145.] </w:t>
      </w:r>
    </w:p>
    <w:p>
      <w:pPr>
        <w:pStyle w:val="Heading5"/>
        <w:spacing w:before="180"/>
        <w:rPr>
          <w:snapToGrid w:val="0"/>
        </w:rPr>
      </w:pPr>
      <w:bookmarkStart w:id="383" w:name="_Toc405453261"/>
      <w:bookmarkStart w:id="384" w:name="_Toc413337100"/>
      <w:r>
        <w:rPr>
          <w:rStyle w:val="CharSectno"/>
        </w:rPr>
        <w:t>117</w:t>
      </w:r>
      <w:r>
        <w:rPr>
          <w:snapToGrid w:val="0"/>
        </w:rPr>
        <w:t>.</w:t>
      </w:r>
      <w:r>
        <w:rPr>
          <w:snapToGrid w:val="0"/>
        </w:rPr>
        <w:tab/>
        <w:t>Notice of court applications</w:t>
      </w:r>
      <w:bookmarkEnd w:id="383"/>
      <w:bookmarkEnd w:id="384"/>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keepLines/>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spacing w:before="260"/>
        <w:rPr>
          <w:snapToGrid w:val="0"/>
        </w:rPr>
      </w:pPr>
      <w:bookmarkStart w:id="385" w:name="_Toc405453262"/>
      <w:bookmarkStart w:id="386" w:name="_Toc413336987"/>
      <w:bookmarkStart w:id="387" w:name="_Toc413337263"/>
      <w:bookmarkStart w:id="388" w:name="_Toc413337378"/>
      <w:r>
        <w:rPr>
          <w:rStyle w:val="CharDivNo"/>
        </w:rPr>
        <w:t>Division 8</w:t>
      </w:r>
      <w:r>
        <w:rPr>
          <w:snapToGrid w:val="0"/>
        </w:rPr>
        <w:t> — </w:t>
      </w:r>
      <w:r>
        <w:rPr>
          <w:rStyle w:val="CharDivText"/>
        </w:rPr>
        <w:t>Custodial sentence</w:t>
      </w:r>
      <w:bookmarkEnd w:id="385"/>
      <w:bookmarkEnd w:id="386"/>
      <w:bookmarkEnd w:id="387"/>
      <w:bookmarkEnd w:id="388"/>
      <w:r>
        <w:rPr>
          <w:rStyle w:val="CharDivText"/>
        </w:rPr>
        <w:t xml:space="preserve"> </w:t>
      </w:r>
    </w:p>
    <w:p>
      <w:pPr>
        <w:pStyle w:val="Heading5"/>
        <w:spacing w:before="240"/>
        <w:rPr>
          <w:snapToGrid w:val="0"/>
        </w:rPr>
      </w:pPr>
      <w:bookmarkStart w:id="389" w:name="_Toc405453263"/>
      <w:bookmarkStart w:id="390" w:name="_Toc413337379"/>
      <w:r>
        <w:rPr>
          <w:rStyle w:val="CharSectno"/>
        </w:rPr>
        <w:t>118</w:t>
      </w:r>
      <w:r>
        <w:rPr>
          <w:snapToGrid w:val="0"/>
        </w:rPr>
        <w:t>.</w:t>
      </w:r>
      <w:r>
        <w:rPr>
          <w:snapToGrid w:val="0"/>
        </w:rPr>
        <w:tab/>
        <w:t>Offences punishable by imprisonment, options</w:t>
      </w:r>
      <w:bookmarkEnd w:id="389"/>
      <w:bookmarkEnd w:id="390"/>
      <w:r>
        <w:rPr>
          <w:snapToGrid w:val="0"/>
        </w:rPr>
        <w:t xml:space="preserve"> </w:t>
      </w:r>
    </w:p>
    <w:p>
      <w:pPr>
        <w:pStyle w:val="Subsection"/>
        <w:spacing w:before="180"/>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spacing w:before="180"/>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spacing w:before="180"/>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spacing w:before="180"/>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keepNext/>
        <w:keepLines/>
        <w:spacing w:before="180"/>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by No. 78 of 1995 s. 143; amended by No. 29 of 1998 s. 21; No. 50 of 2003 s. 29(3) and 104(2); No. 27 of 2004 s. 17; No. 5 of 2008 s. 132(3).] </w:t>
      </w:r>
    </w:p>
    <w:p>
      <w:pPr>
        <w:pStyle w:val="Heading5"/>
        <w:rPr>
          <w:snapToGrid w:val="0"/>
        </w:rPr>
      </w:pPr>
      <w:bookmarkStart w:id="391" w:name="_Toc405453264"/>
      <w:bookmarkStart w:id="392" w:name="_Toc413337380"/>
      <w:r>
        <w:rPr>
          <w:rStyle w:val="CharSectno"/>
        </w:rPr>
        <w:t>118A</w:t>
      </w:r>
      <w:r>
        <w:rPr>
          <w:snapToGrid w:val="0"/>
        </w:rPr>
        <w:t>.</w:t>
      </w:r>
      <w:r>
        <w:rPr>
          <w:snapToGrid w:val="0"/>
        </w:rPr>
        <w:tab/>
        <w:t>Where sentence of imprisonment to be served</w:t>
      </w:r>
      <w:bookmarkEnd w:id="391"/>
      <w:bookmarkEnd w:id="392"/>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by No. 78 of 1995 s. 143; amended by No. 47 of 1999 s. 43.] </w:t>
      </w:r>
    </w:p>
    <w:p>
      <w:pPr>
        <w:pStyle w:val="Heading5"/>
        <w:rPr>
          <w:b w:val="0"/>
          <w:spacing w:val="-2"/>
        </w:rPr>
      </w:pPr>
      <w:bookmarkStart w:id="393" w:name="_Toc405453265"/>
      <w:bookmarkStart w:id="394" w:name="_Toc413337381"/>
      <w:r>
        <w:rPr>
          <w:rStyle w:val="CharSectno"/>
        </w:rPr>
        <w:t>119</w:t>
      </w:r>
      <w:r>
        <w:t>.</w:t>
      </w:r>
      <w:r>
        <w:tab/>
        <w:t>Taking time on remand into account</w:t>
      </w:r>
      <w:bookmarkEnd w:id="393"/>
      <w:bookmarkEnd w:id="394"/>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pPr>
      <w:r>
        <w:tab/>
        <w:t>(b)</w:t>
      </w:r>
      <w:r>
        <w:tab/>
        <w:t>the court decides that that time should be taken into account,</w:t>
      </w:r>
    </w:p>
    <w:p>
      <w:pPr>
        <w:pStyle w:val="Subsection"/>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by No. 29 of 1998 s. 22.]</w:t>
      </w:r>
    </w:p>
    <w:p>
      <w:pPr>
        <w:pStyle w:val="Heading5"/>
      </w:pPr>
      <w:bookmarkStart w:id="395" w:name="_Toc405453266"/>
      <w:bookmarkStart w:id="396" w:name="_Toc413337382"/>
      <w:r>
        <w:rPr>
          <w:rStyle w:val="CharSectno"/>
        </w:rPr>
        <w:t>119A</w:t>
      </w:r>
      <w:r>
        <w:t>.</w:t>
      </w:r>
      <w:r>
        <w:tab/>
        <w:t>Effect of not being in custody</w:t>
      </w:r>
      <w:bookmarkEnd w:id="395"/>
      <w:bookmarkEnd w:id="396"/>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by No. 58 of 2004 s. 26.]</w:t>
      </w:r>
    </w:p>
    <w:p>
      <w:pPr>
        <w:pStyle w:val="Heading5"/>
        <w:rPr>
          <w:snapToGrid w:val="0"/>
        </w:rPr>
      </w:pPr>
      <w:bookmarkStart w:id="397" w:name="_Toc405453267"/>
      <w:bookmarkStart w:id="398" w:name="_Toc413337383"/>
      <w:r>
        <w:rPr>
          <w:rStyle w:val="CharSectno"/>
        </w:rPr>
        <w:t>120</w:t>
      </w:r>
      <w:r>
        <w:rPr>
          <w:snapToGrid w:val="0"/>
        </w:rPr>
        <w:t>.</w:t>
      </w:r>
      <w:r>
        <w:rPr>
          <w:snapToGrid w:val="0"/>
        </w:rPr>
        <w:tab/>
        <w:t>Custodial sentence is sentence of last resort</w:t>
      </w:r>
      <w:bookmarkEnd w:id="397"/>
      <w:bookmarkEnd w:id="398"/>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 xml:space="preserve">A court that imposes on a young person a custodial sentence is to </w:t>
      </w:r>
      <w:r>
        <w:t>give written</w:t>
      </w:r>
      <w:r>
        <w:rPr>
          <w:snapToGrid w:val="0"/>
        </w:rPr>
        <w:t xml:space="preserve"> reasons why it considers that there is no other appropriate way for it to dispose of the matter.</w:t>
      </w:r>
    </w:p>
    <w:p>
      <w:pPr>
        <w:pStyle w:val="Subsection"/>
      </w:pPr>
      <w:r>
        <w:tab/>
        <w:t>(3)</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120 amended by No. 20 of 2013 s. 142.]</w:t>
      </w:r>
    </w:p>
    <w:p>
      <w:pPr>
        <w:pStyle w:val="Heading5"/>
        <w:rPr>
          <w:snapToGrid w:val="0"/>
        </w:rPr>
      </w:pPr>
      <w:bookmarkStart w:id="399" w:name="_Toc405453268"/>
      <w:bookmarkStart w:id="400" w:name="_Toc413337384"/>
      <w:r>
        <w:rPr>
          <w:rStyle w:val="CharSectno"/>
        </w:rPr>
        <w:t>121</w:t>
      </w:r>
      <w:r>
        <w:rPr>
          <w:snapToGrid w:val="0"/>
        </w:rPr>
        <w:t>.</w:t>
      </w:r>
      <w:r>
        <w:rPr>
          <w:snapToGrid w:val="0"/>
        </w:rPr>
        <w:tab/>
        <w:t>Minimum period before release from detention</w:t>
      </w:r>
      <w:bookmarkEnd w:id="399"/>
      <w:bookmarkEnd w:id="400"/>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5pt;height:31pt" fillcolor="window">
            <v:imagedata r:id="rId15" o:title=""/>
          </v:shape>
        </w:pict>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deleted]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by No. 29 of 1998 s. 23.]</w:t>
      </w:r>
    </w:p>
    <w:p>
      <w:pPr>
        <w:pStyle w:val="Heading5"/>
        <w:rPr>
          <w:snapToGrid w:val="0"/>
        </w:rPr>
      </w:pPr>
      <w:bookmarkStart w:id="401" w:name="_Toc405453269"/>
      <w:bookmarkStart w:id="402" w:name="_Toc413337385"/>
      <w:r>
        <w:rPr>
          <w:rStyle w:val="CharSectno"/>
        </w:rPr>
        <w:t>122</w:t>
      </w:r>
      <w:r>
        <w:rPr>
          <w:snapToGrid w:val="0"/>
        </w:rPr>
        <w:t>.</w:t>
      </w:r>
      <w:r>
        <w:rPr>
          <w:snapToGrid w:val="0"/>
        </w:rPr>
        <w:tab/>
        <w:t>Aggregation of multiple sentences of detention</w:t>
      </w:r>
      <w:bookmarkEnd w:id="401"/>
      <w:bookmarkEnd w:id="402"/>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403" w:name="_Toc405453270"/>
      <w:bookmarkStart w:id="404" w:name="_Toc413337386"/>
      <w:r>
        <w:rPr>
          <w:rStyle w:val="CharSectno"/>
        </w:rPr>
        <w:t>123</w:t>
      </w:r>
      <w:r>
        <w:rPr>
          <w:snapToGrid w:val="0"/>
        </w:rPr>
        <w:t>.</w:t>
      </w:r>
      <w:r>
        <w:rPr>
          <w:snapToGrid w:val="0"/>
        </w:rPr>
        <w:tab/>
        <w:t>Cumulative sentences of detention, service of</w:t>
      </w:r>
      <w:bookmarkEnd w:id="403"/>
      <w:bookmarkEnd w:id="404"/>
      <w:r>
        <w:rPr>
          <w:snapToGrid w:val="0"/>
        </w:rPr>
        <w:t xml:space="preserve"> </w:t>
      </w:r>
    </w:p>
    <w:p>
      <w:pPr>
        <w:pStyle w:val="Subsection"/>
        <w:rPr>
          <w:snapToGrid w:val="0"/>
        </w:rPr>
      </w:pPr>
      <w:r>
        <w:rPr>
          <w:snapToGrid w:val="0"/>
        </w:rPr>
        <w:tab/>
        <w:t>(1)</w:t>
      </w:r>
      <w:r>
        <w:rPr>
          <w:snapToGrid w:val="0"/>
        </w:rPr>
        <w:tab/>
        <w:t xml:space="preserve">This section applies if a sentence of detention imposed on a person </w:t>
      </w:r>
      <w:r>
        <w:t>(the</w:t>
      </w:r>
      <w:r>
        <w:rPr>
          <w:snapToGrid w:val="0"/>
        </w:rPr>
        <w:t xml:space="preserve"> </w:t>
      </w:r>
      <w:r>
        <w:rPr>
          <w:rStyle w:val="CharDefText"/>
        </w:rPr>
        <w:t>second sentence</w:t>
      </w:r>
      <w:r>
        <w:rPr>
          <w:snapToGrid w:val="0"/>
        </w:rPr>
        <w:t xml:space="preserve">) is to be served cumulatively upon another sentence of </w:t>
      </w:r>
      <w:r>
        <w:t>detention (the</w:t>
      </w:r>
      <w:r>
        <w:rPr>
          <w:snapToGrid w:val="0"/>
        </w:rPr>
        <w:t xml:space="preserve"> </w:t>
      </w:r>
      <w:r>
        <w:rPr>
          <w:rStyle w:val="CharDefText"/>
        </w:rPr>
        <w:t>first sentence</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rPr>
          <w:snapToGrid w:val="0"/>
        </w:rPr>
      </w:pPr>
      <w:bookmarkStart w:id="405" w:name="_Toc405453271"/>
      <w:bookmarkStart w:id="406" w:name="_Toc413336996"/>
      <w:bookmarkStart w:id="407" w:name="_Toc413337272"/>
      <w:bookmarkStart w:id="408" w:name="_Toc413337387"/>
      <w:r>
        <w:rPr>
          <w:rStyle w:val="CharDivNo"/>
        </w:rPr>
        <w:t>Division 9</w:t>
      </w:r>
      <w:r>
        <w:rPr>
          <w:snapToGrid w:val="0"/>
        </w:rPr>
        <w:t> — </w:t>
      </w:r>
      <w:r>
        <w:rPr>
          <w:rStyle w:val="CharDivText"/>
        </w:rPr>
        <w:t>Dealing with young person who repeatedly commits serious offences</w:t>
      </w:r>
      <w:bookmarkEnd w:id="405"/>
      <w:bookmarkEnd w:id="406"/>
      <w:bookmarkEnd w:id="407"/>
      <w:bookmarkEnd w:id="408"/>
      <w:r>
        <w:rPr>
          <w:rStyle w:val="CharDivText"/>
        </w:rPr>
        <w:t xml:space="preserve"> </w:t>
      </w:r>
    </w:p>
    <w:p>
      <w:pPr>
        <w:pStyle w:val="Heading5"/>
        <w:rPr>
          <w:snapToGrid w:val="0"/>
        </w:rPr>
      </w:pPr>
      <w:bookmarkStart w:id="409" w:name="_Toc405453272"/>
      <w:bookmarkStart w:id="410" w:name="_Toc413337388"/>
      <w:r>
        <w:rPr>
          <w:rStyle w:val="CharSectno"/>
        </w:rPr>
        <w:t>124</w:t>
      </w:r>
      <w:r>
        <w:rPr>
          <w:snapToGrid w:val="0"/>
        </w:rPr>
        <w:t>.</w:t>
      </w:r>
      <w:r>
        <w:rPr>
          <w:snapToGrid w:val="0"/>
        </w:rPr>
        <w:tab/>
        <w:t>When this Division applies</w:t>
      </w:r>
      <w:bookmarkEnd w:id="409"/>
      <w:bookmarkEnd w:id="410"/>
      <w:r>
        <w:rPr>
          <w:snapToGrid w:val="0"/>
        </w:rPr>
        <w:t xml:space="preserve"> </w:t>
      </w:r>
    </w:p>
    <w:p>
      <w:pPr>
        <w:pStyle w:val="Subsection"/>
        <w:keepNext/>
        <w:rPr>
          <w:snapToGrid w:val="0"/>
        </w:rPr>
      </w:pPr>
      <w:r>
        <w:rPr>
          <w:snapToGrid w:val="0"/>
        </w:rPr>
        <w:tab/>
        <w:t>(1)</w:t>
      </w:r>
      <w:r>
        <w:rPr>
          <w:snapToGrid w:val="0"/>
        </w:rPr>
        <w:tab/>
        <w:t xml:space="preserve">This Division applies to the sentencing of the offender for a serious offence </w:t>
      </w:r>
      <w:r>
        <w:t>(the</w:t>
      </w:r>
      <w:r>
        <w:rPr>
          <w:snapToGrid w:val="0"/>
        </w:rPr>
        <w:t xml:space="preserve"> </w:t>
      </w:r>
      <w:r>
        <w:rPr>
          <w:rStyle w:val="CharDefText"/>
        </w:rPr>
        <w:t>current offence</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411" w:name="_Toc405453273"/>
      <w:bookmarkStart w:id="412" w:name="_Toc413337389"/>
      <w:r>
        <w:rPr>
          <w:rStyle w:val="CharSectno"/>
        </w:rPr>
        <w:t>125</w:t>
      </w:r>
      <w:r>
        <w:rPr>
          <w:snapToGrid w:val="0"/>
        </w:rPr>
        <w:t>.</w:t>
      </w:r>
      <w:r>
        <w:rPr>
          <w:snapToGrid w:val="0"/>
        </w:rPr>
        <w:tab/>
        <w:t>Protection of the community paramount</w:t>
      </w:r>
      <w:bookmarkEnd w:id="411"/>
      <w:bookmarkEnd w:id="412"/>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413" w:name="_Toc405453274"/>
      <w:bookmarkStart w:id="414" w:name="_Toc413337390"/>
      <w:r>
        <w:rPr>
          <w:rStyle w:val="CharSectno"/>
        </w:rPr>
        <w:t>126</w:t>
      </w:r>
      <w:r>
        <w:rPr>
          <w:snapToGrid w:val="0"/>
        </w:rPr>
        <w:t>.</w:t>
      </w:r>
      <w:r>
        <w:rPr>
          <w:snapToGrid w:val="0"/>
        </w:rPr>
        <w:tab/>
        <w:t>Special order, making of</w:t>
      </w:r>
      <w:bookmarkEnd w:id="413"/>
      <w:bookmarkEnd w:id="414"/>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by No. 78 of 1995 s. 145.] </w:t>
      </w:r>
    </w:p>
    <w:p>
      <w:pPr>
        <w:pStyle w:val="Heading5"/>
        <w:rPr>
          <w:snapToGrid w:val="0"/>
        </w:rPr>
      </w:pPr>
      <w:bookmarkStart w:id="415" w:name="_Toc405453275"/>
      <w:bookmarkStart w:id="416" w:name="_Toc413337391"/>
      <w:r>
        <w:rPr>
          <w:rStyle w:val="CharSectno"/>
        </w:rPr>
        <w:t>127</w:t>
      </w:r>
      <w:r>
        <w:rPr>
          <w:snapToGrid w:val="0"/>
        </w:rPr>
        <w:t>.</w:t>
      </w:r>
      <w:r>
        <w:rPr>
          <w:snapToGrid w:val="0"/>
        </w:rPr>
        <w:tab/>
        <w:t>Special order, time of operation</w:t>
      </w:r>
      <w:bookmarkEnd w:id="415"/>
      <w:bookmarkEnd w:id="416"/>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417" w:name="_Toc405453276"/>
      <w:bookmarkStart w:id="418" w:name="_Toc413337392"/>
      <w:r>
        <w:rPr>
          <w:rStyle w:val="CharSectno"/>
        </w:rPr>
        <w:t>128</w:t>
      </w:r>
      <w:r>
        <w:rPr>
          <w:snapToGrid w:val="0"/>
        </w:rPr>
        <w:t>.</w:t>
      </w:r>
      <w:r>
        <w:rPr>
          <w:snapToGrid w:val="0"/>
        </w:rPr>
        <w:tab/>
        <w:t>Special order, effect of</w:t>
      </w:r>
      <w:bookmarkEnd w:id="417"/>
      <w:bookmarkEnd w:id="418"/>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419" w:name="_Toc405453277"/>
      <w:bookmarkStart w:id="420" w:name="_Toc413337393"/>
      <w:r>
        <w:rPr>
          <w:rStyle w:val="CharSectno"/>
        </w:rPr>
        <w:t>129</w:t>
      </w:r>
      <w:r>
        <w:rPr>
          <w:snapToGrid w:val="0"/>
        </w:rPr>
        <w:t>.</w:t>
      </w:r>
      <w:r>
        <w:rPr>
          <w:snapToGrid w:val="0"/>
        </w:rPr>
        <w:tab/>
        <w:t>Special order, application to discharge</w:t>
      </w:r>
      <w:bookmarkEnd w:id="419"/>
      <w:bookmarkEnd w:id="420"/>
      <w:r>
        <w:rPr>
          <w:snapToGrid w:val="0"/>
        </w:rPr>
        <w:t xml:space="preserve"> </w:t>
      </w:r>
    </w:p>
    <w:p>
      <w:pPr>
        <w:pStyle w:val="Subsection"/>
        <w:rPr>
          <w:snapToGrid w:val="0"/>
        </w:rPr>
      </w:pPr>
      <w:r>
        <w:rPr>
          <w:snapToGrid w:val="0"/>
        </w:rPr>
        <w:tab/>
        <w:t>(1)</w:t>
      </w:r>
      <w:r>
        <w:rPr>
          <w:snapToGrid w:val="0"/>
        </w:rPr>
        <w:tab/>
        <w:t>In this section</w:t>
      </w:r>
      <w:r>
        <w:t xml:space="preserve"> the</w:t>
      </w:r>
      <w:r>
        <w:rPr>
          <w:b/>
          <w:i/>
          <w:snapToGrid w:val="0"/>
        </w:rPr>
        <w:t xml:space="preserve"> </w:t>
      </w:r>
      <w:r>
        <w:rPr>
          <w:rStyle w:val="CharDefText"/>
        </w:rPr>
        <w:t>sentencing court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421" w:name="_Toc405453278"/>
      <w:bookmarkStart w:id="422" w:name="_Toc413337394"/>
      <w:r>
        <w:rPr>
          <w:rStyle w:val="CharSectno"/>
        </w:rPr>
        <w:t>130</w:t>
      </w:r>
      <w:r>
        <w:rPr>
          <w:snapToGrid w:val="0"/>
        </w:rPr>
        <w:t>.</w:t>
      </w:r>
      <w:r>
        <w:rPr>
          <w:snapToGrid w:val="0"/>
        </w:rPr>
        <w:tab/>
        <w:t>Special order, effect of expiry of</w:t>
      </w:r>
      <w:bookmarkEnd w:id="421"/>
      <w:bookmarkEnd w:id="422"/>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423" w:name="_Toc405453279"/>
      <w:bookmarkStart w:id="424" w:name="_Toc413337004"/>
      <w:bookmarkStart w:id="425" w:name="_Toc413337280"/>
      <w:bookmarkStart w:id="426" w:name="_Toc413337395"/>
      <w:r>
        <w:rPr>
          <w:rStyle w:val="CharPartNo"/>
        </w:rPr>
        <w:t>Part 8</w:t>
      </w:r>
      <w:r>
        <w:t> — </w:t>
      </w:r>
      <w:r>
        <w:rPr>
          <w:rStyle w:val="CharPartText"/>
        </w:rPr>
        <w:t>Supervised release orders</w:t>
      </w:r>
      <w:bookmarkEnd w:id="423"/>
      <w:bookmarkEnd w:id="424"/>
      <w:bookmarkEnd w:id="425"/>
      <w:bookmarkEnd w:id="426"/>
      <w:r>
        <w:rPr>
          <w:rStyle w:val="CharPartText"/>
        </w:rPr>
        <w:t xml:space="preserve"> </w:t>
      </w:r>
    </w:p>
    <w:p>
      <w:pPr>
        <w:pStyle w:val="Heading3"/>
        <w:rPr>
          <w:snapToGrid w:val="0"/>
        </w:rPr>
      </w:pPr>
      <w:bookmarkStart w:id="427" w:name="_Toc405453280"/>
      <w:bookmarkStart w:id="428" w:name="_Toc413337005"/>
      <w:bookmarkStart w:id="429" w:name="_Toc413337281"/>
      <w:bookmarkStart w:id="430" w:name="_Toc413337396"/>
      <w:r>
        <w:rPr>
          <w:rStyle w:val="CharDivNo"/>
        </w:rPr>
        <w:t>Division 1</w:t>
      </w:r>
      <w:r>
        <w:rPr>
          <w:snapToGrid w:val="0"/>
        </w:rPr>
        <w:t> — </w:t>
      </w:r>
      <w:r>
        <w:rPr>
          <w:rStyle w:val="CharDivText"/>
        </w:rPr>
        <w:t>Definitions</w:t>
      </w:r>
      <w:bookmarkEnd w:id="427"/>
      <w:bookmarkEnd w:id="428"/>
      <w:bookmarkEnd w:id="429"/>
      <w:bookmarkEnd w:id="430"/>
      <w:r>
        <w:rPr>
          <w:rStyle w:val="CharDivText"/>
        </w:rPr>
        <w:t xml:space="preserve"> </w:t>
      </w:r>
    </w:p>
    <w:p>
      <w:pPr>
        <w:pStyle w:val="Heading5"/>
        <w:rPr>
          <w:snapToGrid w:val="0"/>
        </w:rPr>
      </w:pPr>
      <w:bookmarkStart w:id="431" w:name="_Toc405453281"/>
      <w:bookmarkStart w:id="432" w:name="_Toc413337397"/>
      <w:r>
        <w:rPr>
          <w:rStyle w:val="CharSectno"/>
        </w:rPr>
        <w:t>131</w:t>
      </w:r>
      <w:r>
        <w:rPr>
          <w:snapToGrid w:val="0"/>
        </w:rPr>
        <w:t>.</w:t>
      </w:r>
      <w:r>
        <w:rPr>
          <w:snapToGrid w:val="0"/>
        </w:rPr>
        <w:tab/>
        <w:t>Terms used</w:t>
      </w:r>
      <w:bookmarkEnd w:id="431"/>
      <w:bookmarkEnd w:id="432"/>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Board</w:t>
      </w:r>
      <w:r>
        <w:t xml:space="preserve"> means the Supervised Release Review Board established under section 151;</w:t>
      </w:r>
    </w:p>
    <w:p>
      <w:pPr>
        <w:pStyle w:val="Defstart"/>
      </w:pPr>
      <w:r>
        <w:rPr>
          <w:b/>
        </w:rPr>
        <w:tab/>
      </w:r>
      <w:r>
        <w:rPr>
          <w:rStyle w:val="CharDefText"/>
        </w:rPr>
        <w:t>Secretary</w:t>
      </w:r>
      <w:r>
        <w:t xml:space="preserve"> means the secretary of the Board.</w:t>
      </w:r>
    </w:p>
    <w:p>
      <w:pPr>
        <w:pStyle w:val="Heading3"/>
        <w:rPr>
          <w:snapToGrid w:val="0"/>
        </w:rPr>
      </w:pPr>
      <w:bookmarkStart w:id="433" w:name="_Toc405453282"/>
      <w:bookmarkStart w:id="434" w:name="_Toc413337007"/>
      <w:bookmarkStart w:id="435" w:name="_Toc413337283"/>
      <w:bookmarkStart w:id="436" w:name="_Toc413337398"/>
      <w:r>
        <w:rPr>
          <w:rStyle w:val="CharDivNo"/>
        </w:rPr>
        <w:t>Division 2</w:t>
      </w:r>
      <w:r>
        <w:rPr>
          <w:snapToGrid w:val="0"/>
        </w:rPr>
        <w:t> — </w:t>
      </w:r>
      <w:r>
        <w:rPr>
          <w:rStyle w:val="CharDivText"/>
        </w:rPr>
        <w:t>The order</w:t>
      </w:r>
      <w:bookmarkEnd w:id="433"/>
      <w:bookmarkEnd w:id="434"/>
      <w:bookmarkEnd w:id="435"/>
      <w:bookmarkEnd w:id="436"/>
      <w:r>
        <w:rPr>
          <w:rStyle w:val="CharDivText"/>
        </w:rPr>
        <w:t xml:space="preserve"> </w:t>
      </w:r>
    </w:p>
    <w:p>
      <w:pPr>
        <w:pStyle w:val="Heading5"/>
        <w:rPr>
          <w:snapToGrid w:val="0"/>
        </w:rPr>
      </w:pPr>
      <w:bookmarkStart w:id="437" w:name="_Toc405453283"/>
      <w:bookmarkStart w:id="438" w:name="_Toc413337399"/>
      <w:r>
        <w:rPr>
          <w:rStyle w:val="CharSectno"/>
        </w:rPr>
        <w:t>132</w:t>
      </w:r>
      <w:r>
        <w:rPr>
          <w:snapToGrid w:val="0"/>
        </w:rPr>
        <w:t>.</w:t>
      </w:r>
      <w:r>
        <w:rPr>
          <w:snapToGrid w:val="0"/>
        </w:rPr>
        <w:tab/>
        <w:t>Supervised release order, Board may make</w:t>
      </w:r>
      <w:bookmarkEnd w:id="437"/>
      <w:bookmarkEnd w:id="438"/>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by No. 58 of 2004 s. 27.]</w:t>
      </w:r>
    </w:p>
    <w:p>
      <w:pPr>
        <w:pStyle w:val="Heading5"/>
        <w:rPr>
          <w:snapToGrid w:val="0"/>
        </w:rPr>
      </w:pPr>
      <w:bookmarkStart w:id="439" w:name="_Toc405453284"/>
      <w:bookmarkStart w:id="440" w:name="_Toc413337400"/>
      <w:r>
        <w:rPr>
          <w:rStyle w:val="CharSectno"/>
        </w:rPr>
        <w:t>133</w:t>
      </w:r>
      <w:r>
        <w:rPr>
          <w:snapToGrid w:val="0"/>
        </w:rPr>
        <w:t>.</w:t>
      </w:r>
      <w:r>
        <w:rPr>
          <w:snapToGrid w:val="0"/>
        </w:rPr>
        <w:tab/>
        <w:t>Supervised release order, when can be made</w:t>
      </w:r>
      <w:bookmarkEnd w:id="439"/>
      <w:bookmarkEnd w:id="440"/>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 and</w:t>
      </w:r>
    </w:p>
    <w:p>
      <w:pPr>
        <w:pStyle w:val="Indenta"/>
        <w:rPr>
          <w:snapToGrid w:val="0"/>
        </w:rPr>
      </w:pPr>
      <w:r>
        <w:rPr>
          <w:snapToGrid w:val="0"/>
        </w:rPr>
        <w:tab/>
        <w:t>(b)</w:t>
      </w:r>
      <w:r>
        <w:rPr>
          <w:snapToGrid w:val="0"/>
        </w:rPr>
        <w:tab/>
        <w:t>the earliest release day has been reached; and</w:t>
      </w:r>
    </w:p>
    <w:p>
      <w:pPr>
        <w:pStyle w:val="Indenta"/>
      </w:pPr>
      <w:r>
        <w:tab/>
        <w:t>(ba)</w:t>
      </w:r>
      <w:r>
        <w:tab/>
        <w:t>the Board has considered any statement received from a victim of the offence in respect of which the detainee is in custody; and</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r>
        <w:tab/>
        <w:t>(3)</w:t>
      </w:r>
      <w:r>
        <w:tab/>
        <w:t xml:space="preserve">In this section — </w:t>
      </w:r>
    </w:p>
    <w:p>
      <w:pPr>
        <w:pStyle w:val="Defstart"/>
      </w:pPr>
      <w:r>
        <w:rPr>
          <w:b/>
        </w:rPr>
        <w:tab/>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results in a death, any member of the immediate family of the deceased.</w:t>
      </w:r>
    </w:p>
    <w:p>
      <w:pPr>
        <w:pStyle w:val="Footnotesection"/>
      </w:pPr>
      <w:r>
        <w:tab/>
        <w:t>[Section 133 amended by No. 41 of 2006 s. 87.]</w:t>
      </w:r>
    </w:p>
    <w:p>
      <w:pPr>
        <w:pStyle w:val="Heading5"/>
        <w:rPr>
          <w:snapToGrid w:val="0"/>
        </w:rPr>
      </w:pPr>
      <w:bookmarkStart w:id="441" w:name="_Toc405453285"/>
      <w:bookmarkStart w:id="442" w:name="_Toc413337401"/>
      <w:r>
        <w:rPr>
          <w:rStyle w:val="CharSectno"/>
        </w:rPr>
        <w:t>134</w:t>
      </w:r>
      <w:r>
        <w:rPr>
          <w:snapToGrid w:val="0"/>
        </w:rPr>
        <w:t>.</w:t>
      </w:r>
      <w:r>
        <w:rPr>
          <w:snapToGrid w:val="0"/>
        </w:rPr>
        <w:tab/>
        <w:t>Duration of order</w:t>
      </w:r>
      <w:bookmarkEnd w:id="441"/>
      <w:bookmarkEnd w:id="442"/>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443" w:name="_Toc405453286"/>
      <w:bookmarkStart w:id="444" w:name="_Toc413337402"/>
      <w:r>
        <w:rPr>
          <w:rStyle w:val="CharSectno"/>
        </w:rPr>
        <w:t>135</w:t>
      </w:r>
      <w:r>
        <w:rPr>
          <w:snapToGrid w:val="0"/>
        </w:rPr>
        <w:t>.</w:t>
      </w:r>
      <w:r>
        <w:rPr>
          <w:snapToGrid w:val="0"/>
        </w:rPr>
        <w:tab/>
        <w:t>Order may relate to more than one sentence</w:t>
      </w:r>
      <w:bookmarkEnd w:id="443"/>
      <w:bookmarkEnd w:id="444"/>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445" w:name="_Toc405453287"/>
      <w:bookmarkStart w:id="446" w:name="_Toc413337403"/>
      <w:r>
        <w:rPr>
          <w:rStyle w:val="CharSectno"/>
        </w:rPr>
        <w:t>136</w:t>
      </w:r>
      <w:r>
        <w:rPr>
          <w:snapToGrid w:val="0"/>
        </w:rPr>
        <w:t>.</w:t>
      </w:r>
      <w:r>
        <w:rPr>
          <w:snapToGrid w:val="0"/>
        </w:rPr>
        <w:tab/>
        <w:t>Conditions implied in order</w:t>
      </w:r>
      <w:bookmarkEnd w:id="445"/>
      <w:bookmarkEnd w:id="446"/>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 and</w:t>
      </w:r>
    </w:p>
    <w:p>
      <w:pPr>
        <w:pStyle w:val="Indenta"/>
        <w:rPr>
          <w:snapToGrid w:val="0"/>
        </w:rPr>
      </w:pPr>
      <w:r>
        <w:rPr>
          <w:snapToGrid w:val="0"/>
        </w:rPr>
        <w:tab/>
        <w:t>(b)</w:t>
      </w:r>
      <w:r>
        <w:rPr>
          <w:snapToGrid w:val="0"/>
        </w:rPr>
        <w:tab/>
        <w:t>the offender is not to commit another offence and is to be of good behaviour; and</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Footnotesection"/>
      </w:pPr>
      <w:r>
        <w:tab/>
        <w:t>[Section 136. Modifications to be applied in order to give effect to Cross-border Justice Act 2008: section altered 1 Dec 2009. See endnote 1M.]</w:t>
      </w:r>
    </w:p>
    <w:p>
      <w:pPr>
        <w:pStyle w:val="Heading5"/>
        <w:rPr>
          <w:snapToGrid w:val="0"/>
        </w:rPr>
      </w:pPr>
      <w:bookmarkStart w:id="447" w:name="_Toc405453288"/>
      <w:bookmarkStart w:id="448" w:name="_Toc413337404"/>
      <w:r>
        <w:rPr>
          <w:rStyle w:val="CharSectno"/>
        </w:rPr>
        <w:t>136A</w:t>
      </w:r>
      <w:r>
        <w:rPr>
          <w:snapToGrid w:val="0"/>
        </w:rPr>
        <w:t>.</w:t>
      </w:r>
      <w:r>
        <w:rPr>
          <w:snapToGrid w:val="0"/>
        </w:rPr>
        <w:tab/>
        <w:t>Express conditions: specified places</w:t>
      </w:r>
      <w:bookmarkEnd w:id="447"/>
      <w:bookmarkEnd w:id="448"/>
    </w:p>
    <w:p>
      <w:pPr>
        <w:pStyle w:val="Subsection"/>
        <w:spacing w:before="120"/>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spacing w:before="120"/>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spacing w:before="120"/>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by No. 58 of 2004 s. 28.]</w:t>
      </w:r>
    </w:p>
    <w:p>
      <w:pPr>
        <w:pStyle w:val="Heading5"/>
      </w:pPr>
      <w:bookmarkStart w:id="449" w:name="_Toc405453289"/>
      <w:bookmarkStart w:id="450" w:name="_Toc413337405"/>
      <w:r>
        <w:rPr>
          <w:rStyle w:val="CharSectno"/>
        </w:rPr>
        <w:t>136B</w:t>
      </w:r>
      <w:r>
        <w:t>.</w:t>
      </w:r>
      <w:r>
        <w:tab/>
        <w:t>Express conditions: devices</w:t>
      </w:r>
      <w:bookmarkEnd w:id="449"/>
      <w:bookmarkEnd w:id="450"/>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by No. 58 of 2004 s. 28.]</w:t>
      </w:r>
    </w:p>
    <w:p>
      <w:pPr>
        <w:pStyle w:val="Heading5"/>
        <w:rPr>
          <w:snapToGrid w:val="0"/>
        </w:rPr>
      </w:pPr>
      <w:bookmarkStart w:id="451" w:name="_Toc405453290"/>
      <w:bookmarkStart w:id="452" w:name="_Toc413337406"/>
      <w:r>
        <w:rPr>
          <w:rStyle w:val="CharSectno"/>
        </w:rPr>
        <w:t>137</w:t>
      </w:r>
      <w:r>
        <w:rPr>
          <w:snapToGrid w:val="0"/>
        </w:rPr>
        <w:t>.</w:t>
      </w:r>
      <w:r>
        <w:rPr>
          <w:snapToGrid w:val="0"/>
        </w:rPr>
        <w:tab/>
        <w:t>Effect of proposed order to be explained to offender</w:t>
      </w:r>
      <w:bookmarkEnd w:id="451"/>
      <w:bookmarkEnd w:id="452"/>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453" w:name="_Toc405453291"/>
      <w:bookmarkStart w:id="454" w:name="_Toc413337407"/>
      <w:r>
        <w:rPr>
          <w:rStyle w:val="CharSectno"/>
        </w:rPr>
        <w:t>138</w:t>
      </w:r>
      <w:r>
        <w:rPr>
          <w:snapToGrid w:val="0"/>
        </w:rPr>
        <w:t>.</w:t>
      </w:r>
      <w:r>
        <w:rPr>
          <w:snapToGrid w:val="0"/>
        </w:rPr>
        <w:tab/>
        <w:t>Order to be provided in writing</w:t>
      </w:r>
      <w:bookmarkEnd w:id="453"/>
      <w:bookmarkEnd w:id="454"/>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455" w:name="_Toc405453292"/>
      <w:bookmarkStart w:id="456" w:name="_Toc413337408"/>
      <w:r>
        <w:rPr>
          <w:rStyle w:val="CharSectno"/>
        </w:rPr>
        <w:t>139</w:t>
      </w:r>
      <w:r>
        <w:rPr>
          <w:snapToGrid w:val="0"/>
        </w:rPr>
        <w:t>.</w:t>
      </w:r>
      <w:r>
        <w:rPr>
          <w:snapToGrid w:val="0"/>
        </w:rPr>
        <w:tab/>
        <w:t>Supervising officer</w:t>
      </w:r>
      <w:bookmarkEnd w:id="455"/>
      <w:bookmarkEnd w:id="456"/>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139. Modifications to be applied in order to give effect to Cross-border Justice Act 2008: section altered 1 Dec 2009. See endnote 1M.]</w:t>
      </w:r>
    </w:p>
    <w:p>
      <w:pPr>
        <w:pStyle w:val="Heading5"/>
        <w:rPr>
          <w:snapToGrid w:val="0"/>
        </w:rPr>
      </w:pPr>
      <w:bookmarkStart w:id="457" w:name="_Toc405453293"/>
      <w:bookmarkStart w:id="458" w:name="_Toc413337409"/>
      <w:r>
        <w:rPr>
          <w:rStyle w:val="CharSectno"/>
        </w:rPr>
        <w:t>140</w:t>
      </w:r>
      <w:r>
        <w:rPr>
          <w:snapToGrid w:val="0"/>
        </w:rPr>
        <w:t>.</w:t>
      </w:r>
      <w:r>
        <w:rPr>
          <w:snapToGrid w:val="0"/>
        </w:rPr>
        <w:tab/>
        <w:t>Obligations under order may be suspended</w:t>
      </w:r>
      <w:bookmarkEnd w:id="457"/>
      <w:bookmarkEnd w:id="458"/>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459" w:name="_Toc405453294"/>
      <w:bookmarkStart w:id="460" w:name="_Toc413337410"/>
      <w:r>
        <w:rPr>
          <w:rStyle w:val="CharSectno"/>
        </w:rPr>
        <w:t>141</w:t>
      </w:r>
      <w:r>
        <w:rPr>
          <w:snapToGrid w:val="0"/>
        </w:rPr>
        <w:t>.</w:t>
      </w:r>
      <w:r>
        <w:rPr>
          <w:snapToGrid w:val="0"/>
        </w:rPr>
        <w:tab/>
        <w:t>Amendment of order, extent of power</w:t>
      </w:r>
      <w:bookmarkEnd w:id="459"/>
      <w:bookmarkEnd w:id="460"/>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461" w:name="_Toc405453295"/>
      <w:bookmarkStart w:id="462" w:name="_Toc413337411"/>
      <w:r>
        <w:rPr>
          <w:rStyle w:val="CharSectno"/>
        </w:rPr>
        <w:t>142</w:t>
      </w:r>
      <w:r>
        <w:rPr>
          <w:snapToGrid w:val="0"/>
        </w:rPr>
        <w:t>.</w:t>
      </w:r>
      <w:r>
        <w:rPr>
          <w:snapToGrid w:val="0"/>
        </w:rPr>
        <w:tab/>
        <w:t>Amendment or cancellation of order</w:t>
      </w:r>
      <w:bookmarkEnd w:id="461"/>
      <w:bookmarkEnd w:id="462"/>
      <w:r>
        <w:rPr>
          <w:snapToGrid w:val="0"/>
        </w:rPr>
        <w:t xml:space="preserve"> </w:t>
      </w:r>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463" w:name="_Toc405453296"/>
      <w:bookmarkStart w:id="464" w:name="_Toc413337412"/>
      <w:r>
        <w:rPr>
          <w:rStyle w:val="CharSectno"/>
        </w:rPr>
        <w:t>143</w:t>
      </w:r>
      <w:r>
        <w:rPr>
          <w:snapToGrid w:val="0"/>
        </w:rPr>
        <w:t>.</w:t>
      </w:r>
      <w:r>
        <w:rPr>
          <w:snapToGrid w:val="0"/>
        </w:rPr>
        <w:tab/>
        <w:t>Cancellation of certain obligations after 6 months’ release</w:t>
      </w:r>
      <w:bookmarkEnd w:id="463"/>
      <w:bookmarkEnd w:id="464"/>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465" w:name="_Toc405453297"/>
      <w:bookmarkStart w:id="466" w:name="_Toc413337413"/>
      <w:r>
        <w:rPr>
          <w:rStyle w:val="CharSectno"/>
        </w:rPr>
        <w:t>144</w:t>
      </w:r>
      <w:r>
        <w:rPr>
          <w:snapToGrid w:val="0"/>
        </w:rPr>
        <w:t>.</w:t>
      </w:r>
      <w:r>
        <w:rPr>
          <w:snapToGrid w:val="0"/>
        </w:rPr>
        <w:tab/>
        <w:t>Breach of order other than by re</w:t>
      </w:r>
      <w:r>
        <w:rPr>
          <w:snapToGrid w:val="0"/>
        </w:rPr>
        <w:noBreakHyphen/>
        <w:t>offending, report to CEO</w:t>
      </w:r>
      <w:bookmarkEnd w:id="465"/>
      <w:bookmarkEnd w:id="466"/>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467" w:name="_Toc405453298"/>
      <w:bookmarkStart w:id="468" w:name="_Toc413337414"/>
      <w:r>
        <w:rPr>
          <w:rStyle w:val="CharSectno"/>
        </w:rPr>
        <w:t>145</w:t>
      </w:r>
      <w:r>
        <w:rPr>
          <w:snapToGrid w:val="0"/>
        </w:rPr>
        <w:t>.</w:t>
      </w:r>
      <w:r>
        <w:rPr>
          <w:snapToGrid w:val="0"/>
        </w:rPr>
        <w:tab/>
        <w:t>Courts to notify Board and CEO of re</w:t>
      </w:r>
      <w:r>
        <w:rPr>
          <w:snapToGrid w:val="0"/>
        </w:rPr>
        <w:noBreakHyphen/>
        <w:t>offending</w:t>
      </w:r>
      <w:bookmarkEnd w:id="467"/>
      <w:bookmarkEnd w:id="468"/>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 and</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by No. 58 of 2004 s. 29.]</w:t>
      </w:r>
    </w:p>
    <w:p>
      <w:pPr>
        <w:pStyle w:val="Heading5"/>
        <w:rPr>
          <w:snapToGrid w:val="0"/>
        </w:rPr>
      </w:pPr>
      <w:bookmarkStart w:id="469" w:name="_Toc405453299"/>
      <w:bookmarkStart w:id="470" w:name="_Toc413337415"/>
      <w:r>
        <w:rPr>
          <w:rStyle w:val="CharSectno"/>
        </w:rPr>
        <w:t>146</w:t>
      </w:r>
      <w:r>
        <w:rPr>
          <w:snapToGrid w:val="0"/>
        </w:rPr>
        <w:t>.</w:t>
      </w:r>
      <w:r>
        <w:rPr>
          <w:snapToGrid w:val="0"/>
        </w:rPr>
        <w:tab/>
        <w:t>Report to be provided when referring matter to Board</w:t>
      </w:r>
      <w:bookmarkEnd w:id="469"/>
      <w:bookmarkEnd w:id="470"/>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 and</w:t>
      </w:r>
    </w:p>
    <w:p>
      <w:pPr>
        <w:pStyle w:val="Indenta"/>
        <w:rPr>
          <w:snapToGrid w:val="0"/>
        </w:rPr>
      </w:pPr>
      <w:r>
        <w:rPr>
          <w:snapToGrid w:val="0"/>
        </w:rPr>
        <w:tab/>
        <w:t>(b)</w:t>
      </w:r>
      <w:r>
        <w:rPr>
          <w:snapToGrid w:val="0"/>
        </w:rPr>
        <w:tab/>
        <w:t>why the matter is referred to the Board; and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471" w:name="_Toc405453300"/>
      <w:bookmarkStart w:id="472" w:name="_Toc413337416"/>
      <w:r>
        <w:rPr>
          <w:rStyle w:val="CharSectno"/>
        </w:rPr>
        <w:t>147</w:t>
      </w:r>
      <w:r>
        <w:rPr>
          <w:snapToGrid w:val="0"/>
        </w:rPr>
        <w:t>.</w:t>
      </w:r>
      <w:r>
        <w:rPr>
          <w:snapToGrid w:val="0"/>
        </w:rPr>
        <w:tab/>
        <w:t>Breach of order, how Board may deal with</w:t>
      </w:r>
      <w:bookmarkEnd w:id="471"/>
      <w:bookmarkEnd w:id="472"/>
      <w:r>
        <w:rPr>
          <w:snapToGrid w:val="0"/>
        </w:rPr>
        <w:t xml:space="preserve"> </w:t>
      </w:r>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if the supervised release order has been suspended, confirm, vary, or remove the suspension; or</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473" w:name="_Toc405453301"/>
      <w:bookmarkStart w:id="474" w:name="_Toc413337417"/>
      <w:r>
        <w:rPr>
          <w:rStyle w:val="CharSectno"/>
        </w:rPr>
        <w:t>147A</w:t>
      </w:r>
      <w:r>
        <w:t>.</w:t>
      </w:r>
      <w:r>
        <w:tab/>
      </w:r>
      <w:r>
        <w:rPr>
          <w:snapToGrid w:val="0"/>
        </w:rPr>
        <w:t>Offending while on supervised release order: automatic cancellation</w:t>
      </w:r>
      <w:bookmarkEnd w:id="473"/>
      <w:bookmarkEnd w:id="474"/>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by No. 58 of 2004 s. 30.]</w:t>
      </w:r>
    </w:p>
    <w:p>
      <w:pPr>
        <w:pStyle w:val="Heading5"/>
        <w:rPr>
          <w:snapToGrid w:val="0"/>
        </w:rPr>
      </w:pPr>
      <w:bookmarkStart w:id="475" w:name="_Toc405453302"/>
      <w:bookmarkStart w:id="476" w:name="_Toc413337418"/>
      <w:r>
        <w:rPr>
          <w:rStyle w:val="CharSectno"/>
        </w:rPr>
        <w:t>148</w:t>
      </w:r>
      <w:r>
        <w:rPr>
          <w:snapToGrid w:val="0"/>
        </w:rPr>
        <w:t>.</w:t>
      </w:r>
      <w:r>
        <w:rPr>
          <w:snapToGrid w:val="0"/>
        </w:rPr>
        <w:tab/>
        <w:t>Compliance with order, effect of</w:t>
      </w:r>
      <w:bookmarkEnd w:id="475"/>
      <w:bookmarkEnd w:id="476"/>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rPr>
          <w:snapToGrid w:val="0"/>
        </w:rPr>
      </w:pPr>
      <w:bookmarkStart w:id="477" w:name="_Toc405453303"/>
      <w:bookmarkStart w:id="478" w:name="_Toc413337419"/>
      <w:r>
        <w:rPr>
          <w:rStyle w:val="CharSectno"/>
        </w:rPr>
        <w:t>149</w:t>
      </w:r>
      <w:r>
        <w:rPr>
          <w:snapToGrid w:val="0"/>
        </w:rPr>
        <w:t>.</w:t>
      </w:r>
      <w:r>
        <w:rPr>
          <w:snapToGrid w:val="0"/>
        </w:rPr>
        <w:tab/>
        <w:t>Suspension or cancellation of order, effect of</w:t>
      </w:r>
      <w:bookmarkEnd w:id="477"/>
      <w:bookmarkEnd w:id="478"/>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by No. 58 of 2004 s. 31.]</w:t>
      </w:r>
    </w:p>
    <w:p>
      <w:pPr>
        <w:pStyle w:val="Heading5"/>
        <w:spacing w:before="240"/>
        <w:rPr>
          <w:snapToGrid w:val="0"/>
        </w:rPr>
      </w:pPr>
      <w:bookmarkStart w:id="479" w:name="_Toc405453304"/>
      <w:bookmarkStart w:id="480" w:name="_Toc413337420"/>
      <w:r>
        <w:rPr>
          <w:rStyle w:val="CharSectno"/>
        </w:rPr>
        <w:t>150</w:t>
      </w:r>
      <w:r>
        <w:rPr>
          <w:snapToGrid w:val="0"/>
        </w:rPr>
        <w:t>.</w:t>
      </w:r>
      <w:r>
        <w:rPr>
          <w:snapToGrid w:val="0"/>
        </w:rPr>
        <w:tab/>
        <w:t>Cancellation of order after offender reaches 18</w:t>
      </w:r>
      <w:bookmarkEnd w:id="479"/>
      <w:bookmarkEnd w:id="480"/>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by No. 78 of 1995 s. 145; amended by No. 58 of 2004 s. 32.] </w:t>
      </w:r>
    </w:p>
    <w:p>
      <w:pPr>
        <w:pStyle w:val="Heading3"/>
        <w:rPr>
          <w:snapToGrid w:val="0"/>
        </w:rPr>
      </w:pPr>
      <w:bookmarkStart w:id="481" w:name="_Toc405453305"/>
      <w:bookmarkStart w:id="482" w:name="_Toc413337030"/>
      <w:bookmarkStart w:id="483" w:name="_Toc413337306"/>
      <w:bookmarkStart w:id="484" w:name="_Toc413337421"/>
      <w:r>
        <w:rPr>
          <w:rStyle w:val="CharDivNo"/>
        </w:rPr>
        <w:t>Division 3</w:t>
      </w:r>
      <w:r>
        <w:rPr>
          <w:snapToGrid w:val="0"/>
        </w:rPr>
        <w:t> — </w:t>
      </w:r>
      <w:r>
        <w:rPr>
          <w:rStyle w:val="CharDivText"/>
        </w:rPr>
        <w:t>The Supervised Release Review Board</w:t>
      </w:r>
      <w:bookmarkEnd w:id="481"/>
      <w:bookmarkEnd w:id="482"/>
      <w:bookmarkEnd w:id="483"/>
      <w:bookmarkEnd w:id="484"/>
      <w:r>
        <w:rPr>
          <w:rStyle w:val="CharDivText"/>
        </w:rPr>
        <w:t xml:space="preserve"> </w:t>
      </w:r>
    </w:p>
    <w:p>
      <w:pPr>
        <w:pStyle w:val="Heading5"/>
        <w:rPr>
          <w:snapToGrid w:val="0"/>
        </w:rPr>
      </w:pPr>
      <w:bookmarkStart w:id="485" w:name="_Toc405453306"/>
      <w:bookmarkStart w:id="486" w:name="_Toc413337422"/>
      <w:r>
        <w:rPr>
          <w:rStyle w:val="CharSectno"/>
        </w:rPr>
        <w:t>151</w:t>
      </w:r>
      <w:r>
        <w:rPr>
          <w:snapToGrid w:val="0"/>
        </w:rPr>
        <w:t>.</w:t>
      </w:r>
      <w:r>
        <w:rPr>
          <w:snapToGrid w:val="0"/>
        </w:rPr>
        <w:tab/>
        <w:t>Board established</w:t>
      </w:r>
      <w:bookmarkEnd w:id="485"/>
      <w:bookmarkEnd w:id="486"/>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by No. 65 of 2006 s. 78.]</w:t>
      </w:r>
    </w:p>
    <w:p>
      <w:pPr>
        <w:pStyle w:val="Heading5"/>
        <w:rPr>
          <w:snapToGrid w:val="0"/>
        </w:rPr>
      </w:pPr>
      <w:bookmarkStart w:id="487" w:name="_Toc405453307"/>
      <w:bookmarkStart w:id="488" w:name="_Toc413337423"/>
      <w:r>
        <w:rPr>
          <w:rStyle w:val="CharSectno"/>
        </w:rPr>
        <w:t>152</w:t>
      </w:r>
      <w:r>
        <w:rPr>
          <w:snapToGrid w:val="0"/>
        </w:rPr>
        <w:t>.</w:t>
      </w:r>
      <w:r>
        <w:rPr>
          <w:snapToGrid w:val="0"/>
        </w:rPr>
        <w:tab/>
        <w:t>Board members</w:t>
      </w:r>
      <w:bookmarkEnd w:id="487"/>
      <w:bookmarkEnd w:id="488"/>
      <w:r>
        <w:rPr>
          <w:snapToGrid w:val="0"/>
        </w:rPr>
        <w:t xml:space="preserve"> </w:t>
      </w:r>
    </w:p>
    <w:p>
      <w:pPr>
        <w:pStyle w:val="Subsection"/>
      </w:pPr>
      <w:r>
        <w:tab/>
        <w:t>(1)</w:t>
      </w:r>
      <w:r>
        <w:tab/>
      </w:r>
      <w:r>
        <w:rPr>
          <w:snapToGrid w:val="0"/>
        </w:rPr>
        <w:t>There are to be 6 members of the Board comprising —</w:t>
      </w:r>
    </w:p>
    <w:p>
      <w:pPr>
        <w:pStyle w:val="Indenta"/>
      </w:pPr>
      <w:r>
        <w:tab/>
        <w:t>(a)</w:t>
      </w:r>
      <w:r>
        <w:tab/>
        <w:t>a person to be Chairman, appointed by the Governor; and</w:t>
      </w:r>
    </w:p>
    <w:p>
      <w:pPr>
        <w:pStyle w:val="Indenta"/>
      </w:pPr>
      <w:r>
        <w:tab/>
        <w:t>(b)</w:t>
      </w:r>
      <w:r>
        <w:tab/>
        <w:t>2 persons appointed by the Governor under subsection (3)(a) and (b); and</w:t>
      </w:r>
    </w:p>
    <w:p>
      <w:pPr>
        <w:pStyle w:val="Indenta"/>
      </w:pPr>
      <w:r>
        <w:tab/>
        <w:t>(ba)</w:t>
      </w:r>
      <w:r>
        <w:tab/>
        <w:t>one person with an understanding of victims’ interests and concerns appointed by the Governor; and</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deleted]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 xml:space="preserve">a person who is, and has for at least 8 years been, </w:t>
      </w:r>
      <w:r>
        <w:t xml:space="preserve">an Australian lawyer (within the meaning of that term in the </w:t>
      </w:r>
      <w:r>
        <w:rPr>
          <w:i/>
          <w:iCs/>
        </w:rPr>
        <w:t>Legal Profession Act 2008</w:t>
      </w:r>
      <w:r>
        <w:t xml:space="preserve"> section 3).</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by No. 65 of 2003 s. 73; No. 58 of 2004 s. 33; No. 41 of 2006 s. 88; No. 21 of 2008 s. 714(4).]</w:t>
      </w:r>
    </w:p>
    <w:p>
      <w:pPr>
        <w:pStyle w:val="Heading5"/>
        <w:rPr>
          <w:snapToGrid w:val="0"/>
        </w:rPr>
      </w:pPr>
      <w:bookmarkStart w:id="489" w:name="_Toc405453308"/>
      <w:bookmarkStart w:id="490" w:name="_Toc413337424"/>
      <w:r>
        <w:rPr>
          <w:rStyle w:val="CharSectno"/>
        </w:rPr>
        <w:t>153</w:t>
      </w:r>
      <w:r>
        <w:rPr>
          <w:snapToGrid w:val="0"/>
        </w:rPr>
        <w:t>.</w:t>
      </w:r>
      <w:r>
        <w:rPr>
          <w:snapToGrid w:val="0"/>
        </w:rPr>
        <w:tab/>
        <w:t>Term of office</w:t>
      </w:r>
      <w:bookmarkEnd w:id="489"/>
      <w:bookmarkEnd w:id="490"/>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 or</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by No. 58 of 2004 s. 34.]</w:t>
      </w:r>
    </w:p>
    <w:p>
      <w:pPr>
        <w:pStyle w:val="Heading5"/>
        <w:rPr>
          <w:snapToGrid w:val="0"/>
        </w:rPr>
      </w:pPr>
      <w:bookmarkStart w:id="491" w:name="_Toc405453309"/>
      <w:bookmarkStart w:id="492" w:name="_Toc413337425"/>
      <w:r>
        <w:rPr>
          <w:rStyle w:val="CharSectno"/>
        </w:rPr>
        <w:t>154</w:t>
      </w:r>
      <w:r>
        <w:rPr>
          <w:snapToGrid w:val="0"/>
        </w:rPr>
        <w:t>.</w:t>
      </w:r>
      <w:r>
        <w:rPr>
          <w:snapToGrid w:val="0"/>
        </w:rPr>
        <w:tab/>
        <w:t>Alternate members</w:t>
      </w:r>
      <w:bookmarkEnd w:id="491"/>
      <w:bookmarkEnd w:id="492"/>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by No. 58 of 2004 s. 35.]</w:t>
      </w:r>
    </w:p>
    <w:p>
      <w:pPr>
        <w:pStyle w:val="Heading5"/>
        <w:rPr>
          <w:snapToGrid w:val="0"/>
        </w:rPr>
      </w:pPr>
      <w:bookmarkStart w:id="493" w:name="_Toc405453310"/>
      <w:bookmarkStart w:id="494" w:name="_Toc413337426"/>
      <w:r>
        <w:rPr>
          <w:rStyle w:val="CharSectno"/>
        </w:rPr>
        <w:t>155</w:t>
      </w:r>
      <w:r>
        <w:rPr>
          <w:snapToGrid w:val="0"/>
        </w:rPr>
        <w:t>.</w:t>
      </w:r>
      <w:r>
        <w:rPr>
          <w:snapToGrid w:val="0"/>
        </w:rPr>
        <w:tab/>
        <w:t>Remuneration and allowances</w:t>
      </w:r>
      <w:bookmarkEnd w:id="493"/>
      <w:bookmarkEnd w:id="494"/>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495" w:name="_Toc405453311"/>
      <w:bookmarkStart w:id="496" w:name="_Toc413337427"/>
      <w:r>
        <w:rPr>
          <w:rStyle w:val="CharSectno"/>
        </w:rPr>
        <w:t>156</w:t>
      </w:r>
      <w:r>
        <w:rPr>
          <w:snapToGrid w:val="0"/>
        </w:rPr>
        <w:t>.</w:t>
      </w:r>
      <w:r>
        <w:rPr>
          <w:snapToGrid w:val="0"/>
        </w:rPr>
        <w:tab/>
        <w:t>Meetings</w:t>
      </w:r>
      <w:bookmarkEnd w:id="495"/>
      <w:bookmarkEnd w:id="496"/>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497" w:name="_Toc405453312"/>
      <w:bookmarkStart w:id="498" w:name="_Toc413337428"/>
      <w:r>
        <w:rPr>
          <w:rStyle w:val="CharSectno"/>
        </w:rPr>
        <w:t>157</w:t>
      </w:r>
      <w:r>
        <w:rPr>
          <w:snapToGrid w:val="0"/>
        </w:rPr>
        <w:t>.</w:t>
      </w:r>
      <w:r>
        <w:rPr>
          <w:snapToGrid w:val="0"/>
        </w:rPr>
        <w:tab/>
        <w:t>Quorum</w:t>
      </w:r>
      <w:bookmarkEnd w:id="497"/>
      <w:bookmarkEnd w:id="498"/>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w:t>
      </w:r>
      <w:r>
        <w:tab/>
        <w:t>deleted]</w:t>
      </w:r>
    </w:p>
    <w:p>
      <w:pPr>
        <w:pStyle w:val="Footnotesection"/>
      </w:pPr>
      <w:r>
        <w:tab/>
        <w:t>[Section 157 amended by No. 58 of 2004 s. 36.]</w:t>
      </w:r>
    </w:p>
    <w:p>
      <w:pPr>
        <w:pStyle w:val="Heading5"/>
        <w:rPr>
          <w:snapToGrid w:val="0"/>
        </w:rPr>
      </w:pPr>
      <w:bookmarkStart w:id="499" w:name="_Toc405453313"/>
      <w:bookmarkStart w:id="500" w:name="_Toc413337429"/>
      <w:r>
        <w:rPr>
          <w:rStyle w:val="CharSectno"/>
        </w:rPr>
        <w:t>158</w:t>
      </w:r>
      <w:r>
        <w:rPr>
          <w:snapToGrid w:val="0"/>
        </w:rPr>
        <w:t>.</w:t>
      </w:r>
      <w:r>
        <w:rPr>
          <w:snapToGrid w:val="0"/>
        </w:rPr>
        <w:tab/>
        <w:t>Presiding at meetings</w:t>
      </w:r>
      <w:bookmarkEnd w:id="499"/>
      <w:bookmarkEnd w:id="500"/>
      <w:r>
        <w:rPr>
          <w:snapToGrid w:val="0"/>
        </w:rPr>
        <w:t xml:space="preserve"> </w:t>
      </w:r>
    </w:p>
    <w:p>
      <w:pPr>
        <w:pStyle w:val="Subsection"/>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501" w:name="_Toc405453314"/>
      <w:bookmarkStart w:id="502" w:name="_Toc413337430"/>
      <w:r>
        <w:rPr>
          <w:rStyle w:val="CharSectno"/>
        </w:rPr>
        <w:t>159</w:t>
      </w:r>
      <w:r>
        <w:rPr>
          <w:snapToGrid w:val="0"/>
        </w:rPr>
        <w:t>.</w:t>
      </w:r>
      <w:r>
        <w:rPr>
          <w:snapToGrid w:val="0"/>
        </w:rPr>
        <w:tab/>
        <w:t>Board may request reports</w:t>
      </w:r>
      <w:bookmarkEnd w:id="501"/>
      <w:bookmarkEnd w:id="502"/>
      <w:r>
        <w:rPr>
          <w:snapToGrid w:val="0"/>
        </w:rPr>
        <w:t xml:space="preserve"> </w:t>
      </w:r>
    </w:p>
    <w:p>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503" w:name="_Toc405453315"/>
      <w:bookmarkStart w:id="504" w:name="_Toc413337431"/>
      <w:r>
        <w:rPr>
          <w:rStyle w:val="CharSectno"/>
        </w:rPr>
        <w:t>160</w:t>
      </w:r>
      <w:r>
        <w:rPr>
          <w:snapToGrid w:val="0"/>
        </w:rPr>
        <w:t>.</w:t>
      </w:r>
      <w:r>
        <w:rPr>
          <w:snapToGrid w:val="0"/>
        </w:rPr>
        <w:tab/>
        <w:t>Determination of questions</w:t>
      </w:r>
      <w:bookmarkEnd w:id="503"/>
      <w:bookmarkEnd w:id="504"/>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505" w:name="_Toc405453316"/>
      <w:bookmarkStart w:id="506" w:name="_Toc413337432"/>
      <w:r>
        <w:rPr>
          <w:rStyle w:val="CharSectno"/>
        </w:rPr>
        <w:t>161</w:t>
      </w:r>
      <w:r>
        <w:rPr>
          <w:snapToGrid w:val="0"/>
        </w:rPr>
        <w:t>.</w:t>
      </w:r>
      <w:r>
        <w:rPr>
          <w:snapToGrid w:val="0"/>
        </w:rPr>
        <w:tab/>
        <w:t>Procedure</w:t>
      </w:r>
      <w:bookmarkEnd w:id="505"/>
      <w:bookmarkEnd w:id="506"/>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Footnotesection"/>
      </w:pPr>
      <w:r>
        <w:tab/>
        <w:t>[Section 161. Modifications to be applied in order to give effect to Cross-border Justice Act 2008: section altered 1 Dec 2009. See endnote 1M.]</w:t>
      </w:r>
    </w:p>
    <w:p>
      <w:pPr>
        <w:pStyle w:val="Heading5"/>
        <w:rPr>
          <w:snapToGrid w:val="0"/>
        </w:rPr>
      </w:pPr>
      <w:bookmarkStart w:id="507" w:name="_Toc405453317"/>
      <w:bookmarkStart w:id="508" w:name="_Toc413337433"/>
      <w:r>
        <w:rPr>
          <w:rStyle w:val="CharSectno"/>
        </w:rPr>
        <w:t>162</w:t>
      </w:r>
      <w:r>
        <w:rPr>
          <w:snapToGrid w:val="0"/>
        </w:rPr>
        <w:t>.</w:t>
      </w:r>
      <w:r>
        <w:rPr>
          <w:snapToGrid w:val="0"/>
        </w:rPr>
        <w:tab/>
        <w:t>Board may reconsider its decision</w:t>
      </w:r>
      <w:bookmarkEnd w:id="507"/>
      <w:bookmarkEnd w:id="508"/>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509" w:name="_Toc405453318"/>
      <w:bookmarkStart w:id="510" w:name="_Toc413337434"/>
      <w:r>
        <w:rPr>
          <w:rStyle w:val="CharSectno"/>
        </w:rPr>
        <w:t>163</w:t>
      </w:r>
      <w:r>
        <w:rPr>
          <w:snapToGrid w:val="0"/>
        </w:rPr>
        <w:t>.</w:t>
      </w:r>
      <w:r>
        <w:rPr>
          <w:snapToGrid w:val="0"/>
        </w:rPr>
        <w:tab/>
        <w:t>Rules of natural justice excluded</w:t>
      </w:r>
      <w:bookmarkEnd w:id="509"/>
      <w:bookmarkEnd w:id="510"/>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511" w:name="_Toc405453319"/>
      <w:bookmarkStart w:id="512" w:name="_Toc413337435"/>
      <w:r>
        <w:rPr>
          <w:rStyle w:val="CharSectno"/>
        </w:rPr>
        <w:t>164</w:t>
      </w:r>
      <w:r>
        <w:rPr>
          <w:snapToGrid w:val="0"/>
        </w:rPr>
        <w:t>.</w:t>
      </w:r>
      <w:r>
        <w:rPr>
          <w:snapToGrid w:val="0"/>
        </w:rPr>
        <w:tab/>
        <w:t>Judicial notice of Board’s documents</w:t>
      </w:r>
      <w:bookmarkEnd w:id="511"/>
      <w:bookmarkEnd w:id="512"/>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513" w:name="_Toc405453320"/>
      <w:bookmarkStart w:id="514" w:name="_Toc413337436"/>
      <w:r>
        <w:rPr>
          <w:rStyle w:val="CharSectno"/>
        </w:rPr>
        <w:t>165</w:t>
      </w:r>
      <w:r>
        <w:rPr>
          <w:snapToGrid w:val="0"/>
        </w:rPr>
        <w:t>.</w:t>
      </w:r>
      <w:r>
        <w:rPr>
          <w:snapToGrid w:val="0"/>
        </w:rPr>
        <w:tab/>
        <w:t>Annual report</w:t>
      </w:r>
      <w:bookmarkEnd w:id="513"/>
      <w:bookmarkEnd w:id="514"/>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 and</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515" w:name="_Toc405453321"/>
      <w:bookmarkStart w:id="516" w:name="_Toc413337046"/>
      <w:bookmarkStart w:id="517" w:name="_Toc413337322"/>
      <w:bookmarkStart w:id="518" w:name="_Toc413337437"/>
      <w:r>
        <w:rPr>
          <w:rStyle w:val="CharPartNo"/>
        </w:rPr>
        <w:t>Part 9</w:t>
      </w:r>
      <w:r>
        <w:rPr>
          <w:rStyle w:val="CharDivNo"/>
        </w:rPr>
        <w:t> </w:t>
      </w:r>
      <w:r>
        <w:t>—</w:t>
      </w:r>
      <w:r>
        <w:rPr>
          <w:rStyle w:val="CharDivText"/>
        </w:rPr>
        <w:t> </w:t>
      </w:r>
      <w:r>
        <w:rPr>
          <w:rStyle w:val="CharPartText"/>
        </w:rPr>
        <w:t>Detention centres</w:t>
      </w:r>
      <w:bookmarkEnd w:id="515"/>
      <w:bookmarkEnd w:id="516"/>
      <w:bookmarkEnd w:id="517"/>
      <w:bookmarkEnd w:id="518"/>
      <w:r>
        <w:rPr>
          <w:rStyle w:val="CharPartText"/>
        </w:rPr>
        <w:t xml:space="preserve"> </w:t>
      </w:r>
    </w:p>
    <w:p>
      <w:pPr>
        <w:pStyle w:val="Heading5"/>
      </w:pPr>
      <w:bookmarkStart w:id="519" w:name="_Toc405453322"/>
      <w:bookmarkStart w:id="520" w:name="_Toc413337438"/>
      <w:r>
        <w:rPr>
          <w:rStyle w:val="CharSectno"/>
        </w:rPr>
        <w:t>166</w:t>
      </w:r>
      <w:r>
        <w:t>.</w:t>
      </w:r>
      <w:r>
        <w:tab/>
        <w:t>Appointment of visiting justices</w:t>
      </w:r>
      <w:bookmarkEnd w:id="519"/>
      <w:bookmarkEnd w:id="520"/>
    </w:p>
    <w:p>
      <w:pPr>
        <w:pStyle w:val="Subsection"/>
      </w:pPr>
      <w:r>
        <w:tab/>
        <w:t>(1)</w:t>
      </w:r>
      <w:r>
        <w:tab/>
        <w:t>The Minister may, for every detention centre, appoint visitors to be known as visiting justices.</w:t>
      </w:r>
    </w:p>
    <w:p>
      <w:pPr>
        <w:pStyle w:val="Subsection"/>
      </w:pPr>
      <w:r>
        <w:tab/>
        <w:t>(2)</w:t>
      </w:r>
      <w:r>
        <w:tab/>
        <w:t xml:space="preserve">A visiting justice cannot carry out the duties of an independent detention centre visitor appointed under section 41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by No. 75 of 2003 s. 56(1); amended by No. 59 of 2004 s. 141.]</w:t>
      </w:r>
    </w:p>
    <w:p>
      <w:pPr>
        <w:pStyle w:val="Ednotesection"/>
      </w:pPr>
      <w:r>
        <w:t>[</w:t>
      </w:r>
      <w:r>
        <w:rPr>
          <w:b/>
        </w:rPr>
        <w:t>167.</w:t>
      </w:r>
      <w:r>
        <w:tab/>
        <w:t>Deleted by No. 75 of 2003 s. 56(1).]</w:t>
      </w:r>
    </w:p>
    <w:p>
      <w:pPr>
        <w:pStyle w:val="Heading5"/>
        <w:rPr>
          <w:snapToGrid w:val="0"/>
        </w:rPr>
      </w:pPr>
      <w:bookmarkStart w:id="521" w:name="_Toc405453323"/>
      <w:bookmarkStart w:id="522" w:name="_Toc413337439"/>
      <w:r>
        <w:rPr>
          <w:rStyle w:val="CharSectno"/>
        </w:rPr>
        <w:t>168</w:t>
      </w:r>
      <w:r>
        <w:rPr>
          <w:snapToGrid w:val="0"/>
        </w:rPr>
        <w:t>.</w:t>
      </w:r>
      <w:r>
        <w:rPr>
          <w:snapToGrid w:val="0"/>
        </w:rPr>
        <w:tab/>
        <w:t>Visiting justices, functions of</w:t>
      </w:r>
      <w:bookmarkEnd w:id="521"/>
      <w:bookmarkEnd w:id="522"/>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523" w:name="_Toc405453324"/>
      <w:bookmarkStart w:id="524" w:name="_Toc413337440"/>
      <w:r>
        <w:rPr>
          <w:rStyle w:val="CharSectno"/>
        </w:rPr>
        <w:t>169</w:t>
      </w:r>
      <w:r>
        <w:rPr>
          <w:snapToGrid w:val="0"/>
        </w:rPr>
        <w:t>.</w:t>
      </w:r>
      <w:r>
        <w:rPr>
          <w:snapToGrid w:val="0"/>
        </w:rPr>
        <w:tab/>
        <w:t>Right of certain persons to enter detention centre</w:t>
      </w:r>
      <w:bookmarkEnd w:id="523"/>
      <w:bookmarkEnd w:id="524"/>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 or</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by No. 75 of 2003 s. 56(1); No. 59 of 2004 s. 141.]</w:t>
      </w:r>
    </w:p>
    <w:p>
      <w:pPr>
        <w:pStyle w:val="Heading5"/>
        <w:rPr>
          <w:snapToGrid w:val="0"/>
        </w:rPr>
      </w:pPr>
      <w:bookmarkStart w:id="525" w:name="_Toc405453325"/>
      <w:bookmarkStart w:id="526" w:name="_Toc413337441"/>
      <w:r>
        <w:rPr>
          <w:rStyle w:val="CharSectno"/>
        </w:rPr>
        <w:t>169A</w:t>
      </w:r>
      <w:r>
        <w:t>.</w:t>
      </w:r>
      <w:r>
        <w:tab/>
      </w:r>
      <w:r>
        <w:rPr>
          <w:snapToGrid w:val="0"/>
        </w:rPr>
        <w:t>Investigation of an alleged incident at a detention centre</w:t>
      </w:r>
      <w:bookmarkEnd w:id="525"/>
      <w:bookmarkEnd w:id="526"/>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person who is appointed under section 11(1) or (1a) to — </w:t>
      </w:r>
    </w:p>
    <w:p>
      <w:pPr>
        <w:pStyle w:val="Indenta"/>
        <w:rPr>
          <w:snapToGrid w:val="0"/>
        </w:rPr>
      </w:pPr>
      <w:r>
        <w:tab/>
      </w:r>
      <w:r>
        <w:rPr>
          <w:snapToGrid w:val="0"/>
        </w:rPr>
        <w:t>(a)</w:t>
      </w:r>
      <w:r>
        <w:rPr>
          <w:snapToGrid w:val="0"/>
        </w:rPr>
        <w:tab/>
        <w:t>attend an interview at a time nominated by the authorised person; and</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person who is appointed under section 11(1) or (1a),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pPr>
        <w:pStyle w:val="Footnotesection"/>
      </w:pPr>
      <w:r>
        <w:tab/>
        <w:t>[Section 169A inserted by No. 58 of 2004 s. 37.]</w:t>
      </w:r>
    </w:p>
    <w:p>
      <w:pPr>
        <w:pStyle w:val="Heading5"/>
        <w:rPr>
          <w:snapToGrid w:val="0"/>
        </w:rPr>
      </w:pPr>
      <w:bookmarkStart w:id="527" w:name="_Toc405453326"/>
      <w:bookmarkStart w:id="528" w:name="_Toc413337442"/>
      <w:r>
        <w:rPr>
          <w:rStyle w:val="CharSectno"/>
        </w:rPr>
        <w:t>170</w:t>
      </w:r>
      <w:r>
        <w:rPr>
          <w:snapToGrid w:val="0"/>
        </w:rPr>
        <w:t>.</w:t>
      </w:r>
      <w:r>
        <w:rPr>
          <w:snapToGrid w:val="0"/>
        </w:rPr>
        <w:tab/>
        <w:t>Detention offences</w:t>
      </w:r>
      <w:bookmarkEnd w:id="527"/>
      <w:bookmarkEnd w:id="528"/>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 or</w:t>
      </w:r>
    </w:p>
    <w:p>
      <w:pPr>
        <w:pStyle w:val="Indenta"/>
        <w:rPr>
          <w:snapToGrid w:val="0"/>
        </w:rPr>
      </w:pPr>
      <w:r>
        <w:rPr>
          <w:snapToGrid w:val="0"/>
        </w:rPr>
        <w:tab/>
        <w:t>(b)</w:t>
      </w:r>
      <w:r>
        <w:rPr>
          <w:snapToGrid w:val="0"/>
        </w:rPr>
        <w:tab/>
        <w:t>uses insulting or threatening language or behaves in an insulting or threatening manner; or</w:t>
      </w:r>
    </w:p>
    <w:p>
      <w:pPr>
        <w:pStyle w:val="Indenta"/>
        <w:rPr>
          <w:snapToGrid w:val="0"/>
        </w:rPr>
      </w:pPr>
      <w:r>
        <w:rPr>
          <w:snapToGrid w:val="0"/>
        </w:rPr>
        <w:tab/>
        <w:t>(c)</w:t>
      </w:r>
      <w:r>
        <w:rPr>
          <w:snapToGrid w:val="0"/>
        </w:rPr>
        <w:tab/>
        <w:t>prefers a false or frivolous complaint; or</w:t>
      </w:r>
    </w:p>
    <w:p>
      <w:pPr>
        <w:pStyle w:val="Indenta"/>
        <w:rPr>
          <w:snapToGrid w:val="0"/>
        </w:rPr>
      </w:pPr>
      <w:r>
        <w:rPr>
          <w:snapToGrid w:val="0"/>
        </w:rPr>
        <w:tab/>
        <w:t>(d)</w:t>
      </w:r>
      <w:r>
        <w:rPr>
          <w:snapToGrid w:val="0"/>
        </w:rPr>
        <w:tab/>
        <w:t>does any act or omission of insubordination or misconduct subversive of the order and good government of the detention centre; or</w:t>
      </w:r>
    </w:p>
    <w:p>
      <w:pPr>
        <w:pStyle w:val="Indenta"/>
        <w:rPr>
          <w:snapToGrid w:val="0"/>
        </w:rPr>
      </w:pPr>
      <w:r>
        <w:rPr>
          <w:snapToGrid w:val="0"/>
        </w:rPr>
        <w:tab/>
        <w:t>(e)</w:t>
      </w:r>
      <w:r>
        <w:rPr>
          <w:snapToGrid w:val="0"/>
        </w:rPr>
        <w:tab/>
        <w:t>breaches a condition or restriction of any leave of absence from a detention centre; or</w:t>
      </w:r>
    </w:p>
    <w:p>
      <w:pPr>
        <w:pStyle w:val="Indenta"/>
        <w:rPr>
          <w:snapToGrid w:val="0"/>
        </w:rPr>
      </w:pPr>
      <w:r>
        <w:rPr>
          <w:snapToGrid w:val="0"/>
        </w:rPr>
        <w:tab/>
        <w:t>(f)</w:t>
      </w:r>
      <w:r>
        <w:rPr>
          <w:snapToGrid w:val="0"/>
        </w:rPr>
        <w:tab/>
        <w:t>assaults a person; or</w:t>
      </w:r>
    </w:p>
    <w:p>
      <w:pPr>
        <w:pStyle w:val="Indenta"/>
        <w:rPr>
          <w:snapToGrid w:val="0"/>
        </w:rPr>
      </w:pPr>
      <w:r>
        <w:rPr>
          <w:snapToGrid w:val="0"/>
        </w:rPr>
        <w:tab/>
        <w:t>(g)</w:t>
      </w:r>
      <w:r>
        <w:rPr>
          <w:snapToGrid w:val="0"/>
        </w:rPr>
        <w:tab/>
        <w:t>escapes or prepares or attempts to escape from lawful custody; or</w:t>
      </w:r>
    </w:p>
    <w:p>
      <w:pPr>
        <w:pStyle w:val="Indenta"/>
        <w:rPr>
          <w:snapToGrid w:val="0"/>
        </w:rPr>
      </w:pPr>
      <w:r>
        <w:rPr>
          <w:snapToGrid w:val="0"/>
        </w:rPr>
        <w:tab/>
        <w:t>(h)</w:t>
      </w:r>
      <w:r>
        <w:rPr>
          <w:snapToGrid w:val="0"/>
        </w:rPr>
        <w:tab/>
        <w:t>is in possession of or under the influence of drugs not lawfully issued to the detainee or not taken as prescribed; or</w:t>
      </w:r>
    </w:p>
    <w:p>
      <w:pPr>
        <w:pStyle w:val="Indenta"/>
        <w:rPr>
          <w:snapToGrid w:val="0"/>
        </w:rPr>
      </w:pPr>
      <w:r>
        <w:rPr>
          <w:snapToGrid w:val="0"/>
        </w:rPr>
        <w:tab/>
        <w:t>(i)</w:t>
      </w:r>
      <w:r>
        <w:rPr>
          <w:snapToGrid w:val="0"/>
        </w:rPr>
        <w:tab/>
        <w:t>is, without the permission of the superintendent, in possession of glue containing toluene or another intoxicant; or</w:t>
      </w:r>
    </w:p>
    <w:p>
      <w:pPr>
        <w:pStyle w:val="Indenta"/>
        <w:rPr>
          <w:snapToGrid w:val="0"/>
        </w:rPr>
      </w:pPr>
      <w:r>
        <w:rPr>
          <w:snapToGrid w:val="0"/>
        </w:rPr>
        <w:tab/>
        <w:t>(j)</w:t>
      </w:r>
      <w:r>
        <w:rPr>
          <w:snapToGrid w:val="0"/>
        </w:rPr>
        <w:tab/>
        <w:t>does not submit for the purpose of having a body sample taken when required under this Act to do so; or</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 or</w:t>
      </w:r>
    </w:p>
    <w:p>
      <w:pPr>
        <w:pStyle w:val="Indenta"/>
        <w:rPr>
          <w:snapToGrid w:val="0"/>
        </w:rPr>
      </w:pPr>
      <w:r>
        <w:rPr>
          <w:snapToGrid w:val="0"/>
        </w:rPr>
        <w:tab/>
        <w:t>(k)</w:t>
      </w:r>
      <w:r>
        <w:rPr>
          <w:snapToGrid w:val="0"/>
        </w:rPr>
        <w:tab/>
        <w:t>is in possession of a weapon or a facsimile of a weapon; or</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by No. 58 of 2004 s. 38.]</w:t>
      </w:r>
    </w:p>
    <w:p>
      <w:pPr>
        <w:pStyle w:val="Heading5"/>
        <w:rPr>
          <w:snapToGrid w:val="0"/>
        </w:rPr>
      </w:pPr>
      <w:bookmarkStart w:id="529" w:name="_Toc405453327"/>
      <w:bookmarkStart w:id="530" w:name="_Toc413337443"/>
      <w:r>
        <w:rPr>
          <w:rStyle w:val="CharSectno"/>
        </w:rPr>
        <w:t>171</w:t>
      </w:r>
      <w:r>
        <w:rPr>
          <w:snapToGrid w:val="0"/>
        </w:rPr>
        <w:t>.</w:t>
      </w:r>
      <w:r>
        <w:rPr>
          <w:snapToGrid w:val="0"/>
        </w:rPr>
        <w:tab/>
        <w:t>Detention offence charge, procedure on</w:t>
      </w:r>
      <w:bookmarkEnd w:id="529"/>
      <w:bookmarkEnd w:id="530"/>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by No. 47 of 1999 s. 44.]</w:t>
      </w:r>
    </w:p>
    <w:p>
      <w:pPr>
        <w:pStyle w:val="Heading5"/>
        <w:rPr>
          <w:snapToGrid w:val="0"/>
        </w:rPr>
      </w:pPr>
      <w:bookmarkStart w:id="531" w:name="_Toc405453328"/>
      <w:bookmarkStart w:id="532" w:name="_Toc413337444"/>
      <w:r>
        <w:rPr>
          <w:rStyle w:val="CharSectno"/>
        </w:rPr>
        <w:t>172</w:t>
      </w:r>
      <w:r>
        <w:rPr>
          <w:snapToGrid w:val="0"/>
        </w:rPr>
        <w:t>.</w:t>
      </w:r>
      <w:r>
        <w:rPr>
          <w:snapToGrid w:val="0"/>
        </w:rPr>
        <w:tab/>
        <w:t>Visiting justice may deal with referred charges</w:t>
      </w:r>
      <w:bookmarkEnd w:id="531"/>
      <w:bookmarkEnd w:id="532"/>
      <w:r>
        <w:rPr>
          <w:snapToGrid w:val="0"/>
        </w:rPr>
        <w:t xml:space="preserve"> </w:t>
      </w:r>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533" w:name="_Toc405453329"/>
      <w:bookmarkStart w:id="534" w:name="_Toc413337445"/>
      <w:r>
        <w:rPr>
          <w:rStyle w:val="CharSectno"/>
        </w:rPr>
        <w:t>173</w:t>
      </w:r>
      <w:r>
        <w:rPr>
          <w:snapToGrid w:val="0"/>
        </w:rPr>
        <w:t>.</w:t>
      </w:r>
      <w:r>
        <w:rPr>
          <w:snapToGrid w:val="0"/>
        </w:rPr>
        <w:tab/>
        <w:t>Detention offences, dealing with</w:t>
      </w:r>
      <w:bookmarkEnd w:id="533"/>
      <w:bookmarkEnd w:id="534"/>
      <w:r>
        <w:rPr>
          <w:snapToGrid w:val="0"/>
        </w:rPr>
        <w:t xml:space="preserve"> </w:t>
      </w:r>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 or</w:t>
      </w:r>
    </w:p>
    <w:p>
      <w:pPr>
        <w:pStyle w:val="Indenta"/>
        <w:rPr>
          <w:snapToGrid w:val="0"/>
        </w:rPr>
      </w:pPr>
      <w:r>
        <w:rPr>
          <w:snapToGrid w:val="0"/>
        </w:rPr>
        <w:tab/>
        <w:t>(b)</w:t>
      </w:r>
      <w:r>
        <w:rPr>
          <w:snapToGrid w:val="0"/>
        </w:rPr>
        <w:tab/>
        <w:t>by reprimanding the detainee; or</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 or</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r>
      <w:r>
        <w:rPr>
          <w:snapToGrid w:val="0"/>
        </w:rPr>
        <w:tab/>
        <w:t>or</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by No. 58 of 2004 s. 39.]</w:t>
      </w:r>
    </w:p>
    <w:p>
      <w:pPr>
        <w:pStyle w:val="Heading5"/>
        <w:rPr>
          <w:snapToGrid w:val="0"/>
        </w:rPr>
      </w:pPr>
      <w:bookmarkStart w:id="535" w:name="_Toc405453330"/>
      <w:bookmarkStart w:id="536" w:name="_Toc413337446"/>
      <w:r>
        <w:rPr>
          <w:rStyle w:val="CharSectno"/>
        </w:rPr>
        <w:t>174</w:t>
      </w:r>
      <w:r>
        <w:rPr>
          <w:snapToGrid w:val="0"/>
        </w:rPr>
        <w:t>.</w:t>
      </w:r>
      <w:r>
        <w:rPr>
          <w:snapToGrid w:val="0"/>
        </w:rPr>
        <w:tab/>
        <w:t>Detention offence charges, hearing of</w:t>
      </w:r>
      <w:bookmarkEnd w:id="535"/>
      <w:bookmarkEnd w:id="536"/>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537" w:name="_Toc405453331"/>
      <w:bookmarkStart w:id="538" w:name="_Toc413337447"/>
      <w:r>
        <w:rPr>
          <w:rStyle w:val="CharSectno"/>
        </w:rPr>
        <w:t>175</w:t>
      </w:r>
      <w:r>
        <w:rPr>
          <w:snapToGrid w:val="0"/>
        </w:rPr>
        <w:t>.</w:t>
      </w:r>
      <w:r>
        <w:rPr>
          <w:snapToGrid w:val="0"/>
        </w:rPr>
        <w:tab/>
        <w:t>Visiting justice may direct prosecution for detention offence</w:t>
      </w:r>
      <w:bookmarkEnd w:id="537"/>
      <w:bookmarkEnd w:id="538"/>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by No. 84 of 2004 s. 80.]</w:t>
      </w:r>
    </w:p>
    <w:p>
      <w:pPr>
        <w:pStyle w:val="Heading5"/>
        <w:rPr>
          <w:snapToGrid w:val="0"/>
        </w:rPr>
      </w:pPr>
      <w:bookmarkStart w:id="539" w:name="_Toc405453332"/>
      <w:bookmarkStart w:id="540" w:name="_Toc413337448"/>
      <w:r>
        <w:rPr>
          <w:rStyle w:val="CharSectno"/>
        </w:rPr>
        <w:t>176</w:t>
      </w:r>
      <w:r>
        <w:rPr>
          <w:snapToGrid w:val="0"/>
        </w:rPr>
        <w:t>.</w:t>
      </w:r>
      <w:r>
        <w:rPr>
          <w:snapToGrid w:val="0"/>
        </w:rPr>
        <w:tab/>
        <w:t>Early discharge from detention</w:t>
      </w:r>
      <w:bookmarkEnd w:id="539"/>
      <w:bookmarkEnd w:id="540"/>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Deleted by No. 78 of 1995 s. 145.] </w:t>
      </w:r>
    </w:p>
    <w:p>
      <w:pPr>
        <w:pStyle w:val="Heading5"/>
        <w:rPr>
          <w:snapToGrid w:val="0"/>
        </w:rPr>
      </w:pPr>
      <w:bookmarkStart w:id="541" w:name="_Toc405453333"/>
      <w:bookmarkStart w:id="542" w:name="_Toc413337449"/>
      <w:r>
        <w:rPr>
          <w:rStyle w:val="CharSectno"/>
        </w:rPr>
        <w:t>178</w:t>
      </w:r>
      <w:r>
        <w:rPr>
          <w:snapToGrid w:val="0"/>
        </w:rPr>
        <w:t>.</w:t>
      </w:r>
      <w:r>
        <w:rPr>
          <w:snapToGrid w:val="0"/>
        </w:rPr>
        <w:tab/>
        <w:t>Transfer of offender from detention centre to prison</w:t>
      </w:r>
      <w:bookmarkEnd w:id="541"/>
      <w:bookmarkEnd w:id="542"/>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 or</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by No. 78 of 1995 s. 144; amended by No. 84 of 2004 s. 76.] </w:t>
      </w:r>
    </w:p>
    <w:p>
      <w:pPr>
        <w:pStyle w:val="Footnotesection"/>
      </w:pPr>
      <w:r>
        <w:tab/>
        <w:t>[Section 178. Modifications to be applied in order to give effect to Cross-border Justice Act 2008: section altered 1 Dec 2009. See endnote 1M.]</w:t>
      </w:r>
    </w:p>
    <w:p>
      <w:pPr>
        <w:pStyle w:val="Heading5"/>
        <w:rPr>
          <w:snapToGrid w:val="0"/>
        </w:rPr>
      </w:pPr>
      <w:bookmarkStart w:id="543" w:name="_Toc405453334"/>
      <w:bookmarkStart w:id="544" w:name="_Toc413337450"/>
      <w:r>
        <w:rPr>
          <w:rStyle w:val="CharSectno"/>
        </w:rPr>
        <w:t>179</w:t>
      </w:r>
      <w:r>
        <w:rPr>
          <w:snapToGrid w:val="0"/>
        </w:rPr>
        <w:t>.</w:t>
      </w:r>
      <w:r>
        <w:rPr>
          <w:snapToGrid w:val="0"/>
        </w:rPr>
        <w:tab/>
        <w:t>Medical treatment, removal for</w:t>
      </w:r>
      <w:bookmarkEnd w:id="543"/>
      <w:bookmarkEnd w:id="544"/>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tab/>
      </w:r>
      <w:r>
        <w:rPr>
          <w:rStyle w:val="CharDefText"/>
        </w:rPr>
        <w:t>medical officer</w:t>
      </w:r>
      <w:r>
        <w:t xml:space="preserve"> means an officer of the Department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medical treatment</w:t>
      </w:r>
      <w:r>
        <w:t xml:space="preserve"> includes psychiatric treatment as defined in section 3 of the </w:t>
      </w:r>
      <w:r>
        <w:rPr>
          <w:i/>
        </w:rPr>
        <w:t>Mental Health Act 1996</w:t>
      </w:r>
      <w:r>
        <w:t>.</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 —</w:t>
      </w:r>
    </w:p>
    <w:p>
      <w:pPr>
        <w:pStyle w:val="Indenta"/>
      </w:pPr>
      <w:r>
        <w:tab/>
        <w:t>(a)</w:t>
      </w:r>
      <w:r>
        <w:tab/>
        <w:t>who is undergoing a sentence of imprisonment for life; or</w:t>
      </w:r>
    </w:p>
    <w:p>
      <w:pPr>
        <w:pStyle w:val="Indenta"/>
        <w:keepNext/>
      </w:pPr>
      <w:r>
        <w:tab/>
        <w:t>(b)</w:t>
      </w:r>
      <w:r>
        <w:tab/>
        <w:t>whose release is to be determined by the Governor,</w:t>
      </w:r>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[Section 179 amended by No. 69 of 1996 s. 94; No. 47 of 1999 s. 45; No. 22 of 2008 Sch. 3 cl. 55; No. 29 of 2008 s. 41(2); No. 35 of 2010 s. 166.]</w:t>
      </w:r>
    </w:p>
    <w:p>
      <w:pPr>
        <w:pStyle w:val="Heading5"/>
        <w:rPr>
          <w:snapToGrid w:val="0"/>
        </w:rPr>
      </w:pPr>
      <w:bookmarkStart w:id="545" w:name="_Toc405453335"/>
      <w:bookmarkStart w:id="546" w:name="_Toc413337451"/>
      <w:r>
        <w:rPr>
          <w:rStyle w:val="CharSectno"/>
        </w:rPr>
        <w:t>180</w:t>
      </w:r>
      <w:r>
        <w:rPr>
          <w:snapToGrid w:val="0"/>
        </w:rPr>
        <w:t>.</w:t>
      </w:r>
      <w:r>
        <w:rPr>
          <w:snapToGrid w:val="0"/>
        </w:rPr>
        <w:tab/>
        <w:t>Death of detainee, coroner to investigate</w:t>
      </w:r>
      <w:bookmarkEnd w:id="545"/>
      <w:bookmarkEnd w:id="546"/>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by No. 2 of 1996 s. 61.] </w:t>
      </w:r>
    </w:p>
    <w:p>
      <w:pPr>
        <w:pStyle w:val="Heading5"/>
        <w:rPr>
          <w:snapToGrid w:val="0"/>
        </w:rPr>
      </w:pPr>
      <w:bookmarkStart w:id="547" w:name="_Toc405453336"/>
      <w:bookmarkStart w:id="548" w:name="_Toc413337452"/>
      <w:r>
        <w:rPr>
          <w:rStyle w:val="CharSectno"/>
        </w:rPr>
        <w:t>181</w:t>
      </w:r>
      <w:r>
        <w:rPr>
          <w:snapToGrid w:val="0"/>
        </w:rPr>
        <w:t>.</w:t>
      </w:r>
      <w:r>
        <w:rPr>
          <w:snapToGrid w:val="0"/>
        </w:rPr>
        <w:tab/>
        <w:t>Rules for detention centres, CEO may make</w:t>
      </w:r>
      <w:bookmarkEnd w:id="547"/>
      <w:bookmarkEnd w:id="548"/>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r>
        <w:tab/>
        <w:t xml:space="preserve">[Section 181 amended by No. 58 of 2004 s. 40.] </w:t>
      </w:r>
    </w:p>
    <w:p>
      <w:pPr>
        <w:pStyle w:val="Heading2"/>
      </w:pPr>
      <w:bookmarkStart w:id="549" w:name="_Toc405453337"/>
      <w:bookmarkStart w:id="550" w:name="_Toc413337062"/>
      <w:bookmarkStart w:id="551" w:name="_Toc413337338"/>
      <w:bookmarkStart w:id="552" w:name="_Toc413337453"/>
      <w:r>
        <w:rPr>
          <w:rStyle w:val="CharPartNo"/>
        </w:rPr>
        <w:t>Part 10</w:t>
      </w:r>
      <w:r>
        <w:rPr>
          <w:rStyle w:val="CharDivNo"/>
        </w:rPr>
        <w:t> </w:t>
      </w:r>
      <w:r>
        <w:t>—</w:t>
      </w:r>
      <w:r>
        <w:rPr>
          <w:rStyle w:val="CharDivText"/>
        </w:rPr>
        <w:t> </w:t>
      </w:r>
      <w:r>
        <w:rPr>
          <w:rStyle w:val="CharPartText"/>
        </w:rPr>
        <w:t>Miscellaneous</w:t>
      </w:r>
      <w:bookmarkEnd w:id="549"/>
      <w:bookmarkEnd w:id="550"/>
      <w:bookmarkEnd w:id="551"/>
      <w:bookmarkEnd w:id="552"/>
      <w:r>
        <w:rPr>
          <w:rStyle w:val="CharPartText"/>
        </w:rPr>
        <w:t xml:space="preserve"> </w:t>
      </w:r>
    </w:p>
    <w:p>
      <w:pPr>
        <w:pStyle w:val="Heading5"/>
        <w:rPr>
          <w:snapToGrid w:val="0"/>
        </w:rPr>
      </w:pPr>
      <w:bookmarkStart w:id="553" w:name="_Toc405453338"/>
      <w:bookmarkStart w:id="554" w:name="_Toc413337454"/>
      <w:r>
        <w:rPr>
          <w:rStyle w:val="CharSectno"/>
        </w:rPr>
        <w:t>182</w:t>
      </w:r>
      <w:r>
        <w:rPr>
          <w:snapToGrid w:val="0"/>
        </w:rPr>
        <w:t>.</w:t>
      </w:r>
      <w:r>
        <w:rPr>
          <w:snapToGrid w:val="0"/>
        </w:rPr>
        <w:tab/>
        <w:t>Protection from legal liability</w:t>
      </w:r>
      <w:bookmarkEnd w:id="553"/>
      <w:bookmarkEnd w:id="554"/>
      <w:r>
        <w:rPr>
          <w:snapToGrid w:val="0"/>
        </w:rPr>
        <w:t xml:space="preserve"> </w:t>
      </w:r>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555" w:name="_Toc405453339"/>
      <w:bookmarkStart w:id="556" w:name="_Toc413337455"/>
      <w:r>
        <w:rPr>
          <w:rStyle w:val="CharSectno"/>
        </w:rPr>
        <w:t>183</w:t>
      </w:r>
      <w:r>
        <w:rPr>
          <w:snapToGrid w:val="0"/>
        </w:rPr>
        <w:t>.</w:t>
      </w:r>
      <w:r>
        <w:rPr>
          <w:snapToGrid w:val="0"/>
        </w:rPr>
        <w:tab/>
        <w:t>Order to be defence to actions</w:t>
      </w:r>
      <w:bookmarkEnd w:id="555"/>
      <w:bookmarkEnd w:id="556"/>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557" w:name="_Toc405453340"/>
      <w:bookmarkStart w:id="558" w:name="_Toc413337456"/>
      <w:r>
        <w:rPr>
          <w:rStyle w:val="CharSectno"/>
        </w:rPr>
        <w:t>184</w:t>
      </w:r>
      <w:r>
        <w:rPr>
          <w:snapToGrid w:val="0"/>
        </w:rPr>
        <w:t>.</w:t>
      </w:r>
      <w:r>
        <w:rPr>
          <w:snapToGrid w:val="0"/>
        </w:rPr>
        <w:tab/>
        <w:t>CEO may give consent in relation to detainee</w:t>
      </w:r>
      <w:bookmarkEnd w:id="557"/>
      <w:bookmarkEnd w:id="558"/>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559" w:name="_Toc405453341"/>
      <w:bookmarkStart w:id="560" w:name="_Toc413337457"/>
      <w:r>
        <w:rPr>
          <w:rStyle w:val="CharSectno"/>
        </w:rPr>
        <w:t>185</w:t>
      </w:r>
      <w:r>
        <w:rPr>
          <w:snapToGrid w:val="0"/>
        </w:rPr>
        <w:t>.</w:t>
      </w:r>
      <w:r>
        <w:rPr>
          <w:snapToGrid w:val="0"/>
        </w:rPr>
        <w:tab/>
        <w:t>Minister may make certain payments</w:t>
      </w:r>
      <w:bookmarkEnd w:id="559"/>
      <w:bookmarkEnd w:id="560"/>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561" w:name="_Toc405453342"/>
      <w:bookmarkStart w:id="562" w:name="_Toc413337458"/>
      <w:r>
        <w:rPr>
          <w:rStyle w:val="CharSectno"/>
        </w:rPr>
        <w:t>186</w:t>
      </w:r>
      <w:r>
        <w:rPr>
          <w:snapToGrid w:val="0"/>
        </w:rPr>
        <w:t>.</w:t>
      </w:r>
      <w:r>
        <w:rPr>
          <w:snapToGrid w:val="0"/>
        </w:rPr>
        <w:tab/>
        <w:t>Officer of Department may conduct cases</w:t>
      </w:r>
      <w:bookmarkEnd w:id="561"/>
      <w:bookmarkEnd w:id="562"/>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by No. 84 of 2004 s. 80.]</w:t>
      </w:r>
    </w:p>
    <w:p>
      <w:pPr>
        <w:pStyle w:val="Heading5"/>
        <w:rPr>
          <w:snapToGrid w:val="0"/>
        </w:rPr>
      </w:pPr>
      <w:bookmarkStart w:id="563" w:name="_Toc405453343"/>
      <w:bookmarkStart w:id="564" w:name="_Toc413337459"/>
      <w:r>
        <w:rPr>
          <w:rStyle w:val="CharSectno"/>
        </w:rPr>
        <w:t>187</w:t>
      </w:r>
      <w:r>
        <w:rPr>
          <w:snapToGrid w:val="0"/>
        </w:rPr>
        <w:t>.</w:t>
      </w:r>
      <w:r>
        <w:rPr>
          <w:snapToGrid w:val="0"/>
        </w:rPr>
        <w:tab/>
        <w:t>Certificate of superintendent to be evidence</w:t>
      </w:r>
      <w:bookmarkEnd w:id="563"/>
      <w:bookmarkEnd w:id="564"/>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keepNext/>
        <w:rPr>
          <w:snapToGrid w:val="0"/>
        </w:rPr>
      </w:pPr>
      <w:r>
        <w:rPr>
          <w:snapToGrid w:val="0"/>
        </w:rPr>
        <w:tab/>
        <w:t>(b)</w:t>
      </w:r>
      <w:r>
        <w:rPr>
          <w:snapToGrid w:val="0"/>
        </w:rPr>
        <w:tab/>
        <w:t>had been otherwise dealt with under this Act,</w:t>
      </w:r>
    </w:p>
    <w:p>
      <w:pPr>
        <w:pStyle w:val="Subsection"/>
        <w:spacing w:before="120"/>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spacing w:before="180"/>
        <w:rPr>
          <w:snapToGrid w:val="0"/>
        </w:rPr>
      </w:pPr>
      <w:bookmarkStart w:id="565" w:name="_Toc405453344"/>
      <w:bookmarkStart w:id="566" w:name="_Toc413337460"/>
      <w:r>
        <w:rPr>
          <w:rStyle w:val="CharSectno"/>
        </w:rPr>
        <w:t>188</w:t>
      </w:r>
      <w:r>
        <w:rPr>
          <w:snapToGrid w:val="0"/>
        </w:rPr>
        <w:t>.</w:t>
      </w:r>
      <w:r>
        <w:rPr>
          <w:snapToGrid w:val="0"/>
        </w:rPr>
        <w:tab/>
        <w:t>Person having charge of detainee has legal custody</w:t>
      </w:r>
      <w:bookmarkEnd w:id="565"/>
      <w:bookmarkEnd w:id="566"/>
      <w:r>
        <w:rPr>
          <w:snapToGrid w:val="0"/>
        </w:rPr>
        <w:t xml:space="preserve"> </w:t>
      </w:r>
    </w:p>
    <w:p>
      <w:pPr>
        <w:pStyle w:val="Subsection"/>
        <w:spacing w:before="120"/>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The Criminal Code</w:t>
      </w:r>
      <w:r>
        <w:rPr>
          <w:snapToGrid w:val="0"/>
          <w:vertAlign w:val="superscript"/>
        </w:rPr>
        <w:t> 4</w:t>
      </w:r>
      <w:r>
        <w:rPr>
          <w:snapToGrid w:val="0"/>
        </w:rPr>
        <w:t>, whether on remand or otherwise.</w:t>
      </w:r>
    </w:p>
    <w:p>
      <w:pPr>
        <w:pStyle w:val="Subsection"/>
        <w:spacing w:before="120"/>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spacing w:before="120"/>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 or</w:t>
      </w:r>
    </w:p>
    <w:p>
      <w:pPr>
        <w:pStyle w:val="Indenta"/>
        <w:rPr>
          <w:snapToGrid w:val="0"/>
        </w:rPr>
      </w:pPr>
      <w:r>
        <w:rPr>
          <w:snapToGrid w:val="0"/>
        </w:rPr>
        <w:tab/>
        <w:t>(b)</w:t>
      </w:r>
      <w:r>
        <w:rPr>
          <w:snapToGrid w:val="0"/>
        </w:rPr>
        <w:tab/>
        <w:t>whilst attending or travelling, to or from a medical or dental practitioner or a hospital; or</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 or</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by No. 47 of 1999 s. 46.]</w:t>
      </w:r>
    </w:p>
    <w:p>
      <w:pPr>
        <w:pStyle w:val="Heading5"/>
        <w:spacing w:before="180"/>
        <w:rPr>
          <w:snapToGrid w:val="0"/>
        </w:rPr>
      </w:pPr>
      <w:bookmarkStart w:id="567" w:name="_Toc405453345"/>
      <w:bookmarkStart w:id="568" w:name="_Toc413337461"/>
      <w:r>
        <w:rPr>
          <w:rStyle w:val="CharSectno"/>
        </w:rPr>
        <w:t>189</w:t>
      </w:r>
      <w:r>
        <w:rPr>
          <w:snapToGrid w:val="0"/>
        </w:rPr>
        <w:t>.</w:t>
      </w:r>
      <w:r>
        <w:rPr>
          <w:snapToGrid w:val="0"/>
        </w:rPr>
        <w:tab/>
        <w:t>Certain offenders to be regarded as not convicted</w:t>
      </w:r>
      <w:bookmarkEnd w:id="567"/>
      <w:bookmarkEnd w:id="568"/>
      <w:r>
        <w:rPr>
          <w:snapToGrid w:val="0"/>
        </w:rPr>
        <w:t xml:space="preserve"> </w:t>
      </w:r>
    </w:p>
    <w:p>
      <w:pPr>
        <w:pStyle w:val="Subsection"/>
      </w:pPr>
      <w:r>
        <w:tab/>
        <w:t>(1)</w:t>
      </w:r>
      <w:r>
        <w:tab/>
        <w:t>This section does not apply to, or in relation to, a person convicted of murder, attempt to murder or manslaughter.</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spacing w:before="140"/>
        <w:rPr>
          <w:snapToGrid w:val="0"/>
        </w:rPr>
      </w:pPr>
      <w:r>
        <w:rPr>
          <w:snapToGrid w:val="0"/>
        </w:rPr>
        <w:tab/>
      </w:r>
      <w:r>
        <w:rPr>
          <w:snapToGrid w:val="0"/>
        </w:rPr>
        <w:tab/>
        <w:t>the conviction is not to be regarded as a conviction for any purpose, except as provided in this section.</w:t>
      </w:r>
    </w:p>
    <w:p>
      <w:pPr>
        <w:pStyle w:val="Subsection"/>
        <w:spacing w:before="140"/>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spacing w:before="140"/>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spacing w:before="140"/>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snapToGrid w:val="0"/>
        </w:rPr>
        <w:t>Child Welfare Act 1947</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 or</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rPr>
          <w:snapToGrid w:val="0"/>
        </w:rPr>
      </w:pPr>
      <w:r>
        <w:rPr>
          <w:snapToGrid w:val="0"/>
        </w:rPr>
        <w:tab/>
        <w:t>(c)</w:t>
      </w:r>
      <w:r>
        <w:rPr>
          <w:snapToGrid w:val="0"/>
        </w:rPr>
        <w:tab/>
        <w:t>the making of a record of anything that paragraph (a) or (b)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 or</w:t>
      </w:r>
    </w:p>
    <w:p>
      <w:pPr>
        <w:pStyle w:val="Indenta"/>
        <w:rPr>
          <w:snapToGrid w:val="0"/>
        </w:rPr>
      </w:pPr>
      <w:r>
        <w:rPr>
          <w:snapToGrid w:val="0"/>
        </w:rPr>
        <w:tab/>
        <w:t>(b)</w:t>
      </w:r>
      <w:r>
        <w:rPr>
          <w:snapToGrid w:val="0"/>
        </w:rPr>
        <w:tab/>
        <w:t>the revesting or restoration of any property in consequence of the conviction; or</w:t>
      </w:r>
    </w:p>
    <w:p>
      <w:pPr>
        <w:pStyle w:val="Indenta"/>
        <w:rPr>
          <w:snapToGrid w:val="0"/>
        </w:rPr>
      </w:pPr>
      <w:r>
        <w:rPr>
          <w:snapToGrid w:val="0"/>
        </w:rPr>
        <w:tab/>
        <w:t>(c)</w:t>
      </w:r>
      <w:r>
        <w:rPr>
          <w:snapToGrid w:val="0"/>
        </w:rPr>
        <w:tab/>
        <w:t xml:space="preserve">the right of a court to disqualify a person from holding or obtaining a driver’s licence </w:t>
      </w:r>
      <w:del w:id="569" w:author="svcMRProcess" w:date="2020-02-21T14:22:00Z">
        <w:r>
          <w:rPr>
            <w:snapToGrid w:val="0"/>
          </w:rPr>
          <w:delText>issued under</w:delText>
        </w:r>
      </w:del>
      <w:ins w:id="570" w:author="svcMRProcess" w:date="2020-02-21T14:22:00Z">
        <w:r>
          <w:t>as that term is defined in</w:t>
        </w:r>
      </w:ins>
      <w:r>
        <w:t xml:space="preserve"> the </w:t>
      </w:r>
      <w:r>
        <w:rPr>
          <w:i/>
          <w:iCs/>
        </w:rPr>
        <w:t xml:space="preserve">Road Traffic </w:t>
      </w:r>
      <w:ins w:id="571" w:author="svcMRProcess" w:date="2020-02-21T14:22:00Z">
        <w:r>
          <w:rPr>
            <w:i/>
            <w:iCs/>
          </w:rPr>
          <w:t xml:space="preserve">(Administration) </w:t>
        </w:r>
      </w:ins>
      <w:r>
        <w:rPr>
          <w:i/>
          <w:iCs/>
        </w:rPr>
        <w:t>Act </w:t>
      </w:r>
      <w:del w:id="572" w:author="svcMRProcess" w:date="2020-02-21T14:22:00Z">
        <w:r>
          <w:rPr>
            <w:i/>
            <w:snapToGrid w:val="0"/>
          </w:rPr>
          <w:delText>1974</w:delText>
        </w:r>
      </w:del>
      <w:ins w:id="573" w:author="svcMRProcess" w:date="2020-02-21T14:22:00Z">
        <w:r>
          <w:rPr>
            <w:i/>
            <w:iCs/>
          </w:rPr>
          <w:t>2008</w:t>
        </w:r>
        <w:r>
          <w:t xml:space="preserve"> section 4</w:t>
        </w:r>
      </w:ins>
      <w:r>
        <w:t>; or</w:t>
      </w:r>
    </w:p>
    <w:p>
      <w:pPr>
        <w:pStyle w:val="Indenta"/>
        <w:rPr>
          <w:snapToGrid w:val="0"/>
        </w:rPr>
      </w:pPr>
      <w:r>
        <w:rPr>
          <w:snapToGrid w:val="0"/>
        </w:rPr>
        <w:tab/>
        <w:t>(d)</w:t>
      </w:r>
      <w:r>
        <w:rPr>
          <w:snapToGrid w:val="0"/>
        </w:rPr>
        <w:tab/>
        <w:t>any cancellation or disqualification that occurs by operation of any written law.</w:t>
      </w:r>
    </w:p>
    <w:p>
      <w:pPr>
        <w:pStyle w:val="Subsection"/>
        <w:spacing w:before="120"/>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spacing w:before="80"/>
        <w:ind w:left="890" w:hanging="890"/>
      </w:pPr>
      <w:r>
        <w:tab/>
        <w:t>[Section 189 amended by No. 29 of 2008 s. 41(3</w:t>
      </w:r>
      <w:del w:id="574" w:author="svcMRProcess" w:date="2020-02-21T14:22:00Z">
        <w:r>
          <w:delText>).]</w:delText>
        </w:r>
      </w:del>
      <w:ins w:id="575" w:author="svcMRProcess" w:date="2020-02-21T14:22:00Z">
        <w:r>
          <w:t>); No. 8 of 2012 s. 203.]</w:t>
        </w:r>
      </w:ins>
    </w:p>
    <w:p>
      <w:pPr>
        <w:pStyle w:val="Heading5"/>
        <w:rPr>
          <w:snapToGrid w:val="0"/>
        </w:rPr>
      </w:pPr>
      <w:bookmarkStart w:id="576" w:name="_Toc405453346"/>
      <w:bookmarkStart w:id="577" w:name="_Toc413337462"/>
      <w:r>
        <w:rPr>
          <w:rStyle w:val="CharSectno"/>
        </w:rPr>
        <w:t>190</w:t>
      </w:r>
      <w:r>
        <w:rPr>
          <w:snapToGrid w:val="0"/>
        </w:rPr>
        <w:t>.</w:t>
      </w:r>
      <w:r>
        <w:rPr>
          <w:snapToGrid w:val="0"/>
        </w:rPr>
        <w:tab/>
        <w:t>Disclosure of certain convictions</w:t>
      </w:r>
      <w:bookmarkEnd w:id="576"/>
      <w:bookmarkEnd w:id="577"/>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Heading5"/>
        <w:rPr>
          <w:snapToGrid w:val="0"/>
        </w:rPr>
      </w:pPr>
      <w:bookmarkStart w:id="578" w:name="_Toc405453347"/>
      <w:bookmarkStart w:id="579" w:name="_Toc413337463"/>
      <w:r>
        <w:rPr>
          <w:rStyle w:val="CharSectno"/>
        </w:rPr>
        <w:t>191</w:t>
      </w:r>
      <w:r>
        <w:rPr>
          <w:snapToGrid w:val="0"/>
        </w:rPr>
        <w:t>.</w:t>
      </w:r>
      <w:r>
        <w:rPr>
          <w:snapToGrid w:val="0"/>
        </w:rPr>
        <w:tab/>
        <w:t>Unlawfully communicating with detainee</w:t>
      </w:r>
      <w:bookmarkEnd w:id="578"/>
      <w:bookmarkEnd w:id="579"/>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rPr>
          <w:snapToGrid w:val="0"/>
        </w:rPr>
      </w:pPr>
      <w:bookmarkStart w:id="580" w:name="_Toc405453348"/>
      <w:bookmarkStart w:id="581" w:name="_Toc413337464"/>
      <w:r>
        <w:rPr>
          <w:rStyle w:val="CharSectno"/>
        </w:rPr>
        <w:t>192</w:t>
      </w:r>
      <w:r>
        <w:rPr>
          <w:snapToGrid w:val="0"/>
        </w:rPr>
        <w:t>.</w:t>
      </w:r>
      <w:r>
        <w:rPr>
          <w:snapToGrid w:val="0"/>
        </w:rPr>
        <w:tab/>
        <w:t>Unlawfully remaining in detention centre</w:t>
      </w:r>
      <w:bookmarkEnd w:id="580"/>
      <w:bookmarkEnd w:id="581"/>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rPr>
          <w:snapToGrid w:val="0"/>
        </w:rPr>
      </w:pPr>
      <w:bookmarkStart w:id="582" w:name="_Toc405453349"/>
      <w:bookmarkStart w:id="583" w:name="_Toc413337465"/>
      <w:r>
        <w:rPr>
          <w:rStyle w:val="CharSectno"/>
        </w:rPr>
        <w:t>193</w:t>
      </w:r>
      <w:r>
        <w:rPr>
          <w:snapToGrid w:val="0"/>
        </w:rPr>
        <w:t>.</w:t>
      </w:r>
      <w:r>
        <w:rPr>
          <w:snapToGrid w:val="0"/>
        </w:rPr>
        <w:tab/>
        <w:t>Escape from custody</w:t>
      </w:r>
      <w:bookmarkEnd w:id="582"/>
      <w:bookmarkEnd w:id="583"/>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584" w:name="_Toc405453350"/>
      <w:bookmarkStart w:id="585" w:name="_Toc413337466"/>
      <w:r>
        <w:rPr>
          <w:rStyle w:val="CharSectno"/>
        </w:rPr>
        <w:t>193A</w:t>
      </w:r>
      <w:r>
        <w:t>.</w:t>
      </w:r>
      <w:r>
        <w:tab/>
        <w:t>Arrest warrant may be issued if warrant of commitment in force</w:t>
      </w:r>
      <w:bookmarkEnd w:id="584"/>
      <w:bookmarkEnd w:id="585"/>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by No. 58 of 2004 s. 41.]</w:t>
      </w:r>
    </w:p>
    <w:p>
      <w:pPr>
        <w:pStyle w:val="Heading5"/>
        <w:spacing w:before="180"/>
        <w:rPr>
          <w:snapToGrid w:val="0"/>
        </w:rPr>
      </w:pPr>
      <w:bookmarkStart w:id="586" w:name="_Toc405453351"/>
      <w:bookmarkStart w:id="587" w:name="_Toc413337467"/>
      <w:r>
        <w:rPr>
          <w:rStyle w:val="CharSectno"/>
        </w:rPr>
        <w:t>194</w:t>
      </w:r>
      <w:r>
        <w:rPr>
          <w:snapToGrid w:val="0"/>
        </w:rPr>
        <w:t>.</w:t>
      </w:r>
      <w:r>
        <w:rPr>
          <w:snapToGrid w:val="0"/>
        </w:rPr>
        <w:tab/>
        <w:t>Personating an officer</w:t>
      </w:r>
      <w:bookmarkEnd w:id="586"/>
      <w:bookmarkEnd w:id="587"/>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Footnotesection"/>
      </w:pPr>
      <w:r>
        <w:tab/>
        <w:t>[Section 194. Modifications to be applied in order to give effect to Cross-border Justice Act 2008: section altered 1 Dec 2009. See endnote 1M.]</w:t>
      </w:r>
    </w:p>
    <w:p>
      <w:pPr>
        <w:pStyle w:val="Heading5"/>
        <w:spacing w:before="180"/>
        <w:rPr>
          <w:snapToGrid w:val="0"/>
        </w:rPr>
      </w:pPr>
      <w:bookmarkStart w:id="588" w:name="_Toc405453352"/>
      <w:bookmarkStart w:id="589" w:name="_Toc413337468"/>
      <w:r>
        <w:rPr>
          <w:rStyle w:val="CharSectno"/>
        </w:rPr>
        <w:t>195</w:t>
      </w:r>
      <w:r>
        <w:rPr>
          <w:snapToGrid w:val="0"/>
        </w:rPr>
        <w:t>.</w:t>
      </w:r>
      <w:r>
        <w:rPr>
          <w:snapToGrid w:val="0"/>
        </w:rPr>
        <w:tab/>
        <w:t>General penalty</w:t>
      </w:r>
      <w:bookmarkEnd w:id="588"/>
      <w:bookmarkEnd w:id="589"/>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keepNext w:val="0"/>
        <w:keepLines w:val="0"/>
        <w:spacing w:before="180"/>
        <w:rPr>
          <w:snapToGrid w:val="0"/>
        </w:rPr>
      </w:pPr>
      <w:bookmarkStart w:id="590" w:name="_Toc405453353"/>
      <w:bookmarkStart w:id="591" w:name="_Toc413337469"/>
      <w:r>
        <w:rPr>
          <w:rStyle w:val="CharSectno"/>
        </w:rPr>
        <w:t>196</w:t>
      </w:r>
      <w:r>
        <w:rPr>
          <w:snapToGrid w:val="0"/>
        </w:rPr>
        <w:t>.</w:t>
      </w:r>
      <w:r>
        <w:rPr>
          <w:snapToGrid w:val="0"/>
        </w:rPr>
        <w:tab/>
        <w:t>Regulations</w:t>
      </w:r>
      <w:bookmarkEnd w:id="590"/>
      <w:bookmarkEnd w:id="59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 or</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 and</w:t>
      </w:r>
    </w:p>
    <w:p>
      <w:pPr>
        <w:pStyle w:val="Indenta"/>
      </w:pPr>
      <w:r>
        <w:tab/>
        <w:t>(b)</w:t>
      </w:r>
      <w:r>
        <w:tab/>
        <w:t>providing for items seized and retained following a search to be returned, confiscated or destroyed under particular circumstances; and</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to search a person entering or seeking to enter a detention centre, including a child; and</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 and</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r>
      <w:r>
        <w:tab/>
        <w:t>and</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by No. 58 of 2004 s. 42.]</w:t>
      </w:r>
    </w:p>
    <w:p>
      <w:pPr>
        <w:pStyle w:val="Heading5"/>
        <w:rPr>
          <w:snapToGrid w:val="0"/>
        </w:rPr>
      </w:pPr>
      <w:bookmarkStart w:id="592" w:name="_Toc405453354"/>
      <w:bookmarkStart w:id="593" w:name="_Toc413337470"/>
      <w:r>
        <w:rPr>
          <w:rStyle w:val="CharSectno"/>
        </w:rPr>
        <w:t>197</w:t>
      </w:r>
      <w:r>
        <w:t>.</w:t>
      </w:r>
      <w:r>
        <w:tab/>
      </w:r>
      <w:r>
        <w:rPr>
          <w:snapToGrid w:val="0"/>
        </w:rPr>
        <w:t>Delegation of prescribed functions</w:t>
      </w:r>
      <w:bookmarkEnd w:id="592"/>
      <w:bookmarkEnd w:id="593"/>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by No. 58 of 2004 s. 43.]</w:t>
      </w:r>
    </w:p>
    <w:p>
      <w:pPr>
        <w:pStyle w:val="Heading2"/>
      </w:pPr>
      <w:bookmarkStart w:id="594" w:name="_Toc405453355"/>
      <w:bookmarkStart w:id="595" w:name="_Toc413337080"/>
      <w:bookmarkStart w:id="596" w:name="_Toc413337356"/>
      <w:bookmarkStart w:id="597" w:name="_Toc413337471"/>
      <w:r>
        <w:rPr>
          <w:rStyle w:val="CharPartNo"/>
        </w:rPr>
        <w:t>Part 11</w:t>
      </w:r>
      <w:r>
        <w:t> — </w:t>
      </w:r>
      <w:r>
        <w:rPr>
          <w:rStyle w:val="CharPartText"/>
        </w:rPr>
        <w:t>Amendment of certain other Acts and transitional provisions</w:t>
      </w:r>
      <w:bookmarkEnd w:id="594"/>
      <w:bookmarkEnd w:id="595"/>
      <w:bookmarkEnd w:id="596"/>
      <w:bookmarkEnd w:id="597"/>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598" w:name="_Toc405453356"/>
      <w:bookmarkStart w:id="599" w:name="_Toc413337081"/>
      <w:bookmarkStart w:id="600" w:name="_Toc413337357"/>
      <w:bookmarkStart w:id="601" w:name="_Toc413337472"/>
      <w:r>
        <w:rPr>
          <w:rStyle w:val="CharDivNo"/>
        </w:rPr>
        <w:t>Division 3</w:t>
      </w:r>
      <w:r>
        <w:rPr>
          <w:snapToGrid w:val="0"/>
        </w:rPr>
        <w:t> — </w:t>
      </w:r>
      <w:r>
        <w:rPr>
          <w:rStyle w:val="CharDivText"/>
        </w:rPr>
        <w:t>Transitional provisions</w:t>
      </w:r>
      <w:bookmarkEnd w:id="598"/>
      <w:bookmarkEnd w:id="599"/>
      <w:bookmarkEnd w:id="600"/>
      <w:bookmarkEnd w:id="601"/>
      <w:r>
        <w:rPr>
          <w:rStyle w:val="CharDivText"/>
        </w:rPr>
        <w:t xml:space="preserve"> </w:t>
      </w:r>
    </w:p>
    <w:p>
      <w:pPr>
        <w:pStyle w:val="Heading5"/>
        <w:rPr>
          <w:snapToGrid w:val="0"/>
        </w:rPr>
      </w:pPr>
      <w:bookmarkStart w:id="602" w:name="_Toc405453357"/>
      <w:bookmarkStart w:id="603" w:name="_Toc413337473"/>
      <w:r>
        <w:rPr>
          <w:rStyle w:val="CharSectno"/>
        </w:rPr>
        <w:t>231</w:t>
      </w:r>
      <w:r>
        <w:rPr>
          <w:snapToGrid w:val="0"/>
        </w:rPr>
        <w:t>.</w:t>
      </w:r>
      <w:r>
        <w:rPr>
          <w:snapToGrid w:val="0"/>
        </w:rPr>
        <w:tab/>
      </w:r>
      <w:r>
        <w:rPr>
          <w:i/>
          <w:snapToGrid w:val="0"/>
        </w:rPr>
        <w:t>Interpretation Act 1984</w:t>
      </w:r>
      <w:r>
        <w:rPr>
          <w:snapToGrid w:val="0"/>
        </w:rPr>
        <w:t xml:space="preserve"> applies</w:t>
      </w:r>
      <w:bookmarkEnd w:id="602"/>
      <w:bookmarkEnd w:id="603"/>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snapToGrid w:val="0"/>
        </w:rPr>
        <w:t>Child Welfare Act 1947</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604" w:name="_Toc405453358"/>
      <w:bookmarkStart w:id="605" w:name="_Toc413337474"/>
      <w:r>
        <w:rPr>
          <w:rStyle w:val="CharSectno"/>
        </w:rPr>
        <w:t>232</w:t>
      </w:r>
      <w:r>
        <w:rPr>
          <w:snapToGrid w:val="0"/>
        </w:rPr>
        <w:t>.</w:t>
      </w:r>
      <w:r>
        <w:rPr>
          <w:snapToGrid w:val="0"/>
        </w:rPr>
        <w:tab/>
        <w:t>Orders for past matters</w:t>
      </w:r>
      <w:bookmarkEnd w:id="604"/>
      <w:bookmarkEnd w:id="605"/>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 or</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606" w:name="_Toc405453359"/>
      <w:bookmarkStart w:id="607" w:name="_Toc413337475"/>
      <w:r>
        <w:rPr>
          <w:rStyle w:val="CharSectno"/>
        </w:rPr>
        <w:t>233</w:t>
      </w:r>
      <w:r>
        <w:rPr>
          <w:snapToGrid w:val="0"/>
        </w:rPr>
        <w:t>.</w:t>
      </w:r>
      <w:r>
        <w:rPr>
          <w:snapToGrid w:val="0"/>
        </w:rPr>
        <w:tab/>
        <w:t>Orders under former provisions</w:t>
      </w:r>
      <w:bookmarkEnd w:id="606"/>
      <w:bookmarkEnd w:id="607"/>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608" w:name="_Toc405453360"/>
      <w:bookmarkStart w:id="609" w:name="_Toc413337476"/>
      <w:r>
        <w:rPr>
          <w:rStyle w:val="CharSectno"/>
        </w:rPr>
        <w:t>234</w:t>
      </w:r>
      <w:r>
        <w:rPr>
          <w:snapToGrid w:val="0"/>
        </w:rPr>
        <w:t>.</w:t>
      </w:r>
      <w:r>
        <w:rPr>
          <w:snapToGrid w:val="0"/>
        </w:rPr>
        <w:tab/>
        <w:t xml:space="preserve">Detention centres under </w:t>
      </w:r>
      <w:r>
        <w:rPr>
          <w:i/>
          <w:snapToGrid w:val="0"/>
        </w:rPr>
        <w:t>Child Welfare Act 1947</w:t>
      </w:r>
      <w:bookmarkEnd w:id="608"/>
      <w:bookmarkEnd w:id="609"/>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610" w:name="_Toc405453361"/>
      <w:bookmarkStart w:id="611" w:name="_Toc413337477"/>
      <w:r>
        <w:rPr>
          <w:rStyle w:val="CharSectno"/>
        </w:rPr>
        <w:t>235</w:t>
      </w:r>
      <w:r>
        <w:rPr>
          <w:snapToGrid w:val="0"/>
        </w:rPr>
        <w:t>.</w:t>
      </w:r>
      <w:r>
        <w:rPr>
          <w:snapToGrid w:val="0"/>
        </w:rPr>
        <w:tab/>
        <w:t>Proceedings pending before children’s panels</w:t>
      </w:r>
      <w:bookmarkEnd w:id="610"/>
      <w:bookmarkEnd w:id="611"/>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pPr>
      <w:bookmarkStart w:id="612" w:name="_Toc405453362"/>
      <w:bookmarkStart w:id="613" w:name="_Toc413337087"/>
      <w:bookmarkStart w:id="614" w:name="_Toc413337363"/>
      <w:bookmarkStart w:id="615" w:name="_Toc413337478"/>
      <w:r>
        <w:rPr>
          <w:rStyle w:val="CharDivNo"/>
        </w:rPr>
        <w:t>Division 4</w:t>
      </w:r>
      <w:r>
        <w:rPr>
          <w:snapToGrid w:val="0"/>
        </w:rPr>
        <w:t> — </w:t>
      </w:r>
      <w:r>
        <w:rPr>
          <w:rStyle w:val="CharDivText"/>
        </w:rPr>
        <w:t>Miscellaneous</w:t>
      </w:r>
      <w:bookmarkEnd w:id="612"/>
      <w:bookmarkEnd w:id="613"/>
      <w:bookmarkEnd w:id="614"/>
      <w:bookmarkEnd w:id="615"/>
    </w:p>
    <w:p>
      <w:pPr>
        <w:pStyle w:val="Ednotesection"/>
      </w:pPr>
      <w:r>
        <w:t>[</w:t>
      </w:r>
      <w:r>
        <w:rPr>
          <w:b/>
        </w:rPr>
        <w:t>236.</w:t>
      </w:r>
      <w:r>
        <w:rPr>
          <w:b/>
        </w:rPr>
        <w:tab/>
      </w:r>
      <w:r>
        <w:t>Omitted under the Reprints Act 1984 s. 7(4)(e).]</w:t>
      </w:r>
    </w:p>
    <w:p>
      <w:pPr>
        <w:pStyle w:val="Heading5"/>
        <w:rPr>
          <w:snapToGrid w:val="0"/>
        </w:rPr>
      </w:pPr>
      <w:bookmarkStart w:id="616" w:name="_Toc405453363"/>
      <w:bookmarkStart w:id="617" w:name="_Toc413337479"/>
      <w:r>
        <w:rPr>
          <w:rStyle w:val="CharSectno"/>
        </w:rPr>
        <w:t>237</w:t>
      </w:r>
      <w:r>
        <w:rPr>
          <w:snapToGrid w:val="0"/>
        </w:rPr>
        <w:t>.</w:t>
      </w:r>
      <w:r>
        <w:rPr>
          <w:snapToGrid w:val="0"/>
        </w:rPr>
        <w:tab/>
        <w:t>Review of Act</w:t>
      </w:r>
      <w:bookmarkEnd w:id="616"/>
      <w:bookmarkEnd w:id="617"/>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618" w:name="_Toc405453364"/>
      <w:bookmarkStart w:id="619" w:name="_Toc413337089"/>
      <w:bookmarkStart w:id="620" w:name="_Toc413337365"/>
      <w:bookmarkStart w:id="621" w:name="_Toc413337480"/>
      <w:r>
        <w:rPr>
          <w:rStyle w:val="CharSchNo"/>
        </w:rPr>
        <w:t>Schedule 1</w:t>
      </w:r>
      <w:r>
        <w:t> — </w:t>
      </w:r>
      <w:r>
        <w:rPr>
          <w:rStyle w:val="CharSchText"/>
        </w:rPr>
        <w:t>Schedule 1 offences</w:t>
      </w:r>
      <w:bookmarkEnd w:id="618"/>
      <w:bookmarkEnd w:id="619"/>
      <w:bookmarkEnd w:id="620"/>
      <w:bookmarkEnd w:id="621"/>
    </w:p>
    <w:p>
      <w:pPr>
        <w:pStyle w:val="yShoulderClause"/>
        <w:rPr>
          <w:snapToGrid w:val="0"/>
        </w:rPr>
      </w:pPr>
      <w:r>
        <w:rPr>
          <w:snapToGrid w:val="0"/>
        </w:rPr>
        <w:t>[s. 3, 22, 25 and 55]</w:t>
      </w:r>
    </w:p>
    <w:p>
      <w:pPr>
        <w:pStyle w:val="yFootnoteheading"/>
        <w:rPr>
          <w:b/>
          <w:snapToGrid w:val="0"/>
        </w:rPr>
      </w:pPr>
      <w:r>
        <w:tab/>
        <w:t>[Heading amended by No. 19 of 2010 s. 4.]</w:t>
      </w:r>
    </w:p>
    <w:p>
      <w:pPr>
        <w:pStyle w:val="yMiscellaneousHeading"/>
        <w:jc w:val="left"/>
        <w:outlineLvl w:val="0"/>
        <w:rPr>
          <w:b/>
          <w:snapToGrid w:val="0"/>
        </w:rPr>
      </w:pPr>
      <w:r>
        <w:rPr>
          <w:b/>
          <w:snapToGrid w:val="0"/>
        </w:rPr>
        <w:t>Offences —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57" w:hanging="357"/>
        <w:rPr>
          <w:b/>
          <w:snapToGrid w:val="0"/>
        </w:rPr>
      </w:pPr>
      <w:r>
        <w:rPr>
          <w:b/>
          <w:snapToGrid w:val="0"/>
        </w:rPr>
        <w:t>which cannot be referred to a juvenile justice team, and</w:t>
      </w:r>
    </w:p>
    <w:p>
      <w:pPr>
        <w:pStyle w:val="yMiscellaneousBody"/>
        <w:numPr>
          <w:ilvl w:val="0"/>
          <w:numId w:val="2"/>
        </w:numPr>
        <w:tabs>
          <w:tab w:val="clear" w:pos="720"/>
          <w:tab w:val="num" w:pos="360"/>
        </w:tabs>
        <w:spacing w:after="160"/>
        <w:ind w:left="357" w:hanging="357"/>
        <w:rPr>
          <w:b/>
          <w:snapToGrid w:val="0"/>
        </w:rPr>
      </w:pPr>
      <w:r>
        <w:rPr>
          <w:b/>
          <w:snapToGrid w:val="0"/>
        </w:rPr>
        <w:t>for which a conviction will normally be recorded</w:t>
      </w: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trPr>
          <w:cantSplit/>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imprisonment for life</w:t>
            </w:r>
          </w:p>
        </w:tc>
      </w:tr>
      <w:tr>
        <w:tc>
          <w:tcPr>
            <w:tcW w:w="2552" w:type="dxa"/>
          </w:tcPr>
          <w:p>
            <w:pPr>
              <w:pStyle w:val="yTable"/>
              <w:ind w:firstLine="142"/>
            </w:pPr>
            <w:r>
              <w:t>s. 144</w:t>
            </w:r>
          </w:p>
        </w:tc>
        <w:tc>
          <w:tcPr>
            <w:tcW w:w="4536" w:type="dxa"/>
          </w:tcPr>
          <w:p>
            <w:pPr>
              <w:pStyle w:val="yTable"/>
              <w:ind w:right="-283" w:hanging="425"/>
            </w:pPr>
            <w:r>
              <w:t>Forcibly freeing certain offenders from custody</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rPr>
          <w:cantSplit/>
        </w:trP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rPr>
          <w:cantSplit/>
        </w:trPr>
        <w:tc>
          <w:tcPr>
            <w:tcW w:w="2552" w:type="dxa"/>
          </w:tcPr>
          <w:p>
            <w:pPr>
              <w:pStyle w:val="yTable"/>
              <w:keepNext/>
              <w:keepLines/>
              <w:ind w:firstLine="142"/>
            </w:pPr>
            <w:r>
              <w:t>s. 454</w:t>
            </w:r>
          </w:p>
        </w:tc>
        <w:tc>
          <w:tcPr>
            <w:tcW w:w="4536" w:type="dxa"/>
          </w:tcPr>
          <w:p>
            <w:pPr>
              <w:pStyle w:val="yTable"/>
              <w:keepNext/>
              <w:keepLines/>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Reckless driving</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64AB</w:t>
            </w:r>
          </w:p>
        </w:tc>
        <w:tc>
          <w:tcPr>
            <w:tcW w:w="4536" w:type="dxa"/>
          </w:tcPr>
          <w:p>
            <w:pPr>
              <w:pStyle w:val="yTable"/>
              <w:ind w:right="-283" w:hanging="425"/>
            </w:pPr>
            <w:r>
              <w:t>Driving while impaired by drugs</w:t>
            </w:r>
          </w:p>
        </w:tc>
      </w:tr>
      <w:tr>
        <w:tc>
          <w:tcPr>
            <w:tcW w:w="2552" w:type="dxa"/>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tcPr>
          <w:p>
            <w:pPr>
              <w:pStyle w:val="yTable"/>
              <w:ind w:left="142"/>
            </w:pPr>
            <w:r>
              <w:t>s. 64</w:t>
            </w:r>
          </w:p>
        </w:tc>
        <w:tc>
          <w:tcPr>
            <w:tcW w:w="4536" w:type="dxa"/>
          </w:tcPr>
          <w:p>
            <w:pPr>
              <w:pStyle w:val="yTable"/>
              <w:ind w:right="-283" w:hanging="425"/>
            </w:pPr>
            <w:r>
              <w:t>Driving with 0.08g/100ml blood alcohol content</w:t>
            </w:r>
          </w:p>
        </w:tc>
      </w:tr>
      <w:tr>
        <w:tc>
          <w:tcPr>
            <w:tcW w:w="2552" w:type="dxa"/>
          </w:tcPr>
          <w:p>
            <w:pPr>
              <w:pStyle w:val="yTable"/>
              <w:ind w:left="142"/>
            </w:pPr>
            <w:r>
              <w:t>s. 64AA</w:t>
            </w:r>
          </w:p>
        </w:tc>
        <w:tc>
          <w:tcPr>
            <w:tcW w:w="4536" w:type="dxa"/>
          </w:tcPr>
          <w:p>
            <w:pPr>
              <w:pStyle w:val="yTable"/>
              <w:ind w:right="-283" w:hanging="425"/>
            </w:pPr>
            <w:r>
              <w:t>Driving with 0.05g/100ml blood alcohol content</w:t>
            </w:r>
          </w:p>
        </w:tc>
      </w:tr>
      <w:tr>
        <w:tc>
          <w:tcPr>
            <w:tcW w:w="2552" w:type="dxa"/>
          </w:tcPr>
          <w:p>
            <w:pPr>
              <w:pStyle w:val="yTable"/>
              <w:ind w:left="142"/>
            </w:pPr>
            <w:r>
              <w:t>s. 64A</w:t>
            </w:r>
          </w:p>
        </w:tc>
        <w:tc>
          <w:tcPr>
            <w:tcW w:w="4536" w:type="dxa"/>
          </w:tcPr>
          <w:p>
            <w:pPr>
              <w:pStyle w:val="yTable"/>
              <w:ind w:right="-283" w:hanging="425"/>
            </w:pPr>
            <w:r>
              <w:t>Driving with 0.02g/100ml blood alcohol content</w:t>
            </w:r>
          </w:p>
        </w:tc>
      </w:tr>
      <w:tr>
        <w:tc>
          <w:tcPr>
            <w:tcW w:w="2552" w:type="dxa"/>
          </w:tcPr>
          <w:p>
            <w:pPr>
              <w:pStyle w:val="yTable"/>
              <w:ind w:left="142"/>
            </w:pPr>
            <w:r>
              <w:t>s. 67</w:t>
            </w:r>
          </w:p>
        </w:tc>
        <w:tc>
          <w:tcPr>
            <w:tcW w:w="4536" w:type="dxa"/>
          </w:tcPr>
          <w:p>
            <w:pPr>
              <w:pStyle w:val="yTable"/>
              <w:ind w:right="-283" w:hanging="425"/>
            </w:pPr>
            <w:r>
              <w:t>Failing to provide a breath sample, allow taking of a blood sample or provide a urine sample</w:t>
            </w:r>
          </w:p>
        </w:tc>
      </w:tr>
      <w:tr>
        <w:trPr>
          <w:cantSplit/>
        </w:trPr>
        <w:tc>
          <w:tcPr>
            <w:tcW w:w="2552" w:type="dxa"/>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bl>
    <w:p>
      <w:pPr>
        <w:pStyle w:val="yFootnotesection"/>
      </w:pPr>
      <w:r>
        <w:tab/>
        <w:t xml:space="preserve">[Schedule 1 amended by No. 82 of 1994 s. 13(6); No. 4 of 2004 s. 24 and 26; No. 58 of 2004 s. 44; No. 62 of 2004 s. 9(4); No. 6 of 2007 s. 23; No. 39 of 2007 s. 42; No. 29 of 2008 s. 41(4).] </w:t>
      </w:r>
    </w:p>
    <w:p>
      <w:pPr>
        <w:pStyle w:val="yScheduleHeading"/>
        <w:outlineLvl w:val="0"/>
      </w:pPr>
      <w:bookmarkStart w:id="622" w:name="_Toc405453365"/>
      <w:bookmarkStart w:id="623" w:name="_Toc413337090"/>
      <w:bookmarkStart w:id="624" w:name="_Toc413337366"/>
      <w:bookmarkStart w:id="625" w:name="_Toc413337481"/>
      <w:r>
        <w:rPr>
          <w:rStyle w:val="CharSchNo"/>
        </w:rPr>
        <w:t>Schedule 2</w:t>
      </w:r>
      <w:r>
        <w:t> — </w:t>
      </w:r>
      <w:r>
        <w:rPr>
          <w:rStyle w:val="CharSchText"/>
        </w:rPr>
        <w:t>Schedule 2 offences</w:t>
      </w:r>
      <w:bookmarkEnd w:id="622"/>
      <w:bookmarkEnd w:id="623"/>
      <w:bookmarkEnd w:id="624"/>
      <w:bookmarkEnd w:id="625"/>
    </w:p>
    <w:p>
      <w:pPr>
        <w:pStyle w:val="yShoulderClause"/>
        <w:rPr>
          <w:snapToGrid w:val="0"/>
        </w:rPr>
      </w:pPr>
      <w:r>
        <w:rPr>
          <w:snapToGrid w:val="0"/>
        </w:rPr>
        <w:t>[s. 3, 22, 25, 55 and 124]</w:t>
      </w:r>
    </w:p>
    <w:p>
      <w:pPr>
        <w:pStyle w:val="yFootnoteheading"/>
        <w:rPr>
          <w:b/>
          <w:snapToGrid w:val="0"/>
        </w:rPr>
      </w:pPr>
      <w:r>
        <w:tab/>
        <w:t>[Heading amended by No. 19 of 2010 s. 4.]</w:t>
      </w:r>
    </w:p>
    <w:p>
      <w:pPr>
        <w:pStyle w:val="yMiscellaneousHeading"/>
        <w:jc w:val="left"/>
        <w:outlineLvl w:val="0"/>
        <w:rPr>
          <w:b/>
          <w:snapToGrid w:val="0"/>
        </w:rPr>
      </w:pPr>
      <w:r>
        <w:rPr>
          <w:b/>
          <w:snapToGrid w:val="0"/>
        </w:rPr>
        <w:t>Offences —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60"/>
        <w:rPr>
          <w:b/>
          <w:snapToGrid w:val="0"/>
        </w:rPr>
      </w:pPr>
      <w:r>
        <w:rPr>
          <w:b/>
          <w:snapToGrid w:val="0"/>
        </w:rPr>
        <w:t>which cannot be referred to a juvenile justice team, and</w:t>
      </w:r>
    </w:p>
    <w:p>
      <w:pPr>
        <w:pStyle w:val="yMiscellaneousBody"/>
        <w:numPr>
          <w:ilvl w:val="0"/>
          <w:numId w:val="2"/>
        </w:numPr>
        <w:tabs>
          <w:tab w:val="clear" w:pos="720"/>
          <w:tab w:val="num" w:pos="360"/>
        </w:tabs>
        <w:ind w:left="360"/>
        <w:rPr>
          <w:b/>
          <w:snapToGrid w:val="0"/>
        </w:rPr>
      </w:pPr>
      <w:r>
        <w:rPr>
          <w:b/>
          <w:snapToGrid w:val="0"/>
        </w:rPr>
        <w:t>for which a conviction will normally be recorded, and</w:t>
      </w:r>
    </w:p>
    <w:p>
      <w:pPr>
        <w:pStyle w:val="yMiscellaneousBody"/>
        <w:numPr>
          <w:ilvl w:val="0"/>
          <w:numId w:val="2"/>
        </w:numPr>
        <w:tabs>
          <w:tab w:val="clear" w:pos="720"/>
          <w:tab w:val="num" w:pos="360"/>
        </w:tabs>
        <w:spacing w:after="160"/>
        <w:ind w:left="357" w:hanging="357"/>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508"/>
        <w:gridCol w:w="4580"/>
      </w:tblGrid>
      <w:tr>
        <w:trPr>
          <w:tblHeader/>
        </w:trPr>
        <w:tc>
          <w:tcPr>
            <w:tcW w:w="2508" w:type="dxa"/>
            <w:tcBorders>
              <w:top w:val="single" w:sz="4" w:space="0" w:color="auto"/>
              <w:bottom w:val="single" w:sz="4" w:space="0" w:color="auto"/>
            </w:tcBorders>
          </w:tcPr>
          <w:p>
            <w:pPr>
              <w:pStyle w:val="yTable"/>
              <w:rPr>
                <w:b/>
              </w:rPr>
            </w:pPr>
            <w:r>
              <w:rPr>
                <w:b/>
              </w:rPr>
              <w:t>Enactment</w:t>
            </w:r>
          </w:p>
        </w:tc>
        <w:tc>
          <w:tcPr>
            <w:tcW w:w="4580"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1.</w:t>
            </w:r>
            <w:r>
              <w:rPr>
                <w:b/>
              </w:rPr>
              <w:tab/>
            </w:r>
            <w:r>
              <w:rPr>
                <w:b/>
                <w:i/>
              </w:rPr>
              <w:t>The Criminal Code</w:t>
            </w:r>
          </w:p>
        </w:tc>
      </w:tr>
      <w:tr>
        <w:tc>
          <w:tcPr>
            <w:tcW w:w="2508" w:type="dxa"/>
          </w:tcPr>
          <w:p>
            <w:pPr>
              <w:pStyle w:val="yTable"/>
              <w:ind w:left="142"/>
              <w:rPr>
                <w:szCs w:val="22"/>
              </w:rPr>
            </w:pPr>
            <w:r>
              <w:t>s. 221E(1)</w:t>
            </w:r>
          </w:p>
        </w:tc>
        <w:tc>
          <w:tcPr>
            <w:tcW w:w="4580" w:type="dxa"/>
          </w:tcPr>
          <w:p>
            <w:pPr>
              <w:pStyle w:val="yTable"/>
              <w:ind w:right="-283" w:hanging="425"/>
            </w:pPr>
            <w:r>
              <w:t>Participating in activities of criminal organisation</w:t>
            </w:r>
          </w:p>
        </w:tc>
      </w:tr>
      <w:tr>
        <w:tc>
          <w:tcPr>
            <w:tcW w:w="2508" w:type="dxa"/>
          </w:tcPr>
          <w:p>
            <w:pPr>
              <w:pStyle w:val="yTable"/>
              <w:ind w:left="142"/>
            </w:pPr>
            <w:r>
              <w:t>s. 221F(1)</w:t>
            </w:r>
          </w:p>
        </w:tc>
        <w:tc>
          <w:tcPr>
            <w:tcW w:w="4580" w:type="dxa"/>
          </w:tcPr>
          <w:p>
            <w:pPr>
              <w:pStyle w:val="yTable"/>
              <w:ind w:left="-441" w:right="-283" w:firstLine="16"/>
            </w:pPr>
            <w:r>
              <w:t>Instructing commission of offence for benefit of criminal organisation</w:t>
            </w:r>
          </w:p>
        </w:tc>
      </w:tr>
      <w:tr>
        <w:tc>
          <w:tcPr>
            <w:tcW w:w="2508" w:type="dxa"/>
          </w:tcPr>
          <w:p>
            <w:pPr>
              <w:pStyle w:val="yTable"/>
              <w:ind w:left="142"/>
              <w:rPr>
                <w:szCs w:val="22"/>
              </w:rPr>
            </w:pPr>
            <w:r>
              <w:rPr>
                <w:szCs w:val="22"/>
              </w:rPr>
              <w:t>s. 279</w:t>
            </w:r>
          </w:p>
        </w:tc>
        <w:tc>
          <w:tcPr>
            <w:tcW w:w="4580" w:type="dxa"/>
          </w:tcPr>
          <w:p>
            <w:pPr>
              <w:pStyle w:val="yTable"/>
              <w:ind w:right="-283" w:hanging="425"/>
            </w:pPr>
            <w:r>
              <w:t>Murder</w:t>
            </w:r>
          </w:p>
        </w:tc>
      </w:tr>
      <w:tr>
        <w:tc>
          <w:tcPr>
            <w:tcW w:w="2508" w:type="dxa"/>
          </w:tcPr>
          <w:p>
            <w:pPr>
              <w:pStyle w:val="yTable"/>
              <w:ind w:left="142"/>
              <w:rPr>
                <w:szCs w:val="22"/>
              </w:rPr>
            </w:pPr>
            <w:r>
              <w:rPr>
                <w:szCs w:val="22"/>
              </w:rPr>
              <w:t>s. 280</w:t>
            </w:r>
          </w:p>
        </w:tc>
        <w:tc>
          <w:tcPr>
            <w:tcW w:w="4580" w:type="dxa"/>
          </w:tcPr>
          <w:p>
            <w:pPr>
              <w:pStyle w:val="yTable"/>
              <w:ind w:right="-283" w:hanging="425"/>
            </w:pPr>
            <w:r>
              <w:t>Manslaughter</w:t>
            </w:r>
          </w:p>
        </w:tc>
      </w:tr>
      <w:tr>
        <w:tc>
          <w:tcPr>
            <w:tcW w:w="2508" w:type="dxa"/>
          </w:tcPr>
          <w:p>
            <w:pPr>
              <w:pStyle w:val="yTable"/>
              <w:ind w:left="142"/>
              <w:rPr>
                <w:szCs w:val="22"/>
              </w:rPr>
            </w:pPr>
            <w:r>
              <w:rPr>
                <w:szCs w:val="22"/>
              </w:rPr>
              <w:t>s. 281</w:t>
            </w:r>
          </w:p>
        </w:tc>
        <w:tc>
          <w:tcPr>
            <w:tcW w:w="4580" w:type="dxa"/>
          </w:tcPr>
          <w:p>
            <w:pPr>
              <w:pStyle w:val="yTable"/>
              <w:ind w:right="-283" w:hanging="425"/>
            </w:pPr>
            <w:r>
              <w:t>Unlawful assault causing death</w:t>
            </w:r>
          </w:p>
        </w:tc>
      </w:tr>
      <w:tr>
        <w:tc>
          <w:tcPr>
            <w:tcW w:w="2508" w:type="dxa"/>
          </w:tcPr>
          <w:p>
            <w:pPr>
              <w:pStyle w:val="yTable"/>
              <w:ind w:left="142"/>
              <w:rPr>
                <w:szCs w:val="22"/>
              </w:rPr>
            </w:pPr>
            <w:r>
              <w:rPr>
                <w:szCs w:val="22"/>
              </w:rPr>
              <w:t>s. 283</w:t>
            </w:r>
          </w:p>
        </w:tc>
        <w:tc>
          <w:tcPr>
            <w:tcW w:w="4580" w:type="dxa"/>
          </w:tcPr>
          <w:p>
            <w:pPr>
              <w:pStyle w:val="yTable"/>
              <w:ind w:right="-283" w:hanging="425"/>
            </w:pPr>
            <w:r>
              <w:t>Attempt to murder</w:t>
            </w:r>
          </w:p>
        </w:tc>
      </w:tr>
      <w:tr>
        <w:tc>
          <w:tcPr>
            <w:tcW w:w="2508" w:type="dxa"/>
          </w:tcPr>
          <w:p>
            <w:pPr>
              <w:pStyle w:val="yTable"/>
              <w:ind w:left="142"/>
              <w:rPr>
                <w:szCs w:val="22"/>
              </w:rPr>
            </w:pPr>
            <w:r>
              <w:rPr>
                <w:szCs w:val="22"/>
              </w:rPr>
              <w:t>s. 292</w:t>
            </w:r>
          </w:p>
        </w:tc>
        <w:tc>
          <w:tcPr>
            <w:tcW w:w="4580" w:type="dxa"/>
          </w:tcPr>
          <w:p>
            <w:pPr>
              <w:pStyle w:val="yTable"/>
              <w:ind w:right="-283" w:hanging="425"/>
            </w:pPr>
            <w:r>
              <w:t>Disabling in order to commit indictable offence</w:t>
            </w:r>
          </w:p>
        </w:tc>
      </w:tr>
      <w:tr>
        <w:tc>
          <w:tcPr>
            <w:tcW w:w="2508" w:type="dxa"/>
          </w:tcPr>
          <w:p>
            <w:pPr>
              <w:pStyle w:val="yTable"/>
              <w:ind w:left="142"/>
              <w:rPr>
                <w:szCs w:val="22"/>
              </w:rPr>
            </w:pPr>
            <w:r>
              <w:rPr>
                <w:szCs w:val="22"/>
              </w:rPr>
              <w:t>s. 294</w:t>
            </w:r>
          </w:p>
        </w:tc>
        <w:tc>
          <w:tcPr>
            <w:tcW w:w="4580" w:type="dxa"/>
          </w:tcPr>
          <w:p>
            <w:pPr>
              <w:pStyle w:val="yTable"/>
              <w:ind w:right="-283" w:hanging="425"/>
            </w:pPr>
            <w:r>
              <w:t>Acts intended to cause grievous bodily harm or to resist or prevent arrest</w:t>
            </w:r>
          </w:p>
        </w:tc>
      </w:tr>
      <w:tr>
        <w:tc>
          <w:tcPr>
            <w:tcW w:w="2508" w:type="dxa"/>
          </w:tcPr>
          <w:p>
            <w:pPr>
              <w:pStyle w:val="yTable"/>
              <w:ind w:left="142"/>
              <w:rPr>
                <w:szCs w:val="22"/>
              </w:rPr>
            </w:pPr>
            <w:r>
              <w:rPr>
                <w:szCs w:val="22"/>
              </w:rPr>
              <w:t>s. 297</w:t>
            </w:r>
          </w:p>
        </w:tc>
        <w:tc>
          <w:tcPr>
            <w:tcW w:w="4580" w:type="dxa"/>
          </w:tcPr>
          <w:p>
            <w:pPr>
              <w:pStyle w:val="yTable"/>
              <w:ind w:right="-283" w:hanging="425"/>
            </w:pPr>
            <w:r>
              <w:t>Grievous bodily harm</w:t>
            </w:r>
          </w:p>
        </w:tc>
      </w:tr>
      <w:tr>
        <w:tc>
          <w:tcPr>
            <w:tcW w:w="2508" w:type="dxa"/>
          </w:tcPr>
          <w:p>
            <w:pPr>
              <w:pStyle w:val="yTable"/>
              <w:ind w:left="142"/>
              <w:rPr>
                <w:szCs w:val="22"/>
              </w:rPr>
            </w:pPr>
            <w:r>
              <w:rPr>
                <w:szCs w:val="22"/>
              </w:rPr>
              <w:t>s. 301</w:t>
            </w:r>
          </w:p>
        </w:tc>
        <w:tc>
          <w:tcPr>
            <w:tcW w:w="4580" w:type="dxa"/>
          </w:tcPr>
          <w:p>
            <w:pPr>
              <w:pStyle w:val="yTable"/>
              <w:ind w:right="-283" w:hanging="425"/>
            </w:pPr>
            <w:r>
              <w:t>Wounding and similar acts</w:t>
            </w:r>
          </w:p>
        </w:tc>
      </w:tr>
      <w:tr>
        <w:tc>
          <w:tcPr>
            <w:tcW w:w="2508" w:type="dxa"/>
          </w:tcPr>
          <w:p>
            <w:pPr>
              <w:pStyle w:val="yTable"/>
              <w:ind w:left="142"/>
              <w:rPr>
                <w:szCs w:val="22"/>
              </w:rPr>
            </w:pPr>
            <w:r>
              <w:rPr>
                <w:szCs w:val="22"/>
              </w:rPr>
              <w:t>s. 304(2)</w:t>
            </w:r>
          </w:p>
        </w:tc>
        <w:tc>
          <w:tcPr>
            <w:tcW w:w="4580" w:type="dxa"/>
          </w:tcPr>
          <w:p>
            <w:pPr>
              <w:pStyle w:val="yTable"/>
              <w:ind w:right="-283" w:hanging="425"/>
            </w:pPr>
            <w:r>
              <w:t>Acts or omissions, with intent to harm, causing bodily harm or danger</w:t>
            </w:r>
          </w:p>
        </w:tc>
      </w:tr>
      <w:tr>
        <w:tc>
          <w:tcPr>
            <w:tcW w:w="2508" w:type="dxa"/>
          </w:tcPr>
          <w:p>
            <w:pPr>
              <w:pStyle w:val="yTable"/>
              <w:ind w:left="142"/>
              <w:rPr>
                <w:szCs w:val="22"/>
              </w:rPr>
            </w:pPr>
            <w:r>
              <w:rPr>
                <w:szCs w:val="22"/>
              </w:rPr>
              <w:t>s. 317</w:t>
            </w:r>
          </w:p>
        </w:tc>
        <w:tc>
          <w:tcPr>
            <w:tcW w:w="4580" w:type="dxa"/>
          </w:tcPr>
          <w:p>
            <w:pPr>
              <w:pStyle w:val="yTable"/>
              <w:ind w:right="-283" w:hanging="425"/>
            </w:pPr>
            <w:r>
              <w:t>Assault occasioning bodily harm</w:t>
            </w:r>
          </w:p>
        </w:tc>
      </w:tr>
      <w:tr>
        <w:tc>
          <w:tcPr>
            <w:tcW w:w="2508" w:type="dxa"/>
          </w:tcPr>
          <w:p>
            <w:pPr>
              <w:pStyle w:val="yTable"/>
              <w:ind w:left="142"/>
              <w:rPr>
                <w:szCs w:val="22"/>
              </w:rPr>
            </w:pPr>
            <w:r>
              <w:rPr>
                <w:szCs w:val="22"/>
              </w:rPr>
              <w:t>s. 317A(a)</w:t>
            </w:r>
          </w:p>
        </w:tc>
        <w:tc>
          <w:tcPr>
            <w:tcW w:w="4580" w:type="dxa"/>
          </w:tcPr>
          <w:p>
            <w:pPr>
              <w:pStyle w:val="yTable"/>
              <w:ind w:right="-283" w:hanging="425"/>
            </w:pPr>
            <w:r>
              <w:t>Assault with intent to commit or facilitate a crime</w:t>
            </w:r>
          </w:p>
        </w:tc>
      </w:tr>
      <w:tr>
        <w:tc>
          <w:tcPr>
            <w:tcW w:w="2508" w:type="dxa"/>
          </w:tcPr>
          <w:p>
            <w:pPr>
              <w:pStyle w:val="yTable"/>
              <w:ind w:left="142"/>
              <w:rPr>
                <w:szCs w:val="22"/>
              </w:rPr>
            </w:pPr>
            <w:r>
              <w:rPr>
                <w:szCs w:val="22"/>
              </w:rPr>
              <w:t>s. 317A(b)</w:t>
            </w:r>
          </w:p>
        </w:tc>
        <w:tc>
          <w:tcPr>
            <w:tcW w:w="4580" w:type="dxa"/>
          </w:tcPr>
          <w:p>
            <w:pPr>
              <w:pStyle w:val="yTable"/>
              <w:ind w:right="-283" w:hanging="425"/>
            </w:pPr>
            <w:r>
              <w:t>Assault with intent to do grievous bodily harm</w:t>
            </w:r>
          </w:p>
        </w:tc>
      </w:tr>
      <w:tr>
        <w:tc>
          <w:tcPr>
            <w:tcW w:w="2508" w:type="dxa"/>
          </w:tcPr>
          <w:p>
            <w:pPr>
              <w:pStyle w:val="yTable"/>
              <w:ind w:left="142"/>
              <w:rPr>
                <w:szCs w:val="22"/>
              </w:rPr>
            </w:pPr>
            <w:r>
              <w:rPr>
                <w:szCs w:val="22"/>
              </w:rPr>
              <w:t>s. 318</w:t>
            </w:r>
          </w:p>
        </w:tc>
        <w:tc>
          <w:tcPr>
            <w:tcW w:w="4580" w:type="dxa"/>
          </w:tcPr>
          <w:p>
            <w:pPr>
              <w:pStyle w:val="yTable"/>
              <w:ind w:right="-283" w:hanging="425"/>
            </w:pPr>
            <w:r>
              <w:t>Serious assaults</w:t>
            </w:r>
          </w:p>
        </w:tc>
      </w:tr>
      <w:tr>
        <w:tc>
          <w:tcPr>
            <w:tcW w:w="2508" w:type="dxa"/>
          </w:tcPr>
          <w:p>
            <w:pPr>
              <w:pStyle w:val="yTable"/>
              <w:ind w:left="142"/>
              <w:rPr>
                <w:szCs w:val="22"/>
              </w:rPr>
            </w:pPr>
            <w:r>
              <w:rPr>
                <w:szCs w:val="22"/>
              </w:rPr>
              <w:t>s. 323</w:t>
            </w:r>
          </w:p>
        </w:tc>
        <w:tc>
          <w:tcPr>
            <w:tcW w:w="4580" w:type="dxa"/>
          </w:tcPr>
          <w:p>
            <w:pPr>
              <w:pStyle w:val="yTable"/>
              <w:ind w:right="-283" w:hanging="425"/>
            </w:pPr>
            <w:r>
              <w:t>Indecent assault</w:t>
            </w:r>
          </w:p>
        </w:tc>
      </w:tr>
      <w:tr>
        <w:tc>
          <w:tcPr>
            <w:tcW w:w="2508" w:type="dxa"/>
          </w:tcPr>
          <w:p>
            <w:pPr>
              <w:pStyle w:val="yTable"/>
              <w:ind w:left="142"/>
              <w:rPr>
                <w:szCs w:val="22"/>
              </w:rPr>
            </w:pPr>
            <w:r>
              <w:rPr>
                <w:szCs w:val="22"/>
              </w:rPr>
              <w:t>s. 324</w:t>
            </w:r>
          </w:p>
        </w:tc>
        <w:tc>
          <w:tcPr>
            <w:tcW w:w="4580" w:type="dxa"/>
          </w:tcPr>
          <w:p>
            <w:pPr>
              <w:pStyle w:val="yTable"/>
              <w:ind w:right="-283" w:hanging="425"/>
            </w:pPr>
            <w:r>
              <w:t>Aggravated indecent assault</w:t>
            </w:r>
          </w:p>
        </w:tc>
      </w:tr>
      <w:tr>
        <w:tc>
          <w:tcPr>
            <w:tcW w:w="2508" w:type="dxa"/>
          </w:tcPr>
          <w:p>
            <w:pPr>
              <w:pStyle w:val="yTable"/>
              <w:ind w:left="142"/>
              <w:rPr>
                <w:szCs w:val="22"/>
              </w:rPr>
            </w:pPr>
            <w:r>
              <w:rPr>
                <w:szCs w:val="22"/>
              </w:rPr>
              <w:t>s. 325</w:t>
            </w:r>
          </w:p>
        </w:tc>
        <w:tc>
          <w:tcPr>
            <w:tcW w:w="4580" w:type="dxa"/>
          </w:tcPr>
          <w:p>
            <w:pPr>
              <w:pStyle w:val="yTable"/>
              <w:ind w:right="-283" w:hanging="425"/>
            </w:pPr>
            <w:r>
              <w:t>Sexual penetration without consent</w:t>
            </w:r>
          </w:p>
        </w:tc>
      </w:tr>
      <w:tr>
        <w:tc>
          <w:tcPr>
            <w:tcW w:w="2508" w:type="dxa"/>
          </w:tcPr>
          <w:p>
            <w:pPr>
              <w:pStyle w:val="yTable"/>
              <w:ind w:left="142"/>
              <w:rPr>
                <w:szCs w:val="22"/>
              </w:rPr>
            </w:pPr>
            <w:r>
              <w:rPr>
                <w:szCs w:val="22"/>
              </w:rPr>
              <w:t>s. 326</w:t>
            </w:r>
          </w:p>
        </w:tc>
        <w:tc>
          <w:tcPr>
            <w:tcW w:w="4580" w:type="dxa"/>
          </w:tcPr>
          <w:p>
            <w:pPr>
              <w:pStyle w:val="yTable"/>
              <w:ind w:right="-283"/>
              <w:rPr>
                <w:szCs w:val="22"/>
              </w:rPr>
            </w:pPr>
            <w:r>
              <w:rPr>
                <w:szCs w:val="22"/>
              </w:rPr>
              <w:t>Aggravated sexual penetration without consent</w:t>
            </w:r>
          </w:p>
        </w:tc>
      </w:tr>
      <w:tr>
        <w:tc>
          <w:tcPr>
            <w:tcW w:w="2508" w:type="dxa"/>
          </w:tcPr>
          <w:p>
            <w:pPr>
              <w:pStyle w:val="yTable"/>
              <w:ind w:left="142"/>
              <w:rPr>
                <w:szCs w:val="22"/>
              </w:rPr>
            </w:pPr>
            <w:r>
              <w:rPr>
                <w:szCs w:val="22"/>
              </w:rPr>
              <w:t>s. 331B</w:t>
            </w:r>
          </w:p>
        </w:tc>
        <w:tc>
          <w:tcPr>
            <w:tcW w:w="4580" w:type="dxa"/>
          </w:tcPr>
          <w:p>
            <w:pPr>
              <w:pStyle w:val="yTable"/>
              <w:ind w:right="-283" w:hanging="425"/>
            </w:pPr>
            <w:r>
              <w:t>Sexual servitude</w:t>
            </w:r>
          </w:p>
        </w:tc>
      </w:tr>
      <w:tr>
        <w:tc>
          <w:tcPr>
            <w:tcW w:w="2508" w:type="dxa"/>
          </w:tcPr>
          <w:p>
            <w:pPr>
              <w:pStyle w:val="yTable"/>
              <w:ind w:left="142"/>
              <w:rPr>
                <w:szCs w:val="22"/>
              </w:rPr>
            </w:pPr>
            <w:r>
              <w:rPr>
                <w:szCs w:val="22"/>
              </w:rPr>
              <w:t>s. 331C</w:t>
            </w:r>
          </w:p>
        </w:tc>
        <w:tc>
          <w:tcPr>
            <w:tcW w:w="4580" w:type="dxa"/>
          </w:tcPr>
          <w:p>
            <w:pPr>
              <w:pStyle w:val="yTable"/>
              <w:ind w:right="-283" w:hanging="425"/>
            </w:pPr>
            <w:r>
              <w:t>Conducting business involving sexual servitude</w:t>
            </w:r>
          </w:p>
        </w:tc>
      </w:tr>
      <w:tr>
        <w:trPr>
          <w:cantSplit/>
        </w:trPr>
        <w:tc>
          <w:tcPr>
            <w:tcW w:w="2508" w:type="dxa"/>
          </w:tcPr>
          <w:p>
            <w:pPr>
              <w:pStyle w:val="yTable"/>
              <w:ind w:left="142"/>
              <w:rPr>
                <w:szCs w:val="22"/>
              </w:rPr>
            </w:pPr>
            <w:r>
              <w:rPr>
                <w:szCs w:val="22"/>
              </w:rPr>
              <w:t>s. 331D</w:t>
            </w:r>
          </w:p>
        </w:tc>
        <w:tc>
          <w:tcPr>
            <w:tcW w:w="4580" w:type="dxa"/>
          </w:tcPr>
          <w:p>
            <w:pPr>
              <w:pStyle w:val="yTable"/>
              <w:ind w:right="-283" w:hanging="425"/>
            </w:pPr>
            <w:r>
              <w:t>Deceptive recruiting for commercial sexual services</w:t>
            </w:r>
          </w:p>
        </w:tc>
      </w:tr>
      <w:tr>
        <w:tc>
          <w:tcPr>
            <w:tcW w:w="2508" w:type="dxa"/>
          </w:tcPr>
          <w:p>
            <w:pPr>
              <w:pStyle w:val="yTable"/>
              <w:ind w:left="142"/>
              <w:rPr>
                <w:szCs w:val="22"/>
              </w:rPr>
            </w:pPr>
            <w:r>
              <w:rPr>
                <w:szCs w:val="22"/>
              </w:rPr>
              <w:t>s. 332</w:t>
            </w:r>
          </w:p>
        </w:tc>
        <w:tc>
          <w:tcPr>
            <w:tcW w:w="4580" w:type="dxa"/>
          </w:tcPr>
          <w:p>
            <w:pPr>
              <w:pStyle w:val="yTable"/>
              <w:ind w:right="-283" w:hanging="425"/>
            </w:pPr>
            <w:r>
              <w:t>Kidnapping</w:t>
            </w:r>
          </w:p>
        </w:tc>
      </w:tr>
      <w:tr>
        <w:tc>
          <w:tcPr>
            <w:tcW w:w="2508" w:type="dxa"/>
          </w:tcPr>
          <w:p>
            <w:pPr>
              <w:pStyle w:val="yTable"/>
              <w:ind w:left="142"/>
              <w:rPr>
                <w:szCs w:val="22"/>
              </w:rPr>
            </w:pPr>
            <w:r>
              <w:rPr>
                <w:szCs w:val="22"/>
              </w:rPr>
              <w:t>s. 333</w:t>
            </w:r>
          </w:p>
        </w:tc>
        <w:tc>
          <w:tcPr>
            <w:tcW w:w="4580" w:type="dxa"/>
          </w:tcPr>
          <w:p>
            <w:pPr>
              <w:pStyle w:val="yTable"/>
              <w:ind w:right="-283" w:hanging="425"/>
            </w:pPr>
            <w:r>
              <w:t>Deprivation of liberty</w:t>
            </w:r>
          </w:p>
        </w:tc>
      </w:tr>
      <w:tr>
        <w:tc>
          <w:tcPr>
            <w:tcW w:w="2508" w:type="dxa"/>
          </w:tcPr>
          <w:p>
            <w:pPr>
              <w:pStyle w:val="yTable"/>
              <w:ind w:left="142"/>
              <w:rPr>
                <w:szCs w:val="22"/>
              </w:rPr>
            </w:pPr>
            <w:r>
              <w:rPr>
                <w:szCs w:val="22"/>
              </w:rPr>
              <w:t>s. 378(2)</w:t>
            </w:r>
          </w:p>
        </w:tc>
        <w:tc>
          <w:tcPr>
            <w:tcW w:w="4580" w:type="dxa"/>
          </w:tcPr>
          <w:p>
            <w:pPr>
              <w:pStyle w:val="yTable"/>
              <w:ind w:right="-283" w:hanging="425"/>
            </w:pPr>
            <w:r>
              <w:t>Stealing a motor vehicle, aggravated by reckless or dangerous driving</w:t>
            </w:r>
          </w:p>
        </w:tc>
      </w:tr>
      <w:tr>
        <w:tc>
          <w:tcPr>
            <w:tcW w:w="2508" w:type="dxa"/>
          </w:tcPr>
          <w:p>
            <w:pPr>
              <w:pStyle w:val="yTable"/>
              <w:ind w:left="142"/>
              <w:rPr>
                <w:szCs w:val="22"/>
              </w:rPr>
            </w:pPr>
            <w:r>
              <w:rPr>
                <w:szCs w:val="22"/>
              </w:rPr>
              <w:t>s. 392</w:t>
            </w:r>
          </w:p>
        </w:tc>
        <w:tc>
          <w:tcPr>
            <w:tcW w:w="4580" w:type="dxa"/>
          </w:tcPr>
          <w:p>
            <w:pPr>
              <w:pStyle w:val="yTable"/>
              <w:ind w:right="-283" w:hanging="425"/>
            </w:pPr>
            <w:r>
              <w:t>Robbery</w:t>
            </w:r>
          </w:p>
        </w:tc>
      </w:tr>
      <w:tr>
        <w:tc>
          <w:tcPr>
            <w:tcW w:w="2508" w:type="dxa"/>
          </w:tcPr>
          <w:p>
            <w:pPr>
              <w:pStyle w:val="yTable"/>
              <w:ind w:left="142"/>
              <w:rPr>
                <w:szCs w:val="22"/>
              </w:rPr>
            </w:pPr>
            <w:r>
              <w:rPr>
                <w:szCs w:val="22"/>
              </w:rPr>
              <w:t>s. 393</w:t>
            </w:r>
          </w:p>
        </w:tc>
        <w:tc>
          <w:tcPr>
            <w:tcW w:w="4580" w:type="dxa"/>
          </w:tcPr>
          <w:p>
            <w:pPr>
              <w:pStyle w:val="yTable"/>
              <w:ind w:right="-283" w:hanging="425"/>
            </w:pPr>
            <w:r>
              <w:t>Assault with intent to rob</w:t>
            </w:r>
          </w:p>
        </w:tc>
      </w:tr>
      <w:tr>
        <w:tc>
          <w:tcPr>
            <w:tcW w:w="2508" w:type="dxa"/>
          </w:tcPr>
          <w:p>
            <w:pPr>
              <w:pStyle w:val="yTable"/>
              <w:ind w:left="142"/>
              <w:rPr>
                <w:szCs w:val="22"/>
              </w:rPr>
            </w:pPr>
            <w:r>
              <w:rPr>
                <w:szCs w:val="22"/>
              </w:rPr>
              <w:t>s. 444</w:t>
            </w:r>
          </w:p>
        </w:tc>
        <w:tc>
          <w:tcPr>
            <w:tcW w:w="4580" w:type="dxa"/>
          </w:tcPr>
          <w:p>
            <w:pPr>
              <w:pStyle w:val="yTable"/>
              <w:ind w:right="-283" w:hanging="425"/>
            </w:pPr>
            <w: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szCs w:val="22"/>
              </w:rPr>
            </w:pPr>
            <w:r>
              <w:rPr>
                <w:b/>
                <w:szCs w:val="22"/>
              </w:rPr>
              <w:t>2.</w:t>
            </w:r>
            <w:r>
              <w:rPr>
                <w:b/>
                <w:i/>
                <w:szCs w:val="22"/>
              </w:rPr>
              <w:tab/>
              <w:t>Bush Fires Act 1954</w:t>
            </w:r>
          </w:p>
        </w:tc>
      </w:tr>
      <w:tr>
        <w:tc>
          <w:tcPr>
            <w:tcW w:w="2508" w:type="dxa"/>
          </w:tcPr>
          <w:p>
            <w:pPr>
              <w:pStyle w:val="yTable"/>
              <w:ind w:left="142"/>
              <w:rPr>
                <w:szCs w:val="22"/>
              </w:rPr>
            </w:pPr>
            <w:r>
              <w:rPr>
                <w:szCs w:val="22"/>
              </w:rPr>
              <w:t>s. 32</w:t>
            </w:r>
          </w:p>
        </w:tc>
        <w:tc>
          <w:tcPr>
            <w:tcW w:w="4580" w:type="dxa"/>
          </w:tcPr>
          <w:p>
            <w:pPr>
              <w:pStyle w:val="yTable"/>
              <w:ind w:right="-283" w:hanging="425"/>
              <w:rPr>
                <w:szCs w:val="22"/>
              </w:rPr>
            </w:pPr>
            <w:r>
              <w:rPr>
                <w:szCs w:val="22"/>
              </w:rPr>
              <w:t xml:space="preserve">Wilfully lighting a fire or causing a fire to be lit </w:t>
            </w:r>
            <w:r>
              <w:t>under</w:t>
            </w:r>
            <w:r>
              <w:rPr>
                <w:szCs w:val="22"/>
              </w:rPr>
              <w:t xml:space="preserve"> such circumstances as to be likely to injure or damage a person or property</w:t>
            </w:r>
          </w:p>
        </w:tc>
      </w:tr>
      <w:tr>
        <w:tblPrEx>
          <w:tblCellMar>
            <w:left w:w="108" w:type="dxa"/>
            <w:right w:w="108" w:type="dxa"/>
          </w:tblCellMar>
        </w:tblPrEx>
        <w:trPr>
          <w:cantSplit/>
        </w:trPr>
        <w:tc>
          <w:tcPr>
            <w:tcW w:w="7088" w:type="dxa"/>
            <w:gridSpan w:val="2"/>
          </w:tcPr>
          <w:p>
            <w:pPr>
              <w:pStyle w:val="yTable"/>
              <w:tabs>
                <w:tab w:val="left" w:pos="459"/>
              </w:tabs>
              <w:ind w:left="34"/>
              <w:rPr>
                <w:b/>
                <w:i/>
                <w:szCs w:val="22"/>
              </w:rPr>
            </w:pPr>
            <w:r>
              <w:rPr>
                <w:b/>
                <w:szCs w:val="22"/>
              </w:rPr>
              <w:t>2AA.</w:t>
            </w:r>
            <w:r>
              <w:rPr>
                <w:b/>
                <w:i/>
                <w:szCs w:val="22"/>
              </w:rPr>
              <w:tab/>
            </w:r>
            <w:r>
              <w:rPr>
                <w:b/>
                <w:bCs/>
                <w:i/>
              </w:rPr>
              <w:t>Criminal Organisations Control Act 2012</w:t>
            </w:r>
          </w:p>
        </w:tc>
      </w:tr>
      <w:tr>
        <w:tc>
          <w:tcPr>
            <w:tcW w:w="2508" w:type="dxa"/>
          </w:tcPr>
          <w:p>
            <w:pPr>
              <w:pStyle w:val="yTable"/>
              <w:ind w:left="142"/>
              <w:rPr>
                <w:szCs w:val="22"/>
              </w:rPr>
            </w:pPr>
            <w:r>
              <w:t>s. 99(1)</w:t>
            </w:r>
          </w:p>
        </w:tc>
        <w:tc>
          <w:tcPr>
            <w:tcW w:w="4580" w:type="dxa"/>
          </w:tcPr>
          <w:p>
            <w:pPr>
              <w:pStyle w:val="yTable"/>
              <w:ind w:left="-441" w:right="-283" w:firstLine="16"/>
              <w:rPr>
                <w:szCs w:val="22"/>
              </w:rPr>
            </w:pPr>
            <w:r>
              <w:t>Association by controlled person with another controlled person</w:t>
            </w:r>
          </w:p>
        </w:tc>
      </w:tr>
      <w:tr>
        <w:tc>
          <w:tcPr>
            <w:tcW w:w="2508" w:type="dxa"/>
          </w:tcPr>
          <w:p>
            <w:pPr>
              <w:pStyle w:val="yTable"/>
              <w:ind w:left="142"/>
            </w:pPr>
            <w:r>
              <w:t>s. 99(3)</w:t>
            </w:r>
          </w:p>
        </w:tc>
        <w:tc>
          <w:tcPr>
            <w:tcW w:w="4580" w:type="dxa"/>
          </w:tcPr>
          <w:p>
            <w:pPr>
              <w:pStyle w:val="yTable"/>
              <w:ind w:left="-441" w:right="-283" w:firstLine="16"/>
            </w:pPr>
            <w:r>
              <w:t>Association by controlled person with another controlled person on 3 or more occasions within 3 month period</w:t>
            </w:r>
          </w:p>
        </w:tc>
      </w:tr>
      <w:tr>
        <w:tc>
          <w:tcPr>
            <w:tcW w:w="2508" w:type="dxa"/>
          </w:tcPr>
          <w:p>
            <w:pPr>
              <w:pStyle w:val="yTable"/>
              <w:ind w:left="142"/>
            </w:pPr>
            <w:r>
              <w:t>s. 102</w:t>
            </w:r>
          </w:p>
        </w:tc>
        <w:tc>
          <w:tcPr>
            <w:tcW w:w="4580" w:type="dxa"/>
          </w:tcPr>
          <w:p>
            <w:pPr>
              <w:pStyle w:val="yTable"/>
              <w:ind w:left="-441" w:right="-283" w:firstLine="16"/>
            </w:pPr>
            <w:r>
              <w:t>Offence for controlled person to get funds to, from or for declared criminal organisation</w:t>
            </w:r>
          </w:p>
        </w:tc>
      </w:tr>
      <w:tr>
        <w:tc>
          <w:tcPr>
            <w:tcW w:w="2508" w:type="dxa"/>
          </w:tcPr>
          <w:p>
            <w:pPr>
              <w:pStyle w:val="yTable"/>
              <w:ind w:left="142"/>
            </w:pPr>
            <w:r>
              <w:t>s. 103</w:t>
            </w:r>
          </w:p>
        </w:tc>
        <w:tc>
          <w:tcPr>
            <w:tcW w:w="4580" w:type="dxa"/>
          </w:tcPr>
          <w:p>
            <w:pPr>
              <w:pStyle w:val="yTable"/>
              <w:ind w:left="-441" w:right="-283" w:firstLine="16"/>
            </w:pPr>
            <w:r>
              <w:t>Other contravention of interim control order or control order</w:t>
            </w:r>
          </w:p>
        </w:tc>
      </w:tr>
      <w:tr>
        <w:tc>
          <w:tcPr>
            <w:tcW w:w="2508" w:type="dxa"/>
          </w:tcPr>
          <w:p>
            <w:pPr>
              <w:pStyle w:val="yTable"/>
              <w:ind w:left="142"/>
            </w:pPr>
            <w:r>
              <w:t>s. 106</w:t>
            </w:r>
          </w:p>
        </w:tc>
        <w:tc>
          <w:tcPr>
            <w:tcW w:w="4580" w:type="dxa"/>
          </w:tcPr>
          <w:p>
            <w:pPr>
              <w:pStyle w:val="yTable"/>
              <w:ind w:left="-441" w:right="-283" w:firstLine="16"/>
            </w:pPr>
            <w:r>
              <w:t>Recruiting members for declared criminal organisation</w:t>
            </w:r>
          </w:p>
        </w:tc>
      </w:tr>
      <w:tr>
        <w:tc>
          <w:tcPr>
            <w:tcW w:w="2508" w:type="dxa"/>
          </w:tcPr>
          <w:p>
            <w:pPr>
              <w:pStyle w:val="yTable"/>
              <w:ind w:left="142"/>
            </w:pPr>
            <w:r>
              <w:t>s. 107(2)</w:t>
            </w:r>
          </w:p>
        </w:tc>
        <w:tc>
          <w:tcPr>
            <w:tcW w:w="4580" w:type="dxa"/>
          </w:tcPr>
          <w:p>
            <w:pPr>
              <w:pStyle w:val="yTable"/>
              <w:ind w:left="-441" w:right="-283" w:firstLine="16"/>
            </w:pPr>
            <w:r>
              <w:t>Permitting premises to be habitually used as place of resort by members of declared criminal organisation</w:t>
            </w:r>
          </w:p>
        </w:tc>
      </w:tr>
      <w:tr>
        <w:tc>
          <w:tcPr>
            <w:tcW w:w="2508" w:type="dxa"/>
          </w:tcPr>
          <w:p>
            <w:pPr>
              <w:pStyle w:val="yTable"/>
              <w:ind w:left="142"/>
            </w:pPr>
            <w:r>
              <w:t>s. 107(3)</w:t>
            </w:r>
          </w:p>
        </w:tc>
        <w:tc>
          <w:tcPr>
            <w:tcW w:w="4580" w:type="dxa"/>
          </w:tcPr>
          <w:p>
            <w:pPr>
              <w:pStyle w:val="yTable"/>
              <w:ind w:left="-441" w:right="-283" w:firstLine="16"/>
            </w:pPr>
            <w:r>
              <w:t>Being knowingly concerned in the management of premises habitually used as place of resort by members of declared criminal organisation</w:t>
            </w:r>
          </w:p>
        </w:tc>
      </w:tr>
      <w:tr>
        <w:tblPrEx>
          <w:tblCellMar>
            <w:left w:w="108" w:type="dxa"/>
            <w:right w:w="108" w:type="dxa"/>
          </w:tblCellMar>
        </w:tblPrEx>
        <w:trPr>
          <w:cantSplit/>
        </w:trPr>
        <w:tc>
          <w:tcPr>
            <w:tcW w:w="7088" w:type="dxa"/>
            <w:gridSpan w:val="2"/>
          </w:tcPr>
          <w:p>
            <w:pPr>
              <w:pStyle w:val="yTable"/>
              <w:tabs>
                <w:tab w:val="left" w:pos="459"/>
              </w:tabs>
              <w:ind w:left="34"/>
              <w:rPr>
                <w:b/>
                <w:i/>
                <w:szCs w:val="22"/>
              </w:rPr>
            </w:pPr>
            <w:r>
              <w:rPr>
                <w:b/>
                <w:szCs w:val="22"/>
              </w:rPr>
              <w:t>2A.</w:t>
            </w:r>
            <w:r>
              <w:rPr>
                <w:b/>
                <w:i/>
                <w:szCs w:val="22"/>
              </w:rPr>
              <w:tab/>
              <w:t>Prostitution Act 2000</w:t>
            </w:r>
          </w:p>
        </w:tc>
      </w:tr>
      <w:tr>
        <w:tc>
          <w:tcPr>
            <w:tcW w:w="2508" w:type="dxa"/>
          </w:tcPr>
          <w:p>
            <w:pPr>
              <w:pStyle w:val="yTable"/>
              <w:ind w:left="142"/>
              <w:rPr>
                <w:szCs w:val="22"/>
              </w:rPr>
            </w:pPr>
            <w:r>
              <w:rPr>
                <w:szCs w:val="22"/>
              </w:rPr>
              <w:t>s. 7</w:t>
            </w:r>
          </w:p>
        </w:tc>
        <w:tc>
          <w:tcPr>
            <w:tcW w:w="4580" w:type="dxa"/>
          </w:tcPr>
          <w:p>
            <w:pPr>
              <w:pStyle w:val="yTable"/>
              <w:ind w:right="-283" w:hanging="425"/>
            </w:pPr>
            <w:r>
              <w:t>Seeking to induce person to act as prostitute</w:t>
            </w:r>
          </w:p>
        </w:tc>
      </w:tr>
      <w:tr>
        <w:tc>
          <w:tcPr>
            <w:tcW w:w="2508" w:type="dxa"/>
          </w:tcPr>
          <w:p>
            <w:pPr>
              <w:pStyle w:val="yTable"/>
              <w:ind w:left="142"/>
              <w:rPr>
                <w:szCs w:val="22"/>
              </w:rPr>
            </w:pPr>
            <w:r>
              <w:rPr>
                <w:szCs w:val="22"/>
              </w:rPr>
              <w:t>s. 16</w:t>
            </w:r>
          </w:p>
        </w:tc>
        <w:tc>
          <w:tcPr>
            <w:tcW w:w="4580" w:type="dxa"/>
          </w:tcPr>
          <w:p>
            <w:pPr>
              <w:pStyle w:val="yTable"/>
              <w:ind w:right="-283" w:hanging="425"/>
            </w:pPr>
            <w:r>
              <w:t>Causing, permitting, or seeking to induce child to act as prostitute</w:t>
            </w:r>
          </w:p>
        </w:tc>
      </w:tr>
      <w:tr>
        <w:tc>
          <w:tcPr>
            <w:tcW w:w="2508" w:type="dxa"/>
          </w:tcPr>
          <w:p>
            <w:pPr>
              <w:pStyle w:val="yTable"/>
              <w:ind w:left="142"/>
              <w:rPr>
                <w:szCs w:val="22"/>
              </w:rPr>
            </w:pPr>
            <w:r>
              <w:rPr>
                <w:szCs w:val="22"/>
              </w:rPr>
              <w:t>s. 17</w:t>
            </w:r>
          </w:p>
        </w:tc>
        <w:tc>
          <w:tcPr>
            <w:tcW w:w="4580" w:type="dxa"/>
          </w:tcPr>
          <w:p>
            <w:pPr>
              <w:pStyle w:val="yTable"/>
              <w:ind w:right="-283" w:hanging="425"/>
            </w:pPr>
            <w:r>
              <w:t>Obtaining payment for prostitution by a child</w:t>
            </w:r>
          </w:p>
        </w:tc>
      </w:tr>
      <w:tr>
        <w:tc>
          <w:tcPr>
            <w:tcW w:w="2508" w:type="dxa"/>
          </w:tcPr>
          <w:p>
            <w:pPr>
              <w:pStyle w:val="yTable"/>
              <w:ind w:left="142"/>
              <w:rPr>
                <w:szCs w:val="22"/>
              </w:rPr>
            </w:pPr>
            <w:r>
              <w:rPr>
                <w:szCs w:val="22"/>
              </w:rPr>
              <w:t>s. 18</w:t>
            </w:r>
          </w:p>
        </w:tc>
        <w:tc>
          <w:tcPr>
            <w:tcW w:w="4580" w:type="dxa"/>
          </w:tcPr>
          <w:p>
            <w:pPr>
              <w:pStyle w:val="yTable"/>
              <w:ind w:right="-283" w:hanging="425"/>
              <w:rPr>
                <w:szCs w:val="22"/>
              </w:rPr>
            </w:pPr>
            <w:r>
              <w:t>Agreement</w:t>
            </w:r>
            <w:r>
              <w:rPr>
                <w:szCs w:val="22"/>
              </w:rPr>
              <w:t xml:space="preserve">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szCs w:val="22"/>
              </w:rPr>
            </w:pPr>
            <w:r>
              <w:rPr>
                <w:b/>
                <w:szCs w:val="22"/>
              </w:rPr>
              <w:t>3.</w:t>
            </w:r>
            <w:r>
              <w:rPr>
                <w:b/>
                <w:i/>
                <w:szCs w:val="22"/>
              </w:rPr>
              <w:tab/>
              <w:t>Road Traffic Act 1974</w:t>
            </w:r>
          </w:p>
        </w:tc>
      </w:tr>
      <w:tr>
        <w:tc>
          <w:tcPr>
            <w:tcW w:w="2508" w:type="dxa"/>
          </w:tcPr>
          <w:p>
            <w:pPr>
              <w:pStyle w:val="yTable"/>
              <w:ind w:left="142"/>
              <w:rPr>
                <w:szCs w:val="22"/>
              </w:rPr>
            </w:pPr>
            <w:r>
              <w:rPr>
                <w:szCs w:val="22"/>
              </w:rPr>
              <w:t>s. 59</w:t>
            </w:r>
          </w:p>
        </w:tc>
        <w:tc>
          <w:tcPr>
            <w:tcW w:w="4580" w:type="dxa"/>
          </w:tcPr>
          <w:p>
            <w:pPr>
              <w:pStyle w:val="yTable"/>
              <w:ind w:right="-283" w:hanging="425"/>
            </w:pPr>
            <w:r>
              <w:t>Dangerous driving causing death, injury, etc.</w:t>
            </w:r>
          </w:p>
        </w:tc>
      </w:tr>
      <w:tr>
        <w:tc>
          <w:tcPr>
            <w:tcW w:w="2508" w:type="dxa"/>
          </w:tcPr>
          <w:p>
            <w:pPr>
              <w:pStyle w:val="yTable"/>
              <w:ind w:left="142"/>
              <w:rPr>
                <w:szCs w:val="22"/>
              </w:rPr>
            </w:pPr>
            <w:r>
              <w:rPr>
                <w:szCs w:val="22"/>
              </w:rPr>
              <w:t>s. 59A</w:t>
            </w:r>
          </w:p>
        </w:tc>
        <w:tc>
          <w:tcPr>
            <w:tcW w:w="4580" w:type="dxa"/>
          </w:tcPr>
          <w:p>
            <w:pPr>
              <w:pStyle w:val="yTable"/>
              <w:ind w:right="-283" w:hanging="425"/>
            </w:pPr>
            <w:r>
              <w:t>Dangerous driving causing bodily harm</w:t>
            </w:r>
          </w:p>
        </w:tc>
      </w:tr>
    </w:tbl>
    <w:p>
      <w:pPr>
        <w:pStyle w:val="yFootnotesection"/>
      </w:pPr>
      <w:r>
        <w:tab/>
        <w:t xml:space="preserve">[Schedule 2 amended by No. 82 of 1994 s. 13(6); No. 17 of 2000 s. 64; No. 23 of 2001 s. 10(4); No. 4 of 2004 s. 24 and 26; No. 58 of 2004 s. 45; No. 29 of 2008 s. 41(5); No. 49 of 2012 s. 182.] </w:t>
      </w:r>
    </w:p>
    <w:p>
      <w:pPr>
        <w:pStyle w:val="yScheduleHeading"/>
        <w:outlineLvl w:val="0"/>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outlineLvl w:val="0"/>
      </w:pPr>
      <w:bookmarkStart w:id="627" w:name="_Toc405453366"/>
      <w:bookmarkStart w:id="628" w:name="_Toc413337091"/>
      <w:bookmarkStart w:id="629" w:name="_Toc413337367"/>
      <w:bookmarkStart w:id="630" w:name="_Toc413337482"/>
      <w:r>
        <w:rPr>
          <w:rStyle w:val="CharSchNo"/>
        </w:rPr>
        <w:t>Schedule 3</w:t>
      </w:r>
      <w:r>
        <w:t> — </w:t>
      </w:r>
      <w:r>
        <w:rPr>
          <w:rStyle w:val="CharSchText"/>
        </w:rPr>
        <w:t>Adaptations for community work in default of payment</w:t>
      </w:r>
      <w:bookmarkEnd w:id="627"/>
      <w:bookmarkEnd w:id="628"/>
      <w:bookmarkEnd w:id="629"/>
      <w:bookmarkEnd w:id="630"/>
    </w:p>
    <w:p>
      <w:pPr>
        <w:pStyle w:val="yShoulderClause"/>
        <w:rPr>
          <w:snapToGrid w:val="0"/>
        </w:rPr>
      </w:pPr>
      <w:r>
        <w:rPr>
          <w:snapToGrid w:val="0"/>
        </w:rPr>
        <w:t>[s. 61]</w:t>
      </w:r>
    </w:p>
    <w:p>
      <w:pPr>
        <w:pStyle w:val="yFootnoteheading"/>
        <w:rPr>
          <w:b/>
          <w:snapToGrid w:val="0"/>
        </w:rPr>
      </w:pPr>
      <w:r>
        <w:tab/>
        <w:t>[Heading amended by No. 19 of 2010 s. 4.]</w:t>
      </w:r>
    </w:p>
    <w:p>
      <w:pPr>
        <w:pStyle w:val="yHeading5"/>
        <w:outlineLvl w:val="0"/>
      </w:pPr>
      <w:bookmarkStart w:id="631" w:name="_Toc405453367"/>
      <w:bookmarkStart w:id="632" w:name="_Toc413337483"/>
      <w:r>
        <w:rPr>
          <w:rStyle w:val="CharSClsNo"/>
        </w:rPr>
        <w:t>1</w:t>
      </w:r>
      <w:r>
        <w:t>.</w:t>
      </w:r>
      <w:r>
        <w:tab/>
        <w:t>References to “offender”</w:t>
      </w:r>
      <w:bookmarkEnd w:id="631"/>
      <w:bookmarkEnd w:id="632"/>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outlineLvl w:val="0"/>
      </w:pPr>
      <w:bookmarkStart w:id="633" w:name="_Toc405453368"/>
      <w:bookmarkStart w:id="634" w:name="_Toc413337484"/>
      <w:r>
        <w:rPr>
          <w:rStyle w:val="CharSClsNo"/>
        </w:rPr>
        <w:t>2</w:t>
      </w:r>
      <w:r>
        <w:t>.</w:t>
      </w:r>
      <w:r>
        <w:tab/>
        <w:t>Conditions</w:t>
      </w:r>
      <w:bookmarkEnd w:id="633"/>
      <w:bookmarkEnd w:id="634"/>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outlineLvl w:val="0"/>
        <w:rPr>
          <w:snapToGrid w:val="0"/>
        </w:rPr>
      </w:pPr>
      <w:bookmarkStart w:id="635" w:name="_Toc405453369"/>
      <w:bookmarkStart w:id="636" w:name="_Toc413337485"/>
      <w:r>
        <w:rPr>
          <w:rStyle w:val="CharSClsNo"/>
        </w:rPr>
        <w:t>3</w:t>
      </w:r>
      <w:r>
        <w:rPr>
          <w:snapToGrid w:val="0"/>
        </w:rPr>
        <w:t>.</w:t>
      </w:r>
      <w:r>
        <w:rPr>
          <w:snapToGrid w:val="0"/>
        </w:rPr>
        <w:tab/>
        <w:t>Duration of order</w:t>
      </w:r>
      <w:bookmarkEnd w:id="635"/>
      <w:bookmarkEnd w:id="636"/>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 or</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outlineLvl w:val="0"/>
        <w:rPr>
          <w:snapToGrid w:val="0"/>
        </w:rPr>
      </w:pPr>
      <w:bookmarkStart w:id="637" w:name="_Toc405453370"/>
      <w:bookmarkStart w:id="638" w:name="_Toc413337486"/>
      <w:r>
        <w:rPr>
          <w:rStyle w:val="CharSClsNo"/>
        </w:rPr>
        <w:t>4</w:t>
      </w:r>
      <w:r>
        <w:rPr>
          <w:snapToGrid w:val="0"/>
        </w:rPr>
        <w:t>.</w:t>
      </w:r>
      <w:r>
        <w:rPr>
          <w:snapToGrid w:val="0"/>
        </w:rPr>
        <w:tab/>
        <w:t>Powers of court in dealing with breach</w:t>
      </w:r>
      <w:bookmarkEnd w:id="637"/>
      <w:bookmarkEnd w:id="638"/>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outlineLvl w:val="0"/>
        <w:rPr>
          <w:snapToGrid w:val="0"/>
        </w:rPr>
      </w:pPr>
      <w:bookmarkStart w:id="639" w:name="_Toc405453371"/>
      <w:bookmarkStart w:id="640" w:name="_Toc413337487"/>
      <w:r>
        <w:rPr>
          <w:rStyle w:val="CharSClsNo"/>
        </w:rPr>
        <w:t>5</w:t>
      </w:r>
      <w:r>
        <w:rPr>
          <w:snapToGrid w:val="0"/>
        </w:rPr>
        <w:t>.</w:t>
      </w:r>
      <w:r>
        <w:rPr>
          <w:snapToGrid w:val="0"/>
        </w:rPr>
        <w:tab/>
        <w:t>Effect of partially performing work ordered in default of payment</w:t>
      </w:r>
      <w:bookmarkEnd w:id="639"/>
      <w:bookmarkEnd w:id="640"/>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by No. 92 of 1994 s. 46.]</w:t>
      </w:r>
    </w:p>
    <w:p>
      <w:pPr>
        <w:pStyle w:val="yHeading5"/>
        <w:outlineLvl w:val="0"/>
        <w:rPr>
          <w:snapToGrid w:val="0"/>
        </w:rPr>
      </w:pPr>
      <w:bookmarkStart w:id="641" w:name="_Toc405453372"/>
      <w:bookmarkStart w:id="642" w:name="_Toc413337488"/>
      <w:r>
        <w:rPr>
          <w:rStyle w:val="CharSClsNo"/>
        </w:rPr>
        <w:t>6</w:t>
      </w:r>
      <w:r>
        <w:rPr>
          <w:snapToGrid w:val="0"/>
        </w:rPr>
        <w:t>.</w:t>
      </w:r>
      <w:r>
        <w:rPr>
          <w:snapToGrid w:val="0"/>
        </w:rPr>
        <w:tab/>
        <w:t>Proof of identity</w:t>
      </w:r>
      <w:bookmarkEnd w:id="641"/>
      <w:bookmarkEnd w:id="642"/>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outlineLvl w:val="0"/>
      </w:pPr>
      <w:bookmarkStart w:id="643" w:name="_Toc405453373"/>
      <w:bookmarkStart w:id="644" w:name="_Toc413337098"/>
      <w:bookmarkStart w:id="645" w:name="_Toc413337374"/>
      <w:bookmarkStart w:id="646" w:name="_Toc413337489"/>
      <w:r>
        <w:t>Notes</w:t>
      </w:r>
      <w:bookmarkEnd w:id="643"/>
      <w:bookmarkEnd w:id="644"/>
      <w:bookmarkEnd w:id="645"/>
      <w:bookmarkEnd w:id="646"/>
    </w:p>
    <w:p>
      <w:pPr>
        <w:pStyle w:val="nSubsection"/>
        <w:rPr>
          <w:snapToGrid w:val="0"/>
        </w:rPr>
      </w:pPr>
      <w:r>
        <w:rPr>
          <w:snapToGrid w:val="0"/>
          <w:vertAlign w:val="superscript"/>
        </w:rPr>
        <w:t>1</w:t>
      </w:r>
      <w:r>
        <w:rPr>
          <w:snapToGrid w:val="0"/>
        </w:rPr>
        <w:tab/>
        <w:t xml:space="preserve">This is a compilation of the </w:t>
      </w:r>
      <w:r>
        <w:rPr>
          <w:i/>
        </w:rPr>
        <w:t>Young Offenders Act 1994</w:t>
      </w:r>
      <w:r>
        <w:rPr>
          <w:snapToGrid w:val="0"/>
        </w:rPr>
        <w:t xml:space="preserve"> and includes the amendments made by the other written laws referred to in the following table </w:t>
      </w:r>
      <w:r>
        <w:rPr>
          <w:snapToGrid w:val="0"/>
          <w:vertAlign w:val="superscript"/>
        </w:rPr>
        <w:t>1M, 1a, 6, 7, 8</w:t>
      </w:r>
      <w:r>
        <w:rPr>
          <w:snapToGrid w:val="0"/>
        </w:rPr>
        <w:t>. The table also contains information about any reprint.</w:t>
      </w:r>
    </w:p>
    <w:p>
      <w:pPr>
        <w:pStyle w:val="nHeading3"/>
      </w:pPr>
      <w:bookmarkStart w:id="647" w:name="_Toc405453374"/>
      <w:bookmarkStart w:id="648" w:name="_Toc413337490"/>
      <w:r>
        <w:t>Compilation table</w:t>
      </w:r>
      <w:bookmarkEnd w:id="647"/>
      <w:bookmarkEnd w:id="648"/>
    </w:p>
    <w:tbl>
      <w:tblPr>
        <w:tblW w:w="7089" w:type="dxa"/>
        <w:tblInd w:w="56"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Young Offenders Act 1994</w:t>
            </w:r>
          </w:p>
        </w:tc>
        <w:tc>
          <w:tcPr>
            <w:tcW w:w="1134" w:type="dxa"/>
            <w:tcBorders>
              <w:top w:val="single" w:sz="8" w:space="0" w:color="auto"/>
            </w:tcBorders>
          </w:tcPr>
          <w:p>
            <w:pPr>
              <w:pStyle w:val="nTable"/>
              <w:spacing w:after="40"/>
            </w:pPr>
            <w:r>
              <w:t>104 of 1994</w:t>
            </w:r>
          </w:p>
        </w:tc>
        <w:tc>
          <w:tcPr>
            <w:tcW w:w="1136" w:type="dxa"/>
            <w:tcBorders>
              <w:top w:val="single" w:sz="8" w:space="0" w:color="auto"/>
            </w:tcBorders>
          </w:tcPr>
          <w:p>
            <w:pPr>
              <w:pStyle w:val="nTable"/>
              <w:spacing w:after="40"/>
            </w:pPr>
            <w:r>
              <w:t>11 Jan 1995</w:t>
            </w:r>
          </w:p>
        </w:tc>
        <w:tc>
          <w:tcPr>
            <w:tcW w:w="2551" w:type="dxa"/>
            <w:tcBorders>
              <w:top w:val="single" w:sz="8" w:space="0" w:color="auto"/>
            </w:tcBorders>
          </w:tcPr>
          <w:p>
            <w:pPr>
              <w:pStyle w:val="nTable"/>
              <w:spacing w:after="40"/>
            </w:pPr>
            <w:r>
              <w:t xml:space="preserve">s. 1 and 2: 11 Jan 1995; </w:t>
            </w:r>
            <w:r>
              <w:br/>
              <w:t xml:space="preserve">Act other than s. 1 and 2: 13 Mar 1995 (see s. 2 and </w:t>
            </w:r>
            <w:r>
              <w:rPr>
                <w:i/>
              </w:rPr>
              <w:t>Gazette</w:t>
            </w:r>
            <w:r>
              <w:t xml:space="preserve"> 10 Mar 1995 p. 895)</w:t>
            </w:r>
          </w:p>
        </w:tc>
      </w:tr>
      <w:tr>
        <w:trPr>
          <w:cantSplit/>
        </w:trPr>
        <w:tc>
          <w:tcPr>
            <w:tcW w:w="2268" w:type="dxa"/>
          </w:tcPr>
          <w:p>
            <w:pPr>
              <w:pStyle w:val="nTable"/>
              <w:spacing w:after="40"/>
              <w:ind w:right="113"/>
            </w:pPr>
            <w:r>
              <w:rPr>
                <w:i/>
              </w:rPr>
              <w:t>Criminal Law Amendment Act 1994</w:t>
            </w:r>
            <w:r>
              <w:t xml:space="preserve"> s. 13(6) and 20</w:t>
            </w:r>
          </w:p>
        </w:tc>
        <w:tc>
          <w:tcPr>
            <w:tcW w:w="1134" w:type="dxa"/>
          </w:tcPr>
          <w:p>
            <w:pPr>
              <w:pStyle w:val="nTable"/>
              <w:spacing w:after="40"/>
            </w:pPr>
            <w:r>
              <w:t>82 of 1994</w:t>
            </w:r>
          </w:p>
        </w:tc>
        <w:tc>
          <w:tcPr>
            <w:tcW w:w="1136" w:type="dxa"/>
          </w:tcPr>
          <w:p>
            <w:pPr>
              <w:pStyle w:val="nTable"/>
              <w:spacing w:after="40"/>
            </w:pPr>
            <w:r>
              <w:t>23 Dec 1994</w:t>
            </w:r>
          </w:p>
        </w:tc>
        <w:tc>
          <w:tcPr>
            <w:tcW w:w="2551" w:type="dxa"/>
          </w:tcPr>
          <w:p>
            <w:pPr>
              <w:pStyle w:val="nTable"/>
              <w:spacing w:after="40"/>
            </w:pPr>
            <w:r>
              <w:t>s. 13(6): 20 Jan 1995 (see s. 2(3));</w:t>
            </w:r>
            <w:r>
              <w:br/>
              <w:t xml:space="preserve">s. 20: 13 Mar 1995 (see s. 2(4) </w:t>
            </w:r>
            <w:r>
              <w:rPr>
                <w:spacing w:val="-4"/>
              </w:rPr>
              <w:t xml:space="preserve">and </w:t>
            </w:r>
            <w:r>
              <w:rPr>
                <w:i/>
                <w:spacing w:val="-4"/>
              </w:rPr>
              <w:t>Gazette</w:t>
            </w:r>
            <w:r>
              <w:rPr>
                <w:spacing w:val="-4"/>
              </w:rPr>
              <w:t xml:space="preserve"> 10 Mar 1995 p. 895)</w:t>
            </w:r>
          </w:p>
        </w:tc>
      </w:tr>
      <w:tr>
        <w:trPr>
          <w:cantSplit/>
        </w:trPr>
        <w:tc>
          <w:tcPr>
            <w:tcW w:w="2268" w:type="dxa"/>
          </w:tcPr>
          <w:p>
            <w:pPr>
              <w:pStyle w:val="nTable"/>
              <w:spacing w:after="40"/>
              <w:ind w:right="113"/>
            </w:pPr>
            <w:r>
              <w:rPr>
                <w:i/>
              </w:rPr>
              <w:t>Acts Amendment (Fines, Penalties and Infringement Notices) Act 1994</w:t>
            </w:r>
            <w:r>
              <w:t xml:space="preserve"> Pt. 22</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11 Jan 1995 (see s. 2(2))</w:t>
            </w:r>
          </w:p>
        </w:tc>
      </w:tr>
      <w:tr>
        <w:trPr>
          <w:cantSplit/>
        </w:trPr>
        <w:tc>
          <w:tcPr>
            <w:tcW w:w="2268" w:type="dxa"/>
          </w:tcPr>
          <w:p>
            <w:pPr>
              <w:pStyle w:val="nTable"/>
              <w:spacing w:after="40"/>
              <w:ind w:right="113"/>
            </w:pPr>
            <w:r>
              <w:rPr>
                <w:i/>
              </w:rPr>
              <w:t>Sentencing (Consequential Provisions) Act 1995</w:t>
            </w:r>
            <w:r>
              <w:t xml:space="preserve"> Pt. 86</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13"/>
            </w:pPr>
            <w:r>
              <w:rPr>
                <w:i/>
              </w:rPr>
              <w:t>Coroners Act 1996</w:t>
            </w:r>
            <w:r>
              <w:t xml:space="preserve"> s. 61</w:t>
            </w:r>
          </w:p>
        </w:tc>
        <w:tc>
          <w:tcPr>
            <w:tcW w:w="1134" w:type="dxa"/>
          </w:tcPr>
          <w:p>
            <w:pPr>
              <w:pStyle w:val="nTable"/>
              <w:spacing w:after="40"/>
            </w:pPr>
            <w:r>
              <w:t>2 of 1996</w:t>
            </w:r>
          </w:p>
        </w:tc>
        <w:tc>
          <w:tcPr>
            <w:tcW w:w="1136" w:type="dxa"/>
          </w:tcPr>
          <w:p>
            <w:pPr>
              <w:pStyle w:val="nTable"/>
              <w:spacing w:after="40"/>
            </w:pPr>
            <w:r>
              <w:t>24 May 1996</w:t>
            </w:r>
          </w:p>
        </w:tc>
        <w:tc>
          <w:tcPr>
            <w:tcW w:w="2551" w:type="dxa"/>
          </w:tcPr>
          <w:p>
            <w:pPr>
              <w:pStyle w:val="nTable"/>
              <w:spacing w:after="40"/>
            </w:pPr>
            <w:r>
              <w:t xml:space="preserve">7 Apr 1997 (see s. 2 and </w:t>
            </w:r>
            <w:r>
              <w:rPr>
                <w:i/>
              </w:rPr>
              <w:t>Gazette</w:t>
            </w:r>
            <w:r>
              <w:t xml:space="preserve"> 18 Mar 1997 p. 1529)</w:t>
            </w:r>
          </w:p>
        </w:tc>
      </w:tr>
      <w:tr>
        <w:trPr>
          <w:cantSplit/>
        </w:trPr>
        <w:tc>
          <w:tcPr>
            <w:tcW w:w="2268" w:type="dxa"/>
          </w:tcPr>
          <w:p>
            <w:pPr>
              <w:pStyle w:val="nTable"/>
              <w:spacing w:after="40"/>
              <w:ind w:right="113"/>
              <w:rPr>
                <w:i/>
              </w:rPr>
            </w:pPr>
            <w:r>
              <w:rPr>
                <w:i/>
              </w:rPr>
              <w:t xml:space="preserve">Mental Health (Consequential </w:t>
            </w:r>
            <w:r>
              <w:rPr>
                <w:i/>
                <w:spacing w:val="-4"/>
              </w:rPr>
              <w:t>Provisions) Act 1996</w:t>
            </w:r>
            <w:r>
              <w:rPr>
                <w:spacing w:val="-4"/>
              </w:rPr>
              <w:t xml:space="preserve"> Pt. 22</w:t>
            </w:r>
          </w:p>
        </w:tc>
        <w:tc>
          <w:tcPr>
            <w:tcW w:w="1134" w:type="dxa"/>
          </w:tcPr>
          <w:p>
            <w:pPr>
              <w:pStyle w:val="nTable"/>
              <w:spacing w:after="40"/>
            </w:pPr>
            <w:r>
              <w:t>69 of 1996</w:t>
            </w:r>
          </w:p>
        </w:tc>
        <w:tc>
          <w:tcPr>
            <w:tcW w:w="1136" w:type="dxa"/>
          </w:tcPr>
          <w:p>
            <w:pPr>
              <w:pStyle w:val="nTable"/>
              <w:spacing w:after="40"/>
            </w:pPr>
            <w:r>
              <w:t>13 Nov 1996</w:t>
            </w:r>
          </w:p>
        </w:tc>
        <w:tc>
          <w:tcPr>
            <w:tcW w:w="2551" w:type="dxa"/>
          </w:tcPr>
          <w:p>
            <w:pPr>
              <w:pStyle w:val="nTable"/>
              <w:spacing w:after="40"/>
            </w:pPr>
            <w:r>
              <w:t>13 Nov 1997 (see s. 2)</w:t>
            </w:r>
          </w:p>
        </w:tc>
      </w:tr>
      <w:tr>
        <w:trPr>
          <w:cantSplit/>
        </w:trPr>
        <w:tc>
          <w:tcPr>
            <w:tcW w:w="7089" w:type="dxa"/>
            <w:gridSpan w:val="4"/>
          </w:tcPr>
          <w:p>
            <w:pPr>
              <w:pStyle w:val="nTable"/>
              <w:spacing w:after="40"/>
            </w:pPr>
            <w:r>
              <w:rPr>
                <w:b/>
              </w:rPr>
              <w:t xml:space="preserve">Reprint of the </w:t>
            </w:r>
            <w:r>
              <w:rPr>
                <w:b/>
                <w:i/>
              </w:rPr>
              <w:t>Young Offenders Act 1994</w:t>
            </w:r>
            <w:r>
              <w:rPr>
                <w:b/>
              </w:rPr>
              <w:t xml:space="preserve"> as at 26 Nov 1996</w:t>
            </w:r>
            <w:r>
              <w:t xml:space="preserve"> (includes amendments listed above except those in the </w:t>
            </w:r>
            <w:r>
              <w:rPr>
                <w:i/>
              </w:rPr>
              <w:t xml:space="preserve">Coroners Act 1996 </w:t>
            </w:r>
            <w:r>
              <w:t>and the</w:t>
            </w:r>
            <w:r>
              <w:rPr>
                <w:i/>
              </w:rPr>
              <w:t xml:space="preserve"> Mental Health (Consequential Provisions) Act 1996</w:t>
            </w:r>
            <w:r>
              <w:t>)</w:t>
            </w:r>
            <w:r>
              <w:rPr>
                <w:i/>
              </w:rPr>
              <w:t xml:space="preserve"> </w:t>
            </w:r>
          </w:p>
        </w:tc>
      </w:tr>
      <w:tr>
        <w:trPr>
          <w:cantSplit/>
        </w:trPr>
        <w:tc>
          <w:tcPr>
            <w:tcW w:w="2268" w:type="dxa"/>
          </w:tcPr>
          <w:p>
            <w:pPr>
              <w:pStyle w:val="nTable"/>
              <w:spacing w:after="40"/>
              <w:ind w:right="113"/>
            </w:pPr>
            <w:r>
              <w:rPr>
                <w:i/>
              </w:rPr>
              <w:t>Criminal Law Amendment Act (No. 2) 1998</w:t>
            </w:r>
            <w:r>
              <w:t xml:space="preserve"> Pt. 7</w:t>
            </w:r>
          </w:p>
        </w:tc>
        <w:tc>
          <w:tcPr>
            <w:tcW w:w="1134" w:type="dxa"/>
          </w:tcPr>
          <w:p>
            <w:pPr>
              <w:pStyle w:val="nTable"/>
              <w:keepNext/>
              <w:spacing w:after="40"/>
            </w:pPr>
            <w:r>
              <w:t>29 of 1998</w:t>
            </w:r>
          </w:p>
        </w:tc>
        <w:tc>
          <w:tcPr>
            <w:tcW w:w="1136" w:type="dxa"/>
          </w:tcPr>
          <w:p>
            <w:pPr>
              <w:pStyle w:val="nTable"/>
              <w:keepNext/>
              <w:spacing w:after="40"/>
            </w:pPr>
            <w:r>
              <w:t>6 Jul 1998</w:t>
            </w:r>
          </w:p>
        </w:tc>
        <w:tc>
          <w:tcPr>
            <w:tcW w:w="2551" w:type="dxa"/>
          </w:tcPr>
          <w:p>
            <w:pPr>
              <w:pStyle w:val="nTable"/>
              <w:keepNext/>
              <w:spacing w:after="40"/>
            </w:pPr>
            <w:r>
              <w:t>3 Aug 1998</w:t>
            </w:r>
          </w:p>
        </w:tc>
      </w:tr>
      <w:tr>
        <w:trPr>
          <w:cantSplit/>
        </w:trPr>
        <w:tc>
          <w:tcPr>
            <w:tcW w:w="2268" w:type="dxa"/>
          </w:tcPr>
          <w:p>
            <w:pPr>
              <w:pStyle w:val="nTable"/>
              <w:spacing w:after="40"/>
              <w:ind w:right="113"/>
            </w:pPr>
            <w:r>
              <w:rPr>
                <w:i/>
              </w:rPr>
              <w:t>Police Amendment Act 1998</w:t>
            </w:r>
            <w:r>
              <w:t xml:space="preserve"> Pt. 3</w:t>
            </w:r>
          </w:p>
        </w:tc>
        <w:tc>
          <w:tcPr>
            <w:tcW w:w="1134" w:type="dxa"/>
          </w:tcPr>
          <w:p>
            <w:pPr>
              <w:pStyle w:val="nTable"/>
              <w:keepNext/>
              <w:spacing w:after="40"/>
            </w:pPr>
            <w:r>
              <w:t>47 of 1998</w:t>
            </w:r>
          </w:p>
        </w:tc>
        <w:tc>
          <w:tcPr>
            <w:tcW w:w="1136" w:type="dxa"/>
          </w:tcPr>
          <w:p>
            <w:pPr>
              <w:pStyle w:val="nTable"/>
              <w:keepNext/>
              <w:spacing w:after="40"/>
            </w:pPr>
            <w:r>
              <w:t>19 Nov 1998</w:t>
            </w:r>
          </w:p>
        </w:tc>
        <w:tc>
          <w:tcPr>
            <w:tcW w:w="2551" w:type="dxa"/>
          </w:tcPr>
          <w:p>
            <w:pPr>
              <w:pStyle w:val="nTable"/>
              <w:keepNext/>
              <w:spacing w:after="40"/>
            </w:pPr>
            <w:r>
              <w:t xml:space="preserve">5 Dec 1998 (see s. 2 and </w:t>
            </w:r>
            <w:r>
              <w:rPr>
                <w:i/>
              </w:rPr>
              <w:t>Gazette</w:t>
            </w:r>
            <w:r>
              <w:t xml:space="preserve"> 4 Dec 1998 p. 6447)</w:t>
            </w:r>
          </w:p>
        </w:tc>
      </w:tr>
      <w:tr>
        <w:trPr>
          <w:cantSplit/>
        </w:trPr>
        <w:tc>
          <w:tcPr>
            <w:tcW w:w="2268" w:type="dxa"/>
          </w:tcPr>
          <w:p>
            <w:pPr>
              <w:pStyle w:val="nTable"/>
              <w:spacing w:after="40"/>
              <w:ind w:right="113"/>
              <w:rPr>
                <w:i/>
              </w:rPr>
            </w:pPr>
            <w:r>
              <w:rPr>
                <w:i/>
              </w:rPr>
              <w:t>School Education Act 1999</w:t>
            </w:r>
            <w:r>
              <w:t xml:space="preserve"> s. 247</w:t>
            </w:r>
          </w:p>
        </w:tc>
        <w:tc>
          <w:tcPr>
            <w:tcW w:w="1134" w:type="dxa"/>
          </w:tcPr>
          <w:p>
            <w:pPr>
              <w:pStyle w:val="nTable"/>
              <w:keepNext/>
              <w:spacing w:after="40"/>
            </w:pPr>
            <w:r>
              <w:t>36 of 1999</w:t>
            </w:r>
          </w:p>
        </w:tc>
        <w:tc>
          <w:tcPr>
            <w:tcW w:w="1136" w:type="dxa"/>
          </w:tcPr>
          <w:p>
            <w:pPr>
              <w:pStyle w:val="nTable"/>
              <w:keepNext/>
              <w:spacing w:after="40"/>
            </w:pPr>
            <w:r>
              <w:t>2 Nov 1999</w:t>
            </w:r>
          </w:p>
        </w:tc>
        <w:tc>
          <w:tcPr>
            <w:tcW w:w="2551" w:type="dxa"/>
          </w:tcPr>
          <w:p>
            <w:pPr>
              <w:pStyle w:val="nTable"/>
              <w:keepNext/>
              <w:spacing w:after="40"/>
            </w:pPr>
            <w:r>
              <w:t xml:space="preserve">1 Jan 2001 (see s. 2 and </w:t>
            </w:r>
            <w:r>
              <w:rPr>
                <w:i/>
              </w:rPr>
              <w:t>Gazette</w:t>
            </w:r>
            <w:r>
              <w:t xml:space="preserve"> 29 Dec 2000 p. 7904)</w:t>
            </w:r>
          </w:p>
        </w:tc>
      </w:tr>
      <w:tr>
        <w:trPr>
          <w:cantSplit/>
        </w:trPr>
        <w:tc>
          <w:tcPr>
            <w:tcW w:w="2268" w:type="dxa"/>
          </w:tcPr>
          <w:p>
            <w:pPr>
              <w:pStyle w:val="nTable"/>
              <w:spacing w:after="40"/>
              <w:ind w:right="113"/>
              <w:rPr>
                <w:i/>
              </w:rPr>
            </w:pPr>
            <w:r>
              <w:rPr>
                <w:i/>
              </w:rPr>
              <w:t xml:space="preserve">Court Security and Custodial Services </w:t>
            </w:r>
            <w:r>
              <w:rPr>
                <w:i/>
                <w:spacing w:val="-2"/>
              </w:rPr>
              <w:t>(Consequential Provisions) Act 1999</w:t>
            </w:r>
            <w:r>
              <w:rPr>
                <w:spacing w:val="-2"/>
              </w:rPr>
              <w:t xml:space="preserve"> Pt. 12</w:t>
            </w:r>
          </w:p>
        </w:tc>
        <w:tc>
          <w:tcPr>
            <w:tcW w:w="1134" w:type="dxa"/>
          </w:tcPr>
          <w:p>
            <w:pPr>
              <w:pStyle w:val="nTable"/>
              <w:keepNext/>
              <w:keepLines/>
              <w:spacing w:after="40"/>
            </w:pPr>
            <w:r>
              <w:t>47 of 1999</w:t>
            </w:r>
          </w:p>
        </w:tc>
        <w:tc>
          <w:tcPr>
            <w:tcW w:w="1136" w:type="dxa"/>
          </w:tcPr>
          <w:p>
            <w:pPr>
              <w:pStyle w:val="nTable"/>
              <w:keepNext/>
              <w:keepLines/>
              <w:spacing w:after="40"/>
            </w:pPr>
            <w:r>
              <w:t>8 Dec 1999</w:t>
            </w:r>
          </w:p>
        </w:tc>
        <w:tc>
          <w:tcPr>
            <w:tcW w:w="2551" w:type="dxa"/>
          </w:tcPr>
          <w:p>
            <w:pPr>
              <w:pStyle w:val="nTable"/>
              <w:keepNext/>
              <w:keepLines/>
              <w:spacing w:after="40"/>
              <w:ind w:right="58"/>
            </w:pPr>
            <w:r>
              <w:t xml:space="preserve">18 Dec 1999 (see s. 2 and </w:t>
            </w:r>
            <w:r>
              <w:rPr>
                <w:i/>
              </w:rPr>
              <w:t>Gazette</w:t>
            </w:r>
            <w:r>
              <w:t xml:space="preserve"> 17 Dec 1999 p. 6175</w:t>
            </w:r>
            <w:r>
              <w:noBreakHyphen/>
              <w:t>6)</w:t>
            </w:r>
          </w:p>
        </w:tc>
      </w:tr>
      <w:tr>
        <w:trPr>
          <w:cantSplit/>
        </w:trPr>
        <w:tc>
          <w:tcPr>
            <w:tcW w:w="2268" w:type="dxa"/>
          </w:tcPr>
          <w:p>
            <w:pPr>
              <w:pStyle w:val="nTable"/>
              <w:spacing w:after="40"/>
              <w:ind w:right="113"/>
            </w:pPr>
            <w:r>
              <w:rPr>
                <w:i/>
              </w:rPr>
              <w:t>Prostitution Act 2000</w:t>
            </w:r>
            <w:r>
              <w:t xml:space="preserve"> s. 64</w:t>
            </w:r>
          </w:p>
        </w:tc>
        <w:tc>
          <w:tcPr>
            <w:tcW w:w="1134" w:type="dxa"/>
          </w:tcPr>
          <w:p>
            <w:pPr>
              <w:pStyle w:val="nTable"/>
              <w:keepNext/>
              <w:keepLines/>
              <w:spacing w:after="40"/>
            </w:pPr>
            <w:r>
              <w:t>17 of 2000</w:t>
            </w:r>
          </w:p>
        </w:tc>
        <w:tc>
          <w:tcPr>
            <w:tcW w:w="1136" w:type="dxa"/>
          </w:tcPr>
          <w:p>
            <w:pPr>
              <w:pStyle w:val="nTable"/>
              <w:keepNext/>
              <w:keepLines/>
              <w:spacing w:after="40"/>
            </w:pPr>
            <w:r>
              <w:t xml:space="preserve">22 Jun 2000 </w:t>
            </w:r>
          </w:p>
        </w:tc>
        <w:tc>
          <w:tcPr>
            <w:tcW w:w="2551" w:type="dxa"/>
          </w:tcPr>
          <w:p>
            <w:pPr>
              <w:pStyle w:val="nTable"/>
              <w:keepNext/>
              <w:keepLines/>
              <w:spacing w:after="40"/>
            </w:pPr>
            <w:r>
              <w:t xml:space="preserve">29 Jul 2000 (see s. 2 and </w:t>
            </w:r>
            <w:r>
              <w:rPr>
                <w:i/>
              </w:rPr>
              <w:t>Gazette</w:t>
            </w:r>
            <w:r>
              <w:t xml:space="preserve"> 28 Jul 2000 p. 3987)</w:t>
            </w:r>
          </w:p>
        </w:tc>
      </w:tr>
      <w:tr>
        <w:trPr>
          <w:cantSplit/>
        </w:trPr>
        <w:tc>
          <w:tcPr>
            <w:tcW w:w="2268" w:type="dxa"/>
          </w:tcPr>
          <w:p>
            <w:pPr>
              <w:pStyle w:val="nTable"/>
              <w:spacing w:after="40"/>
              <w:ind w:right="113"/>
            </w:pPr>
            <w:r>
              <w:rPr>
                <w:i/>
              </w:rPr>
              <w:t xml:space="preserve">Protective Custody Act 2000 </w:t>
            </w:r>
            <w:r>
              <w:t>s. 30</w:t>
            </w:r>
          </w:p>
        </w:tc>
        <w:tc>
          <w:tcPr>
            <w:tcW w:w="1134" w:type="dxa"/>
          </w:tcPr>
          <w:p>
            <w:pPr>
              <w:pStyle w:val="nTable"/>
              <w:keepNext/>
              <w:keepLines/>
              <w:spacing w:after="40"/>
            </w:pPr>
            <w:r>
              <w:t>50 of 2000</w:t>
            </w:r>
          </w:p>
        </w:tc>
        <w:tc>
          <w:tcPr>
            <w:tcW w:w="1136" w:type="dxa"/>
          </w:tcPr>
          <w:p>
            <w:pPr>
              <w:pStyle w:val="nTable"/>
              <w:keepNext/>
              <w:keepLines/>
              <w:spacing w:after="40"/>
            </w:pPr>
            <w:r>
              <w:t>28 Nov 2000</w:t>
            </w:r>
          </w:p>
        </w:tc>
        <w:tc>
          <w:tcPr>
            <w:tcW w:w="2551" w:type="dxa"/>
          </w:tcPr>
          <w:p>
            <w:pPr>
              <w:pStyle w:val="nTable"/>
              <w:keepNext/>
              <w:keepLines/>
              <w:spacing w:after="40"/>
            </w:pPr>
            <w:r>
              <w:t xml:space="preserve">1 Jan 2001 (see s. 2 and </w:t>
            </w:r>
            <w:r>
              <w:rPr>
                <w:i/>
              </w:rPr>
              <w:t>Gazette</w:t>
            </w:r>
            <w:r>
              <w:t xml:space="preserve"> 29 Dec 2000 p. 7903)</w:t>
            </w:r>
          </w:p>
        </w:tc>
      </w:tr>
      <w:tr>
        <w:trPr>
          <w:cantSplit/>
        </w:trPr>
        <w:tc>
          <w:tcPr>
            <w:tcW w:w="7089" w:type="dxa"/>
            <w:gridSpan w:val="4"/>
          </w:tcPr>
          <w:p>
            <w:pPr>
              <w:pStyle w:val="nTable"/>
              <w:spacing w:after="40"/>
            </w:pPr>
            <w:r>
              <w:rPr>
                <w:b/>
              </w:rPr>
              <w:t xml:space="preserve">Reprint of the </w:t>
            </w:r>
            <w:r>
              <w:rPr>
                <w:b/>
                <w:i/>
              </w:rPr>
              <w:t>Young Offenders Act 1994</w:t>
            </w:r>
            <w:r>
              <w:rPr>
                <w:b/>
              </w:rPr>
              <w:t xml:space="preserve"> as at 8 Dec 2000</w:t>
            </w:r>
            <w:r>
              <w:t xml:space="preserve"> (includes amendments listed above except those in the </w:t>
            </w:r>
            <w:r>
              <w:rPr>
                <w:i/>
              </w:rPr>
              <w:t xml:space="preserve">School Education Act 1999 </w:t>
            </w:r>
            <w:r>
              <w:t xml:space="preserve">and the </w:t>
            </w:r>
            <w:r>
              <w:rPr>
                <w:i/>
              </w:rPr>
              <w:t>Protective Custody Act 2000</w:t>
            </w:r>
            <w:r>
              <w:t>)</w:t>
            </w:r>
          </w:p>
        </w:tc>
      </w:tr>
      <w:tr>
        <w:trPr>
          <w:cantSplit/>
        </w:trPr>
        <w:tc>
          <w:tcPr>
            <w:tcW w:w="2268" w:type="dxa"/>
          </w:tcPr>
          <w:p>
            <w:pPr>
              <w:pStyle w:val="nTable"/>
              <w:spacing w:after="40"/>
              <w:ind w:right="113"/>
            </w:pPr>
            <w:r>
              <w:rPr>
                <w:i/>
              </w:rPr>
              <w:t>Criminal Law Amendment Act 2001</w:t>
            </w:r>
            <w:r>
              <w:t xml:space="preserve"> s. 10(4)</w:t>
            </w:r>
          </w:p>
        </w:tc>
        <w:tc>
          <w:tcPr>
            <w:tcW w:w="1134" w:type="dxa"/>
          </w:tcPr>
          <w:p>
            <w:pPr>
              <w:pStyle w:val="nTable"/>
              <w:keepNext/>
              <w:keepLines/>
              <w:spacing w:after="40"/>
            </w:pPr>
            <w:r>
              <w:t>23 of 2001</w:t>
            </w:r>
          </w:p>
        </w:tc>
        <w:tc>
          <w:tcPr>
            <w:tcW w:w="1136" w:type="dxa"/>
          </w:tcPr>
          <w:p>
            <w:pPr>
              <w:pStyle w:val="nTable"/>
              <w:keepNext/>
              <w:keepLines/>
              <w:spacing w:after="40"/>
            </w:pPr>
            <w:r>
              <w:t>26 Nov 2001</w:t>
            </w:r>
          </w:p>
        </w:tc>
        <w:tc>
          <w:tcPr>
            <w:tcW w:w="2551" w:type="dxa"/>
          </w:tcPr>
          <w:p>
            <w:pPr>
              <w:pStyle w:val="nTable"/>
              <w:keepNext/>
              <w:keepLines/>
              <w:spacing w:after="40"/>
            </w:pPr>
            <w:r>
              <w:t>24 Dec 2001</w:t>
            </w:r>
          </w:p>
        </w:tc>
      </w:tr>
      <w:tr>
        <w:trPr>
          <w:cantSplit/>
        </w:trPr>
        <w:tc>
          <w:tcPr>
            <w:tcW w:w="2268" w:type="dxa"/>
          </w:tcPr>
          <w:p>
            <w:pPr>
              <w:pStyle w:val="nTable"/>
              <w:spacing w:after="40"/>
              <w:ind w:right="113"/>
              <w:rPr>
                <w:i/>
              </w:rPr>
            </w:pPr>
            <w:r>
              <w:rPr>
                <w:i/>
              </w:rPr>
              <w:t xml:space="preserve">Sentencing Legislation Amendment and Repeal Act 2003 </w:t>
            </w:r>
            <w:r>
              <w:t>s. 29(3) and 104</w:t>
            </w:r>
          </w:p>
        </w:tc>
        <w:tc>
          <w:tcPr>
            <w:tcW w:w="1134" w:type="dxa"/>
          </w:tcPr>
          <w:p>
            <w:pPr>
              <w:pStyle w:val="nTable"/>
              <w:keepNext/>
              <w:keepLines/>
              <w:spacing w:after="40"/>
            </w:pPr>
            <w:r>
              <w:t>50 of 2003</w:t>
            </w:r>
          </w:p>
        </w:tc>
        <w:tc>
          <w:tcPr>
            <w:tcW w:w="1136" w:type="dxa"/>
          </w:tcPr>
          <w:p>
            <w:pPr>
              <w:pStyle w:val="nTable"/>
              <w:keepNext/>
              <w:keepLines/>
              <w:spacing w:after="40"/>
            </w:pPr>
            <w:r>
              <w:t>9 Jul 2003</w:t>
            </w:r>
          </w:p>
        </w:tc>
        <w:tc>
          <w:tcPr>
            <w:tcW w:w="2551" w:type="dxa"/>
          </w:tcPr>
          <w:p>
            <w:pPr>
              <w:pStyle w:val="nTable"/>
              <w:keepNext/>
              <w:keepLines/>
              <w:spacing w:after="40"/>
              <w:rPr>
                <w:rFonts w:ascii="Times" w:hAnsi="Times"/>
                <w:spacing w:val="-4"/>
              </w:rPr>
            </w:pPr>
            <w:r>
              <w:rPr>
                <w:rFonts w:ascii="Times" w:hAnsi="Times"/>
                <w:spacing w:val="-4"/>
              </w:rPr>
              <w:t xml:space="preserve">s. 29(3): 31 Aug 2003 (see s. 2 and </w:t>
            </w:r>
            <w:r>
              <w:rPr>
                <w:rFonts w:ascii="Times" w:hAnsi="Times"/>
                <w:i/>
                <w:spacing w:val="-4"/>
              </w:rPr>
              <w:t>Gazette</w:t>
            </w:r>
            <w:r>
              <w:rPr>
                <w:rFonts w:ascii="Times" w:hAnsi="Times"/>
                <w:spacing w:val="-4"/>
              </w:rPr>
              <w:t xml:space="preserve"> 29 Aug 2003 p. 3833);</w:t>
            </w:r>
            <w:r>
              <w:rPr>
                <w:rFonts w:ascii="Times" w:hAnsi="Times"/>
                <w:spacing w:val="-4"/>
              </w:rPr>
              <w:br/>
              <w:t>s. 104: 15</w:t>
            </w:r>
            <w:r>
              <w:rPr>
                <w:rFonts w:ascii="Times" w:hAnsi="Times"/>
                <w:i/>
                <w:spacing w:val="-4"/>
              </w:rPr>
              <w:t> </w:t>
            </w:r>
            <w:r>
              <w:rPr>
                <w:rFonts w:ascii="Times" w:hAnsi="Times"/>
                <w:spacing w:val="-4"/>
              </w:rPr>
              <w:t>May 2004 (see s. 2 and</w:t>
            </w:r>
            <w:r>
              <w:rPr>
                <w:rFonts w:ascii="Times" w:hAnsi="Times"/>
                <w:i/>
                <w:spacing w:val="-4"/>
              </w:rPr>
              <w:t xml:space="preserve"> Gazette </w:t>
            </w:r>
            <w:r>
              <w:rPr>
                <w:rFonts w:ascii="Times" w:hAnsi="Times"/>
                <w:spacing w:val="-4"/>
              </w:rPr>
              <w:t>14 May 2004 p. 1445)</w:t>
            </w:r>
          </w:p>
        </w:tc>
      </w:tr>
      <w:tr>
        <w:trPr>
          <w:cantSplit/>
        </w:trPr>
        <w:tc>
          <w:tcPr>
            <w:tcW w:w="2268" w:type="dxa"/>
          </w:tcPr>
          <w:p>
            <w:pPr>
              <w:pStyle w:val="nTable"/>
              <w:spacing w:after="40"/>
              <w:ind w:right="113"/>
            </w:pPr>
            <w:r>
              <w:rPr>
                <w:i/>
              </w:rPr>
              <w:t>Acts Amendment and Repeal (Courts and Legal Practice) Act 2003</w:t>
            </w:r>
            <w:r>
              <w:t xml:space="preserve"> s. 73</w:t>
            </w:r>
          </w:p>
        </w:tc>
        <w:tc>
          <w:tcPr>
            <w:tcW w:w="1134" w:type="dxa"/>
          </w:tcPr>
          <w:p>
            <w:pPr>
              <w:pStyle w:val="nTable"/>
              <w:keepNext/>
              <w:keepLines/>
              <w:spacing w:after="40"/>
            </w:pPr>
            <w:r>
              <w:t>65 of 2003</w:t>
            </w:r>
          </w:p>
        </w:tc>
        <w:tc>
          <w:tcPr>
            <w:tcW w:w="1136" w:type="dxa"/>
          </w:tcPr>
          <w:p>
            <w:pPr>
              <w:pStyle w:val="nTable"/>
              <w:keepNext/>
              <w:keepLines/>
              <w:spacing w:after="40"/>
            </w:pPr>
            <w:r>
              <w:t>4 Dec 2003</w:t>
            </w:r>
          </w:p>
        </w:tc>
        <w:tc>
          <w:tcPr>
            <w:tcW w:w="2551" w:type="dxa"/>
          </w:tcPr>
          <w:p>
            <w:pPr>
              <w:pStyle w:val="nTable"/>
              <w:keepNext/>
              <w:keepLines/>
              <w:spacing w:after="40"/>
            </w:pPr>
            <w:r>
              <w:t xml:space="preserve">1 Jan 2004 (see s. 2 and </w:t>
            </w:r>
            <w:r>
              <w:rPr>
                <w:i/>
              </w:rPr>
              <w:t>Gazette</w:t>
            </w:r>
            <w:r>
              <w:t xml:space="preserve"> 30 Dec 2003 p. 5722)</w:t>
            </w:r>
          </w:p>
        </w:tc>
      </w:tr>
      <w:tr>
        <w:tc>
          <w:tcPr>
            <w:tcW w:w="2268" w:type="dxa"/>
          </w:tcPr>
          <w:p>
            <w:pPr>
              <w:pStyle w:val="nTable"/>
              <w:spacing w:after="40"/>
              <w:ind w:right="113"/>
              <w:rPr>
                <w:vertAlign w:val="superscript"/>
              </w:rPr>
            </w:pPr>
            <w:r>
              <w:rPr>
                <w:i/>
              </w:rPr>
              <w:t xml:space="preserve">Inspector of Custodial </w:t>
            </w:r>
            <w:r>
              <w:rPr>
                <w:i/>
                <w:spacing w:val="-2"/>
              </w:rPr>
              <w:t>Services Act 2003</w:t>
            </w:r>
            <w:r>
              <w:rPr>
                <w:spacing w:val="-2"/>
              </w:rPr>
              <w:t xml:space="preserve"> s. 56(1) </w:t>
            </w:r>
            <w:r>
              <w:rPr>
                <w:spacing w:val="-2"/>
                <w:vertAlign w:val="superscript"/>
              </w:rPr>
              <w:t>9</w:t>
            </w:r>
          </w:p>
        </w:tc>
        <w:tc>
          <w:tcPr>
            <w:tcW w:w="1134" w:type="dxa"/>
          </w:tcPr>
          <w:p>
            <w:pPr>
              <w:pStyle w:val="nTable"/>
              <w:keepNext/>
              <w:keepLines/>
              <w:spacing w:after="40"/>
            </w:pPr>
            <w:r>
              <w:t>75 of 2003</w:t>
            </w:r>
          </w:p>
        </w:tc>
        <w:tc>
          <w:tcPr>
            <w:tcW w:w="1136" w:type="dxa"/>
          </w:tcPr>
          <w:p>
            <w:pPr>
              <w:pStyle w:val="nTable"/>
              <w:keepNext/>
              <w:keepLines/>
              <w:spacing w:after="40"/>
            </w:pPr>
            <w:r>
              <w:t>15 Dec 2003</w:t>
            </w:r>
          </w:p>
        </w:tc>
        <w:tc>
          <w:tcPr>
            <w:tcW w:w="2551" w:type="dxa"/>
          </w:tcPr>
          <w:p>
            <w:pPr>
              <w:pStyle w:val="nTable"/>
              <w:keepNext/>
              <w:keepLines/>
              <w:spacing w:after="40"/>
            </w:pPr>
            <w:r>
              <w:t>15 Dec 2003 (see s. 2)</w:t>
            </w:r>
          </w:p>
        </w:tc>
      </w:tr>
      <w:tr>
        <w:trPr>
          <w:cantSplit/>
        </w:trPr>
        <w:tc>
          <w:tcPr>
            <w:tcW w:w="2268" w:type="dxa"/>
          </w:tcPr>
          <w:p>
            <w:pPr>
              <w:pStyle w:val="nTable"/>
              <w:spacing w:after="40"/>
              <w:ind w:right="113"/>
              <w:rPr>
                <w:vertAlign w:val="superscript"/>
              </w:rPr>
            </w:pPr>
            <w:r>
              <w:rPr>
                <w:i/>
              </w:rPr>
              <w:t xml:space="preserve">Criminal Code Amendment Act 2004 </w:t>
            </w:r>
            <w:r>
              <w:t>s. 24 and 26</w:t>
            </w:r>
          </w:p>
        </w:tc>
        <w:tc>
          <w:tcPr>
            <w:tcW w:w="1134" w:type="dxa"/>
          </w:tcPr>
          <w:p>
            <w:pPr>
              <w:pStyle w:val="nTable"/>
              <w:keepNext/>
              <w:keepLines/>
              <w:spacing w:after="40"/>
            </w:pPr>
            <w:r>
              <w:t>4 of 2004</w:t>
            </w:r>
          </w:p>
        </w:tc>
        <w:tc>
          <w:tcPr>
            <w:tcW w:w="1136" w:type="dxa"/>
          </w:tcPr>
          <w:p>
            <w:pPr>
              <w:pStyle w:val="nTable"/>
              <w:keepNext/>
              <w:keepLines/>
              <w:spacing w:after="40"/>
            </w:pPr>
            <w:r>
              <w:t>23 Apr 2004</w:t>
            </w:r>
          </w:p>
        </w:tc>
        <w:tc>
          <w:tcPr>
            <w:tcW w:w="2551" w:type="dxa"/>
          </w:tcPr>
          <w:p>
            <w:pPr>
              <w:pStyle w:val="nTable"/>
              <w:keepNext/>
              <w:keepLines/>
              <w:spacing w:after="40"/>
            </w:pPr>
            <w:r>
              <w:t>21 May 2004 (see s. 2)</w:t>
            </w:r>
          </w:p>
        </w:tc>
      </w:tr>
      <w:tr>
        <w:trPr>
          <w:cantSplit/>
        </w:trPr>
        <w:tc>
          <w:tcPr>
            <w:tcW w:w="2268" w:type="dxa"/>
          </w:tcPr>
          <w:p>
            <w:pPr>
              <w:pStyle w:val="nTable"/>
              <w:spacing w:after="40"/>
              <w:ind w:right="113"/>
              <w:rPr>
                <w:i/>
              </w:rPr>
            </w:pPr>
            <w:r>
              <w:rPr>
                <w:i/>
              </w:rPr>
              <w:t>Sentencing Legislation Amendment Act 2004</w:t>
            </w:r>
            <w:r>
              <w:t xml:space="preserve"> s. 17</w:t>
            </w:r>
            <w:r>
              <w:rPr>
                <w:i/>
              </w:rPr>
              <w:t xml:space="preserve"> </w:t>
            </w:r>
          </w:p>
        </w:tc>
        <w:tc>
          <w:tcPr>
            <w:tcW w:w="1134" w:type="dxa"/>
          </w:tcPr>
          <w:p>
            <w:pPr>
              <w:pStyle w:val="nTable"/>
              <w:keepNext/>
              <w:keepLines/>
              <w:spacing w:after="40"/>
            </w:pPr>
            <w:r>
              <w:t>27 of 2004</w:t>
            </w:r>
          </w:p>
        </w:tc>
        <w:tc>
          <w:tcPr>
            <w:tcW w:w="1136" w:type="dxa"/>
          </w:tcPr>
          <w:p>
            <w:pPr>
              <w:pStyle w:val="nTable"/>
              <w:keepNext/>
              <w:keepLines/>
              <w:spacing w:after="40"/>
            </w:pPr>
            <w:r>
              <w:t>14 Oct 2004</w:t>
            </w:r>
          </w:p>
        </w:tc>
        <w:tc>
          <w:tcPr>
            <w:tcW w:w="2551" w:type="dxa"/>
          </w:tcPr>
          <w:p>
            <w:pPr>
              <w:pStyle w:val="nTable"/>
              <w:keepNext/>
              <w:keepLines/>
              <w:spacing w:after="40"/>
            </w:pPr>
            <w:r>
              <w:t xml:space="preserve">31 May 2006 (see s. 2 and </w:t>
            </w:r>
            <w:r>
              <w:rPr>
                <w:i/>
              </w:rPr>
              <w:t>Gazette</w:t>
            </w:r>
            <w:r>
              <w:t xml:space="preserve"> 30 May 2006 p. 1965)</w:t>
            </w:r>
          </w:p>
        </w:tc>
      </w:tr>
      <w:tr>
        <w:trPr>
          <w:cantSplit/>
        </w:trPr>
        <w:tc>
          <w:tcPr>
            <w:tcW w:w="2268" w:type="dxa"/>
          </w:tcPr>
          <w:p>
            <w:pPr>
              <w:pStyle w:val="nTable"/>
              <w:spacing w:after="40"/>
              <w:ind w:right="113"/>
              <w:rPr>
                <w:i/>
              </w:rPr>
            </w:pPr>
            <w:r>
              <w:rPr>
                <w:i/>
                <w:snapToGrid w:val="0"/>
              </w:rPr>
              <w:t>Children and Community Services Act 2004</w:t>
            </w:r>
            <w:r>
              <w:rPr>
                <w:snapToGrid w:val="0"/>
              </w:rPr>
              <w:t xml:space="preserve"> s. 251</w:t>
            </w:r>
          </w:p>
        </w:tc>
        <w:tc>
          <w:tcPr>
            <w:tcW w:w="1134" w:type="dxa"/>
          </w:tcPr>
          <w:p>
            <w:pPr>
              <w:pStyle w:val="nTable"/>
              <w:keepNext/>
              <w:keepLines/>
              <w:spacing w:after="40"/>
            </w:pPr>
            <w:r>
              <w:rPr>
                <w:snapToGrid w:val="0"/>
              </w:rPr>
              <w:t>34 of 2004</w:t>
            </w:r>
          </w:p>
        </w:tc>
        <w:tc>
          <w:tcPr>
            <w:tcW w:w="1136" w:type="dxa"/>
          </w:tcPr>
          <w:p>
            <w:pPr>
              <w:pStyle w:val="nTable"/>
              <w:keepNext/>
              <w:keepLines/>
              <w:spacing w:after="40"/>
            </w:pPr>
            <w:r>
              <w:t>20 Oct 2004</w:t>
            </w:r>
          </w:p>
        </w:tc>
        <w:tc>
          <w:tcPr>
            <w:tcW w:w="2551" w:type="dxa"/>
          </w:tcPr>
          <w:p>
            <w:pPr>
              <w:pStyle w:val="nTable"/>
              <w:keepNext/>
              <w:keepLines/>
              <w:spacing w:after="40"/>
            </w:pPr>
            <w:r>
              <w:t xml:space="preserve">1 Mar 2006 (see s. 2 and </w:t>
            </w:r>
            <w:r>
              <w:rPr>
                <w:i/>
              </w:rPr>
              <w:t>Gazette</w:t>
            </w:r>
            <w:r>
              <w:t xml:space="preserve"> 14 Feb 2006 p. 695)</w:t>
            </w:r>
          </w:p>
        </w:tc>
      </w:tr>
      <w:tr>
        <w:trPr>
          <w:cantSplit/>
        </w:trPr>
        <w:tc>
          <w:tcPr>
            <w:tcW w:w="2268" w:type="dxa"/>
          </w:tcPr>
          <w:p>
            <w:pPr>
              <w:pStyle w:val="nTable"/>
              <w:spacing w:after="40"/>
              <w:rPr>
                <w:i/>
                <w:snapToGrid w:val="0"/>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6" w:type="dxa"/>
          </w:tcPr>
          <w:p>
            <w:pPr>
              <w:pStyle w:val="nTable"/>
              <w:spacing w:after="40"/>
            </w:pPr>
            <w:r>
              <w:t>9 Nov 2004</w:t>
            </w:r>
          </w:p>
        </w:tc>
        <w:tc>
          <w:tcPr>
            <w:tcW w:w="2551" w:type="dxa"/>
          </w:tcPr>
          <w:p>
            <w:pPr>
              <w:pStyle w:val="nTable"/>
              <w:spacing w:after="40"/>
              <w:rPr>
                <w:snapToGrid w:val="0"/>
              </w:rPr>
            </w:pPr>
            <w:r>
              <w:t xml:space="preserve">4 Jan 2005 (see s. 2 and </w:t>
            </w:r>
            <w:r>
              <w:rPr>
                <w:i/>
              </w:rPr>
              <w:t>Gazette</w:t>
            </w:r>
            <w:r>
              <w:t xml:space="preserve"> 31 Dec 2004 p. 7131)</w:t>
            </w:r>
          </w:p>
        </w:tc>
      </w:tr>
      <w:tr>
        <w:tc>
          <w:tcPr>
            <w:tcW w:w="2268" w:type="dxa"/>
          </w:tcPr>
          <w:p>
            <w:pPr>
              <w:pStyle w:val="nTable"/>
              <w:spacing w:after="40"/>
              <w:ind w:right="113"/>
            </w:pPr>
            <w:r>
              <w:rPr>
                <w:i/>
              </w:rPr>
              <w:t>Young Offenders Amendment Act 2004</w:t>
            </w:r>
            <w:r>
              <w:rPr>
                <w:vertAlign w:val="superscript"/>
              </w:rPr>
              <w:t xml:space="preserve"> 10</w:t>
            </w:r>
            <w:r>
              <w:t xml:space="preserve"> </w:t>
            </w:r>
          </w:p>
        </w:tc>
        <w:tc>
          <w:tcPr>
            <w:tcW w:w="1134" w:type="dxa"/>
          </w:tcPr>
          <w:p>
            <w:pPr>
              <w:pStyle w:val="nTable"/>
              <w:keepNext/>
              <w:keepLines/>
              <w:spacing w:after="40"/>
            </w:pPr>
            <w:r>
              <w:t>58 of 2004</w:t>
            </w:r>
          </w:p>
        </w:tc>
        <w:tc>
          <w:tcPr>
            <w:tcW w:w="1136" w:type="dxa"/>
          </w:tcPr>
          <w:p>
            <w:pPr>
              <w:pStyle w:val="nTable"/>
              <w:keepNext/>
              <w:keepLines/>
              <w:spacing w:after="40"/>
            </w:pPr>
            <w:r>
              <w:t>22 Nov 2004</w:t>
            </w:r>
          </w:p>
        </w:tc>
        <w:tc>
          <w:tcPr>
            <w:tcW w:w="2551" w:type="dxa"/>
          </w:tcPr>
          <w:p>
            <w:pPr>
              <w:pStyle w:val="nTable"/>
              <w:keepNext/>
              <w:keepLines/>
              <w:spacing w:after="40"/>
            </w:pPr>
            <w:r>
              <w:t xml:space="preserve">s. 1 and 2: 22 Nov 2004; </w:t>
            </w:r>
            <w:r>
              <w:br/>
            </w:r>
            <w:r>
              <w:rPr>
                <w:color w:val="000000"/>
              </w:rPr>
              <w:t xml:space="preserve">Act other than s. 1, 2, 6, 7 and 40 and Sch. 1: </w:t>
            </w:r>
            <w:r>
              <w:t xml:space="preserve">1 Jan 2005 (see s. 2 and </w:t>
            </w:r>
            <w:r>
              <w:rPr>
                <w:i/>
              </w:rPr>
              <w:t>Gazette</w:t>
            </w:r>
            <w:r>
              <w:t xml:space="preserve"> 31 Dec 2004 p. 7132);</w:t>
            </w:r>
            <w:r>
              <w:br/>
              <w:t xml:space="preserve">s. 6, 7 and 40 and Sch. 1: 1 Jul 2005 (see s. 2 and </w:t>
            </w:r>
            <w:r>
              <w:rPr>
                <w:i/>
              </w:rPr>
              <w:t>Gazette</w:t>
            </w:r>
            <w:r>
              <w:t xml:space="preserve"> 31 Dec 2004 p. 7132)</w:t>
            </w:r>
          </w:p>
        </w:tc>
      </w:tr>
      <w:tr>
        <w:trPr>
          <w:cantSplit/>
        </w:trPr>
        <w:tc>
          <w:tcPr>
            <w:tcW w:w="2268"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keepNext/>
              <w:keepLines/>
              <w:spacing w:after="40"/>
            </w:pPr>
            <w:r>
              <w:rPr>
                <w:snapToGrid w:val="0"/>
              </w:rPr>
              <w:t>59 of 2004</w:t>
            </w:r>
          </w:p>
        </w:tc>
        <w:tc>
          <w:tcPr>
            <w:tcW w:w="1136" w:type="dxa"/>
          </w:tcPr>
          <w:p>
            <w:pPr>
              <w:pStyle w:val="nTable"/>
              <w:keepNext/>
              <w:keepLines/>
              <w:spacing w:after="40"/>
            </w:pPr>
            <w:r>
              <w:t>23 Nov 2004</w:t>
            </w:r>
          </w:p>
        </w:tc>
        <w:tc>
          <w:tcPr>
            <w:tcW w:w="2551" w:type="dxa"/>
          </w:tcPr>
          <w:p>
            <w:pPr>
              <w:pStyle w:val="nTable"/>
              <w:keepNext/>
              <w:keepLines/>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ind w:right="113"/>
              <w:rPr>
                <w:i/>
              </w:rPr>
            </w:pPr>
            <w:r>
              <w:rPr>
                <w:i/>
                <w:snapToGrid w:val="0"/>
              </w:rPr>
              <w:t>Misuse of Drugs Amendment Act 2004</w:t>
            </w:r>
            <w:r>
              <w:rPr>
                <w:snapToGrid w:val="0"/>
              </w:rPr>
              <w:t xml:space="preserve"> s. 9(4)</w:t>
            </w:r>
          </w:p>
        </w:tc>
        <w:tc>
          <w:tcPr>
            <w:tcW w:w="1134" w:type="dxa"/>
          </w:tcPr>
          <w:p>
            <w:pPr>
              <w:pStyle w:val="nTable"/>
              <w:keepNext/>
              <w:keepLines/>
              <w:spacing w:after="40"/>
            </w:pPr>
            <w:r>
              <w:rPr>
                <w:snapToGrid w:val="0"/>
              </w:rPr>
              <w:t>62 of 2004</w:t>
            </w:r>
          </w:p>
        </w:tc>
        <w:tc>
          <w:tcPr>
            <w:tcW w:w="1136" w:type="dxa"/>
          </w:tcPr>
          <w:p>
            <w:pPr>
              <w:pStyle w:val="nTable"/>
              <w:keepNext/>
              <w:keepLines/>
              <w:spacing w:after="40"/>
            </w:pPr>
            <w:r>
              <w:t>24 Nov 2004</w:t>
            </w:r>
          </w:p>
        </w:tc>
        <w:tc>
          <w:tcPr>
            <w:tcW w:w="2551" w:type="dxa"/>
          </w:tcPr>
          <w:p>
            <w:pPr>
              <w:pStyle w:val="nTable"/>
              <w:keepNext/>
              <w:keepLines/>
              <w:spacing w:after="40"/>
            </w:pPr>
            <w:r>
              <w:t xml:space="preserve">1 Jan 2005 (see s. 2 and </w:t>
            </w:r>
            <w:r>
              <w:rPr>
                <w:i/>
              </w:rPr>
              <w:t>Gazette</w:t>
            </w:r>
            <w:r>
              <w:t xml:space="preserve"> 10 Dec 2004 p. 5965)</w:t>
            </w:r>
          </w:p>
        </w:tc>
      </w:tr>
      <w:tr>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Pt. 15, s. 80 and 82</w:t>
            </w:r>
          </w:p>
        </w:tc>
        <w:tc>
          <w:tcPr>
            <w:tcW w:w="1134" w:type="dxa"/>
          </w:tcPr>
          <w:p>
            <w:pPr>
              <w:pStyle w:val="nTable"/>
              <w:keepNext/>
              <w:keepLines/>
              <w:spacing w:after="40"/>
              <w:rPr>
                <w:snapToGrid w:val="0"/>
              </w:rPr>
            </w:pPr>
            <w:r>
              <w:rPr>
                <w:snapToGrid w:val="0"/>
              </w:rPr>
              <w:t>84 of 2004</w:t>
            </w:r>
          </w:p>
        </w:tc>
        <w:tc>
          <w:tcPr>
            <w:tcW w:w="1136" w:type="dxa"/>
          </w:tcPr>
          <w:p>
            <w:pPr>
              <w:pStyle w:val="nTable"/>
              <w:keepNext/>
              <w:keepLines/>
              <w:spacing w:after="40"/>
            </w:pPr>
            <w:r>
              <w:t>16 Dec 2004</w:t>
            </w:r>
          </w:p>
        </w:tc>
        <w:tc>
          <w:tcPr>
            <w:tcW w:w="2551" w:type="dxa"/>
          </w:tcPr>
          <w:p>
            <w:pPr>
              <w:pStyle w:val="nTable"/>
              <w:keepNext/>
              <w:keepLines/>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9" w:type="dxa"/>
            <w:gridSpan w:val="4"/>
          </w:tcPr>
          <w:p>
            <w:pPr>
              <w:pStyle w:val="nTable"/>
              <w:tabs>
                <w:tab w:val="left" w:pos="5492"/>
              </w:tabs>
              <w:spacing w:after="40"/>
              <w:rPr>
                <w:snapToGrid w:val="0"/>
              </w:rPr>
            </w:pPr>
            <w:r>
              <w:rPr>
                <w:b/>
              </w:rPr>
              <w:t xml:space="preserve">Reprint 3: The </w:t>
            </w:r>
            <w:r>
              <w:rPr>
                <w:b/>
                <w:i/>
              </w:rPr>
              <w:t>Young Offenders Act 1994</w:t>
            </w:r>
            <w:r>
              <w:rPr>
                <w:b/>
              </w:rPr>
              <w:t xml:space="preserve"> as at 15 Jul 2005</w:t>
            </w:r>
            <w:r>
              <w:t xml:space="preserve"> (includes amendments listed above except those in </w:t>
            </w:r>
            <w:r>
              <w:rPr>
                <w:snapToGrid w:val="0"/>
              </w:rPr>
              <w:t xml:space="preserve">the </w:t>
            </w:r>
            <w:r>
              <w:rPr>
                <w:i/>
              </w:rPr>
              <w:t>Sentencing Legislation Amendment Act 2004</w:t>
            </w:r>
            <w:r>
              <w:t xml:space="preserve"> and the </w:t>
            </w:r>
            <w:r>
              <w:rPr>
                <w:i/>
                <w:snapToGrid w:val="0"/>
              </w:rPr>
              <w:t>Children and Community Services Act 2004</w:t>
            </w:r>
            <w:r>
              <w:t>)</w:t>
            </w:r>
          </w:p>
        </w:tc>
      </w:tr>
      <w:tr>
        <w:trPr>
          <w:cantSplit/>
        </w:trPr>
        <w:tc>
          <w:tcPr>
            <w:tcW w:w="2268" w:type="dxa"/>
          </w:tcPr>
          <w:p>
            <w:pPr>
              <w:pStyle w:val="nTable"/>
              <w:spacing w:after="40"/>
              <w:ind w:right="113"/>
              <w:rPr>
                <w:i/>
              </w:rPr>
            </w:pPr>
            <w:r>
              <w:rPr>
                <w:i/>
                <w:snapToGrid w:val="0"/>
              </w:rPr>
              <w:t xml:space="preserve">Parole and Sentencing Legislation Amendment Act 2006 </w:t>
            </w:r>
            <w:r>
              <w:rPr>
                <w:snapToGrid w:val="0"/>
              </w:rPr>
              <w:t>Pt. 5</w:t>
            </w:r>
          </w:p>
        </w:tc>
        <w:tc>
          <w:tcPr>
            <w:tcW w:w="1134" w:type="dxa"/>
          </w:tcPr>
          <w:p>
            <w:pPr>
              <w:pStyle w:val="nTable"/>
              <w:keepNext/>
              <w:keepLines/>
              <w:spacing w:after="40"/>
            </w:pPr>
            <w:r>
              <w:t>41 of 2006</w:t>
            </w:r>
          </w:p>
        </w:tc>
        <w:tc>
          <w:tcPr>
            <w:tcW w:w="1136" w:type="dxa"/>
          </w:tcPr>
          <w:p>
            <w:pPr>
              <w:pStyle w:val="nTable"/>
              <w:keepNext/>
              <w:keepLines/>
              <w:spacing w:after="40"/>
            </w:pPr>
            <w:r>
              <w:t>22 Sep 2006</w:t>
            </w:r>
          </w:p>
        </w:tc>
        <w:tc>
          <w:tcPr>
            <w:tcW w:w="2551" w:type="dxa"/>
          </w:tcPr>
          <w:p>
            <w:pPr>
              <w:pStyle w:val="nTable"/>
              <w:keepNext/>
              <w:keepLines/>
              <w:spacing w:after="40"/>
            </w:pPr>
            <w:r>
              <w:t xml:space="preserve">28 Jan 2007 (see s. 2 and </w:t>
            </w:r>
            <w:r>
              <w:rPr>
                <w:i/>
              </w:rPr>
              <w:t>Gazette</w:t>
            </w:r>
            <w:r>
              <w:t xml:space="preserve"> 29 Dec 2006 p. 5867)</w:t>
            </w:r>
          </w:p>
        </w:tc>
      </w:tr>
      <w:tr>
        <w:trPr>
          <w:cantSplit/>
        </w:trPr>
        <w:tc>
          <w:tcPr>
            <w:tcW w:w="2268" w:type="dxa"/>
          </w:tcPr>
          <w:p>
            <w:pPr>
              <w:pStyle w:val="nTable"/>
              <w:spacing w:after="40"/>
              <w:ind w:right="113"/>
              <w:rPr>
                <w:i/>
                <w:snapToGrid w:val="0"/>
              </w:rPr>
            </w:pPr>
            <w:r>
              <w:rPr>
                <w:i/>
                <w:snapToGrid w:val="0"/>
              </w:rPr>
              <w:t>Prisons and Sentencing Legislation Amendment Act 2006</w:t>
            </w:r>
            <w:r>
              <w:rPr>
                <w:snapToGrid w:val="0"/>
              </w:rPr>
              <w:t> Pt. 13</w:t>
            </w:r>
          </w:p>
        </w:tc>
        <w:tc>
          <w:tcPr>
            <w:tcW w:w="1134" w:type="dxa"/>
          </w:tcPr>
          <w:p>
            <w:pPr>
              <w:pStyle w:val="nTable"/>
              <w:keepNext/>
              <w:keepLines/>
              <w:spacing w:after="40"/>
            </w:pPr>
            <w:r>
              <w:rPr>
                <w:snapToGrid w:val="0"/>
              </w:rPr>
              <w:t>65 of 2006</w:t>
            </w:r>
          </w:p>
        </w:tc>
        <w:tc>
          <w:tcPr>
            <w:tcW w:w="1136" w:type="dxa"/>
          </w:tcPr>
          <w:p>
            <w:pPr>
              <w:pStyle w:val="nTable"/>
              <w:keepNext/>
              <w:keepLines/>
              <w:spacing w:after="40"/>
            </w:pPr>
            <w:r>
              <w:rPr>
                <w:snapToGrid w:val="0"/>
              </w:rPr>
              <w:t>8 Dec 2006</w:t>
            </w:r>
          </w:p>
        </w:tc>
        <w:tc>
          <w:tcPr>
            <w:tcW w:w="2551" w:type="dxa"/>
          </w:tcPr>
          <w:p>
            <w:pPr>
              <w:pStyle w:val="nTable"/>
              <w:keepNext/>
              <w:keepLines/>
              <w:spacing w:after="40"/>
            </w:pPr>
            <w:r>
              <w:rPr>
                <w:snapToGrid w:val="0"/>
                <w:spacing w:val="-2"/>
              </w:rPr>
              <w:t xml:space="preserve">4 Apr 2007 (see s. 2 and </w:t>
            </w:r>
            <w:r>
              <w:rPr>
                <w:i/>
                <w:snapToGrid w:val="0"/>
                <w:spacing w:val="-2"/>
              </w:rPr>
              <w:t>Gazette</w:t>
            </w:r>
            <w:r>
              <w:rPr>
                <w:snapToGrid w:val="0"/>
                <w:spacing w:val="-2"/>
              </w:rPr>
              <w:t xml:space="preserve"> 3 Apr 2007 p. 1491)</w:t>
            </w:r>
          </w:p>
        </w:tc>
      </w:tr>
      <w:tr>
        <w:trPr>
          <w:cantSplit/>
        </w:trPr>
        <w:tc>
          <w:tcPr>
            <w:tcW w:w="2268" w:type="dxa"/>
          </w:tcPr>
          <w:p>
            <w:pPr>
              <w:pStyle w:val="nTable"/>
              <w:spacing w:after="40"/>
              <w:ind w:right="113"/>
              <w:rPr>
                <w:iCs/>
                <w:snapToGrid w:val="0"/>
              </w:rPr>
            </w:pPr>
            <w:r>
              <w:rPr>
                <w:i/>
                <w:snapToGrid w:val="0"/>
              </w:rPr>
              <w:t>Road Traffic Amendment (Drugs) Act 2007</w:t>
            </w:r>
            <w:r>
              <w:rPr>
                <w:iCs/>
                <w:snapToGrid w:val="0"/>
              </w:rPr>
              <w:t xml:space="preserve"> Pt. 3</w:t>
            </w:r>
          </w:p>
        </w:tc>
        <w:tc>
          <w:tcPr>
            <w:tcW w:w="1134" w:type="dxa"/>
          </w:tcPr>
          <w:p>
            <w:pPr>
              <w:pStyle w:val="nTable"/>
              <w:keepNext/>
              <w:keepLines/>
              <w:spacing w:after="40"/>
              <w:rPr>
                <w:snapToGrid w:val="0"/>
              </w:rPr>
            </w:pPr>
            <w:r>
              <w:rPr>
                <w:snapToGrid w:val="0"/>
              </w:rPr>
              <w:t>6 of 2007</w:t>
            </w:r>
          </w:p>
        </w:tc>
        <w:tc>
          <w:tcPr>
            <w:tcW w:w="1136" w:type="dxa"/>
          </w:tcPr>
          <w:p>
            <w:pPr>
              <w:pStyle w:val="nTable"/>
              <w:keepNext/>
              <w:keepLines/>
              <w:spacing w:after="40"/>
              <w:rPr>
                <w:snapToGrid w:val="0"/>
              </w:rPr>
            </w:pPr>
            <w:r>
              <w:rPr>
                <w:snapToGrid w:val="0"/>
              </w:rPr>
              <w:t>23 May 2007</w:t>
            </w:r>
          </w:p>
        </w:tc>
        <w:tc>
          <w:tcPr>
            <w:tcW w:w="2551" w:type="dxa"/>
          </w:tcPr>
          <w:p>
            <w:pPr>
              <w:pStyle w:val="nTable"/>
              <w:keepNext/>
              <w:keepLines/>
              <w:spacing w:after="40"/>
              <w:rPr>
                <w:snapToGrid w:val="0"/>
                <w:spacing w:val="-2"/>
              </w:rPr>
            </w:pPr>
            <w:r>
              <w:rPr>
                <w:snapToGrid w:val="0"/>
                <w:spacing w:val="-2"/>
              </w:rPr>
              <w:t xml:space="preserve">12 Oct 2007 (see s. 2 and </w:t>
            </w:r>
            <w:r>
              <w:rPr>
                <w:i/>
                <w:iCs/>
                <w:snapToGrid w:val="0"/>
                <w:spacing w:val="-2"/>
              </w:rPr>
              <w:t>Gazette</w:t>
            </w:r>
            <w:r>
              <w:rPr>
                <w:snapToGrid w:val="0"/>
                <w:spacing w:val="-2"/>
              </w:rPr>
              <w:t xml:space="preserve"> 11 Oct 2007 p. 5475)</w:t>
            </w:r>
          </w:p>
        </w:tc>
      </w:tr>
      <w:tr>
        <w:trPr>
          <w:cantSplit/>
        </w:trPr>
        <w:tc>
          <w:tcPr>
            <w:tcW w:w="2268" w:type="dxa"/>
          </w:tcPr>
          <w:p>
            <w:pPr>
              <w:pStyle w:val="nTable"/>
              <w:spacing w:after="40"/>
              <w:ind w:right="113"/>
              <w:rPr>
                <w:iCs/>
                <w:snapToGrid w:val="0"/>
              </w:rPr>
            </w:pPr>
            <w:r>
              <w:rPr>
                <w:i/>
                <w:snapToGrid w:val="0"/>
              </w:rPr>
              <w:t>Road Traffic Amendment Act (No. 2) 2007</w:t>
            </w:r>
            <w:r>
              <w:rPr>
                <w:iCs/>
                <w:snapToGrid w:val="0"/>
              </w:rPr>
              <w:t xml:space="preserve"> Pt. 3</w:t>
            </w:r>
          </w:p>
        </w:tc>
        <w:tc>
          <w:tcPr>
            <w:tcW w:w="1134" w:type="dxa"/>
          </w:tcPr>
          <w:p>
            <w:pPr>
              <w:pStyle w:val="nTable"/>
              <w:keepNext/>
              <w:keepLines/>
              <w:spacing w:after="40"/>
              <w:rPr>
                <w:snapToGrid w:val="0"/>
              </w:rPr>
            </w:pPr>
            <w:r>
              <w:rPr>
                <w:snapToGrid w:val="0"/>
              </w:rPr>
              <w:t>39 of 2007</w:t>
            </w:r>
          </w:p>
        </w:tc>
        <w:tc>
          <w:tcPr>
            <w:tcW w:w="1136" w:type="dxa"/>
          </w:tcPr>
          <w:p>
            <w:pPr>
              <w:pStyle w:val="nTable"/>
              <w:keepNext/>
              <w:keepLines/>
              <w:spacing w:after="40"/>
              <w:rPr>
                <w:snapToGrid w:val="0"/>
              </w:rPr>
            </w:pPr>
            <w:r>
              <w:rPr>
                <w:snapToGrid w:val="0"/>
              </w:rPr>
              <w:t>21 Dec 2007</w:t>
            </w:r>
          </w:p>
        </w:tc>
        <w:tc>
          <w:tcPr>
            <w:tcW w:w="2551" w:type="dxa"/>
          </w:tcPr>
          <w:p>
            <w:pPr>
              <w:pStyle w:val="nTable"/>
              <w:keepNext/>
              <w:keepLines/>
              <w:spacing w:after="40"/>
              <w:rPr>
                <w:snapToGrid w:val="0"/>
                <w:spacing w:val="-2"/>
              </w:rPr>
            </w:pPr>
            <w:r>
              <w:rPr>
                <w:snapToGrid w:val="0"/>
                <w:spacing w:val="-2"/>
              </w:rPr>
              <w:t xml:space="preserve">15 Mar 2008 (see s. 2(k) and </w:t>
            </w:r>
            <w:r>
              <w:rPr>
                <w:i/>
                <w:iCs/>
                <w:snapToGrid w:val="0"/>
                <w:spacing w:val="-2"/>
              </w:rPr>
              <w:t>Gazette</w:t>
            </w:r>
            <w:r>
              <w:rPr>
                <w:snapToGrid w:val="0"/>
                <w:spacing w:val="-2"/>
              </w:rPr>
              <w:t xml:space="preserve"> 14 Mar 2008 p. 829)</w:t>
            </w:r>
          </w:p>
        </w:tc>
      </w:tr>
      <w:tr>
        <w:trPr>
          <w:cantSplit/>
        </w:trPr>
        <w:tc>
          <w:tcPr>
            <w:tcW w:w="2268" w:type="dxa"/>
          </w:tcPr>
          <w:p>
            <w:pPr>
              <w:pStyle w:val="nTable"/>
              <w:spacing w:after="40"/>
              <w:ind w:right="113"/>
              <w:rPr>
                <w:i/>
                <w:snapToGrid w:val="0"/>
              </w:rPr>
            </w:pPr>
            <w:r>
              <w:rPr>
                <w:i/>
                <w:iCs/>
              </w:rPr>
              <w:t>Acts Amendment (Justice) Act 2008</w:t>
            </w:r>
            <w:r>
              <w:t xml:space="preserve"> s. 132 </w:t>
            </w:r>
          </w:p>
        </w:tc>
        <w:tc>
          <w:tcPr>
            <w:tcW w:w="1134" w:type="dxa"/>
          </w:tcPr>
          <w:p>
            <w:pPr>
              <w:pStyle w:val="nTable"/>
              <w:keepNext/>
              <w:keepLines/>
              <w:spacing w:after="40"/>
              <w:rPr>
                <w:snapToGrid w:val="0"/>
              </w:rPr>
            </w:pPr>
            <w:r>
              <w:t>5 of 2008</w:t>
            </w:r>
          </w:p>
        </w:tc>
        <w:tc>
          <w:tcPr>
            <w:tcW w:w="1136" w:type="dxa"/>
          </w:tcPr>
          <w:p>
            <w:pPr>
              <w:pStyle w:val="nTable"/>
              <w:keepNext/>
              <w:keepLines/>
              <w:spacing w:after="40"/>
              <w:rPr>
                <w:snapToGrid w:val="0"/>
              </w:rPr>
            </w:pPr>
            <w:r>
              <w:t>31 Mar 2008</w:t>
            </w:r>
          </w:p>
        </w:tc>
        <w:tc>
          <w:tcPr>
            <w:tcW w:w="2551" w:type="dxa"/>
          </w:tcPr>
          <w:p>
            <w:pPr>
              <w:pStyle w:val="nTable"/>
              <w:keepNext/>
              <w:keepLines/>
              <w:spacing w:after="40"/>
              <w:rPr>
                <w:snapToGrid w:val="0"/>
                <w:spacing w:val="-2"/>
              </w:rPr>
            </w:pPr>
            <w:r>
              <w:rPr>
                <w:snapToGrid w:val="0"/>
              </w:rPr>
              <w:t xml:space="preserve">31 Jul 2008 (see s. 2(d) and </w:t>
            </w:r>
            <w:r>
              <w:rPr>
                <w:i/>
                <w:iCs/>
                <w:snapToGrid w:val="0"/>
              </w:rPr>
              <w:t xml:space="preserve">Gazette </w:t>
            </w:r>
            <w:r>
              <w:rPr>
                <w:snapToGrid w:val="0"/>
              </w:rPr>
              <w:t>11 Jul 2008 p. 3253)</w:t>
            </w:r>
          </w:p>
        </w:tc>
      </w:tr>
      <w:tr>
        <w:trPr>
          <w:cantSplit/>
        </w:trPr>
        <w:tc>
          <w:tcPr>
            <w:tcW w:w="2268" w:type="dxa"/>
          </w:tcPr>
          <w:p>
            <w:pPr>
              <w:pStyle w:val="nTable"/>
              <w:spacing w:after="40"/>
              <w:ind w:right="113"/>
              <w:rPr>
                <w:i/>
                <w:iCs/>
              </w:rPr>
            </w:pPr>
            <w:r>
              <w:rPr>
                <w:i/>
                <w:iCs/>
              </w:rPr>
              <w:t xml:space="preserve">Parental Support and Responsibility Act 2008 </w:t>
            </w:r>
            <w:r>
              <w:t>Pt. 7 Div. 2</w:t>
            </w:r>
          </w:p>
        </w:tc>
        <w:tc>
          <w:tcPr>
            <w:tcW w:w="1134" w:type="dxa"/>
          </w:tcPr>
          <w:p>
            <w:pPr>
              <w:pStyle w:val="nTable"/>
              <w:keepNext/>
              <w:keepLines/>
              <w:spacing w:after="40"/>
            </w:pPr>
            <w:r>
              <w:t>14 of 2008</w:t>
            </w:r>
          </w:p>
        </w:tc>
        <w:tc>
          <w:tcPr>
            <w:tcW w:w="1136" w:type="dxa"/>
          </w:tcPr>
          <w:p>
            <w:pPr>
              <w:pStyle w:val="nTable"/>
              <w:keepNext/>
              <w:keepLines/>
              <w:spacing w:after="40"/>
            </w:pPr>
            <w:r>
              <w:t>15 Apr 2008</w:t>
            </w:r>
          </w:p>
        </w:tc>
        <w:tc>
          <w:tcPr>
            <w:tcW w:w="2551" w:type="dxa"/>
          </w:tcPr>
          <w:p>
            <w:pPr>
              <w:pStyle w:val="nTable"/>
              <w:keepNext/>
              <w:keepLines/>
              <w:spacing w:after="40"/>
              <w:rPr>
                <w:snapToGrid w:val="0"/>
              </w:rPr>
            </w:pPr>
            <w:r>
              <w:rPr>
                <w:snapToGrid w:val="0"/>
              </w:rPr>
              <w:t xml:space="preserve">28 Mar 2009 (see s. 2 and </w:t>
            </w:r>
            <w:r>
              <w:rPr>
                <w:i/>
                <w:iCs/>
                <w:snapToGrid w:val="0"/>
              </w:rPr>
              <w:t>Gazette</w:t>
            </w:r>
            <w:r>
              <w:rPr>
                <w:snapToGrid w:val="0"/>
              </w:rPr>
              <w:t xml:space="preserve"> 27 Mar 2009 p. 917)</w:t>
            </w:r>
          </w:p>
        </w:tc>
      </w:tr>
      <w:tr>
        <w:trPr>
          <w:cantSplit/>
        </w:trPr>
        <w:tc>
          <w:tcPr>
            <w:tcW w:w="2268" w:type="dxa"/>
          </w:tcPr>
          <w:p>
            <w:pPr>
              <w:pStyle w:val="nTable"/>
              <w:spacing w:after="40"/>
              <w:ind w:right="113"/>
              <w:rPr>
                <w:i/>
                <w:iCs/>
              </w:rPr>
            </w:pPr>
            <w:r>
              <w:rPr>
                <w:i/>
                <w:iCs/>
                <w:snapToGrid w:val="0"/>
              </w:rPr>
              <w:t xml:space="preserve">Legal Profession Act 2008 </w:t>
            </w:r>
            <w:r>
              <w:rPr>
                <w:snapToGrid w:val="0"/>
              </w:rPr>
              <w:t>s. 714</w:t>
            </w:r>
          </w:p>
        </w:tc>
        <w:tc>
          <w:tcPr>
            <w:tcW w:w="1134" w:type="dxa"/>
          </w:tcPr>
          <w:p>
            <w:pPr>
              <w:pStyle w:val="nTable"/>
              <w:keepNext/>
              <w:keepLines/>
              <w:spacing w:after="40"/>
            </w:pPr>
            <w:r>
              <w:t>21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8" w:type="dxa"/>
          </w:tcPr>
          <w:p>
            <w:pPr>
              <w:pStyle w:val="nTable"/>
              <w:spacing w:after="40"/>
              <w:ind w:right="113"/>
              <w:rPr>
                <w:i/>
                <w:iCs/>
              </w:rPr>
            </w:pPr>
            <w:r>
              <w:rPr>
                <w:i/>
                <w:snapToGrid w:val="0"/>
              </w:rPr>
              <w:t xml:space="preserve">Medical Practitioners Act 2008 </w:t>
            </w:r>
            <w:r>
              <w:rPr>
                <w:iCs/>
                <w:snapToGrid w:val="0"/>
              </w:rPr>
              <w:t>Sch. 3 cl. 55</w:t>
            </w:r>
          </w:p>
        </w:tc>
        <w:tc>
          <w:tcPr>
            <w:tcW w:w="1134" w:type="dxa"/>
          </w:tcPr>
          <w:p>
            <w:pPr>
              <w:pStyle w:val="nTable"/>
              <w:keepNext/>
              <w:keepLines/>
              <w:spacing w:after="40"/>
            </w:pPr>
            <w:r>
              <w:t>22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t xml:space="preserve">1 Dec 2008 (see s. 2 and </w:t>
            </w:r>
            <w:r>
              <w:rPr>
                <w:i/>
                <w:iCs/>
              </w:rPr>
              <w:t xml:space="preserve">Gazette </w:t>
            </w:r>
            <w:r>
              <w:t>25 Nov 2008 p. 4989)</w:t>
            </w:r>
          </w:p>
        </w:tc>
      </w:tr>
      <w:tr>
        <w:trPr>
          <w:cantSplit/>
        </w:trPr>
        <w:tc>
          <w:tcPr>
            <w:tcW w:w="2268" w:type="dxa"/>
          </w:tcPr>
          <w:p>
            <w:pPr>
              <w:pStyle w:val="nTable"/>
              <w:spacing w:after="40"/>
              <w:ind w:right="113"/>
              <w:rPr>
                <w:i/>
                <w:iCs/>
              </w:rPr>
            </w:pPr>
            <w:r>
              <w:rPr>
                <w:i/>
                <w:snapToGrid w:val="0"/>
              </w:rPr>
              <w:t>Criminal Law Amendment (Homicide) Act 2008</w:t>
            </w:r>
            <w:r>
              <w:rPr>
                <w:iCs/>
                <w:snapToGrid w:val="0"/>
              </w:rPr>
              <w:t xml:space="preserve"> s. 41</w:t>
            </w:r>
          </w:p>
        </w:tc>
        <w:tc>
          <w:tcPr>
            <w:tcW w:w="1134" w:type="dxa"/>
          </w:tcPr>
          <w:p>
            <w:pPr>
              <w:pStyle w:val="nTable"/>
              <w:keepNext/>
              <w:keepLines/>
              <w:spacing w:after="40"/>
            </w:pPr>
            <w:r>
              <w:t>29 of 2008</w:t>
            </w:r>
          </w:p>
        </w:tc>
        <w:tc>
          <w:tcPr>
            <w:tcW w:w="1136" w:type="dxa"/>
          </w:tcPr>
          <w:p>
            <w:pPr>
              <w:pStyle w:val="nTable"/>
              <w:keepNext/>
              <w:keepLines/>
              <w:spacing w:after="40"/>
            </w:pPr>
            <w:r>
              <w:t>27 Jun 2008</w:t>
            </w:r>
          </w:p>
        </w:tc>
        <w:tc>
          <w:tcPr>
            <w:tcW w:w="2551"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rPr>
                <w:snapToGrid w:val="0"/>
              </w:rPr>
            </w:pPr>
            <w:r>
              <w:rPr>
                <w:b/>
              </w:rPr>
              <w:t xml:space="preserve">Reprint 4: The </w:t>
            </w:r>
            <w:r>
              <w:rPr>
                <w:b/>
                <w:i/>
              </w:rPr>
              <w:t>Young Offenders Act 1994</w:t>
            </w:r>
            <w:r>
              <w:rPr>
                <w:b/>
              </w:rPr>
              <w:t xml:space="preserve"> as at 2 Jan 2009 </w:t>
            </w:r>
            <w:r>
              <w:t xml:space="preserve">(includes amendments listed above except those in the </w:t>
            </w:r>
            <w:r>
              <w:rPr>
                <w:i/>
                <w:iCs/>
                <w:snapToGrid w:val="0"/>
              </w:rPr>
              <w:t xml:space="preserve">Legal Profession Act 2008 </w:t>
            </w:r>
            <w:r>
              <w:rPr>
                <w:snapToGrid w:val="0"/>
              </w:rPr>
              <w:t xml:space="preserve">and the </w:t>
            </w:r>
            <w:r>
              <w:rPr>
                <w:i/>
                <w:iCs/>
              </w:rPr>
              <w:t>Parental Support and Responsibility Act 2008</w:t>
            </w:r>
            <w:r>
              <w:t>)</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51</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iCs/>
              </w:rPr>
              <w:t xml:space="preserve">Cannabis Law Reform Act 2010 </w:t>
            </w:r>
            <w:r>
              <w:t>Pt. 5</w:t>
            </w:r>
          </w:p>
        </w:tc>
        <w:tc>
          <w:tcPr>
            <w:tcW w:w="1134" w:type="dxa"/>
          </w:tcPr>
          <w:p>
            <w:pPr>
              <w:pStyle w:val="nTable"/>
              <w:spacing w:after="40"/>
              <w:rPr>
                <w:snapToGrid w:val="0"/>
              </w:rPr>
            </w:pPr>
            <w:r>
              <w:t>45 of 2010</w:t>
            </w:r>
          </w:p>
        </w:tc>
        <w:tc>
          <w:tcPr>
            <w:tcW w:w="1136" w:type="dxa"/>
          </w:tcPr>
          <w:p>
            <w:pPr>
              <w:pStyle w:val="nTable"/>
              <w:spacing w:after="40"/>
              <w:rPr>
                <w:snapToGrid w:val="0"/>
              </w:rPr>
            </w:pPr>
            <w:r>
              <w:t>28 Oct 2010</w:t>
            </w:r>
          </w:p>
        </w:tc>
        <w:tc>
          <w:tcPr>
            <w:tcW w:w="2551"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2268" w:type="dxa"/>
            <w:shd w:val="clear" w:color="auto" w:fill="auto"/>
          </w:tcPr>
          <w:p>
            <w:pPr>
              <w:pStyle w:val="nTable"/>
              <w:spacing w:after="40"/>
              <w:ind w:right="113"/>
              <w:rPr>
                <w:snapToGrid w:val="0"/>
              </w:rPr>
            </w:pPr>
            <w:r>
              <w:rPr>
                <w:i/>
                <w:snapToGrid w:val="0"/>
              </w:rPr>
              <w:t>Young Offenders Legislation Amendment (Research Information) Act 2011</w:t>
            </w:r>
            <w:r>
              <w:rPr>
                <w:snapToGrid w:val="0"/>
              </w:rPr>
              <w:t xml:space="preserve"> Pt. 3</w:t>
            </w:r>
          </w:p>
        </w:tc>
        <w:tc>
          <w:tcPr>
            <w:tcW w:w="1134" w:type="dxa"/>
            <w:shd w:val="clear" w:color="auto" w:fill="auto"/>
          </w:tcPr>
          <w:p>
            <w:pPr>
              <w:pStyle w:val="nTable"/>
              <w:spacing w:after="40"/>
              <w:rPr>
                <w:snapToGrid w:val="0"/>
              </w:rPr>
            </w:pPr>
            <w:r>
              <w:rPr>
                <w:snapToGrid w:val="0"/>
              </w:rPr>
              <w:t>26 of 2011</w:t>
            </w:r>
          </w:p>
        </w:tc>
        <w:tc>
          <w:tcPr>
            <w:tcW w:w="1136" w:type="dxa"/>
            <w:shd w:val="clear" w:color="auto" w:fill="auto"/>
          </w:tcPr>
          <w:p>
            <w:pPr>
              <w:pStyle w:val="nTable"/>
              <w:spacing w:after="40"/>
              <w:rPr>
                <w:snapToGrid w:val="0"/>
              </w:rPr>
            </w:pPr>
            <w:r>
              <w:rPr>
                <w:snapToGrid w:val="0"/>
              </w:rPr>
              <w:t>11 Jul 2011</w:t>
            </w:r>
          </w:p>
        </w:tc>
        <w:tc>
          <w:tcPr>
            <w:tcW w:w="2551" w:type="dxa"/>
            <w:shd w:val="clear" w:color="auto" w:fill="auto"/>
          </w:tcPr>
          <w:p>
            <w:pPr>
              <w:pStyle w:val="nTable"/>
              <w:spacing w:after="40"/>
              <w:rPr>
                <w:snapToGrid w:val="0"/>
              </w:rPr>
            </w:pPr>
            <w:r>
              <w:rPr>
                <w:snapToGrid w:val="0"/>
              </w:rPr>
              <w:t>12 Jul 2011 (see s. 2(b))</w:t>
            </w:r>
          </w:p>
        </w:tc>
      </w:tr>
      <w:tr>
        <w:trPr>
          <w:cantSplit/>
          <w:ins w:id="649" w:author="svcMRProcess" w:date="2020-02-21T14:22:00Z"/>
        </w:trPr>
        <w:tc>
          <w:tcPr>
            <w:tcW w:w="2268" w:type="dxa"/>
            <w:shd w:val="clear" w:color="auto" w:fill="auto"/>
          </w:tcPr>
          <w:p>
            <w:pPr>
              <w:pStyle w:val="nTable"/>
              <w:spacing w:after="40"/>
              <w:ind w:right="113"/>
              <w:rPr>
                <w:ins w:id="650" w:author="svcMRProcess" w:date="2020-02-21T14:22:00Z"/>
                <w:i/>
                <w:snapToGrid w:val="0"/>
              </w:rPr>
            </w:pPr>
            <w:ins w:id="651" w:author="svcMRProcess" w:date="2020-02-21T14:22:00Z">
              <w:r>
                <w:rPr>
                  <w:i/>
                  <w:iCs/>
                  <w:snapToGrid w:val="0"/>
                </w:rPr>
                <w:t xml:space="preserve">Road Traffic Legislation Amendment Act 2012 </w:t>
              </w:r>
              <w:r>
                <w:rPr>
                  <w:iCs/>
                  <w:snapToGrid w:val="0"/>
                </w:rPr>
                <w:t>Pt. 4 Div. 54</w:t>
              </w:r>
            </w:ins>
          </w:p>
        </w:tc>
        <w:tc>
          <w:tcPr>
            <w:tcW w:w="1134" w:type="dxa"/>
            <w:shd w:val="clear" w:color="auto" w:fill="auto"/>
          </w:tcPr>
          <w:p>
            <w:pPr>
              <w:pStyle w:val="nTable"/>
              <w:spacing w:after="40"/>
              <w:rPr>
                <w:ins w:id="652" w:author="svcMRProcess" w:date="2020-02-21T14:22:00Z"/>
                <w:snapToGrid w:val="0"/>
              </w:rPr>
            </w:pPr>
            <w:ins w:id="653" w:author="svcMRProcess" w:date="2020-02-21T14:22:00Z">
              <w:r>
                <w:rPr>
                  <w:snapToGrid w:val="0"/>
                </w:rPr>
                <w:t>8 of 2012</w:t>
              </w:r>
            </w:ins>
          </w:p>
        </w:tc>
        <w:tc>
          <w:tcPr>
            <w:tcW w:w="1136" w:type="dxa"/>
            <w:shd w:val="clear" w:color="auto" w:fill="auto"/>
          </w:tcPr>
          <w:p>
            <w:pPr>
              <w:pStyle w:val="nTable"/>
              <w:spacing w:after="40"/>
              <w:rPr>
                <w:ins w:id="654" w:author="svcMRProcess" w:date="2020-02-21T14:22:00Z"/>
                <w:snapToGrid w:val="0"/>
              </w:rPr>
            </w:pPr>
            <w:ins w:id="655" w:author="svcMRProcess" w:date="2020-02-21T14:22:00Z">
              <w:r>
                <w:t>21 May 2012</w:t>
              </w:r>
            </w:ins>
          </w:p>
        </w:tc>
        <w:tc>
          <w:tcPr>
            <w:tcW w:w="2551" w:type="dxa"/>
            <w:shd w:val="clear" w:color="auto" w:fill="auto"/>
          </w:tcPr>
          <w:p>
            <w:pPr>
              <w:pStyle w:val="nTable"/>
              <w:spacing w:after="40"/>
              <w:rPr>
                <w:ins w:id="656" w:author="svcMRProcess" w:date="2020-02-21T14:22:00Z"/>
                <w:snapToGrid w:val="0"/>
              </w:rPr>
            </w:pPr>
            <w:ins w:id="657" w:author="svcMRProcess" w:date="2020-02-21T14:22:00Z">
              <w:r>
                <w:rPr>
                  <w:snapToGrid w:val="0"/>
                </w:rPr>
                <w:t xml:space="preserve">27 Apr 2015 (see s. 2(d) and </w:t>
              </w:r>
              <w:r>
                <w:rPr>
                  <w:i/>
                  <w:snapToGrid w:val="0"/>
                </w:rPr>
                <w:t>Gazette</w:t>
              </w:r>
              <w:r>
                <w:rPr>
                  <w:snapToGrid w:val="0"/>
                </w:rPr>
                <w:t xml:space="preserve"> 17 Apr 2015 p. 1371) </w:t>
              </w:r>
            </w:ins>
          </w:p>
        </w:tc>
      </w:tr>
      <w:tr>
        <w:trPr>
          <w:cantSplit/>
        </w:trPr>
        <w:tc>
          <w:tcPr>
            <w:tcW w:w="7089" w:type="dxa"/>
            <w:gridSpan w:val="4"/>
            <w:shd w:val="clear" w:color="auto" w:fill="auto"/>
          </w:tcPr>
          <w:p>
            <w:pPr>
              <w:pStyle w:val="nTable"/>
              <w:spacing w:after="40"/>
              <w:rPr>
                <w:snapToGrid w:val="0"/>
              </w:rPr>
            </w:pPr>
            <w:r>
              <w:rPr>
                <w:b/>
              </w:rPr>
              <w:t xml:space="preserve">Reprint 5: The </w:t>
            </w:r>
            <w:r>
              <w:rPr>
                <w:b/>
                <w:i/>
              </w:rPr>
              <w:t>Young Offenders Act 1994</w:t>
            </w:r>
            <w:r>
              <w:rPr>
                <w:b/>
              </w:rPr>
              <w:t xml:space="preserve"> as at 10 Aug 2012 </w:t>
            </w:r>
            <w:r>
              <w:t>(includes amendments listed above</w:t>
            </w:r>
            <w:ins w:id="658" w:author="svcMRProcess" w:date="2020-02-21T14:22:00Z">
              <w:r>
                <w:t xml:space="preserve"> except those in the </w:t>
              </w:r>
              <w:r>
                <w:rPr>
                  <w:i/>
                  <w:snapToGrid w:val="0"/>
                </w:rPr>
                <w:t>Road Traffic Legislation Amendment Act 2012</w:t>
              </w:r>
            </w:ins>
            <w:r>
              <w:t>)</w:t>
            </w:r>
          </w:p>
        </w:tc>
      </w:tr>
      <w:tr>
        <w:trPr>
          <w:cantSplit/>
        </w:trPr>
        <w:tc>
          <w:tcPr>
            <w:tcW w:w="2268" w:type="dxa"/>
            <w:shd w:val="clear" w:color="auto" w:fill="auto"/>
          </w:tcPr>
          <w:p>
            <w:pPr>
              <w:pStyle w:val="nTable"/>
              <w:spacing w:after="40"/>
              <w:ind w:right="113"/>
              <w:rPr>
                <w:snapToGrid w:val="0"/>
              </w:rPr>
            </w:pPr>
            <w:r>
              <w:rPr>
                <w:i/>
                <w:iCs/>
                <w:snapToGrid w:val="0"/>
              </w:rPr>
              <w:t>Criminal Organisations Control Act 2012</w:t>
            </w:r>
            <w:r>
              <w:rPr>
                <w:iCs/>
                <w:snapToGrid w:val="0"/>
              </w:rPr>
              <w:t xml:space="preserve"> s. 182</w:t>
            </w:r>
          </w:p>
        </w:tc>
        <w:tc>
          <w:tcPr>
            <w:tcW w:w="1134" w:type="dxa"/>
            <w:shd w:val="clear" w:color="auto" w:fill="auto"/>
          </w:tcPr>
          <w:p>
            <w:pPr>
              <w:pStyle w:val="nTable"/>
              <w:spacing w:after="40"/>
              <w:rPr>
                <w:snapToGrid w:val="0"/>
              </w:rPr>
            </w:pPr>
            <w:r>
              <w:rPr>
                <w:snapToGrid w:val="0"/>
              </w:rPr>
              <w:t>49 of 2012</w:t>
            </w:r>
          </w:p>
        </w:tc>
        <w:tc>
          <w:tcPr>
            <w:tcW w:w="1136" w:type="dxa"/>
            <w:shd w:val="clear" w:color="auto" w:fill="auto"/>
          </w:tcPr>
          <w:p>
            <w:pPr>
              <w:pStyle w:val="nTable"/>
              <w:spacing w:after="40"/>
              <w:rPr>
                <w:snapToGrid w:val="0"/>
              </w:rPr>
            </w:pPr>
            <w:r>
              <w:t>29 Nov 2012</w:t>
            </w:r>
          </w:p>
        </w:tc>
        <w:tc>
          <w:tcPr>
            <w:tcW w:w="2551" w:type="dxa"/>
            <w:shd w:val="clear" w:color="auto" w:fill="auto"/>
          </w:tcPr>
          <w:p>
            <w:pPr>
              <w:pStyle w:val="nTable"/>
              <w:spacing w:after="40"/>
              <w:rPr>
                <w:snapToGrid w:val="0"/>
              </w:rPr>
            </w:pPr>
            <w:r>
              <w:rPr>
                <w:snapToGrid w:val="0"/>
              </w:rPr>
              <w:t xml:space="preserve">2 Nov 2013 (see s. 2(b) and </w:t>
            </w:r>
            <w:r>
              <w:rPr>
                <w:i/>
                <w:snapToGrid w:val="0"/>
              </w:rPr>
              <w:t xml:space="preserve">Gazette </w:t>
            </w:r>
            <w:r>
              <w:rPr>
                <w:snapToGrid w:val="0"/>
              </w:rPr>
              <w:t>1 Nov 2013 p. 4891)</w:t>
            </w:r>
          </w:p>
        </w:tc>
      </w:tr>
      <w:tr>
        <w:trPr>
          <w:cantSplit/>
        </w:trPr>
        <w:tc>
          <w:tcPr>
            <w:tcW w:w="2268" w:type="dxa"/>
            <w:tcBorders>
              <w:bottom w:val="single" w:sz="4" w:space="0" w:color="auto"/>
            </w:tcBorders>
            <w:shd w:val="clear" w:color="auto" w:fill="auto"/>
          </w:tcPr>
          <w:p>
            <w:pPr>
              <w:pStyle w:val="nTable"/>
              <w:spacing w:after="40"/>
              <w:ind w:right="113"/>
              <w:rPr>
                <w:i/>
                <w:iCs/>
                <w:snapToGrid w:val="0"/>
              </w:rPr>
            </w:pPr>
            <w:r>
              <w:rPr>
                <w:i/>
              </w:rPr>
              <w:t>Courts and Tribunals (Electronic Processes Facilitation) Act 2013</w:t>
            </w:r>
            <w:r>
              <w:t xml:space="preserve"> Pt. 3 Div. 21</w:t>
            </w:r>
            <w:r>
              <w:rPr>
                <w:vertAlign w:val="superscript"/>
              </w:rPr>
              <w:t> </w:t>
            </w:r>
            <w:r>
              <w:t>(other than s. 138 and 139)</w:t>
            </w:r>
          </w:p>
        </w:tc>
        <w:tc>
          <w:tcPr>
            <w:tcW w:w="1134" w:type="dxa"/>
            <w:tcBorders>
              <w:bottom w:val="single" w:sz="4" w:space="0" w:color="auto"/>
            </w:tcBorders>
            <w:shd w:val="clear" w:color="auto" w:fill="auto"/>
          </w:tcPr>
          <w:p>
            <w:pPr>
              <w:pStyle w:val="nTable"/>
              <w:spacing w:after="40"/>
              <w:rPr>
                <w:snapToGrid w:val="0"/>
              </w:rPr>
            </w:pPr>
            <w:r>
              <w:t>20 of 2013</w:t>
            </w:r>
          </w:p>
        </w:tc>
        <w:tc>
          <w:tcPr>
            <w:tcW w:w="1136" w:type="dxa"/>
            <w:tcBorders>
              <w:bottom w:val="single" w:sz="4" w:space="0" w:color="auto"/>
            </w:tcBorders>
            <w:shd w:val="clear" w:color="auto" w:fill="auto"/>
          </w:tcPr>
          <w:p>
            <w:pPr>
              <w:pStyle w:val="nTable"/>
              <w:spacing w:after="40"/>
            </w:pPr>
            <w:r>
              <w:t>4 Nov 2013</w:t>
            </w:r>
          </w:p>
        </w:tc>
        <w:tc>
          <w:tcPr>
            <w:tcW w:w="2551" w:type="dxa"/>
            <w:tcBorders>
              <w:bottom w:val="single" w:sz="4" w:space="0" w:color="auto"/>
            </w:tcBorders>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r>
              <w:rPr>
                <w:i/>
                <w:snapToGrid w:val="0"/>
              </w:rPr>
              <w:t>)</w:t>
            </w:r>
          </w:p>
        </w:tc>
      </w:tr>
    </w:tbl>
    <w:p>
      <w:pPr>
        <w:pStyle w:val="nSubsection"/>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22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59" w:name="_Toc405453375"/>
      <w:bookmarkStart w:id="660" w:name="_Toc413337491"/>
      <w:r>
        <w:rPr>
          <w:snapToGrid w:val="0"/>
        </w:rPr>
        <w:t>Provisions that have not come into operation</w:t>
      </w:r>
      <w:bookmarkEnd w:id="659"/>
      <w:bookmarkEnd w:id="660"/>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8"/>
        <w:gridCol w:w="1114"/>
        <w:gridCol w:w="16"/>
        <w:gridCol w:w="1114"/>
        <w:gridCol w:w="19"/>
        <w:gridCol w:w="2523"/>
        <w:gridCol w:w="45"/>
      </w:tblGrid>
      <w:tr>
        <w:trPr>
          <w:tblHeader/>
        </w:trPr>
        <w:tc>
          <w:tcPr>
            <w:tcW w:w="2258"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0"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33"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68"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58" w:type="dxa"/>
            <w:tcBorders>
              <w:top w:val="single" w:sz="8" w:space="0" w:color="auto"/>
              <w:bottom w:val="nil"/>
            </w:tcBorders>
          </w:tcPr>
          <w:p>
            <w:pPr>
              <w:pStyle w:val="nTable"/>
              <w:spacing w:after="40"/>
              <w:rPr>
                <w:vertAlign w:val="superscript"/>
              </w:rPr>
            </w:pPr>
            <w:r>
              <w:rPr>
                <w:i/>
                <w:iCs/>
              </w:rPr>
              <w:t xml:space="preserve">Prostitution Amendment Act 2008 </w:t>
            </w:r>
            <w:r>
              <w:t>s. 36 </w:t>
            </w:r>
            <w:r>
              <w:rPr>
                <w:vertAlign w:val="superscript"/>
              </w:rPr>
              <w:t>11</w:t>
            </w:r>
          </w:p>
        </w:tc>
        <w:tc>
          <w:tcPr>
            <w:tcW w:w="1130" w:type="dxa"/>
            <w:gridSpan w:val="2"/>
            <w:tcBorders>
              <w:top w:val="single" w:sz="8" w:space="0" w:color="auto"/>
              <w:bottom w:val="nil"/>
            </w:tcBorders>
          </w:tcPr>
          <w:p>
            <w:pPr>
              <w:pStyle w:val="nTable"/>
              <w:spacing w:after="40"/>
            </w:pPr>
            <w:r>
              <w:t>13 of 2008</w:t>
            </w:r>
          </w:p>
        </w:tc>
        <w:tc>
          <w:tcPr>
            <w:tcW w:w="1133" w:type="dxa"/>
            <w:gridSpan w:val="2"/>
            <w:tcBorders>
              <w:top w:val="single" w:sz="8" w:space="0" w:color="auto"/>
              <w:bottom w:val="nil"/>
            </w:tcBorders>
          </w:tcPr>
          <w:p>
            <w:pPr>
              <w:pStyle w:val="nTable"/>
              <w:spacing w:after="40"/>
            </w:pPr>
            <w:r>
              <w:t>14 Apr 2008</w:t>
            </w:r>
          </w:p>
        </w:tc>
        <w:tc>
          <w:tcPr>
            <w:tcW w:w="2568" w:type="dxa"/>
            <w:gridSpan w:val="2"/>
            <w:tcBorders>
              <w:top w:val="single" w:sz="8" w:space="0" w:color="auto"/>
              <w:bottom w:val="nil"/>
            </w:tcBorders>
          </w:tcPr>
          <w:p>
            <w:pPr>
              <w:pStyle w:val="nTable"/>
              <w:spacing w:after="40"/>
              <w:rPr>
                <w:snapToGrid w:val="0"/>
              </w:rPr>
            </w:pPr>
            <w:r>
              <w:rPr>
                <w:snapToGrid w:val="0"/>
              </w:rPr>
              <w:t>To be proclaimed (see s. 2(b))</w:t>
            </w:r>
          </w:p>
        </w:tc>
      </w:tr>
      <w:tr>
        <w:trPr>
          <w:del w:id="661" w:author="svcMRProcess" w:date="2020-02-21T14:22:00Z"/>
        </w:trPr>
        <w:tc>
          <w:tcPr>
            <w:tcW w:w="2258" w:type="dxa"/>
            <w:tcBorders>
              <w:top w:val="nil"/>
              <w:bottom w:val="nil"/>
            </w:tcBorders>
            <w:shd w:val="clear" w:color="auto" w:fill="auto"/>
          </w:tcPr>
          <w:p>
            <w:pPr>
              <w:pStyle w:val="nTable"/>
              <w:keepNext/>
              <w:spacing w:after="40"/>
              <w:rPr>
                <w:del w:id="662" w:author="svcMRProcess" w:date="2020-02-21T14:22:00Z"/>
                <w:i/>
                <w:iCs/>
                <w:vertAlign w:val="superscript"/>
              </w:rPr>
            </w:pPr>
            <w:del w:id="663" w:author="svcMRProcess" w:date="2020-02-21T14:22:00Z">
              <w:r>
                <w:rPr>
                  <w:i/>
                  <w:iCs/>
                  <w:snapToGrid w:val="0"/>
                </w:rPr>
                <w:delText xml:space="preserve">Road Traffic Legislation Amendment Act 2012 </w:delText>
              </w:r>
              <w:r>
                <w:rPr>
                  <w:iCs/>
                  <w:snapToGrid w:val="0"/>
                </w:rPr>
                <w:delText>Pt. 4 Div. 54</w:delText>
              </w:r>
              <w:r>
                <w:rPr>
                  <w:iCs/>
                  <w:snapToGrid w:val="0"/>
                  <w:vertAlign w:val="superscript"/>
                </w:rPr>
                <w:delText> 12</w:delText>
              </w:r>
            </w:del>
          </w:p>
        </w:tc>
        <w:tc>
          <w:tcPr>
            <w:tcW w:w="1130" w:type="dxa"/>
            <w:gridSpan w:val="2"/>
            <w:tcBorders>
              <w:top w:val="nil"/>
              <w:bottom w:val="nil"/>
            </w:tcBorders>
            <w:shd w:val="clear" w:color="auto" w:fill="auto"/>
          </w:tcPr>
          <w:p>
            <w:pPr>
              <w:pStyle w:val="nTable"/>
              <w:keepNext/>
              <w:spacing w:after="40"/>
              <w:rPr>
                <w:del w:id="664" w:author="svcMRProcess" w:date="2020-02-21T14:22:00Z"/>
              </w:rPr>
            </w:pPr>
            <w:del w:id="665" w:author="svcMRProcess" w:date="2020-02-21T14:22:00Z">
              <w:r>
                <w:rPr>
                  <w:snapToGrid w:val="0"/>
                </w:rPr>
                <w:delText>8 of 2012</w:delText>
              </w:r>
            </w:del>
          </w:p>
        </w:tc>
        <w:tc>
          <w:tcPr>
            <w:tcW w:w="1133" w:type="dxa"/>
            <w:gridSpan w:val="2"/>
            <w:tcBorders>
              <w:top w:val="nil"/>
              <w:bottom w:val="nil"/>
            </w:tcBorders>
            <w:shd w:val="clear" w:color="auto" w:fill="auto"/>
          </w:tcPr>
          <w:p>
            <w:pPr>
              <w:pStyle w:val="nTable"/>
              <w:keepNext/>
              <w:spacing w:after="40"/>
              <w:rPr>
                <w:del w:id="666" w:author="svcMRProcess" w:date="2020-02-21T14:22:00Z"/>
              </w:rPr>
            </w:pPr>
            <w:del w:id="667" w:author="svcMRProcess" w:date="2020-02-21T14:22:00Z">
              <w:r>
                <w:delText>21 May 2012</w:delText>
              </w:r>
            </w:del>
          </w:p>
        </w:tc>
        <w:tc>
          <w:tcPr>
            <w:tcW w:w="2568" w:type="dxa"/>
            <w:gridSpan w:val="2"/>
            <w:tcBorders>
              <w:top w:val="nil"/>
              <w:bottom w:val="nil"/>
            </w:tcBorders>
            <w:shd w:val="clear" w:color="auto" w:fill="auto"/>
          </w:tcPr>
          <w:p>
            <w:pPr>
              <w:pStyle w:val="nTable"/>
              <w:keepNext/>
              <w:spacing w:after="40"/>
              <w:rPr>
                <w:del w:id="668" w:author="svcMRProcess" w:date="2020-02-21T14:22:00Z"/>
                <w:snapToGrid w:val="0"/>
              </w:rPr>
            </w:pPr>
            <w:del w:id="669" w:author="svcMRProcess" w:date="2020-02-21T14:22:00Z">
              <w:r>
                <w:rPr>
                  <w:snapToGrid w:val="0"/>
                </w:rPr>
                <w:delText xml:space="preserve">Operative on commencement of the </w:delText>
              </w:r>
              <w:r>
                <w:rPr>
                  <w:i/>
                  <w:snapToGrid w:val="0"/>
                </w:rPr>
                <w:delText>Road Traffic (Administration) Act 2008</w:delText>
              </w:r>
              <w:r>
                <w:rPr>
                  <w:snapToGrid w:val="0"/>
                </w:rPr>
                <w:delText xml:space="preserve"> (see s. 2(d))</w:delText>
              </w:r>
            </w:del>
          </w:p>
        </w:tc>
      </w:tr>
      <w:tr>
        <w:tc>
          <w:tcPr>
            <w:tcW w:w="2258" w:type="dxa"/>
            <w:tcBorders>
              <w:top w:val="nil"/>
              <w:bottom w:val="nil"/>
            </w:tcBorders>
            <w:shd w:val="clear" w:color="auto" w:fill="auto"/>
          </w:tcPr>
          <w:p>
            <w:pPr>
              <w:pStyle w:val="nTable"/>
              <w:keepNext/>
              <w:spacing w:after="40"/>
              <w:rPr>
                <w:i/>
                <w:iCs/>
                <w:snapToGrid w:val="0"/>
              </w:rPr>
            </w:pPr>
            <w:r>
              <w:rPr>
                <w:i/>
              </w:rPr>
              <w:t>Courts and Tribunals (Electronic Processes Facilitation) Act 2013</w:t>
            </w:r>
            <w:r>
              <w:t xml:space="preserve"> s. 138 and 139</w:t>
            </w:r>
            <w:r>
              <w:rPr>
                <w:vertAlign w:val="superscript"/>
              </w:rPr>
              <w:t> 13</w:t>
            </w:r>
          </w:p>
        </w:tc>
        <w:tc>
          <w:tcPr>
            <w:tcW w:w="1130" w:type="dxa"/>
            <w:gridSpan w:val="2"/>
            <w:tcBorders>
              <w:top w:val="nil"/>
              <w:bottom w:val="nil"/>
            </w:tcBorders>
            <w:shd w:val="clear" w:color="auto" w:fill="auto"/>
          </w:tcPr>
          <w:p>
            <w:pPr>
              <w:pStyle w:val="nTable"/>
              <w:keepNext/>
              <w:spacing w:after="40"/>
              <w:rPr>
                <w:snapToGrid w:val="0"/>
              </w:rPr>
            </w:pPr>
            <w:r>
              <w:t>20 of 2013</w:t>
            </w:r>
          </w:p>
        </w:tc>
        <w:tc>
          <w:tcPr>
            <w:tcW w:w="1133" w:type="dxa"/>
            <w:gridSpan w:val="2"/>
            <w:tcBorders>
              <w:top w:val="nil"/>
              <w:bottom w:val="nil"/>
            </w:tcBorders>
            <w:shd w:val="clear" w:color="auto" w:fill="auto"/>
          </w:tcPr>
          <w:p>
            <w:pPr>
              <w:pStyle w:val="nTable"/>
              <w:keepNext/>
              <w:spacing w:after="40"/>
            </w:pPr>
            <w:r>
              <w:t>4 Nov 2013</w:t>
            </w:r>
          </w:p>
        </w:tc>
        <w:tc>
          <w:tcPr>
            <w:tcW w:w="2568" w:type="dxa"/>
            <w:gridSpan w:val="2"/>
            <w:tcBorders>
              <w:top w:val="nil"/>
              <w:bottom w:val="nil"/>
            </w:tcBorders>
            <w:shd w:val="clear" w:color="auto" w:fill="auto"/>
          </w:tcPr>
          <w:p>
            <w:pPr>
              <w:pStyle w:val="nTable"/>
              <w:keepNext/>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45" w:type="dxa"/>
        </w:trPr>
        <w:tc>
          <w:tcPr>
            <w:tcW w:w="2258" w:type="dxa"/>
            <w:tcBorders>
              <w:top w:val="nil"/>
              <w:bottom w:val="nil"/>
            </w:tcBorders>
          </w:tcPr>
          <w:p>
            <w:pPr>
              <w:pStyle w:val="nTable"/>
              <w:spacing w:after="40"/>
              <w:rPr>
                <w:vertAlign w:val="superscript"/>
              </w:rPr>
            </w:pPr>
            <w:r>
              <w:rPr>
                <w:i/>
              </w:rPr>
              <w:t>Mental Health Legislation Amendment Act 2014</w:t>
            </w:r>
            <w:r>
              <w:t xml:space="preserve"> Pt. 4 Div. 4 Subdiv. 24 </w:t>
            </w:r>
            <w:r>
              <w:rPr>
                <w:vertAlign w:val="superscript"/>
              </w:rPr>
              <w:t>14</w:t>
            </w:r>
          </w:p>
        </w:tc>
        <w:tc>
          <w:tcPr>
            <w:tcW w:w="1114" w:type="dxa"/>
            <w:tcBorders>
              <w:top w:val="nil"/>
              <w:bottom w:val="nil"/>
            </w:tcBorders>
          </w:tcPr>
          <w:p>
            <w:pPr>
              <w:pStyle w:val="nTable"/>
              <w:spacing w:after="40"/>
              <w:rPr>
                <w:snapToGrid w:val="0"/>
              </w:rPr>
            </w:pPr>
            <w:r>
              <w:rPr>
                <w:snapToGrid w:val="0"/>
              </w:rPr>
              <w:t>25 of 2014</w:t>
            </w:r>
          </w:p>
        </w:tc>
        <w:tc>
          <w:tcPr>
            <w:tcW w:w="1130" w:type="dxa"/>
            <w:gridSpan w:val="2"/>
            <w:tcBorders>
              <w:top w:val="nil"/>
              <w:bottom w:val="nil"/>
            </w:tcBorders>
          </w:tcPr>
          <w:p>
            <w:pPr>
              <w:pStyle w:val="nTable"/>
              <w:spacing w:after="40"/>
              <w:rPr>
                <w:snapToGrid w:val="0"/>
              </w:rPr>
            </w:pPr>
            <w:r>
              <w:t>3 Nov 2014</w:t>
            </w:r>
          </w:p>
        </w:tc>
        <w:tc>
          <w:tcPr>
            <w:tcW w:w="2542" w:type="dxa"/>
            <w:gridSpan w:val="2"/>
            <w:tcBorders>
              <w:top w:val="nil"/>
              <w:bottom w:val="nil"/>
            </w:tcBorders>
          </w:tcPr>
          <w:p>
            <w:pPr>
              <w:pStyle w:val="nTable"/>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45" w:type="dxa"/>
        </w:trPr>
        <w:tc>
          <w:tcPr>
            <w:tcW w:w="2258" w:type="dxa"/>
            <w:tcBorders>
              <w:top w:val="nil"/>
              <w:bottom w:val="nil"/>
            </w:tcBorders>
          </w:tcPr>
          <w:p>
            <w:pPr>
              <w:pStyle w:val="nTable"/>
              <w:spacing w:after="40"/>
              <w:rPr>
                <w:vertAlign w:val="superscript"/>
              </w:rPr>
            </w:pPr>
            <w:r>
              <w:rPr>
                <w:i/>
              </w:rPr>
              <w:t>Custodial Legislation (Officers Discipline) Amendment Act 2014</w:t>
            </w:r>
            <w:r>
              <w:t xml:space="preserve"> Pt. 3 </w:t>
            </w:r>
            <w:r>
              <w:rPr>
                <w:vertAlign w:val="superscript"/>
              </w:rPr>
              <w:t>15</w:t>
            </w:r>
          </w:p>
        </w:tc>
        <w:tc>
          <w:tcPr>
            <w:tcW w:w="1114" w:type="dxa"/>
            <w:tcBorders>
              <w:top w:val="nil"/>
              <w:bottom w:val="nil"/>
            </w:tcBorders>
          </w:tcPr>
          <w:p>
            <w:pPr>
              <w:pStyle w:val="nTable"/>
              <w:spacing w:after="40"/>
              <w:rPr>
                <w:snapToGrid w:val="0"/>
              </w:rPr>
            </w:pPr>
            <w:r>
              <w:rPr>
                <w:snapToGrid w:val="0"/>
              </w:rPr>
              <w:t>29 of 2014</w:t>
            </w:r>
          </w:p>
        </w:tc>
        <w:tc>
          <w:tcPr>
            <w:tcW w:w="1130" w:type="dxa"/>
            <w:gridSpan w:val="2"/>
            <w:tcBorders>
              <w:top w:val="nil"/>
              <w:bottom w:val="nil"/>
            </w:tcBorders>
          </w:tcPr>
          <w:p>
            <w:pPr>
              <w:pStyle w:val="nTable"/>
              <w:spacing w:after="40"/>
            </w:pPr>
            <w:r>
              <w:t>3 Dec 2014</w:t>
            </w:r>
          </w:p>
        </w:tc>
        <w:tc>
          <w:tcPr>
            <w:tcW w:w="2542" w:type="dxa"/>
            <w:gridSpan w:val="2"/>
            <w:tcBorders>
              <w:top w:val="nil"/>
              <w:bottom w:val="nil"/>
            </w:tcBorders>
          </w:tcPr>
          <w:p>
            <w:pPr>
              <w:pStyle w:val="nTable"/>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45" w:type="dxa"/>
        </w:trPr>
        <w:tc>
          <w:tcPr>
            <w:tcW w:w="2258" w:type="dxa"/>
            <w:tcBorders>
              <w:top w:val="nil"/>
              <w:bottom w:val="single" w:sz="4" w:space="0" w:color="auto"/>
            </w:tcBorders>
          </w:tcPr>
          <w:p>
            <w:pPr>
              <w:pStyle w:val="nTable"/>
              <w:spacing w:after="40"/>
              <w:rPr>
                <w:i/>
              </w:rPr>
            </w:pPr>
            <w:r>
              <w:rPr>
                <w:i/>
              </w:rPr>
              <w:t>Declared Places (Mentally Impaired Accused) Act 2015</w:t>
            </w:r>
            <w:r>
              <w:t xml:space="preserve"> s. 89</w:t>
            </w:r>
            <w:r>
              <w:rPr>
                <w:vertAlign w:val="superscript"/>
              </w:rPr>
              <w:t> 16</w:t>
            </w:r>
          </w:p>
        </w:tc>
        <w:tc>
          <w:tcPr>
            <w:tcW w:w="1114" w:type="dxa"/>
            <w:tcBorders>
              <w:top w:val="nil"/>
              <w:bottom w:val="single" w:sz="4" w:space="0" w:color="auto"/>
            </w:tcBorders>
          </w:tcPr>
          <w:p>
            <w:pPr>
              <w:pStyle w:val="nTable"/>
              <w:spacing w:after="40"/>
              <w:rPr>
                <w:snapToGrid w:val="0"/>
              </w:rPr>
            </w:pPr>
            <w:r>
              <w:rPr>
                <w:snapToGrid w:val="0"/>
                <w:lang w:val="en-US"/>
              </w:rPr>
              <w:t>4 of 2015</w:t>
            </w:r>
          </w:p>
        </w:tc>
        <w:tc>
          <w:tcPr>
            <w:tcW w:w="1130" w:type="dxa"/>
            <w:gridSpan w:val="2"/>
            <w:tcBorders>
              <w:top w:val="nil"/>
              <w:bottom w:val="single" w:sz="4" w:space="0" w:color="auto"/>
            </w:tcBorders>
          </w:tcPr>
          <w:p>
            <w:pPr>
              <w:pStyle w:val="nTable"/>
              <w:spacing w:after="40"/>
            </w:pPr>
            <w:r>
              <w:t>3 Mar 2015</w:t>
            </w:r>
          </w:p>
        </w:tc>
        <w:tc>
          <w:tcPr>
            <w:tcW w:w="2542" w:type="dxa"/>
            <w:gridSpan w:val="2"/>
            <w:tcBorders>
              <w:top w:val="nil"/>
              <w:bottom w:val="single" w:sz="4" w:space="0" w:color="auto"/>
            </w:tcBorders>
          </w:tcPr>
          <w:p>
            <w:pPr>
              <w:pStyle w:val="nTable"/>
              <w:spacing w:after="40"/>
              <w:rPr>
                <w:snapToGrid w:val="0"/>
              </w:rPr>
            </w:pPr>
            <w:r>
              <w:rPr>
                <w:snapToGrid w:val="0"/>
                <w:lang w:val="en-US"/>
              </w:rPr>
              <w:t>To be proclaimed (see s. 2(b))</w:t>
            </w:r>
          </w:p>
        </w:tc>
      </w:tr>
    </w:tbl>
    <w:p>
      <w:pPr>
        <w:pStyle w:val="nSubsection"/>
        <w:spacing w:before="240"/>
      </w:pPr>
      <w:r>
        <w:rPr>
          <w:vertAlign w:val="superscript"/>
        </w:rPr>
        <w:t>2</w:t>
      </w:r>
      <w:r>
        <w:tab/>
        <w:t xml:space="preserve">The provisions in this Act amending those Acts have been omitted under the </w:t>
      </w:r>
      <w:r>
        <w:rPr>
          <w:i/>
        </w:rPr>
        <w:t>Reprints Act 1984</w:t>
      </w:r>
      <w:r>
        <w:t xml:space="preserve"> s. 7(4)(e).</w:t>
      </w:r>
    </w:p>
    <w:p>
      <w:pPr>
        <w:pStyle w:val="nSubsection"/>
      </w:pPr>
      <w:r>
        <w:rPr>
          <w:vertAlign w:val="superscript"/>
        </w:rPr>
        <w:t>3</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Subsection"/>
        <w:rPr>
          <w:spacing w:val="-2"/>
        </w:rPr>
      </w:pPr>
      <w:r>
        <w:rPr>
          <w:vertAlign w:val="superscript"/>
        </w:rPr>
        <w:t>4</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Subsection"/>
        <w:rPr>
          <w:vertAlign w:val="superscript"/>
        </w:rPr>
      </w:pPr>
      <w:r>
        <w:rPr>
          <w:vertAlign w:val="superscript"/>
        </w:rPr>
        <w:t>5</w:t>
      </w:r>
      <w:r>
        <w:tab/>
      </w:r>
      <w:r>
        <w:rPr>
          <w:i/>
        </w:rPr>
        <w:t xml:space="preserve">The Criminal Code </w:t>
      </w:r>
      <w:r>
        <w:t xml:space="preserve">s. 390B was repealed by the </w:t>
      </w:r>
      <w:r>
        <w:rPr>
          <w:i/>
          <w:snapToGrid w:val="0"/>
        </w:rPr>
        <w:t>Criminal Law Amendment (Simple Offences) Act 2004</w:t>
      </w:r>
      <w:r>
        <w:rPr>
          <w:snapToGrid w:val="0"/>
        </w:rPr>
        <w:t xml:space="preserve"> s. 26. </w:t>
      </w:r>
    </w:p>
    <w:p>
      <w:pPr>
        <w:pStyle w:val="nSubsection"/>
      </w:pPr>
      <w:r>
        <w:rPr>
          <w:vertAlign w:val="superscript"/>
        </w:rPr>
        <w:t>6</w:t>
      </w:r>
      <w:r>
        <w:rPr>
          <w:vertAlign w:val="superscript"/>
        </w:rPr>
        <w:tab/>
      </w:r>
      <w:r>
        <w:t xml:space="preserve">The </w:t>
      </w:r>
      <w:r>
        <w:rPr>
          <w:i/>
        </w:rPr>
        <w:t>Criminal Law Amendment Act 1996</w:t>
      </w:r>
      <w:r>
        <w:t xml:space="preserve"> Pt. 6 did not come into operation and was repealed by the </w:t>
      </w:r>
      <w:r>
        <w:rPr>
          <w:i/>
        </w:rPr>
        <w:t>Criminal Law Amendment Act (No. 2) 1998</w:t>
      </w:r>
      <w:r>
        <w:t xml:space="preserve"> s. 7.</w:t>
      </w:r>
    </w:p>
    <w:p>
      <w:pPr>
        <w:pStyle w:val="nSubsection"/>
      </w:pPr>
      <w:r>
        <w:rPr>
          <w:vertAlign w:val="superscript"/>
        </w:rPr>
        <w:t>7</w:t>
      </w:r>
      <w:r>
        <w:rPr>
          <w:vertAlign w:val="superscript"/>
        </w:rPr>
        <w:tab/>
      </w:r>
      <w:r>
        <w:t xml:space="preserve">The </w:t>
      </w:r>
      <w:r>
        <w:rPr>
          <w:i/>
        </w:rPr>
        <w:t>Sentencing Legislation Amendment and Repeal Act 1999</w:t>
      </w:r>
      <w:r>
        <w:t xml:space="preserve"> s. 26 did not come into operation and was repealed by the </w:t>
      </w:r>
      <w:r>
        <w:rPr>
          <w:i/>
        </w:rPr>
        <w:t>Sentencing Legislation Amendment and Repeal Act 2003</w:t>
      </w:r>
      <w:r>
        <w:t xml:space="preserve"> s. 31.</w:t>
      </w:r>
    </w:p>
    <w:p>
      <w:pPr>
        <w:pStyle w:val="nSubsection"/>
      </w:pPr>
      <w:r>
        <w:rPr>
          <w:vertAlign w:val="superscript"/>
        </w:rPr>
        <w:t>8</w:t>
      </w:r>
      <w:r>
        <w:tab/>
        <w:t xml:space="preserve">The </w:t>
      </w:r>
      <w:r>
        <w:rPr>
          <w:i/>
        </w:rPr>
        <w:t xml:space="preserve">Sentencing Amendment Act 2000 </w:t>
      </w:r>
      <w:r>
        <w:t>Pt. 2 Div. 2</w:t>
      </w:r>
      <w:r>
        <w:rPr>
          <w:i/>
        </w:rPr>
        <w:t xml:space="preserve"> </w:t>
      </w:r>
      <w:r>
        <w:t xml:space="preserve">did not come into operation and was repealed by the </w:t>
      </w:r>
      <w:r>
        <w:rPr>
          <w:i/>
        </w:rPr>
        <w:t xml:space="preserve">Sentencing Legislation Amendment and Repeal Act 2003 </w:t>
      </w:r>
      <w:r>
        <w:t>s. 32.</w:t>
      </w:r>
    </w:p>
    <w:p>
      <w:pPr>
        <w:pStyle w:val="nSubsection"/>
        <w:keepNext/>
      </w:pPr>
      <w:r>
        <w:rPr>
          <w:vertAlign w:val="superscript"/>
        </w:rPr>
        <w:t>9</w:t>
      </w:r>
      <w:r>
        <w:tab/>
        <w:t xml:space="preserve">The </w:t>
      </w:r>
      <w:r>
        <w:rPr>
          <w:i/>
        </w:rPr>
        <w:t>Inspector of Custodial Services Act 2003</w:t>
      </w:r>
      <w:r>
        <w:t xml:space="preserve"> s. 56(1), which gives effect to Sch. 2, reads as follows:</w:t>
      </w:r>
    </w:p>
    <w:p>
      <w:pPr>
        <w:pStyle w:val="BlankOpen"/>
      </w:pPr>
    </w:p>
    <w:p>
      <w:pPr>
        <w:pStyle w:val="nzHeading5"/>
        <w:spacing w:before="60"/>
        <w:rPr>
          <w:rStyle w:val="CharSectno"/>
        </w:rPr>
      </w:pPr>
      <w:r>
        <w:rPr>
          <w:rStyle w:val="CharSectno"/>
        </w:rPr>
        <w:t>56.</w:t>
      </w:r>
      <w:r>
        <w:rPr>
          <w:rStyle w:val="CharSectno"/>
        </w:rPr>
        <w:tab/>
        <w:t>Consequential amendments to other Acts and regulations</w:t>
      </w:r>
    </w:p>
    <w:p>
      <w:pPr>
        <w:pStyle w:val="nzSubsection"/>
      </w:pPr>
      <w:r>
        <w:tab/>
        <w:t>(1)</w:t>
      </w:r>
      <w:r>
        <w:tab/>
        <w:t>Schedule 2 has effect.</w:t>
      </w:r>
    </w:p>
    <w:p>
      <w:pPr>
        <w:pStyle w:val="BlankClose"/>
      </w:pPr>
    </w:p>
    <w:p>
      <w:pPr>
        <w:pStyle w:val="nSubsection"/>
        <w:keepNext/>
      </w:pPr>
      <w:r>
        <w:rPr>
          <w:snapToGrid w:val="0"/>
        </w:rPr>
        <w:tab/>
        <w:t>Schedule 2 cl. 7(3) reads as follows:</w:t>
      </w:r>
    </w:p>
    <w:p>
      <w:pPr>
        <w:pStyle w:val="BlankOpen"/>
      </w:pPr>
    </w:p>
    <w:p>
      <w:pPr>
        <w:pStyle w:val="nzHeading2"/>
        <w:rPr>
          <w:rStyle w:val="CharSchNo"/>
        </w:rPr>
      </w:pPr>
      <w:r>
        <w:rPr>
          <w:rStyle w:val="CharSchNo"/>
        </w:rPr>
        <w:t>Schedule 2 — Consequential amendments to Acts and regulations</w:t>
      </w:r>
    </w:p>
    <w:p>
      <w:pPr>
        <w:pStyle w:val="yShoulderClause"/>
        <w:rPr>
          <w:sz w:val="20"/>
        </w:rPr>
      </w:pPr>
      <w:r>
        <w:rPr>
          <w:sz w:val="20"/>
        </w:rPr>
        <w:t>[s. 56]</w:t>
      </w:r>
    </w:p>
    <w:p>
      <w:pPr>
        <w:pStyle w:val="BlankOpen"/>
      </w:pPr>
      <w:r>
        <w:t xml:space="preserve"> </w:t>
      </w: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BlankClose"/>
      </w:pPr>
    </w:p>
    <w:p>
      <w:pPr>
        <w:pStyle w:val="nSubsection"/>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BlankOpen"/>
        <w:rPr>
          <w:snapToGrid w:val="0"/>
        </w:rPr>
      </w:pPr>
    </w:p>
    <w:p>
      <w:pPr>
        <w:pStyle w:val="nzHeading5"/>
        <w:rPr>
          <w:snapToGrid w:val="0"/>
        </w:rPr>
      </w:pPr>
      <w:r>
        <w:t>6.</w:t>
      </w:r>
      <w:r>
        <w:tab/>
        <w:t>Section 11 amended and transitional</w:t>
      </w:r>
    </w:p>
    <w:p>
      <w:pPr>
        <w:pStyle w:val="nzSubsection"/>
      </w:pPr>
      <w:r>
        <w:tab/>
        <w:t>(3)</w:t>
      </w:r>
      <w:r>
        <w:tab/>
        <w:t>Schedule 1 has effect.</w:t>
      </w:r>
    </w:p>
    <w:p>
      <w:pPr>
        <w:pStyle w:val="BlankClose"/>
      </w:pPr>
    </w:p>
    <w:p>
      <w:pPr>
        <w:pStyle w:val="nSubsection"/>
        <w:keepNext/>
      </w:pPr>
      <w:r>
        <w:tab/>
        <w:t>Schedule 1 reads as follows:</w:t>
      </w:r>
    </w:p>
    <w:p>
      <w:pPr>
        <w:pStyle w:val="BlankOpen"/>
      </w:pP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bCs/>
          <w:i/>
          <w:iCs/>
        </w:rPr>
        <w:tab/>
        <w:t>commencement</w:t>
      </w:r>
      <w:r>
        <w:t xml:space="preserve"> means the day fixed as the day on which section 6 of this Act comes into operation;</w:t>
      </w:r>
    </w:p>
    <w:p>
      <w:pPr>
        <w:pStyle w:val="nzDefstart"/>
      </w:pPr>
      <w:r>
        <w:tab/>
      </w:r>
      <w:r>
        <w:rPr>
          <w:b/>
          <w:bCs/>
          <w:i/>
          <w:iCs/>
        </w:rPr>
        <w:t>principal Act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w:t>
      </w:r>
      <w:r>
        <w:rPr>
          <w:b/>
          <w:bCs/>
          <w:i/>
          <w:iCs/>
        </w:rPr>
        <w:t>group worker</w:t>
      </w:r>
      <w:r>
        <w:t>)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BlankClose"/>
      </w:pPr>
    </w:p>
    <w:p>
      <w:pPr>
        <w:pStyle w:val="nSubsection"/>
        <w:keepLines/>
        <w:spacing w:before="0"/>
        <w:rPr>
          <w:snapToGrid w:val="0"/>
        </w:rPr>
      </w:pPr>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36 </w:t>
      </w:r>
      <w:r>
        <w:rPr>
          <w:snapToGrid w:val="0"/>
        </w:rPr>
        <w:t>had not come into operation.  It reads as follows:</w:t>
      </w:r>
    </w:p>
    <w:p>
      <w:pPr>
        <w:pStyle w:val="BlankOpen"/>
      </w:pPr>
    </w:p>
    <w:p>
      <w:pPr>
        <w:pStyle w:val="nzHeading5"/>
      </w:pPr>
      <w:r>
        <w:rPr>
          <w:rStyle w:val="CharSectno"/>
        </w:rPr>
        <w:t>36</w:t>
      </w:r>
      <w:r>
        <w:t>.</w:t>
      </w:r>
      <w:r>
        <w:tab/>
      </w:r>
      <w:r>
        <w:rPr>
          <w:i/>
          <w:iCs/>
        </w:rPr>
        <w:t>Young Offenders Act 1994</w:t>
      </w:r>
      <w:r>
        <w:t xml:space="preserve"> amended</w:t>
      </w:r>
    </w:p>
    <w:p>
      <w:pPr>
        <w:pStyle w:val="nzSubsection"/>
      </w:pPr>
      <w:r>
        <w:tab/>
        <w:t>(1)</w:t>
      </w:r>
      <w:r>
        <w:tab/>
        <w:t xml:space="preserve">The amendments in this section are to the </w:t>
      </w:r>
      <w:r>
        <w:rPr>
          <w:i/>
          <w:iCs/>
        </w:rPr>
        <w:t>Young Offenders Act 1994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MiscOpen"/>
        <w:ind w:left="567"/>
      </w:pPr>
      <w:r>
        <w:t xml:space="preserve">“    </w:t>
      </w:r>
    </w:p>
    <w:tbl>
      <w:tblPr>
        <w:tblW w:w="0" w:type="auto"/>
        <w:tblInd w:w="1525" w:type="dxa"/>
        <w:tblLook w:val="0000" w:firstRow="0" w:lastRow="0" w:firstColumn="0" w:lastColumn="0" w:noHBand="0" w:noVBand="0"/>
      </w:tblPr>
      <w:tblGrid>
        <w:gridCol w:w="806"/>
        <w:gridCol w:w="4981"/>
      </w:tblGrid>
      <w:tr>
        <w:trPr>
          <w:cantSplit/>
        </w:trPr>
        <w:tc>
          <w:tcPr>
            <w:tcW w:w="5787" w:type="dxa"/>
            <w:gridSpan w:val="2"/>
          </w:tcPr>
          <w:p>
            <w:pPr>
              <w:pStyle w:val="nzTable"/>
            </w:pPr>
            <w:r>
              <w:rPr>
                <w:b/>
                <w:bCs/>
              </w:rPr>
              <w:t>2A.</w:t>
            </w:r>
            <w:r>
              <w:rPr>
                <w:b/>
                <w:bCs/>
              </w:rPr>
              <w:tab/>
            </w:r>
            <w:r>
              <w:rPr>
                <w:b/>
                <w:bCs/>
                <w:i/>
                <w:iCs/>
              </w:rPr>
              <w:t>Sexual Services Act 2000</w:t>
            </w:r>
          </w:p>
        </w:tc>
      </w:tr>
      <w:tr>
        <w:tc>
          <w:tcPr>
            <w:tcW w:w="806" w:type="dxa"/>
          </w:tcPr>
          <w:p>
            <w:pPr>
              <w:pStyle w:val="nzTable"/>
            </w:pPr>
            <w:r>
              <w:t>s. 7</w:t>
            </w:r>
          </w:p>
        </w:tc>
        <w:tc>
          <w:tcPr>
            <w:tcW w:w="4981" w:type="dxa"/>
          </w:tcPr>
          <w:p>
            <w:pPr>
              <w:pStyle w:val="nzTable"/>
            </w:pPr>
            <w:r>
              <w:t>Seeking to induce person to act as a sex worker</w:t>
            </w:r>
          </w:p>
        </w:tc>
      </w:tr>
      <w:tr>
        <w:trPr>
          <w:cantSplit/>
        </w:trPr>
        <w:tc>
          <w:tcPr>
            <w:tcW w:w="806" w:type="dxa"/>
          </w:tcPr>
          <w:p>
            <w:pPr>
              <w:pStyle w:val="nzTable"/>
            </w:pPr>
            <w:r>
              <w:t>s. 16</w:t>
            </w:r>
          </w:p>
        </w:tc>
        <w:tc>
          <w:tcPr>
            <w:tcW w:w="4981" w:type="dxa"/>
          </w:tcPr>
          <w:p>
            <w:pPr>
              <w:pStyle w:val="nzTable"/>
              <w:keepNext/>
              <w:keepLines/>
            </w:pPr>
            <w:r>
              <w:t>Causing, permitting or seeking to induce a child to act as a sex worker</w:t>
            </w:r>
          </w:p>
        </w:tc>
      </w:tr>
      <w:tr>
        <w:tc>
          <w:tcPr>
            <w:tcW w:w="806" w:type="dxa"/>
          </w:tcPr>
          <w:p>
            <w:pPr>
              <w:pStyle w:val="nzTable"/>
              <w:keepNext/>
              <w:keepLines/>
            </w:pPr>
            <w:r>
              <w:t>s. 17</w:t>
            </w:r>
          </w:p>
        </w:tc>
        <w:tc>
          <w:tcPr>
            <w:tcW w:w="4981" w:type="dxa"/>
          </w:tcPr>
          <w:p>
            <w:pPr>
              <w:pStyle w:val="nzTable"/>
              <w:keepNext/>
              <w:keepLines/>
            </w:pPr>
            <w:r>
              <w:t>Obtaining payment for commercial sexual act by a child</w:t>
            </w:r>
          </w:p>
        </w:tc>
      </w:tr>
      <w:tr>
        <w:tc>
          <w:tcPr>
            <w:tcW w:w="806" w:type="dxa"/>
          </w:tcPr>
          <w:p>
            <w:pPr>
              <w:pStyle w:val="nzTable"/>
            </w:pPr>
            <w:r>
              <w:t>s. 18</w:t>
            </w:r>
          </w:p>
        </w:tc>
        <w:tc>
          <w:tcPr>
            <w:tcW w:w="4981" w:type="dxa"/>
          </w:tcPr>
          <w:p>
            <w:pPr>
              <w:pStyle w:val="nzTable"/>
            </w:pPr>
            <w:r>
              <w:t>Agreement for a child to act as a sex worker</w:t>
            </w:r>
          </w:p>
        </w:tc>
      </w:tr>
    </w:tbl>
    <w:p>
      <w:pPr>
        <w:pStyle w:val="MiscClose"/>
      </w:pPr>
      <w:r>
        <w:t xml:space="preserve">    ”.</w:t>
      </w:r>
    </w:p>
    <w:p>
      <w:pPr>
        <w:pStyle w:val="BlankClose"/>
      </w:pPr>
    </w:p>
    <w:p>
      <w:pPr>
        <w:pStyle w:val="nSubsection"/>
        <w:rPr>
          <w:del w:id="670" w:author="svcMRProcess" w:date="2020-02-21T14:22:00Z"/>
          <w:snapToGrid w:val="0"/>
        </w:rPr>
      </w:pPr>
      <w:del w:id="671" w:author="svcMRProcess" w:date="2020-02-21T14:22:00Z">
        <w:r>
          <w:rPr>
            <w:snapToGrid w:val="0"/>
            <w:vertAlign w:val="superscript"/>
          </w:rPr>
          <w:delText>12</w:delText>
        </w:r>
        <w:r>
          <w:rPr>
            <w:snapToGrid w:val="0"/>
          </w:rPr>
          <w:tab/>
        </w:r>
        <w:r>
          <w:delText xml:space="preserve">On the date as at which this reprint was prepared, </w:delText>
        </w:r>
        <w:r>
          <w:rPr>
            <w:snapToGrid w:val="0"/>
          </w:rPr>
          <w:delText xml:space="preserve">the </w:delText>
        </w:r>
        <w:r>
          <w:rPr>
            <w:i/>
            <w:snapToGrid w:val="0"/>
          </w:rPr>
          <w:delText xml:space="preserve">Road Traffic Legislation Amendment Act 2012 </w:delText>
        </w:r>
        <w:r>
          <w:rPr>
            <w:snapToGrid w:val="0"/>
          </w:rPr>
          <w:delText>Pt. 4 Div. 54 had not come into operation.  It reads as follows:</w:delText>
        </w:r>
      </w:del>
    </w:p>
    <w:p>
      <w:pPr>
        <w:pStyle w:val="BlankOpen"/>
        <w:rPr>
          <w:del w:id="672" w:author="svcMRProcess" w:date="2020-02-21T14:22:00Z"/>
          <w:snapToGrid w:val="0"/>
        </w:rPr>
      </w:pPr>
    </w:p>
    <w:p>
      <w:pPr>
        <w:pStyle w:val="nzHeading3"/>
        <w:rPr>
          <w:del w:id="673" w:author="svcMRProcess" w:date="2020-02-21T14:22:00Z"/>
        </w:rPr>
      </w:pPr>
      <w:del w:id="674" w:author="svcMRProcess" w:date="2020-02-21T14:22:00Z">
        <w:r>
          <w:rPr>
            <w:rStyle w:val="CharDivNo"/>
          </w:rPr>
          <w:delText>Division 54</w:delText>
        </w:r>
        <w:r>
          <w:delText> — </w:delText>
        </w:r>
        <w:r>
          <w:rPr>
            <w:rStyle w:val="CharDivText"/>
            <w:i/>
            <w:iCs/>
          </w:rPr>
          <w:delText>Young Offenders Act 1994</w:delText>
        </w:r>
        <w:r>
          <w:rPr>
            <w:rStyle w:val="CharDivText"/>
          </w:rPr>
          <w:delText xml:space="preserve"> amended</w:delText>
        </w:r>
      </w:del>
    </w:p>
    <w:p>
      <w:pPr>
        <w:pStyle w:val="nzHeading5"/>
        <w:rPr>
          <w:del w:id="675" w:author="svcMRProcess" w:date="2020-02-21T14:22:00Z"/>
          <w:snapToGrid w:val="0"/>
        </w:rPr>
      </w:pPr>
      <w:del w:id="676" w:author="svcMRProcess" w:date="2020-02-21T14:22:00Z">
        <w:r>
          <w:rPr>
            <w:rStyle w:val="CharSectno"/>
          </w:rPr>
          <w:delText>200</w:delText>
        </w:r>
        <w:r>
          <w:rPr>
            <w:snapToGrid w:val="0"/>
          </w:rPr>
          <w:delText>.</w:delText>
        </w:r>
        <w:r>
          <w:rPr>
            <w:snapToGrid w:val="0"/>
          </w:rPr>
          <w:tab/>
          <w:delText>Act amended</w:delText>
        </w:r>
      </w:del>
    </w:p>
    <w:p>
      <w:pPr>
        <w:pStyle w:val="nzSubsection"/>
        <w:rPr>
          <w:del w:id="677" w:author="svcMRProcess" w:date="2020-02-21T14:22:00Z"/>
        </w:rPr>
      </w:pPr>
      <w:del w:id="678" w:author="svcMRProcess" w:date="2020-02-21T14:22:00Z">
        <w:r>
          <w:tab/>
        </w:r>
        <w:r>
          <w:tab/>
          <w:delText xml:space="preserve">This Division amends the </w:delText>
        </w:r>
        <w:r>
          <w:rPr>
            <w:i/>
          </w:rPr>
          <w:delText>Young Offenders Act 1994</w:delText>
        </w:r>
        <w:r>
          <w:delText>.</w:delText>
        </w:r>
      </w:del>
    </w:p>
    <w:p>
      <w:pPr>
        <w:pStyle w:val="nzHeading5"/>
        <w:rPr>
          <w:del w:id="679" w:author="svcMRProcess" w:date="2020-02-21T14:22:00Z"/>
        </w:rPr>
      </w:pPr>
      <w:del w:id="680" w:author="svcMRProcess" w:date="2020-02-21T14:22:00Z">
        <w:r>
          <w:rPr>
            <w:rStyle w:val="CharSectno"/>
          </w:rPr>
          <w:delText>201</w:delText>
        </w:r>
        <w:r>
          <w:delText>.</w:delText>
        </w:r>
        <w:r>
          <w:tab/>
          <w:delText>Section 46 amended</w:delText>
        </w:r>
      </w:del>
    </w:p>
    <w:p>
      <w:pPr>
        <w:pStyle w:val="nzSubsection"/>
        <w:rPr>
          <w:del w:id="681" w:author="svcMRProcess" w:date="2020-02-21T14:22:00Z"/>
        </w:rPr>
      </w:pPr>
      <w:del w:id="682" w:author="svcMRProcess" w:date="2020-02-21T14:22:00Z">
        <w:r>
          <w:tab/>
        </w:r>
        <w:r>
          <w:tab/>
          <w:delText xml:space="preserve">In section 46(5a) delete “section 106 of the </w:delText>
        </w:r>
        <w:r>
          <w:rPr>
            <w:i/>
            <w:iCs/>
          </w:rPr>
          <w:delText>Road Traffic Act 1974</w:delText>
        </w:r>
        <w:r>
          <w:delText>” and insert:</w:delText>
        </w:r>
      </w:del>
    </w:p>
    <w:p>
      <w:pPr>
        <w:pStyle w:val="BlankOpen"/>
        <w:rPr>
          <w:del w:id="683" w:author="svcMRProcess" w:date="2020-02-21T14:22:00Z"/>
        </w:rPr>
      </w:pPr>
    </w:p>
    <w:p>
      <w:pPr>
        <w:pStyle w:val="nzSubsection"/>
        <w:rPr>
          <w:del w:id="684" w:author="svcMRProcess" w:date="2020-02-21T14:22:00Z"/>
        </w:rPr>
      </w:pPr>
      <w:del w:id="685" w:author="svcMRProcess" w:date="2020-02-21T14:22:00Z">
        <w:r>
          <w:tab/>
        </w:r>
        <w:r>
          <w:tab/>
          <w:delText xml:space="preserve">the </w:delText>
        </w:r>
        <w:r>
          <w:rPr>
            <w:i/>
            <w:iCs/>
          </w:rPr>
          <w:delText>Road Traffic (Administration) Act 2008</w:delText>
        </w:r>
        <w:r>
          <w:delText xml:space="preserve"> section 121</w:delText>
        </w:r>
      </w:del>
    </w:p>
    <w:p>
      <w:pPr>
        <w:pStyle w:val="BlankClose"/>
        <w:rPr>
          <w:del w:id="686" w:author="svcMRProcess" w:date="2020-02-21T14:22:00Z"/>
        </w:rPr>
      </w:pPr>
    </w:p>
    <w:p>
      <w:pPr>
        <w:pStyle w:val="nzHeading5"/>
        <w:rPr>
          <w:del w:id="687" w:author="svcMRProcess" w:date="2020-02-21T14:22:00Z"/>
        </w:rPr>
      </w:pPr>
      <w:del w:id="688" w:author="svcMRProcess" w:date="2020-02-21T14:22:00Z">
        <w:r>
          <w:rPr>
            <w:rStyle w:val="CharSectno"/>
          </w:rPr>
          <w:delText>202</w:delText>
        </w:r>
        <w:r>
          <w:delText>.</w:delText>
        </w:r>
        <w:r>
          <w:tab/>
          <w:delText>Section 55 amended</w:delText>
        </w:r>
      </w:del>
    </w:p>
    <w:p>
      <w:pPr>
        <w:pStyle w:val="nzSubsection"/>
        <w:rPr>
          <w:del w:id="689" w:author="svcMRProcess" w:date="2020-02-21T14:22:00Z"/>
        </w:rPr>
      </w:pPr>
      <w:del w:id="690" w:author="svcMRProcess" w:date="2020-02-21T14:22:00Z">
        <w:r>
          <w:tab/>
        </w:r>
        <w:r>
          <w:tab/>
          <w:delText>In section 55(4):</w:delText>
        </w:r>
      </w:del>
    </w:p>
    <w:p>
      <w:pPr>
        <w:pStyle w:val="nzIndenta"/>
        <w:rPr>
          <w:del w:id="691" w:author="svcMRProcess" w:date="2020-02-21T14:22:00Z"/>
        </w:rPr>
      </w:pPr>
      <w:del w:id="692" w:author="svcMRProcess" w:date="2020-02-21T14:22:00Z">
        <w:r>
          <w:tab/>
          <w:delText>(a)</w:delText>
        </w:r>
        <w:r>
          <w:tab/>
          <w:delText xml:space="preserve">delete “the </w:delText>
        </w:r>
        <w:r>
          <w:rPr>
            <w:i/>
            <w:iCs/>
          </w:rPr>
          <w:delText>Road Traffic Act 1974</w:delText>
        </w:r>
        <w:r>
          <w:delText>” and insert:</w:delText>
        </w:r>
      </w:del>
    </w:p>
    <w:p>
      <w:pPr>
        <w:pStyle w:val="BlankOpen"/>
        <w:rPr>
          <w:del w:id="693" w:author="svcMRProcess" w:date="2020-02-21T14:22:00Z"/>
        </w:rPr>
      </w:pPr>
    </w:p>
    <w:p>
      <w:pPr>
        <w:pStyle w:val="nzSubsection"/>
        <w:rPr>
          <w:del w:id="694" w:author="svcMRProcess" w:date="2020-02-21T14:22:00Z"/>
        </w:rPr>
      </w:pPr>
      <w:del w:id="695" w:author="svcMRProcess" w:date="2020-02-21T14:22:00Z">
        <w:r>
          <w:tab/>
        </w:r>
        <w:r>
          <w:tab/>
          <w:delText xml:space="preserve">a road law as defined in the </w:delText>
        </w:r>
        <w:r>
          <w:rPr>
            <w:i/>
            <w:iCs/>
          </w:rPr>
          <w:delText xml:space="preserve">Road Traffic (Administration) Act 2008 </w:delText>
        </w:r>
        <w:r>
          <w:delText>section 4</w:delText>
        </w:r>
      </w:del>
    </w:p>
    <w:p>
      <w:pPr>
        <w:pStyle w:val="BlankClose"/>
        <w:rPr>
          <w:del w:id="696" w:author="svcMRProcess" w:date="2020-02-21T14:22:00Z"/>
        </w:rPr>
      </w:pPr>
    </w:p>
    <w:p>
      <w:pPr>
        <w:pStyle w:val="nzIndenta"/>
        <w:rPr>
          <w:del w:id="697" w:author="svcMRProcess" w:date="2020-02-21T14:22:00Z"/>
        </w:rPr>
      </w:pPr>
      <w:del w:id="698" w:author="svcMRProcess" w:date="2020-02-21T14:22:00Z">
        <w:r>
          <w:tab/>
          <w:delText>(b)</w:delText>
        </w:r>
        <w:r>
          <w:tab/>
          <w:delText>delete “under that Act” and insert:</w:delText>
        </w:r>
      </w:del>
    </w:p>
    <w:p>
      <w:pPr>
        <w:pStyle w:val="BlankOpen"/>
        <w:keepNext w:val="0"/>
        <w:rPr>
          <w:del w:id="699" w:author="svcMRProcess" w:date="2020-02-21T14:22:00Z"/>
        </w:rPr>
      </w:pPr>
    </w:p>
    <w:p>
      <w:pPr>
        <w:pStyle w:val="nzIndenta"/>
        <w:rPr>
          <w:del w:id="700" w:author="svcMRProcess" w:date="2020-02-21T14:22:00Z"/>
        </w:rPr>
      </w:pPr>
      <w:del w:id="701" w:author="svcMRProcess" w:date="2020-02-21T14:22:00Z">
        <w:r>
          <w:tab/>
        </w:r>
        <w:r>
          <w:tab/>
          <w:delText>as defined in that section</w:delText>
        </w:r>
      </w:del>
    </w:p>
    <w:p>
      <w:pPr>
        <w:pStyle w:val="BlankClose"/>
        <w:rPr>
          <w:del w:id="702" w:author="svcMRProcess" w:date="2020-02-21T14:22:00Z"/>
        </w:rPr>
      </w:pPr>
    </w:p>
    <w:p>
      <w:pPr>
        <w:pStyle w:val="nzHeading5"/>
        <w:rPr>
          <w:del w:id="703" w:author="svcMRProcess" w:date="2020-02-21T14:22:00Z"/>
        </w:rPr>
      </w:pPr>
      <w:del w:id="704" w:author="svcMRProcess" w:date="2020-02-21T14:22:00Z">
        <w:r>
          <w:rPr>
            <w:rStyle w:val="CharSectno"/>
          </w:rPr>
          <w:delText>203</w:delText>
        </w:r>
        <w:r>
          <w:delText>.</w:delText>
        </w:r>
        <w:r>
          <w:tab/>
          <w:delText>Section 189 amended</w:delText>
        </w:r>
      </w:del>
    </w:p>
    <w:p>
      <w:pPr>
        <w:pStyle w:val="nzSubsection"/>
        <w:rPr>
          <w:del w:id="705" w:author="svcMRProcess" w:date="2020-02-21T14:22:00Z"/>
        </w:rPr>
      </w:pPr>
      <w:del w:id="706" w:author="svcMRProcess" w:date="2020-02-21T14:22:00Z">
        <w:r>
          <w:tab/>
        </w:r>
        <w:r>
          <w:tab/>
          <w:delText xml:space="preserve">In section 189(8)(c) delete “issued under the </w:delText>
        </w:r>
        <w:r>
          <w:rPr>
            <w:i/>
            <w:iCs/>
          </w:rPr>
          <w:delText>Road Traffic Act 1974</w:delText>
        </w:r>
        <w:r>
          <w:delText>; or” and insert:</w:delText>
        </w:r>
      </w:del>
    </w:p>
    <w:p>
      <w:pPr>
        <w:pStyle w:val="BlankOpen"/>
        <w:rPr>
          <w:del w:id="707" w:author="svcMRProcess" w:date="2020-02-21T14:22:00Z"/>
        </w:rPr>
      </w:pPr>
    </w:p>
    <w:p>
      <w:pPr>
        <w:pStyle w:val="nzIndenta"/>
        <w:rPr>
          <w:del w:id="708" w:author="svcMRProcess" w:date="2020-02-21T14:22:00Z"/>
        </w:rPr>
      </w:pPr>
      <w:del w:id="709" w:author="svcMRProcess" w:date="2020-02-21T14:22:00Z">
        <w:r>
          <w:tab/>
        </w:r>
        <w:r>
          <w:tab/>
          <w:delText xml:space="preserve">as that term is defined in the </w:delText>
        </w:r>
        <w:r>
          <w:rPr>
            <w:i/>
            <w:iCs/>
          </w:rPr>
          <w:delText>Road Traffic (Administration) Act 2008</w:delText>
        </w:r>
        <w:r>
          <w:delText xml:space="preserve"> section 4; or</w:delText>
        </w:r>
      </w:del>
    </w:p>
    <w:p>
      <w:pPr>
        <w:pStyle w:val="BlankClose"/>
        <w:rPr>
          <w:del w:id="710" w:author="svcMRProcess" w:date="2020-02-21T14:22:00Z"/>
        </w:rPr>
      </w:pPr>
    </w:p>
    <w:p>
      <w:pPr>
        <w:pStyle w:val="BlankClose"/>
        <w:rPr>
          <w:del w:id="711" w:author="svcMRProcess" w:date="2020-02-21T14:22:00Z"/>
        </w:rPr>
      </w:pPr>
    </w:p>
    <w:p>
      <w:pPr>
        <w:pStyle w:val="nSubsection"/>
        <w:rPr>
          <w:ins w:id="712" w:author="svcMRProcess" w:date="2020-02-21T14:22:00Z"/>
          <w:snapToGrid w:val="0"/>
        </w:rPr>
      </w:pPr>
      <w:ins w:id="713" w:author="svcMRProcess" w:date="2020-02-21T14:22:00Z">
        <w:r>
          <w:rPr>
            <w:snapToGrid w:val="0"/>
            <w:vertAlign w:val="superscript"/>
          </w:rPr>
          <w:t>12</w:t>
        </w:r>
        <w:r>
          <w:rPr>
            <w:snapToGrid w:val="0"/>
            <w:vertAlign w:val="superscript"/>
          </w:rPr>
          <w:tab/>
        </w:r>
        <w:r>
          <w:rPr>
            <w:snapToGrid w:val="0"/>
          </w:rPr>
          <w:t>Footnote no longer applicable.</w:t>
        </w:r>
      </w:ins>
    </w:p>
    <w:p>
      <w:pPr>
        <w:pStyle w:val="nSubsection"/>
      </w:pPr>
      <w:r>
        <w:rPr>
          <w:snapToGrid w:val="0"/>
          <w:vertAlign w:val="superscript"/>
        </w:rPr>
        <w:t>13</w:t>
      </w:r>
      <w:r>
        <w:rPr>
          <w:snapToGrid w:val="0"/>
        </w:rPr>
        <w:tab/>
        <w:t xml:space="preserve">On </w:t>
      </w:r>
      <w:r>
        <w:t>the</w:t>
      </w:r>
      <w:r>
        <w:rPr>
          <w:snapToGrid w:val="0"/>
        </w:rPr>
        <w:t xml:space="preserve"> date as at which this compilation was prepared, the </w:t>
      </w:r>
      <w:r>
        <w:rPr>
          <w:i/>
          <w:snapToGrid w:val="0"/>
        </w:rPr>
        <w:t>Courts and Tribunals (Electronic Processes Facilitation) Act 2013</w:t>
      </w:r>
      <w:r>
        <w:rPr>
          <w:snapToGrid w:val="0"/>
        </w:rPr>
        <w:t xml:space="preserve"> s. 138 and 139 had not come into operation.  They read as follows:</w:t>
      </w:r>
    </w:p>
    <w:p>
      <w:pPr>
        <w:pStyle w:val="BlankClose"/>
        <w:suppressLineNumbers/>
      </w:pPr>
    </w:p>
    <w:p>
      <w:pPr>
        <w:pStyle w:val="nzHeading2"/>
      </w:pPr>
      <w:r>
        <w:rPr>
          <w:rStyle w:val="CharPartNo"/>
        </w:rPr>
        <w:t>Part 3</w:t>
      </w:r>
      <w:r>
        <w:t> — </w:t>
      </w:r>
      <w:r>
        <w:rPr>
          <w:rStyle w:val="CharPartText"/>
        </w:rPr>
        <w:t>Amendments to other Acts</w:t>
      </w:r>
    </w:p>
    <w:p>
      <w:pPr>
        <w:pStyle w:val="nzHeading3"/>
      </w:pPr>
      <w:r>
        <w:rPr>
          <w:rStyle w:val="CharDivNo"/>
        </w:rPr>
        <w:t>Division 21</w:t>
      </w:r>
      <w:r>
        <w:t> — </w:t>
      </w:r>
      <w:r>
        <w:rPr>
          <w:rStyle w:val="CharDivText"/>
          <w:i/>
        </w:rPr>
        <w:t>Young Offenders Act 1994</w:t>
      </w:r>
      <w:r>
        <w:rPr>
          <w:rStyle w:val="CharDivText"/>
        </w:rPr>
        <w:t xml:space="preserve"> amended</w:t>
      </w:r>
    </w:p>
    <w:p>
      <w:pPr>
        <w:pStyle w:val="BlankClose"/>
      </w:pPr>
    </w:p>
    <w:p>
      <w:pPr>
        <w:pStyle w:val="nzHeading5"/>
      </w:pPr>
      <w:r>
        <w:rPr>
          <w:rStyle w:val="CharSectno"/>
        </w:rPr>
        <w:t>138</w:t>
      </w:r>
      <w:r>
        <w:t>.</w:t>
      </w:r>
      <w:r>
        <w:tab/>
        <w:t>Section 43 amended</w:t>
      </w:r>
    </w:p>
    <w:p>
      <w:pPr>
        <w:pStyle w:val="nzSubsection"/>
      </w:pPr>
      <w:r>
        <w:tab/>
        <w:t>(1)</w:t>
      </w:r>
      <w:r>
        <w:tab/>
        <w:t>Delete section 43(5) and insert:</w:t>
      </w:r>
    </w:p>
    <w:p>
      <w:pPr>
        <w:pStyle w:val="BlankOpen"/>
      </w:pPr>
    </w:p>
    <w:p>
      <w:pPr>
        <w:pStyle w:val="nzSubsection"/>
      </w:pPr>
      <w:r>
        <w:tab/>
        <w:t>(5)</w:t>
      </w:r>
      <w:r>
        <w:tab/>
        <w:t xml:space="preserve">A copy of a notice to attend court issued to a young person is to be given to a person who is a responsible adult in one of the following ways — </w:t>
      </w:r>
    </w:p>
    <w:p>
      <w:pPr>
        <w:pStyle w:val="nzIndenta"/>
      </w:pPr>
      <w:r>
        <w:tab/>
        <w:t>(a)</w:t>
      </w:r>
      <w:r>
        <w:tab/>
        <w:t>by serving it personally on the responsible adult;</w:t>
      </w:r>
    </w:p>
    <w:p>
      <w:pPr>
        <w:pStyle w:val="nzIndenta"/>
      </w:pPr>
      <w:r>
        <w:tab/>
        <w:t>(b)</w:t>
      </w:r>
      <w:r>
        <w:tab/>
        <w:t>by giving it electronically to the responsible adult in accordance with the regulations;</w:t>
      </w:r>
    </w:p>
    <w:p>
      <w:pPr>
        <w:pStyle w:val="nzIndenta"/>
      </w:pPr>
      <w:r>
        <w:tab/>
        <w:t>(c)</w:t>
      </w:r>
      <w:r>
        <w:tab/>
        <w:t>by sending it by post to the address of the responsible adult.</w:t>
      </w:r>
    </w:p>
    <w:p>
      <w:pPr>
        <w:pStyle w:val="nzSubsection"/>
      </w:pPr>
      <w:r>
        <w:tab/>
        <w:t>(6A)</w:t>
      </w:r>
      <w:r>
        <w:tab/>
        <w:t xml:space="preserve">However, subsection (5) does not apply if, after reasonable enquiry — </w:t>
      </w:r>
    </w:p>
    <w:p>
      <w:pPr>
        <w:pStyle w:val="nzIndenta"/>
      </w:pPr>
      <w:r>
        <w:tab/>
        <w:t>(a)</w:t>
      </w:r>
      <w:r>
        <w:tab/>
        <w:t>neither the whereabouts nor the address of the responsible adult can be ascertained; and</w:t>
      </w:r>
    </w:p>
    <w:p>
      <w:pPr>
        <w:pStyle w:val="nzIndenta"/>
      </w:pPr>
      <w:r>
        <w:tab/>
        <w:t>(b)</w:t>
      </w:r>
      <w:r>
        <w:tab/>
        <w:t>a way of giving a copy of the notice electronically to the responsible adult in accordance with the regulations cannot be found.</w:t>
      </w:r>
    </w:p>
    <w:p>
      <w:pPr>
        <w:pStyle w:val="BlankClose"/>
      </w:pPr>
    </w:p>
    <w:p>
      <w:pPr>
        <w:pStyle w:val="nzSubsection"/>
      </w:pPr>
      <w:r>
        <w:tab/>
        <w:t>(2)</w:t>
      </w:r>
      <w:r>
        <w:tab/>
        <w:t>Delete section 43(6)(d) and insert:</w:t>
      </w:r>
    </w:p>
    <w:p>
      <w:pPr>
        <w:pStyle w:val="BlankOpen"/>
      </w:pPr>
    </w:p>
    <w:p>
      <w:pPr>
        <w:pStyle w:val="nzIndenta"/>
      </w:pPr>
      <w:r>
        <w:tab/>
        <w:t>(da)</w:t>
      </w:r>
      <w:r>
        <w:tab/>
        <w:t>the person electronically gave to a person who is a responsible adult a copy of a notice to attend court; or</w:t>
      </w:r>
    </w:p>
    <w:p>
      <w:pPr>
        <w:pStyle w:val="nzIndenta"/>
      </w:pPr>
      <w:r>
        <w:tab/>
        <w:t>(d)</w:t>
      </w:r>
      <w:r>
        <w:tab/>
        <w:t xml:space="preserve">after the person has made reasonable enquiry — </w:t>
      </w:r>
    </w:p>
    <w:p>
      <w:pPr>
        <w:pStyle w:val="nzIndenti"/>
      </w:pPr>
      <w:r>
        <w:tab/>
        <w:t>(i)</w:t>
      </w:r>
      <w:r>
        <w:tab/>
        <w:t>neither the whereabouts nor the address of a responsible adult could be ascertained; and</w:t>
      </w:r>
    </w:p>
    <w:p>
      <w:pPr>
        <w:pStyle w:val="nzIndenti"/>
      </w:pPr>
      <w:r>
        <w:tab/>
        <w:t>(ii)</w:t>
      </w:r>
      <w:r>
        <w:tab/>
        <w:t>a way of giving a copy of the notice electronically to a responsible adult in accordance with the regulations could not be found,</w:t>
      </w:r>
    </w:p>
    <w:p>
      <w:pPr>
        <w:pStyle w:val="BlankClose"/>
      </w:pPr>
    </w:p>
    <w:p>
      <w:pPr>
        <w:pStyle w:val="nzHeading5"/>
      </w:pPr>
      <w:r>
        <w:rPr>
          <w:rStyle w:val="CharSectno"/>
        </w:rPr>
        <w:t>139</w:t>
      </w:r>
      <w:r>
        <w:t>.</w:t>
      </w:r>
      <w:r>
        <w:tab/>
        <w:t>Section 45 amended</w:t>
      </w:r>
    </w:p>
    <w:p>
      <w:pPr>
        <w:pStyle w:val="nzSubsection"/>
      </w:pPr>
      <w:r>
        <w:tab/>
      </w:r>
      <w:r>
        <w:tab/>
        <w:t>In section 45(1) delete “personally on” and insert:</w:t>
      </w:r>
    </w:p>
    <w:p>
      <w:pPr>
        <w:pStyle w:val="BlankOpen"/>
      </w:pPr>
    </w:p>
    <w:p>
      <w:pPr>
        <w:pStyle w:val="nzSubsection"/>
      </w:pPr>
      <w:r>
        <w:tab/>
      </w:r>
      <w:r>
        <w:tab/>
        <w:t>(either personally, or electronically in accordance with the regulations) on a person who is a responsible adult,</w:t>
      </w:r>
    </w:p>
    <w:p>
      <w:pPr>
        <w:pStyle w:val="BlankClose"/>
      </w:pPr>
    </w:p>
    <w:p>
      <w:pPr>
        <w:pStyle w:val="BlankClose"/>
        <w:suppressLineNumbers/>
      </w:pPr>
    </w:p>
    <w:p>
      <w:pPr>
        <w:pStyle w:val="nSubsection"/>
        <w:keepNext/>
        <w:keepLines/>
        <w:rPr>
          <w:snapToGrid w:val="0"/>
        </w:rPr>
      </w:pPr>
      <w:r>
        <w:rPr>
          <w:snapToGrid w:val="0"/>
          <w:vertAlign w:val="superscript"/>
        </w:rPr>
        <w:t>14</w:t>
      </w:r>
      <w:r>
        <w:rPr>
          <w:snapToGrid w:val="0"/>
        </w:rPr>
        <w:tab/>
      </w:r>
      <w:r>
        <w:t xml:space="preserve">On the date as at which this compilation was prepared, </w:t>
      </w:r>
      <w:r>
        <w:rPr>
          <w:snapToGrid w:val="0"/>
        </w:rPr>
        <w:t xml:space="preserve">the </w:t>
      </w:r>
      <w:r>
        <w:rPr>
          <w:i/>
        </w:rPr>
        <w:t>Mental Health Legislation Amendment Act 2014</w:t>
      </w:r>
      <w:r>
        <w:t xml:space="preserve"> Pt. 4 Div. 4 Subdiv. 24</w:t>
      </w:r>
      <w:r>
        <w:rPr>
          <w:snapToGrid w:val="0"/>
        </w:rPr>
        <w:t xml:space="preserve"> had not come into operation.  It reads as follows:</w:t>
      </w:r>
    </w:p>
    <w:p>
      <w:pPr>
        <w:pStyle w:val="BlankOpen"/>
        <w:rPr>
          <w:rStyle w:val="CharPartText"/>
        </w:rPr>
      </w:pPr>
    </w:p>
    <w:p>
      <w:pPr>
        <w:pStyle w:val="nzHeading2"/>
        <w:rPr>
          <w:rStyle w:val="CharPartText"/>
          <w:b w:val="0"/>
          <w:sz w:val="18"/>
        </w:rPr>
      </w:pPr>
      <w:r>
        <w:rPr>
          <w:rStyle w:val="CharPartNo"/>
        </w:rPr>
        <w:t>Part 4</w:t>
      </w:r>
      <w:r>
        <w:t> — </w:t>
      </w:r>
      <w:r>
        <w:rPr>
          <w:rStyle w:val="CharPartText"/>
        </w:rPr>
        <w:t>Amendments to other Acts</w:t>
      </w:r>
    </w:p>
    <w:p>
      <w:pPr>
        <w:pStyle w:val="nzHeading3"/>
        <w:rPr>
          <w:rStyle w:val="CharPartText"/>
          <w:b w:val="0"/>
          <w:sz w:val="18"/>
        </w:rPr>
      </w:pPr>
      <w:r>
        <w:rPr>
          <w:rStyle w:val="CharDivNo"/>
        </w:rPr>
        <w:t>Division 4</w:t>
      </w:r>
      <w:r>
        <w:t> — </w:t>
      </w:r>
      <w:r>
        <w:rPr>
          <w:rStyle w:val="CharDivText"/>
        </w:rPr>
        <w:t>Other Acts amended</w:t>
      </w:r>
    </w:p>
    <w:p>
      <w:pPr>
        <w:pStyle w:val="nzHeading4"/>
      </w:pPr>
      <w:r>
        <w:t>Subdivision 24 — </w:t>
      </w:r>
      <w:r>
        <w:rPr>
          <w:i/>
        </w:rPr>
        <w:t>Young Offenders Act 1994</w:t>
      </w:r>
      <w:r>
        <w:t xml:space="preserve"> amended</w:t>
      </w:r>
    </w:p>
    <w:p>
      <w:pPr>
        <w:pStyle w:val="nzHeading5"/>
      </w:pPr>
      <w:r>
        <w:rPr>
          <w:rStyle w:val="CharSectno"/>
        </w:rPr>
        <w:t>89</w:t>
      </w:r>
      <w:r>
        <w:t>.</w:t>
      </w:r>
      <w:r>
        <w:tab/>
        <w:t>Act amended</w:t>
      </w:r>
    </w:p>
    <w:p>
      <w:pPr>
        <w:pStyle w:val="nzSubsection"/>
      </w:pPr>
      <w:r>
        <w:tab/>
      </w:r>
      <w:r>
        <w:tab/>
        <w:t xml:space="preserve">This Subdivision amends the </w:t>
      </w:r>
      <w:r>
        <w:rPr>
          <w:i/>
        </w:rPr>
        <w:t>Young Offenders Act 1994</w:t>
      </w:r>
      <w:r>
        <w:t>.</w:t>
      </w:r>
    </w:p>
    <w:p>
      <w:pPr>
        <w:pStyle w:val="nzHeading5"/>
      </w:pPr>
      <w:r>
        <w:rPr>
          <w:rStyle w:val="CharSectno"/>
        </w:rPr>
        <w:t>90</w:t>
      </w:r>
      <w:r>
        <w:t>.</w:t>
      </w:r>
      <w:r>
        <w:tab/>
        <w:t>Section 179 amended</w:t>
      </w:r>
    </w:p>
    <w:p>
      <w:pPr>
        <w:pStyle w:val="nzSubsection"/>
      </w:pPr>
      <w:r>
        <w:tab/>
      </w:r>
      <w:r>
        <w:tab/>
        <w:t xml:space="preserve">In section 179(1) delete the definition of </w:t>
      </w:r>
      <w:r>
        <w:rPr>
          <w:b/>
          <w:i/>
        </w:rPr>
        <w:t>medical treatment</w:t>
      </w:r>
      <w:r>
        <w:t xml:space="preserve"> and insert:</w:t>
      </w:r>
    </w:p>
    <w:p>
      <w:pPr>
        <w:pStyle w:val="BlankOpen"/>
        <w:tabs>
          <w:tab w:val="left" w:pos="2694"/>
        </w:tabs>
      </w:pPr>
    </w:p>
    <w:p>
      <w:pPr>
        <w:pStyle w:val="nzDefstart"/>
      </w:pPr>
      <w:r>
        <w:tab/>
      </w:r>
      <w:r>
        <w:rPr>
          <w:rStyle w:val="CharDefText"/>
        </w:rPr>
        <w:t>medical treatment</w:t>
      </w:r>
      <w:r>
        <w:t xml:space="preserve"> includes psychiatric treatment, which is treatment as defined in the </w:t>
      </w:r>
      <w:r>
        <w:rPr>
          <w:i/>
        </w:rPr>
        <w:t>Mental Health Act 2014</w:t>
      </w:r>
      <w:r>
        <w:t xml:space="preserve"> section 4.</w:t>
      </w:r>
    </w:p>
    <w:p>
      <w:pPr>
        <w:pStyle w:val="BlankClose"/>
        <w:tabs>
          <w:tab w:val="left" w:pos="2694"/>
        </w:tabs>
      </w:pPr>
    </w:p>
    <w:p>
      <w:pPr>
        <w:pStyle w:val="BlankClose"/>
        <w:tabs>
          <w:tab w:val="left" w:pos="2694"/>
        </w:tabs>
      </w:pPr>
    </w:p>
    <w:p>
      <w:pPr>
        <w:pStyle w:val="nSubsection"/>
        <w:keepNext/>
        <w:keepLines/>
        <w:rPr>
          <w:snapToGrid w:val="0"/>
        </w:rPr>
      </w:pPr>
      <w:r>
        <w:rPr>
          <w:snapToGrid w:val="0"/>
          <w:vertAlign w:val="superscript"/>
        </w:rPr>
        <w:t>15</w:t>
      </w:r>
      <w:r>
        <w:rPr>
          <w:snapToGrid w:val="0"/>
        </w:rPr>
        <w:tab/>
      </w:r>
      <w:r>
        <w:t xml:space="preserve">On the date as at which this compilation was prepared, </w:t>
      </w:r>
      <w:r>
        <w:rPr>
          <w:snapToGrid w:val="0"/>
        </w:rPr>
        <w:t xml:space="preserve">the </w:t>
      </w:r>
      <w:r>
        <w:rPr>
          <w:i/>
        </w:rPr>
        <w:t xml:space="preserve">Custodial Legislation (Officers Discipline) Amendment Act 2014 </w:t>
      </w:r>
      <w:r>
        <w:t>Pt. 3</w:t>
      </w:r>
      <w:r>
        <w:rPr>
          <w:snapToGrid w:val="0"/>
        </w:rPr>
        <w:t xml:space="preserve"> had not come into operation.  It reads as follows:</w:t>
      </w:r>
    </w:p>
    <w:p>
      <w:pPr>
        <w:pStyle w:val="BlankOpen"/>
        <w:rPr>
          <w:rStyle w:val="CharPartText"/>
        </w:rPr>
      </w:pPr>
    </w:p>
    <w:p>
      <w:pPr>
        <w:pStyle w:val="nzHeading2"/>
      </w:pPr>
      <w:bookmarkStart w:id="714" w:name="_Toc370987240"/>
      <w:bookmarkStart w:id="715" w:name="_Toc370987332"/>
      <w:bookmarkStart w:id="716" w:name="_Toc370987424"/>
      <w:bookmarkStart w:id="717" w:name="_Toc370987516"/>
      <w:bookmarkStart w:id="718" w:name="_Toc370987994"/>
      <w:bookmarkStart w:id="719" w:name="_Toc370988446"/>
      <w:bookmarkStart w:id="720" w:name="_Toc370988547"/>
      <w:bookmarkStart w:id="721" w:name="_Toc371347006"/>
      <w:bookmarkStart w:id="722" w:name="_Toc372281388"/>
      <w:bookmarkStart w:id="723" w:name="_Toc404765089"/>
      <w:bookmarkStart w:id="724" w:name="_Toc405375751"/>
      <w:r>
        <w:rPr>
          <w:rStyle w:val="CharPartNo"/>
        </w:rPr>
        <w:t>Part 3</w:t>
      </w:r>
      <w:r>
        <w:rPr>
          <w:rStyle w:val="CharDivNo"/>
        </w:rPr>
        <w:t> </w:t>
      </w:r>
      <w:r>
        <w:t>—</w:t>
      </w:r>
      <w:r>
        <w:rPr>
          <w:rStyle w:val="CharDivText"/>
        </w:rPr>
        <w:t> </w:t>
      </w:r>
      <w:r>
        <w:rPr>
          <w:rStyle w:val="CharPartText"/>
          <w:i/>
        </w:rPr>
        <w:t>Young Offenders Act 1994</w:t>
      </w:r>
      <w:r>
        <w:rPr>
          <w:rStyle w:val="CharPartText"/>
        </w:rPr>
        <w:t xml:space="preserve"> amended</w:t>
      </w:r>
      <w:bookmarkEnd w:id="714"/>
      <w:bookmarkEnd w:id="715"/>
      <w:bookmarkEnd w:id="716"/>
      <w:bookmarkEnd w:id="717"/>
      <w:bookmarkEnd w:id="718"/>
      <w:bookmarkEnd w:id="719"/>
      <w:bookmarkEnd w:id="720"/>
      <w:bookmarkEnd w:id="721"/>
      <w:bookmarkEnd w:id="722"/>
      <w:bookmarkEnd w:id="723"/>
      <w:bookmarkEnd w:id="724"/>
    </w:p>
    <w:p>
      <w:pPr>
        <w:pStyle w:val="nzHeading5"/>
      </w:pPr>
      <w:bookmarkStart w:id="725" w:name="_Toc404765090"/>
      <w:bookmarkStart w:id="726" w:name="_Toc405375752"/>
      <w:r>
        <w:rPr>
          <w:rStyle w:val="CharSectno"/>
        </w:rPr>
        <w:t>10</w:t>
      </w:r>
      <w:r>
        <w:t>.</w:t>
      </w:r>
      <w:r>
        <w:tab/>
        <w:t>Act amended</w:t>
      </w:r>
      <w:bookmarkEnd w:id="725"/>
      <w:bookmarkEnd w:id="726"/>
    </w:p>
    <w:p>
      <w:pPr>
        <w:pStyle w:val="nzSubsection"/>
      </w:pPr>
      <w:r>
        <w:tab/>
      </w:r>
      <w:r>
        <w:tab/>
        <w:t xml:space="preserve">This Part amends the </w:t>
      </w:r>
      <w:r>
        <w:rPr>
          <w:i/>
          <w:iCs/>
        </w:rPr>
        <w:t>Young Offenders Act 1994</w:t>
      </w:r>
      <w:r>
        <w:t>.</w:t>
      </w:r>
    </w:p>
    <w:p>
      <w:pPr>
        <w:pStyle w:val="nzHeading5"/>
      </w:pPr>
      <w:bookmarkStart w:id="727" w:name="_Toc404765091"/>
      <w:bookmarkStart w:id="728" w:name="_Toc405375753"/>
      <w:r>
        <w:rPr>
          <w:rStyle w:val="CharSectno"/>
        </w:rPr>
        <w:t>11</w:t>
      </w:r>
      <w:r>
        <w:t>.</w:t>
      </w:r>
      <w:r>
        <w:tab/>
        <w:t>Section 3 amended</w:t>
      </w:r>
      <w:bookmarkEnd w:id="727"/>
      <w:bookmarkEnd w:id="728"/>
    </w:p>
    <w:p>
      <w:pPr>
        <w:pStyle w:val="nzSubsection"/>
      </w:pPr>
      <w:r>
        <w:tab/>
      </w:r>
      <w:r>
        <w:tab/>
        <w:t>In section 3 insert in alphabetical order:</w:t>
      </w:r>
    </w:p>
    <w:p>
      <w:pPr>
        <w:pStyle w:val="BlankOpen"/>
      </w:pPr>
    </w:p>
    <w:p>
      <w:pPr>
        <w:pStyle w:val="nzDefstart"/>
      </w:pPr>
      <w:r>
        <w:tab/>
      </w:r>
      <w:r>
        <w:rPr>
          <w:rStyle w:val="CharDefText"/>
        </w:rPr>
        <w:t>custodial officer</w:t>
      </w:r>
      <w:r>
        <w:t xml:space="preserve"> means — </w:t>
      </w:r>
    </w:p>
    <w:p>
      <w:pPr>
        <w:pStyle w:val="nzDefpara"/>
      </w:pPr>
      <w:r>
        <w:tab/>
        <w:t>(a)</w:t>
      </w:r>
      <w:r>
        <w:tab/>
        <w:t>a superintendent, or other officer with custodial functions, appointed under section 11(1); or</w:t>
      </w:r>
    </w:p>
    <w:p>
      <w:pPr>
        <w:pStyle w:val="nzDefpara"/>
      </w:pPr>
      <w:r>
        <w:tab/>
        <w:t>(b)</w:t>
      </w:r>
      <w:r>
        <w:tab/>
        <w:t>a person who is appointed under section 11(1a)(a) as a custodial officer;</w:t>
      </w:r>
    </w:p>
    <w:p>
      <w:pPr>
        <w:pStyle w:val="nzDefstart"/>
      </w:pPr>
      <w:r>
        <w:tab/>
      </w:r>
      <w:r>
        <w:rPr>
          <w:rStyle w:val="CharDefText"/>
        </w:rPr>
        <w:t>remove</w:t>
      </w:r>
      <w:r>
        <w:t>, in relation to an officer or other person appointed under section 11(1), means terminate the employment of the officer or person;</w:t>
      </w:r>
    </w:p>
    <w:p>
      <w:pPr>
        <w:pStyle w:val="BlankClose"/>
      </w:pPr>
    </w:p>
    <w:p>
      <w:pPr>
        <w:pStyle w:val="nzHeading5"/>
      </w:pPr>
      <w:bookmarkStart w:id="729" w:name="_Toc404765092"/>
      <w:bookmarkStart w:id="730" w:name="_Toc405375754"/>
      <w:r>
        <w:rPr>
          <w:rStyle w:val="CharSectno"/>
        </w:rPr>
        <w:t>12</w:t>
      </w:r>
      <w:r>
        <w:t>.</w:t>
      </w:r>
      <w:r>
        <w:tab/>
        <w:t>Part 3 Division 1 heading replaced</w:t>
      </w:r>
      <w:bookmarkEnd w:id="729"/>
      <w:bookmarkEnd w:id="730"/>
    </w:p>
    <w:p>
      <w:pPr>
        <w:pStyle w:val="nzSubsection"/>
      </w:pPr>
      <w:r>
        <w:tab/>
      </w:r>
      <w:r>
        <w:tab/>
        <w:t>Delete the heading to Part 3 Division 1 and insert:</w:t>
      </w:r>
    </w:p>
    <w:p>
      <w:pPr>
        <w:pStyle w:val="BlankOpen"/>
      </w:pPr>
    </w:p>
    <w:p>
      <w:pPr>
        <w:pStyle w:val="nzHeading3"/>
      </w:pPr>
      <w:bookmarkStart w:id="731" w:name="_Toc370987244"/>
      <w:bookmarkStart w:id="732" w:name="_Toc370987336"/>
      <w:bookmarkStart w:id="733" w:name="_Toc370987428"/>
      <w:bookmarkStart w:id="734" w:name="_Toc370987520"/>
      <w:bookmarkStart w:id="735" w:name="_Toc370987998"/>
      <w:bookmarkStart w:id="736" w:name="_Toc370988450"/>
      <w:bookmarkStart w:id="737" w:name="_Toc370988551"/>
      <w:bookmarkStart w:id="738" w:name="_Toc371347010"/>
      <w:bookmarkStart w:id="739" w:name="_Toc372281392"/>
      <w:bookmarkStart w:id="740" w:name="_Toc404765093"/>
      <w:bookmarkStart w:id="741" w:name="_Toc405375755"/>
      <w:r>
        <w:t>Division 1 — Chief executive officer</w:t>
      </w:r>
      <w:bookmarkEnd w:id="731"/>
      <w:bookmarkEnd w:id="732"/>
      <w:bookmarkEnd w:id="733"/>
      <w:bookmarkEnd w:id="734"/>
      <w:bookmarkEnd w:id="735"/>
      <w:bookmarkEnd w:id="736"/>
      <w:bookmarkEnd w:id="737"/>
      <w:bookmarkEnd w:id="738"/>
      <w:bookmarkEnd w:id="739"/>
      <w:bookmarkEnd w:id="740"/>
      <w:bookmarkEnd w:id="741"/>
    </w:p>
    <w:p>
      <w:pPr>
        <w:pStyle w:val="BlankClose"/>
      </w:pPr>
    </w:p>
    <w:p>
      <w:pPr>
        <w:pStyle w:val="nzHeading5"/>
      </w:pPr>
      <w:bookmarkStart w:id="742" w:name="_Toc404765094"/>
      <w:bookmarkStart w:id="743" w:name="_Toc405375756"/>
      <w:r>
        <w:rPr>
          <w:rStyle w:val="CharSectno"/>
        </w:rPr>
        <w:t>13</w:t>
      </w:r>
      <w:r>
        <w:t>.</w:t>
      </w:r>
      <w:r>
        <w:tab/>
        <w:t>Part 3 Division 2 heading inserted</w:t>
      </w:r>
      <w:bookmarkEnd w:id="742"/>
      <w:bookmarkEnd w:id="743"/>
    </w:p>
    <w:p>
      <w:pPr>
        <w:pStyle w:val="nzSubsection"/>
      </w:pPr>
      <w:r>
        <w:tab/>
      </w:r>
      <w:r>
        <w:tab/>
        <w:t>After section 10 insert:</w:t>
      </w:r>
    </w:p>
    <w:p>
      <w:pPr>
        <w:pStyle w:val="BlankOpen"/>
        <w:keepNext w:val="0"/>
      </w:pPr>
    </w:p>
    <w:p>
      <w:pPr>
        <w:pStyle w:val="nzHeading3"/>
      </w:pPr>
      <w:bookmarkStart w:id="744" w:name="_Toc370987246"/>
      <w:bookmarkStart w:id="745" w:name="_Toc370987338"/>
      <w:bookmarkStart w:id="746" w:name="_Toc370987430"/>
      <w:bookmarkStart w:id="747" w:name="_Toc370987522"/>
      <w:bookmarkStart w:id="748" w:name="_Toc370988000"/>
      <w:bookmarkStart w:id="749" w:name="_Toc370988452"/>
      <w:bookmarkStart w:id="750" w:name="_Toc370988553"/>
      <w:bookmarkStart w:id="751" w:name="_Toc371347012"/>
      <w:bookmarkStart w:id="752" w:name="_Toc372281394"/>
      <w:bookmarkStart w:id="753" w:name="_Toc404765095"/>
      <w:bookmarkStart w:id="754" w:name="_Toc405375757"/>
      <w:r>
        <w:t>Division 2 — Other officers and employees</w:t>
      </w:r>
      <w:bookmarkEnd w:id="744"/>
      <w:bookmarkEnd w:id="745"/>
      <w:bookmarkEnd w:id="746"/>
      <w:bookmarkEnd w:id="747"/>
      <w:bookmarkEnd w:id="748"/>
      <w:bookmarkEnd w:id="749"/>
      <w:bookmarkEnd w:id="750"/>
      <w:bookmarkEnd w:id="751"/>
      <w:bookmarkEnd w:id="752"/>
      <w:bookmarkEnd w:id="753"/>
      <w:bookmarkEnd w:id="754"/>
    </w:p>
    <w:p>
      <w:pPr>
        <w:pStyle w:val="BlankClose"/>
      </w:pPr>
    </w:p>
    <w:p>
      <w:pPr>
        <w:pStyle w:val="nzHeading5"/>
      </w:pPr>
      <w:bookmarkStart w:id="755" w:name="_Toc404765096"/>
      <w:bookmarkStart w:id="756" w:name="_Toc405375758"/>
      <w:r>
        <w:rPr>
          <w:rStyle w:val="CharSectno"/>
        </w:rPr>
        <w:t>14</w:t>
      </w:r>
      <w:r>
        <w:t>.</w:t>
      </w:r>
      <w:r>
        <w:tab/>
        <w:t>Section 11 amended</w:t>
      </w:r>
      <w:bookmarkEnd w:id="755"/>
      <w:bookmarkEnd w:id="756"/>
    </w:p>
    <w:p>
      <w:pPr>
        <w:pStyle w:val="nzSubsection"/>
      </w:pPr>
      <w:r>
        <w:tab/>
        <w:t>(1)</w:t>
      </w:r>
      <w:r>
        <w:tab/>
        <w:t>In section 11(1a):</w:t>
      </w:r>
    </w:p>
    <w:p>
      <w:pPr>
        <w:pStyle w:val="nzIndenta"/>
      </w:pPr>
      <w:r>
        <w:tab/>
        <w:t>(a)</w:t>
      </w:r>
      <w:r>
        <w:tab/>
        <w:t>in paragraph (a) delete “functions (</w:t>
      </w:r>
      <w:r>
        <w:rPr>
          <w:b/>
          <w:i/>
        </w:rPr>
        <w:t>group workers</w:t>
      </w:r>
      <w:r>
        <w:t>);</w:t>
      </w:r>
      <w:r>
        <w:rPr>
          <w:b/>
        </w:rPr>
        <w:t xml:space="preserve"> </w:t>
      </w:r>
      <w:r>
        <w:t>and” and insert:</w:t>
      </w:r>
    </w:p>
    <w:p>
      <w:pPr>
        <w:pStyle w:val="BlankOpen"/>
      </w:pPr>
    </w:p>
    <w:p>
      <w:pPr>
        <w:pStyle w:val="nzIndenta"/>
      </w:pPr>
      <w:r>
        <w:tab/>
      </w:r>
      <w:r>
        <w:tab/>
        <w:t>functions; and</w:t>
      </w:r>
    </w:p>
    <w:p>
      <w:pPr>
        <w:pStyle w:val="BlankClose"/>
      </w:pPr>
    </w:p>
    <w:p>
      <w:pPr>
        <w:pStyle w:val="nzIndenta"/>
      </w:pPr>
      <w:r>
        <w:tab/>
        <w:t>(b)</w:t>
      </w:r>
      <w:r>
        <w:tab/>
        <w:t>delete “terminate the appointment o</w:t>
      </w:r>
      <w:r>
        <w:rPr>
          <w:spacing w:val="30"/>
        </w:rPr>
        <w:t>f”</w:t>
      </w:r>
      <w:r>
        <w:t xml:space="preserve"> and insert:</w:t>
      </w:r>
    </w:p>
    <w:p>
      <w:pPr>
        <w:pStyle w:val="BlankOpen"/>
      </w:pPr>
    </w:p>
    <w:p>
      <w:pPr>
        <w:pStyle w:val="nzIndenta"/>
      </w:pPr>
      <w:r>
        <w:tab/>
      </w:r>
      <w:r>
        <w:tab/>
        <w:t>remove</w:t>
      </w:r>
    </w:p>
    <w:p>
      <w:pPr>
        <w:pStyle w:val="BlankClose"/>
      </w:pPr>
    </w:p>
    <w:p>
      <w:pPr>
        <w:pStyle w:val="nzSubsection"/>
      </w:pPr>
      <w:r>
        <w:tab/>
        <w:t>(2)</w:t>
      </w:r>
      <w:r>
        <w:tab/>
        <w:t>Delete section 11(1b)(b) and insert:</w:t>
      </w:r>
    </w:p>
    <w:p>
      <w:pPr>
        <w:pStyle w:val="BlankOpen"/>
      </w:pPr>
    </w:p>
    <w:p>
      <w:pPr>
        <w:pStyle w:val="nzIndenta"/>
      </w:pPr>
      <w:r>
        <w:tab/>
        <w:t>(b)</w:t>
      </w:r>
      <w:r>
        <w:tab/>
        <w:t xml:space="preserve">may be subject to — </w:t>
      </w:r>
    </w:p>
    <w:p>
      <w:pPr>
        <w:pStyle w:val="nzIndenti"/>
      </w:pPr>
      <w:r>
        <w:tab/>
        <w:t>(i)</w:t>
      </w:r>
      <w:r>
        <w:tab/>
        <w:t>disciplinary proceedings provided for in the regulations; or</w:t>
      </w:r>
    </w:p>
    <w:p>
      <w:pPr>
        <w:pStyle w:val="nzIndenti"/>
      </w:pPr>
      <w:r>
        <w:tab/>
        <w:t>(ii)</w:t>
      </w:r>
      <w:r>
        <w:tab/>
        <w:t xml:space="preserve">if regulations are made under subsection (1C) — disciplinary proceedings under the </w:t>
      </w:r>
      <w:r>
        <w:rPr>
          <w:i/>
        </w:rPr>
        <w:t>Public Sector Management Act 1994</w:t>
      </w:r>
      <w:r>
        <w:t xml:space="preserve"> Part 5.</w:t>
      </w:r>
    </w:p>
    <w:p>
      <w:pPr>
        <w:pStyle w:val="BlankClose"/>
      </w:pPr>
    </w:p>
    <w:p>
      <w:pPr>
        <w:pStyle w:val="nzSubsection"/>
      </w:pPr>
      <w:r>
        <w:tab/>
        <w:t>(3)</w:t>
      </w:r>
      <w:r>
        <w:tab/>
        <w:t>After section 11(1b) insert:</w:t>
      </w:r>
    </w:p>
    <w:p>
      <w:pPr>
        <w:pStyle w:val="BlankOpen"/>
      </w:pPr>
    </w:p>
    <w:p>
      <w:pPr>
        <w:pStyle w:val="nzSubsection"/>
      </w:pPr>
      <w:r>
        <w:tab/>
        <w:t>(1C)</w:t>
      </w:r>
      <w:r>
        <w:tab/>
        <w:t xml:space="preserve">The regulations may prescribe custodial officers for the purposes of the </w:t>
      </w:r>
      <w:r>
        <w:rPr>
          <w:i/>
        </w:rPr>
        <w:t>Public Sector Management Act 1994</w:t>
      </w:r>
      <w:r>
        <w:t xml:space="preserve"> section 76(1)(b).</w:t>
      </w:r>
    </w:p>
    <w:p>
      <w:pPr>
        <w:pStyle w:val="BlankClose"/>
      </w:pPr>
    </w:p>
    <w:p>
      <w:pPr>
        <w:pStyle w:val="nzHeading5"/>
      </w:pPr>
      <w:bookmarkStart w:id="757" w:name="_Toc404765097"/>
      <w:bookmarkStart w:id="758" w:name="_Toc405375759"/>
      <w:r>
        <w:rPr>
          <w:rStyle w:val="CharSectno"/>
        </w:rPr>
        <w:t>15</w:t>
      </w:r>
      <w:r>
        <w:t>.</w:t>
      </w:r>
      <w:r>
        <w:tab/>
        <w:t>Section 11B amended</w:t>
      </w:r>
      <w:bookmarkEnd w:id="757"/>
      <w:bookmarkEnd w:id="758"/>
    </w:p>
    <w:p>
      <w:pPr>
        <w:pStyle w:val="nzSubsection"/>
      </w:pPr>
      <w:r>
        <w:tab/>
      </w:r>
      <w:r>
        <w:tab/>
        <w:t>In section 11B delete “person who is appointed under section 11(1) or (1a) as a”.</w:t>
      </w:r>
    </w:p>
    <w:p>
      <w:pPr>
        <w:pStyle w:val="nzNotesPerm"/>
      </w:pPr>
      <w:r>
        <w:tab/>
        <w:t>Note:</w:t>
      </w:r>
      <w:r>
        <w:tab/>
        <w:t>The heading to amended section 11B is to read:</w:t>
      </w:r>
    </w:p>
    <w:p>
      <w:pPr>
        <w:pStyle w:val="nzNotesPerm"/>
      </w:pPr>
      <w:r>
        <w:tab/>
      </w:r>
      <w:r>
        <w:tab/>
      </w:r>
      <w:r>
        <w:rPr>
          <w:b/>
        </w:rPr>
        <w:t>Powers and duties of custodial officers</w:t>
      </w:r>
    </w:p>
    <w:p>
      <w:pPr>
        <w:pStyle w:val="nzHeading5"/>
      </w:pPr>
      <w:bookmarkStart w:id="759" w:name="_Toc404765098"/>
      <w:bookmarkStart w:id="760" w:name="_Toc405375760"/>
      <w:r>
        <w:rPr>
          <w:rStyle w:val="CharSectno"/>
        </w:rPr>
        <w:t>16</w:t>
      </w:r>
      <w:r>
        <w:t>.</w:t>
      </w:r>
      <w:r>
        <w:tab/>
        <w:t>Part 3 Division 3 inserted</w:t>
      </w:r>
      <w:bookmarkEnd w:id="759"/>
      <w:bookmarkEnd w:id="760"/>
    </w:p>
    <w:p>
      <w:pPr>
        <w:pStyle w:val="nzSubsection"/>
      </w:pPr>
      <w:r>
        <w:tab/>
      </w:r>
      <w:r>
        <w:tab/>
        <w:t>After section 11B insert:</w:t>
      </w:r>
    </w:p>
    <w:p>
      <w:pPr>
        <w:pStyle w:val="BlankOpen"/>
      </w:pPr>
    </w:p>
    <w:p>
      <w:pPr>
        <w:pStyle w:val="nzHeading3"/>
      </w:pPr>
      <w:bookmarkStart w:id="761" w:name="_Toc370987250"/>
      <w:bookmarkStart w:id="762" w:name="_Toc370987342"/>
      <w:bookmarkStart w:id="763" w:name="_Toc370987434"/>
      <w:bookmarkStart w:id="764" w:name="_Toc370987526"/>
      <w:bookmarkStart w:id="765" w:name="_Toc370988004"/>
      <w:bookmarkStart w:id="766" w:name="_Toc370988456"/>
      <w:bookmarkStart w:id="767" w:name="_Toc370988557"/>
      <w:bookmarkStart w:id="768" w:name="_Toc371347016"/>
      <w:bookmarkStart w:id="769" w:name="_Toc372281398"/>
      <w:bookmarkStart w:id="770" w:name="_Toc404765099"/>
      <w:bookmarkStart w:id="771" w:name="_Toc405375761"/>
      <w:r>
        <w:t>Division 3 — Removal of custodial officers due to loss of confidence</w:t>
      </w:r>
      <w:bookmarkEnd w:id="761"/>
      <w:bookmarkEnd w:id="762"/>
      <w:bookmarkEnd w:id="763"/>
      <w:bookmarkEnd w:id="764"/>
      <w:bookmarkEnd w:id="765"/>
      <w:bookmarkEnd w:id="766"/>
      <w:bookmarkEnd w:id="767"/>
      <w:bookmarkEnd w:id="768"/>
      <w:bookmarkEnd w:id="769"/>
      <w:bookmarkEnd w:id="770"/>
      <w:bookmarkEnd w:id="771"/>
    </w:p>
    <w:p>
      <w:pPr>
        <w:pStyle w:val="nzHeading4"/>
      </w:pPr>
      <w:bookmarkStart w:id="772" w:name="_Toc370987251"/>
      <w:bookmarkStart w:id="773" w:name="_Toc370987343"/>
      <w:bookmarkStart w:id="774" w:name="_Toc370987435"/>
      <w:bookmarkStart w:id="775" w:name="_Toc370987527"/>
      <w:bookmarkStart w:id="776" w:name="_Toc370988005"/>
      <w:bookmarkStart w:id="777" w:name="_Toc370988457"/>
      <w:bookmarkStart w:id="778" w:name="_Toc370988558"/>
      <w:bookmarkStart w:id="779" w:name="_Toc371347017"/>
      <w:bookmarkStart w:id="780" w:name="_Toc372281399"/>
      <w:bookmarkStart w:id="781" w:name="_Toc404765100"/>
      <w:bookmarkStart w:id="782" w:name="_Toc405375762"/>
      <w:r>
        <w:t>Subdivision 1 — Preliminary</w:t>
      </w:r>
      <w:bookmarkEnd w:id="772"/>
      <w:bookmarkEnd w:id="773"/>
      <w:bookmarkEnd w:id="774"/>
      <w:bookmarkEnd w:id="775"/>
      <w:bookmarkEnd w:id="776"/>
      <w:bookmarkEnd w:id="777"/>
      <w:bookmarkEnd w:id="778"/>
      <w:bookmarkEnd w:id="779"/>
      <w:bookmarkEnd w:id="780"/>
      <w:bookmarkEnd w:id="781"/>
      <w:bookmarkEnd w:id="782"/>
    </w:p>
    <w:p>
      <w:pPr>
        <w:pStyle w:val="nzHeading5"/>
      </w:pPr>
      <w:bookmarkStart w:id="783" w:name="_Toc404765101"/>
      <w:bookmarkStart w:id="784" w:name="_Toc405375763"/>
      <w:r>
        <w:t>11CA.</w:t>
      </w:r>
      <w:r>
        <w:tab/>
        <w:t>Terms used</w:t>
      </w:r>
      <w:bookmarkEnd w:id="783"/>
      <w:bookmarkEnd w:id="784"/>
    </w:p>
    <w:p>
      <w:pPr>
        <w:pStyle w:val="nzSubsection"/>
      </w:pPr>
      <w:r>
        <w:tab/>
      </w:r>
      <w:r>
        <w:tab/>
        <w:t xml:space="preserve">In this Division, unless the contrary intention appears — </w:t>
      </w:r>
    </w:p>
    <w:p>
      <w:pPr>
        <w:pStyle w:val="nzDefstart"/>
      </w:pPr>
      <w:r>
        <w:tab/>
      </w:r>
      <w:r>
        <w:rPr>
          <w:rStyle w:val="CharDefText"/>
        </w:rPr>
        <w:t>appeal</w:t>
      </w:r>
      <w:r>
        <w:t xml:space="preserve"> means an appeal under section 11CH;</w:t>
      </w:r>
    </w:p>
    <w:p>
      <w:pPr>
        <w:pStyle w:val="nzDefstart"/>
      </w:pPr>
      <w:r>
        <w:tab/>
      </w:r>
      <w:r>
        <w:rPr>
          <w:rStyle w:val="CharDefText"/>
        </w:rPr>
        <w:t>appellant</w:t>
      </w:r>
      <w:r>
        <w:t xml:space="preserve"> means a person who institutes an appeal;</w:t>
      </w:r>
    </w:p>
    <w:p>
      <w:pPr>
        <w:pStyle w:val="nzDefstart"/>
      </w:pPr>
      <w:r>
        <w:tab/>
      </w:r>
      <w:r>
        <w:rPr>
          <w:rStyle w:val="CharDefText"/>
        </w:rPr>
        <w:t>Chief Commissioner</w:t>
      </w:r>
      <w:r>
        <w:t xml:space="preserve"> has the same meaning as in the </w:t>
      </w:r>
      <w:r>
        <w:rPr>
          <w:i/>
        </w:rPr>
        <w:t>Industrial Relations Act 1979</w:t>
      </w:r>
      <w:r>
        <w:t>;</w:t>
      </w:r>
    </w:p>
    <w:p>
      <w:pPr>
        <w:pStyle w:val="nzDefstart"/>
      </w:pPr>
      <w:r>
        <w:tab/>
      </w:r>
      <w:r>
        <w:rPr>
          <w:rStyle w:val="CharDefText"/>
        </w:rPr>
        <w:t>decision notice</w:t>
      </w:r>
      <w:r>
        <w:t xml:space="preserve"> has the meaning given in section 11CD(3)(b);</w:t>
      </w:r>
    </w:p>
    <w:p>
      <w:pPr>
        <w:pStyle w:val="nzDefstart"/>
      </w:pPr>
      <w:r>
        <w:tab/>
      </w:r>
      <w:r>
        <w:rPr>
          <w:rStyle w:val="CharDefText"/>
        </w:rPr>
        <w:t>industrial commissioner</w:t>
      </w:r>
      <w:r>
        <w:t xml:space="preserve"> means a commissioner as defined in the </w:t>
      </w:r>
      <w:r>
        <w:rPr>
          <w:i/>
        </w:rPr>
        <w:t>Industrial Relations Act 1979</w:t>
      </w:r>
      <w:r>
        <w:t xml:space="preserve"> section 7(1);</w:t>
      </w:r>
    </w:p>
    <w:p>
      <w:pPr>
        <w:pStyle w:val="nzDefstart"/>
      </w:pPr>
      <w:r>
        <w:tab/>
      </w:r>
      <w:r>
        <w:rPr>
          <w:rStyle w:val="CharDefText"/>
        </w:rPr>
        <w:t>maintenance payment</w:t>
      </w:r>
      <w:r>
        <w:t xml:space="preserve"> has the meaning given in section 11CE(1);</w:t>
      </w:r>
    </w:p>
    <w:p>
      <w:pPr>
        <w:pStyle w:val="nzDefstart"/>
      </w:pPr>
      <w:r>
        <w:tab/>
      </w:r>
      <w:r>
        <w:rPr>
          <w:rStyle w:val="CharDefText"/>
        </w:rPr>
        <w:t>maintenance period</w:t>
      </w:r>
      <w:r>
        <w:t xml:space="preserve"> has the meaning given in section 11CE(1);</w:t>
      </w:r>
    </w:p>
    <w:p>
      <w:pPr>
        <w:pStyle w:val="nzDefstart"/>
      </w:pPr>
      <w:r>
        <w:tab/>
      </w:r>
      <w:r>
        <w:rPr>
          <w:rStyle w:val="CharDefText"/>
        </w:rPr>
        <w:t>new evidence</w:t>
      </w:r>
      <w:r>
        <w:t xml:space="preserve">, on an appeal against the removal of a custodial officer, means evidence other than evidence of any of the following — </w:t>
      </w:r>
    </w:p>
    <w:p>
      <w:pPr>
        <w:pStyle w:val="nzDefpara"/>
      </w:pPr>
      <w:r>
        <w:tab/>
        <w:t>(a)</w:t>
      </w:r>
      <w:r>
        <w:tab/>
        <w:t>a document or other material that was examined and taken into account by the chief executive officer in making the removal decision;</w:t>
      </w:r>
    </w:p>
    <w:p>
      <w:pPr>
        <w:pStyle w:val="nzDefpara"/>
      </w:pPr>
      <w:r>
        <w:tab/>
        <w:t>(b)</w:t>
      </w:r>
      <w:r>
        <w:tab/>
        <w:t>the notice given under section 11CD(1);</w:t>
      </w:r>
    </w:p>
    <w:p>
      <w:pPr>
        <w:pStyle w:val="nzDefpara"/>
      </w:pPr>
      <w:r>
        <w:tab/>
        <w:t>(c)</w:t>
      </w:r>
      <w:r>
        <w:tab/>
        <w:t>a written submission made to the chief executive officer by the custodial officer under section 11CD(2);</w:t>
      </w:r>
    </w:p>
    <w:p>
      <w:pPr>
        <w:pStyle w:val="nzDefpara"/>
      </w:pPr>
      <w:r>
        <w:tab/>
        <w:t>(d)</w:t>
      </w:r>
      <w:r>
        <w:tab/>
        <w:t>a decision notice;</w:t>
      </w:r>
    </w:p>
    <w:p>
      <w:pPr>
        <w:pStyle w:val="nzDefpara"/>
      </w:pPr>
      <w:r>
        <w:tab/>
        <w:t>(e)</w:t>
      </w:r>
      <w:r>
        <w:tab/>
        <w:t>a notification of the removal;</w:t>
      </w:r>
    </w:p>
    <w:p>
      <w:pPr>
        <w:pStyle w:val="nzDefstart"/>
      </w:pPr>
      <w:r>
        <w:tab/>
      </w:r>
      <w:r>
        <w:rPr>
          <w:rStyle w:val="CharDefText"/>
        </w:rPr>
        <w:t>removal action</w:t>
      </w:r>
      <w:r>
        <w:t>, in relation to a custodial officer, means the removal of the custodial officer under section 11CC;</w:t>
      </w:r>
    </w:p>
    <w:p>
      <w:pPr>
        <w:pStyle w:val="nzDefstart"/>
      </w:pPr>
      <w:r>
        <w:tab/>
      </w:r>
      <w:r>
        <w:rPr>
          <w:rStyle w:val="CharDefText"/>
        </w:rPr>
        <w:t>removal decision</w:t>
      </w:r>
      <w:r>
        <w:t xml:space="preserve"> means a decision of the chief executive officer to take removal action;</w:t>
      </w:r>
    </w:p>
    <w:p>
      <w:pPr>
        <w:pStyle w:val="nzDefstart"/>
      </w:pPr>
      <w:r>
        <w:tab/>
      </w:r>
      <w:r>
        <w:rPr>
          <w:rStyle w:val="CharDefText"/>
        </w:rPr>
        <w:t>suitability to continue as a custodial officer</w:t>
      </w:r>
      <w:r>
        <w:t xml:space="preserve"> means suitability to continue as a custodial officer having regard to the officer’s integrity, honesty, competence, performance or conduct;</w:t>
      </w:r>
    </w:p>
    <w:p>
      <w:pPr>
        <w:pStyle w:val="nz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nzHeading4"/>
      </w:pPr>
      <w:bookmarkStart w:id="785" w:name="_Toc370987253"/>
      <w:bookmarkStart w:id="786" w:name="_Toc370987345"/>
      <w:bookmarkStart w:id="787" w:name="_Toc370987437"/>
      <w:bookmarkStart w:id="788" w:name="_Toc370987529"/>
      <w:bookmarkStart w:id="789" w:name="_Toc370988007"/>
      <w:bookmarkStart w:id="790" w:name="_Toc370988459"/>
      <w:bookmarkStart w:id="791" w:name="_Toc370988560"/>
      <w:bookmarkStart w:id="792" w:name="_Toc371347019"/>
      <w:bookmarkStart w:id="793" w:name="_Toc372281401"/>
      <w:bookmarkStart w:id="794" w:name="_Toc404765102"/>
      <w:bookmarkStart w:id="795" w:name="_Toc405375764"/>
      <w:r>
        <w:t>Subdivision 2 — Removal of custodial officers</w:t>
      </w:r>
      <w:bookmarkEnd w:id="785"/>
      <w:bookmarkEnd w:id="786"/>
      <w:bookmarkEnd w:id="787"/>
      <w:bookmarkEnd w:id="788"/>
      <w:bookmarkEnd w:id="789"/>
      <w:bookmarkEnd w:id="790"/>
      <w:bookmarkEnd w:id="791"/>
      <w:bookmarkEnd w:id="792"/>
      <w:bookmarkEnd w:id="793"/>
      <w:bookmarkEnd w:id="794"/>
      <w:bookmarkEnd w:id="795"/>
    </w:p>
    <w:p>
      <w:pPr>
        <w:pStyle w:val="nzHeading5"/>
      </w:pPr>
      <w:bookmarkStart w:id="796" w:name="_Toc404765103"/>
      <w:bookmarkStart w:id="797" w:name="_Toc405375765"/>
      <w:r>
        <w:t>11CB.</w:t>
      </w:r>
      <w:r>
        <w:tab/>
        <w:t>Application of Subdivision</w:t>
      </w:r>
      <w:bookmarkEnd w:id="796"/>
      <w:bookmarkEnd w:id="797"/>
    </w:p>
    <w:p>
      <w:pPr>
        <w:pStyle w:val="nzSubsection"/>
      </w:pPr>
      <w:r>
        <w:tab/>
        <w:t>(1)</w:t>
      </w:r>
      <w:r>
        <w:tab/>
        <w:t xml:space="preserve">This Subdivision applies if — </w:t>
      </w:r>
    </w:p>
    <w:p>
      <w:pPr>
        <w:pStyle w:val="nzIndenta"/>
      </w:pPr>
      <w:r>
        <w:tab/>
        <w:t>(a)</w:t>
      </w:r>
      <w:r>
        <w:tab/>
        <w:t>the chief executive officer does not have confidence in a custodial officer’s suitability to continue as a custodial officer; and</w:t>
      </w:r>
    </w:p>
    <w:p>
      <w:pPr>
        <w:pStyle w:val="nzIndenta"/>
      </w:pPr>
      <w:r>
        <w:tab/>
        <w:t>(b)</w:t>
      </w:r>
      <w:r>
        <w:tab/>
        <w:t xml:space="preserve">the chief executive officer — </w:t>
      </w:r>
    </w:p>
    <w:p>
      <w:pPr>
        <w:pStyle w:val="nzIndenti"/>
      </w:pPr>
      <w:r>
        <w:tab/>
        <w:t>(i)</w:t>
      </w:r>
      <w:r>
        <w:tab/>
        <w:t>decides not to take, or continue to take, disciplinary proceedings referred to in section 11(1b)(b) against a custodial officer; and</w:t>
      </w:r>
    </w:p>
    <w:p>
      <w:pPr>
        <w:pStyle w:val="nzIndenti"/>
      </w:pPr>
      <w:r>
        <w:tab/>
        <w:t>(ii)</w:t>
      </w:r>
      <w:r>
        <w:tab/>
        <w:t>decides instead to take removal action in relation to the custodial officer.</w:t>
      </w:r>
    </w:p>
    <w:p>
      <w:pPr>
        <w:pStyle w:val="nzSubsection"/>
      </w:pPr>
      <w:r>
        <w:tab/>
        <w:t>(2)</w:t>
      </w:r>
      <w:r>
        <w:tab/>
        <w:t xml:space="preserve">If regulations are made under section 11(1C), this Subdivision applies despite the </w:t>
      </w:r>
      <w:r>
        <w:rPr>
          <w:i/>
        </w:rPr>
        <w:t>Public Sector Management Act 1994</w:t>
      </w:r>
      <w:r>
        <w:t xml:space="preserve"> section 76(2).</w:t>
      </w:r>
    </w:p>
    <w:p>
      <w:pPr>
        <w:pStyle w:val="nzHeading5"/>
      </w:pPr>
      <w:bookmarkStart w:id="798" w:name="_Toc404765104"/>
      <w:bookmarkStart w:id="799" w:name="_Toc405375766"/>
      <w:r>
        <w:t>11CC.</w:t>
      </w:r>
      <w:r>
        <w:tab/>
        <w:t>Removal action</w:t>
      </w:r>
      <w:bookmarkEnd w:id="798"/>
      <w:bookmarkEnd w:id="799"/>
    </w:p>
    <w:p>
      <w:pPr>
        <w:pStyle w:val="nzSubsection"/>
      </w:pPr>
      <w:r>
        <w:tab/>
        <w:t>(1)</w:t>
      </w:r>
      <w:r>
        <w:tab/>
        <w:t>If the chief executive officer does not have confidence in a custodial officer’s suitability to continue as a custodial officer, the chief executive officer may remove the custodial officer.</w:t>
      </w:r>
    </w:p>
    <w:p>
      <w:pPr>
        <w:pStyle w:val="nzSubsection"/>
      </w:pPr>
      <w:r>
        <w:tab/>
        <w:t>(2)</w:t>
      </w:r>
      <w:r>
        <w:tab/>
        <w:t xml:space="preserve">Subsection (1) applies in addition to, and does not limit the operation of, the </w:t>
      </w:r>
      <w:r>
        <w:rPr>
          <w:i/>
        </w:rPr>
        <w:t>Public Sector Management Act 1994</w:t>
      </w:r>
      <w:r>
        <w:t>.</w:t>
      </w:r>
    </w:p>
    <w:p>
      <w:pPr>
        <w:pStyle w:val="nzSubsection"/>
      </w:pPr>
      <w:r>
        <w:tab/>
        <w:t>(3)</w:t>
      </w:r>
      <w:r>
        <w:tab/>
        <w:t>The chief executive officer may conduct any necessary investigation to determine a custodial officer’s suitability to continue as a custodial officer.</w:t>
      </w:r>
    </w:p>
    <w:p>
      <w:pPr>
        <w:pStyle w:val="nzSubsection"/>
      </w:pPr>
      <w:r>
        <w:tab/>
        <w:t>(4)</w:t>
      </w:r>
      <w:r>
        <w:tab/>
        <w:t xml:space="preserve">For the purpose of the investigation the chief executive officer may require the custodial officer to do all or any of the following — </w:t>
      </w:r>
    </w:p>
    <w:p>
      <w:pPr>
        <w:pStyle w:val="nzIndenta"/>
      </w:pPr>
      <w:r>
        <w:tab/>
        <w:t>(a)</w:t>
      </w:r>
      <w:r>
        <w:tab/>
        <w:t>provide the chief executive officer with any information or answer any question that the chief executive officer requires;</w:t>
      </w:r>
    </w:p>
    <w:p>
      <w:pPr>
        <w:pStyle w:val="nzIndenta"/>
      </w:pPr>
      <w:r>
        <w:tab/>
        <w:t>(b)</w:t>
      </w:r>
      <w:r>
        <w:tab/>
        <w:t>produce to the chief executive officer any document in the custody or under the control of the custodial officer.</w:t>
      </w:r>
    </w:p>
    <w:p>
      <w:pPr>
        <w:pStyle w:val="nzSubsection"/>
      </w:pPr>
      <w:r>
        <w:tab/>
        <w:t>(5)</w:t>
      </w:r>
      <w:r>
        <w:tab/>
        <w:t xml:space="preserve">The custodial officer is not excused from giving information, answering any question or producing a document when required to do so under subsection (4) on the ground that the information, answer or document might — </w:t>
      </w:r>
    </w:p>
    <w:p>
      <w:pPr>
        <w:pStyle w:val="nzIndenta"/>
      </w:pPr>
      <w:r>
        <w:tab/>
        <w:t>(a)</w:t>
      </w:r>
      <w:r>
        <w:tab/>
        <w:t xml:space="preserve">incriminate the custodial officer; or </w:t>
      </w:r>
    </w:p>
    <w:p>
      <w:pPr>
        <w:pStyle w:val="nzIndenta"/>
      </w:pPr>
      <w:r>
        <w:tab/>
        <w:t>(b)</w:t>
      </w:r>
      <w:r>
        <w:tab/>
        <w:t>render the custodial officer liable to a disciplinary measure under section 11 or removal under this Division.</w:t>
      </w:r>
    </w:p>
    <w:p>
      <w:pPr>
        <w:pStyle w:val="nzSubsection"/>
      </w:pPr>
      <w:r>
        <w:tab/>
        <w:t>(6)</w:t>
      </w:r>
      <w:r>
        <w:tab/>
        <w:t>The information, answer or document is not admissible in evidence against the custodial officer in any criminal proceedings except in proceedings for an offence under subsection (7).</w:t>
      </w:r>
    </w:p>
    <w:p>
      <w:pPr>
        <w:pStyle w:val="nzSubsection"/>
      </w:pPr>
      <w:r>
        <w:tab/>
        <w:t>(7)</w:t>
      </w:r>
      <w:r>
        <w:tab/>
        <w:t xml:space="preserve">A custodial officer must not, in response to a requirement under subsection (4) — </w:t>
      </w:r>
    </w:p>
    <w:p>
      <w:pPr>
        <w:pStyle w:val="nzIndenta"/>
      </w:pPr>
      <w:r>
        <w:tab/>
        <w:t>(a)</w:t>
      </w:r>
      <w:r>
        <w:tab/>
        <w:t>fail or refuse to provide the required information or answer or produce the required document; or</w:t>
      </w:r>
    </w:p>
    <w:p>
      <w:pPr>
        <w:pStyle w:val="nzIndenta"/>
      </w:pPr>
      <w:r>
        <w:tab/>
        <w:t>(b)</w:t>
      </w:r>
      <w:r>
        <w:tab/>
        <w:t>give information or an answer that is false or misleading in a material particular; or</w:t>
      </w:r>
    </w:p>
    <w:p>
      <w:pPr>
        <w:pStyle w:val="nzIndenta"/>
      </w:pPr>
      <w:r>
        <w:tab/>
        <w:t>(c)</w:t>
      </w:r>
      <w:r>
        <w:tab/>
        <w:t>produce a document that the custodial officer knows is false or misleading in a material particular —</w:t>
      </w:r>
    </w:p>
    <w:p>
      <w:pPr>
        <w:pStyle w:val="nzIndenti"/>
      </w:pPr>
      <w:r>
        <w:tab/>
        <w:t>(i)</w:t>
      </w:r>
      <w:r>
        <w:tab/>
        <w:t>without indicating that the document is false or misleading and, to the extent the custodial officer can, how the document is false or misleading; and</w:t>
      </w:r>
    </w:p>
    <w:p>
      <w:pPr>
        <w:pStyle w:val="nzIndenti"/>
      </w:pPr>
      <w:r>
        <w:tab/>
        <w:t>(ii)</w:t>
      </w:r>
      <w:r>
        <w:tab/>
        <w:t>if the custodial officer has, or can reasonably obtain, the correct information — without providing the correct information.</w:t>
      </w:r>
    </w:p>
    <w:p>
      <w:pPr>
        <w:pStyle w:val="nzPenstart"/>
      </w:pPr>
      <w:r>
        <w:tab/>
        <w:t>Penalty: a fine of $4 000 and imprisonment for 12 months.</w:t>
      </w:r>
    </w:p>
    <w:p>
      <w:pPr>
        <w:pStyle w:val="nzHeading5"/>
      </w:pPr>
      <w:bookmarkStart w:id="800" w:name="_Toc404765105"/>
      <w:bookmarkStart w:id="801" w:name="_Toc405375767"/>
      <w:r>
        <w:t>11CD.</w:t>
      </w:r>
      <w:r>
        <w:tab/>
        <w:t>Notice of loss of confidence</w:t>
      </w:r>
      <w:bookmarkEnd w:id="800"/>
      <w:bookmarkEnd w:id="801"/>
    </w:p>
    <w:p>
      <w:pPr>
        <w:pStyle w:val="nzSubsection"/>
      </w:pPr>
      <w:r>
        <w:tab/>
        <w:t>(1)</w:t>
      </w:r>
      <w:r>
        <w:tab/>
        <w:t>The chief executive officer may give the custodial officer a written notice setting out the grounds on which the chief executive officer does not have confidence in the custodial officer’s suitability to continue as a custodial officer.</w:t>
      </w:r>
    </w:p>
    <w:p>
      <w:pPr>
        <w:pStyle w:val="nzSubsection"/>
      </w:pPr>
      <w:r>
        <w:tab/>
        <w:t>(2)</w:t>
      </w:r>
      <w:r>
        <w:tab/>
        <w:t xml:space="preserve">The custodial officer may make written submissions to the chief executive officer in relation to the notice within the following period (the </w:t>
      </w:r>
      <w:r>
        <w:rPr>
          <w:rStyle w:val="CharDefText"/>
        </w:rPr>
        <w:t>submission period</w:t>
      </w:r>
      <w:r>
        <w:t xml:space="preserve">) — </w:t>
      </w:r>
    </w:p>
    <w:p>
      <w:pPr>
        <w:pStyle w:val="nzIndenta"/>
      </w:pPr>
      <w:r>
        <w:tab/>
        <w:t>(a)</w:t>
      </w:r>
      <w:r>
        <w:tab/>
        <w:t>21 days after the day on which the notice is given; or</w:t>
      </w:r>
    </w:p>
    <w:p>
      <w:pPr>
        <w:pStyle w:val="nzIndenta"/>
      </w:pPr>
      <w:r>
        <w:tab/>
        <w:t>(b)</w:t>
      </w:r>
      <w:r>
        <w:tab/>
        <w:t>any longer period after that day allowed by the chief executive officer.</w:t>
      </w:r>
    </w:p>
    <w:p>
      <w:pPr>
        <w:pStyle w:val="nzSubsection"/>
      </w:pPr>
      <w:r>
        <w:tab/>
        <w:t>(3)</w:t>
      </w:r>
      <w:r>
        <w:tab/>
        <w:t xml:space="preserve">After the submission period, the chief executive officer must — </w:t>
      </w:r>
    </w:p>
    <w:p>
      <w:pPr>
        <w:pStyle w:val="nzIndenta"/>
      </w:pPr>
      <w:r>
        <w:tab/>
        <w:t>(a)</w:t>
      </w:r>
      <w:r>
        <w:tab/>
        <w:t>decide whether or not to take removal action against the custodial officer; and</w:t>
      </w:r>
    </w:p>
    <w:p>
      <w:pPr>
        <w:pStyle w:val="nzIndenta"/>
      </w:pPr>
      <w:r>
        <w:tab/>
        <w:t>(b)</w:t>
      </w:r>
      <w:r>
        <w:tab/>
        <w:t xml:space="preserve">give the custodial officer written notice of the decision (the </w:t>
      </w:r>
      <w:r>
        <w:rPr>
          <w:rStyle w:val="CharDefText"/>
        </w:rPr>
        <w:t>decision notice</w:t>
      </w:r>
      <w:r>
        <w:t>).</w:t>
      </w:r>
    </w:p>
    <w:p>
      <w:pPr>
        <w:pStyle w:val="nzSubsection"/>
      </w:pPr>
      <w:r>
        <w:tab/>
        <w:t>(4)</w:t>
      </w:r>
      <w:r>
        <w:tab/>
        <w:t xml:space="preserve">The chief executive officer must not decide to take removal action against the custodial officer unless the chief executive officer — </w:t>
      </w:r>
    </w:p>
    <w:p>
      <w:pPr>
        <w:pStyle w:val="nzIndenta"/>
      </w:pPr>
      <w:r>
        <w:tab/>
        <w:t>(a)</w:t>
      </w:r>
      <w:r>
        <w:tab/>
        <w:t>has taken into account any written submissions received from the custodial officer during the submission period; and</w:t>
      </w:r>
    </w:p>
    <w:p>
      <w:pPr>
        <w:pStyle w:val="nzIndenta"/>
      </w:pPr>
      <w:r>
        <w:tab/>
        <w:t>(b)</w:t>
      </w:r>
      <w:r>
        <w:tab/>
        <w:t>still does not have confidence in a custodial officer’s suitability to continue as a custodial officer.</w:t>
      </w:r>
    </w:p>
    <w:p>
      <w:pPr>
        <w:pStyle w:val="nzSubsection"/>
      </w:pPr>
      <w:r>
        <w:tab/>
        <w:t>(5)</w:t>
      </w:r>
      <w:r>
        <w:tab/>
        <w:t>If the chief executive officer decides to take removal action against the custodial officer, the decision notice must contain the reasons for the decision.</w:t>
      </w:r>
    </w:p>
    <w:p>
      <w:pPr>
        <w:pStyle w:val="nzSubsection"/>
      </w:pPr>
      <w:r>
        <w:tab/>
        <w:t>(6)</w:t>
      </w:r>
      <w:r>
        <w:tab/>
        <w:t xml:space="preserve">Except as provided in the regulations, the chief executive officer must, within 7 days after giving the decision notice — </w:t>
      </w:r>
    </w:p>
    <w:p>
      <w:pPr>
        <w:pStyle w:val="nzIndenta"/>
      </w:pPr>
      <w:r>
        <w:tab/>
        <w:t>(a)</w:t>
      </w:r>
      <w:r>
        <w:tab/>
        <w:t xml:space="preserve">give to the custodial officer a copy of any documents that were considered by the chief executive officer in making the decision; and </w:t>
      </w:r>
    </w:p>
    <w:p>
      <w:pPr>
        <w:pStyle w:val="nzIndenta"/>
      </w:pPr>
      <w:r>
        <w:tab/>
        <w:t>(b)</w:t>
      </w:r>
      <w:r>
        <w:tab/>
        <w:t>make available to the custodial officer for inspection any other materials that were considered by the chief executive officer in making the decision.</w:t>
      </w:r>
    </w:p>
    <w:p>
      <w:pPr>
        <w:pStyle w:val="nzSubsection"/>
      </w:pPr>
      <w:r>
        <w:tab/>
        <w:t>(7)</w:t>
      </w:r>
      <w:r>
        <w:tab/>
        <w:t>The removal action may be carried out when the notice is given or at any time after that.</w:t>
      </w:r>
    </w:p>
    <w:p>
      <w:pPr>
        <w:pStyle w:val="nzHeading5"/>
      </w:pPr>
      <w:bookmarkStart w:id="802" w:name="_Toc404765106"/>
      <w:bookmarkStart w:id="803" w:name="_Toc405375768"/>
      <w:r>
        <w:t>11CE.</w:t>
      </w:r>
      <w:r>
        <w:tab/>
        <w:t>Maintenance payment</w:t>
      </w:r>
      <w:bookmarkEnd w:id="802"/>
      <w:bookmarkEnd w:id="803"/>
    </w:p>
    <w:p>
      <w:pPr>
        <w:pStyle w:val="nzSubsection"/>
      </w:pPr>
      <w:r>
        <w:tab/>
        <w:t>(1)</w:t>
      </w:r>
      <w:r>
        <w:tab/>
        <w:t xml:space="preserve">If a custodial officer is removed as a result of removal action, the custodial officer is entitled to receive a payment (a </w:t>
      </w:r>
      <w:r>
        <w:rPr>
          <w:rStyle w:val="CharDefText"/>
        </w:rPr>
        <w:t>maintenance payment</w:t>
      </w:r>
      <w:r>
        <w:t xml:space="preserve">) for the period of 28 days after the day on which the custodial officer is removed (the </w:t>
      </w:r>
      <w:r>
        <w:rPr>
          <w:rStyle w:val="CharDefText"/>
        </w:rPr>
        <w:t>maintenance period</w:t>
      </w:r>
      <w:r>
        <w:t>).</w:t>
      </w:r>
    </w:p>
    <w:p>
      <w:pPr>
        <w:pStyle w:val="nzSubsection"/>
      </w:pPr>
      <w:r>
        <w:tab/>
        <w:t>(2)</w:t>
      </w:r>
      <w:r>
        <w:tab/>
        <w:t>The Minister may, in exceptional circumstances, direct that a maintenance payment must be paid to the custodial officer for a specified period after the maintenance period.</w:t>
      </w:r>
    </w:p>
    <w:p>
      <w:pPr>
        <w:pStyle w:val="nzSubsection"/>
      </w:pPr>
      <w:r>
        <w:tab/>
        <w:t>(3)</w:t>
      </w:r>
      <w:r>
        <w:tab/>
        <w:t>For the purpose of subsection (2), the specified period is a period not exceeding 6 months specified by the Minister but in any event ending on the day any appeal is determined by the WAIRC.</w:t>
      </w:r>
    </w:p>
    <w:p>
      <w:pPr>
        <w:pStyle w:val="nzSubsection"/>
      </w:pPr>
      <w:r>
        <w:tab/>
        <w:t>(4)</w:t>
      </w:r>
      <w:r>
        <w:tab/>
        <w:t>Any maintenance payment must be determined on the basis of the salary of the custodial officer at the time of the removal.</w:t>
      </w:r>
    </w:p>
    <w:p>
      <w:pPr>
        <w:pStyle w:val="nzHeading5"/>
      </w:pPr>
      <w:bookmarkStart w:id="804" w:name="_Toc404765107"/>
      <w:bookmarkStart w:id="805" w:name="_Toc405375769"/>
      <w:r>
        <w:t>11CF.</w:t>
      </w:r>
      <w:r>
        <w:tab/>
        <w:t>Withdrawal of removal action and revocation of removal</w:t>
      </w:r>
      <w:bookmarkEnd w:id="804"/>
      <w:bookmarkEnd w:id="805"/>
    </w:p>
    <w:p>
      <w:pPr>
        <w:pStyle w:val="nzSubsection"/>
      </w:pPr>
      <w:r>
        <w:tab/>
        <w:t>(1)</w:t>
      </w:r>
      <w:r>
        <w:tab/>
        <w:t>If a custodial officer is removed as a result of removal action, the chief executive officer may, by notice in writing to the custodial officer, revoke the removal.</w:t>
      </w:r>
    </w:p>
    <w:p>
      <w:pPr>
        <w:pStyle w:val="nzSubsection"/>
      </w:pPr>
      <w:r>
        <w:tab/>
        <w:t>(2)</w:t>
      </w:r>
      <w:r>
        <w:tab/>
        <w:t>Subsection (1) applies even if an appeal has been instituted against the removal.</w:t>
      </w:r>
    </w:p>
    <w:p>
      <w:pPr>
        <w:pStyle w:val="nzSubsection"/>
      </w:pPr>
      <w:r>
        <w:tab/>
        <w:t>(3)</w:t>
      </w:r>
      <w:r>
        <w:tab/>
        <w:t>Despite any other enactment, if the removal is revoked under subsection (1), the removal is to be taken to be of no effect and to have never had any effect.</w:t>
      </w:r>
    </w:p>
    <w:p>
      <w:pPr>
        <w:pStyle w:val="nzSubsection"/>
      </w:pPr>
      <w:r>
        <w:tab/>
        <w:t>(4)</w:t>
      </w:r>
      <w:r>
        <w:tab/>
        <w:t>If the chief executive officer revokes the removal of a custodial officer under subsection (1), the custodial officer is not entitled to be paid his or her salary for any period the custodial officer received a maintenance payment.</w:t>
      </w:r>
    </w:p>
    <w:p>
      <w:pPr>
        <w:pStyle w:val="nzHeading5"/>
      </w:pPr>
      <w:bookmarkStart w:id="806" w:name="_Toc404765108"/>
      <w:bookmarkStart w:id="807" w:name="_Toc405375770"/>
      <w:r>
        <w:t>11CG.</w:t>
      </w:r>
      <w:r>
        <w:tab/>
        <w:t>Resignation of custodial officer who has been removed</w:t>
      </w:r>
      <w:bookmarkEnd w:id="806"/>
      <w:bookmarkEnd w:id="807"/>
    </w:p>
    <w:p>
      <w:pPr>
        <w:pStyle w:val="nzSubsection"/>
      </w:pPr>
      <w:r>
        <w:tab/>
        <w:t>(1)</w:t>
      </w:r>
      <w:r>
        <w:tab/>
        <w:t>Even if a custodial officer is removed as a result of removal action, the custodial officer may resign at any time before the end of the maintenance period.</w:t>
      </w:r>
    </w:p>
    <w:p>
      <w:pPr>
        <w:pStyle w:val="nzSubsection"/>
      </w:pPr>
      <w:r>
        <w:tab/>
        <w:t>(2)</w:t>
      </w:r>
      <w:r>
        <w:tab/>
        <w:t>Subsection (1) does not apply if an appeal has been instituted against the removal.</w:t>
      </w:r>
    </w:p>
    <w:p>
      <w:pPr>
        <w:pStyle w:val="nzSubsection"/>
      </w:pPr>
      <w:r>
        <w:tab/>
        <w:t>(3)</w:t>
      </w:r>
      <w:r>
        <w:tab/>
        <w:t>A resignation under subsection (1) takes effect at the end of the maintenance period.</w:t>
      </w:r>
    </w:p>
    <w:p>
      <w:pPr>
        <w:pStyle w:val="nzSubsection"/>
      </w:pPr>
      <w:r>
        <w:tab/>
        <w:t>(4)</w:t>
      </w:r>
      <w:r>
        <w:tab/>
        <w:t>Despite any other enactment, if a custodial officer resigns under subsection (1), the removal of the custodial officer is to be taken to be of no effect and to have never had any effect.</w:t>
      </w:r>
    </w:p>
    <w:p>
      <w:pPr>
        <w:pStyle w:val="nzHeading4"/>
      </w:pPr>
      <w:bookmarkStart w:id="808" w:name="_Toc370987260"/>
      <w:bookmarkStart w:id="809" w:name="_Toc370987352"/>
      <w:bookmarkStart w:id="810" w:name="_Toc370987444"/>
      <w:bookmarkStart w:id="811" w:name="_Toc370987536"/>
      <w:bookmarkStart w:id="812" w:name="_Toc370988014"/>
      <w:bookmarkStart w:id="813" w:name="_Toc370988466"/>
      <w:bookmarkStart w:id="814" w:name="_Toc370988567"/>
      <w:bookmarkStart w:id="815" w:name="_Toc371347026"/>
      <w:bookmarkStart w:id="816" w:name="_Toc372281408"/>
      <w:bookmarkStart w:id="817" w:name="_Toc404765109"/>
      <w:bookmarkStart w:id="818" w:name="_Toc405375771"/>
      <w:r>
        <w:t>Subdivision 3 — Appeal against removal of custodial officer</w:t>
      </w:r>
      <w:bookmarkEnd w:id="808"/>
      <w:bookmarkEnd w:id="809"/>
      <w:bookmarkEnd w:id="810"/>
      <w:bookmarkEnd w:id="811"/>
      <w:bookmarkEnd w:id="812"/>
      <w:bookmarkEnd w:id="813"/>
      <w:bookmarkEnd w:id="814"/>
      <w:bookmarkEnd w:id="815"/>
      <w:bookmarkEnd w:id="816"/>
      <w:bookmarkEnd w:id="817"/>
      <w:bookmarkEnd w:id="818"/>
    </w:p>
    <w:p>
      <w:pPr>
        <w:pStyle w:val="nzHeading5"/>
      </w:pPr>
      <w:bookmarkStart w:id="819" w:name="_Toc404765110"/>
      <w:bookmarkStart w:id="820" w:name="_Toc405375772"/>
      <w:r>
        <w:t>11CH.</w:t>
      </w:r>
      <w:r>
        <w:tab/>
        <w:t>Appeal right</w:t>
      </w:r>
      <w:bookmarkEnd w:id="819"/>
      <w:bookmarkEnd w:id="820"/>
    </w:p>
    <w:p>
      <w:pPr>
        <w:pStyle w:val="nzSubsection"/>
      </w:pPr>
      <w:r>
        <w:tab/>
        <w:t>(1)</w:t>
      </w:r>
      <w:r>
        <w:tab/>
        <w:t>If a custodial officer is removed as a result of removal action, the custodial officer may appeal to the WAIRC against the removal decision on the ground that it was harsh, oppressive or unfair.</w:t>
      </w:r>
    </w:p>
    <w:p>
      <w:pPr>
        <w:pStyle w:val="nzSubsection"/>
      </w:pPr>
      <w:r>
        <w:tab/>
        <w:t>(2)</w:t>
      </w:r>
      <w:r>
        <w:tab/>
        <w:t xml:space="preserve">The custodial officer may institute the appeal by a notice to the chief executive officer stating — </w:t>
      </w:r>
    </w:p>
    <w:p>
      <w:pPr>
        <w:pStyle w:val="nzIndenta"/>
      </w:pPr>
      <w:r>
        <w:tab/>
        <w:t>(a)</w:t>
      </w:r>
      <w:r>
        <w:tab/>
        <w:t>the reasons for the removal decision being harsh, oppressive or unfair; and</w:t>
      </w:r>
    </w:p>
    <w:p>
      <w:pPr>
        <w:pStyle w:val="nzIndenta"/>
      </w:pPr>
      <w:r>
        <w:tab/>
        <w:t>(b)</w:t>
      </w:r>
      <w:r>
        <w:tab/>
        <w:t>the nature of the relief sought.</w:t>
      </w:r>
    </w:p>
    <w:p>
      <w:pPr>
        <w:pStyle w:val="nzSubsection"/>
      </w:pPr>
      <w:r>
        <w:tab/>
        <w:t>(3)</w:t>
      </w:r>
      <w:r>
        <w:tab/>
        <w:t xml:space="preserve">The appeal cannot be instituted — </w:t>
      </w:r>
    </w:p>
    <w:p>
      <w:pPr>
        <w:pStyle w:val="nzIndenta"/>
      </w:pPr>
      <w:r>
        <w:tab/>
        <w:t>(a)</w:t>
      </w:r>
      <w:r>
        <w:tab/>
        <w:t>after the maintenance period; or</w:t>
      </w:r>
    </w:p>
    <w:p>
      <w:pPr>
        <w:pStyle w:val="nzIndenta"/>
      </w:pPr>
      <w:r>
        <w:tab/>
        <w:t>(b)</w:t>
      </w:r>
      <w:r>
        <w:tab/>
        <w:t>if the custodial officer has resigned under section 11CG(1).</w:t>
      </w:r>
    </w:p>
    <w:p>
      <w:pPr>
        <w:pStyle w:val="nzSubsection"/>
      </w:pPr>
      <w:r>
        <w:tab/>
        <w:t>(4)</w:t>
      </w:r>
      <w:r>
        <w:tab/>
        <w:t xml:space="preserve">For the purposes of proceedings relating to the appeal, the WAIRC is to be constituted by not less than 3 industrial Commissioners, at least one of whom must be — </w:t>
      </w:r>
    </w:p>
    <w:p>
      <w:pPr>
        <w:pStyle w:val="nzIndenta"/>
      </w:pPr>
      <w:r>
        <w:tab/>
        <w:t>(a)</w:t>
      </w:r>
      <w:r>
        <w:tab/>
        <w:t xml:space="preserve">the Chief Commissioner; or </w:t>
      </w:r>
    </w:p>
    <w:p>
      <w:pPr>
        <w:pStyle w:val="nzIndenta"/>
      </w:pPr>
      <w:r>
        <w:tab/>
        <w:t>(b)</w:t>
      </w:r>
      <w:r>
        <w:tab/>
        <w:t xml:space="preserve">the Senior Commissioner within the meaning of that term in the </w:t>
      </w:r>
      <w:r>
        <w:rPr>
          <w:i/>
        </w:rPr>
        <w:t>Industrial Relations Act 1979</w:t>
      </w:r>
      <w:r>
        <w:t>.</w:t>
      </w:r>
    </w:p>
    <w:p>
      <w:pPr>
        <w:pStyle w:val="nzSubsection"/>
      </w:pPr>
      <w:r>
        <w:tab/>
        <w:t>(5)</w:t>
      </w:r>
      <w:r>
        <w:tab/>
        <w:t>The only parties to the appeal are the custodial officer and the chief executive officer.</w:t>
      </w:r>
    </w:p>
    <w:p>
      <w:pPr>
        <w:pStyle w:val="nzSubsection"/>
      </w:pPr>
      <w:r>
        <w:tab/>
        <w:t>(6)</w:t>
      </w:r>
      <w:r>
        <w:tab/>
        <w:t>The custodial officer does not have any right of appeal against the removal decision other than under this section.</w:t>
      </w:r>
    </w:p>
    <w:p>
      <w:pPr>
        <w:pStyle w:val="nzHeading5"/>
      </w:pPr>
      <w:bookmarkStart w:id="821" w:name="_Toc404765111"/>
      <w:bookmarkStart w:id="822" w:name="_Toc405375773"/>
      <w:r>
        <w:t>11CI.</w:t>
      </w:r>
      <w:r>
        <w:tab/>
        <w:t>Proceedings on appeal</w:t>
      </w:r>
      <w:bookmarkEnd w:id="821"/>
      <w:bookmarkEnd w:id="822"/>
    </w:p>
    <w:p>
      <w:pPr>
        <w:pStyle w:val="nzSubsection"/>
      </w:pPr>
      <w:r>
        <w:tab/>
        <w:t>(1)</w:t>
      </w:r>
      <w:r>
        <w:tab/>
        <w:t xml:space="preserve">On the hearing of an appeal, the WAIRC must proceed in the following manner — </w:t>
      </w:r>
    </w:p>
    <w:p>
      <w:pPr>
        <w:pStyle w:val="nzIndenta"/>
      </w:pPr>
      <w:r>
        <w:tab/>
        <w:t>(a)</w:t>
      </w:r>
      <w:r>
        <w:tab/>
        <w:t>first, it must consider the chief executive officer’s reasons for the removal decision;</w:t>
      </w:r>
    </w:p>
    <w:p>
      <w:pPr>
        <w:pStyle w:val="nzIndenta"/>
      </w:pPr>
      <w:r>
        <w:tab/>
        <w:t>(b)</w:t>
      </w:r>
      <w:r>
        <w:tab/>
        <w:t>second, it must consider the case presented by the appellant as to why the removal decision was harsh, oppressive or unfair;</w:t>
      </w:r>
    </w:p>
    <w:p>
      <w:pPr>
        <w:pStyle w:val="nzIndenta"/>
      </w:pPr>
      <w:r>
        <w:tab/>
        <w:t>(c)</w:t>
      </w:r>
      <w:r>
        <w:tab/>
        <w:t>third, it must consider the case presented by the chief executive officer in answer to the appellant’s case.</w:t>
      </w:r>
    </w:p>
    <w:p>
      <w:pPr>
        <w:pStyle w:val="nzSubsection"/>
      </w:pPr>
      <w:r>
        <w:tab/>
        <w:t>(2)</w:t>
      </w:r>
      <w:r>
        <w:tab/>
        <w:t>The appellant has at all times the burden of establishing that the removal decision was harsh, oppressive or unfair.</w:t>
      </w:r>
    </w:p>
    <w:p>
      <w:pPr>
        <w:pStyle w:val="nzSubsection"/>
      </w:pPr>
      <w:r>
        <w:tab/>
        <w:t>(3)</w:t>
      </w:r>
      <w:r>
        <w:tab/>
        <w:t>Subsection (2) has effect despite any law or practice to the contrary.</w:t>
      </w:r>
    </w:p>
    <w:p>
      <w:pPr>
        <w:pStyle w:val="nzSubsection"/>
      </w:pPr>
      <w:r>
        <w:tab/>
        <w:t>(4)</w:t>
      </w:r>
      <w:r>
        <w:tab/>
        <w:t xml:space="preserve">Without limiting the matters to which the WAIRC is otherwise required or permitted to have regard in determining the appeal, it must have regard to — </w:t>
      </w:r>
    </w:p>
    <w:p>
      <w:pPr>
        <w:pStyle w:val="nzIndenta"/>
      </w:pPr>
      <w:r>
        <w:tab/>
        <w:t>(a)</w:t>
      </w:r>
      <w:r>
        <w:tab/>
        <w:t>the interests of the appellant; and</w:t>
      </w:r>
    </w:p>
    <w:p>
      <w:pPr>
        <w:pStyle w:val="nzIndenta"/>
      </w:pPr>
      <w:r>
        <w:tab/>
        <w:t>(b)</w:t>
      </w:r>
      <w:r>
        <w:tab/>
        <w:t xml:space="preserve">the public interest, which is to be taken to include — </w:t>
      </w:r>
    </w:p>
    <w:p>
      <w:pPr>
        <w:pStyle w:val="nzIndenti"/>
      </w:pPr>
      <w:r>
        <w:tab/>
        <w:t>(i)</w:t>
      </w:r>
      <w:r>
        <w:tab/>
        <w:t>the importance of maintaining public confidence in the integrity, honesty, conduct and standard of performance of custodial officers; and</w:t>
      </w:r>
    </w:p>
    <w:p>
      <w:pPr>
        <w:pStyle w:val="nzIndenti"/>
      </w:pPr>
      <w:r>
        <w:tab/>
        <w:t>(ii)</w:t>
      </w:r>
      <w:r>
        <w:tab/>
        <w:t>the special nature of the relationship between the chief executive officer and custodial officers.</w:t>
      </w:r>
    </w:p>
    <w:p>
      <w:pPr>
        <w:pStyle w:val="nzHeading5"/>
      </w:pPr>
      <w:bookmarkStart w:id="823" w:name="_Toc404765112"/>
      <w:bookmarkStart w:id="824" w:name="_Toc405375774"/>
      <w:r>
        <w:t>11CJ.</w:t>
      </w:r>
      <w:r>
        <w:tab/>
        <w:t>Leave to tender new evidence on appeal</w:t>
      </w:r>
      <w:bookmarkEnd w:id="823"/>
      <w:bookmarkEnd w:id="824"/>
    </w:p>
    <w:p>
      <w:pPr>
        <w:pStyle w:val="nzSubsection"/>
      </w:pPr>
      <w:r>
        <w:tab/>
        <w:t>(1)</w:t>
      </w:r>
      <w:r>
        <w:tab/>
        <w:t>New evidence cannot be tendered to the WAIRC during a hearing of an appeal unless the WAIRC grants leave under subsection (2) or (3).</w:t>
      </w:r>
    </w:p>
    <w:p>
      <w:pPr>
        <w:pStyle w:val="nzSubsection"/>
      </w:pPr>
      <w:r>
        <w:tab/>
        <w:t>(2)</w:t>
      </w:r>
      <w:r>
        <w:tab/>
        <w:t>The WAIRC may grant the chief executive officer leave to tender new evidence if —</w:t>
      </w:r>
    </w:p>
    <w:p>
      <w:pPr>
        <w:pStyle w:val="nzIndenta"/>
      </w:pPr>
      <w:r>
        <w:tab/>
        <w:t>(a)</w:t>
      </w:r>
      <w:r>
        <w:tab/>
        <w:t>the appellant consents; or</w:t>
      </w:r>
    </w:p>
    <w:p>
      <w:pPr>
        <w:pStyle w:val="nzIndenta"/>
      </w:pPr>
      <w:r>
        <w:tab/>
        <w:t>(b)</w:t>
      </w:r>
      <w:r>
        <w:tab/>
        <w:t>it is satisfied that it is in the interests of justice to do so.</w:t>
      </w:r>
    </w:p>
    <w:p>
      <w:pPr>
        <w:pStyle w:val="nzSubsection"/>
      </w:pPr>
      <w:r>
        <w:tab/>
        <w:t>(3)</w:t>
      </w:r>
      <w:r>
        <w:tab/>
        <w:t xml:space="preserve">The WAIRC may grant the appellant leave to tender new evidence if — </w:t>
      </w:r>
    </w:p>
    <w:p>
      <w:pPr>
        <w:pStyle w:val="nzIndenta"/>
      </w:pPr>
      <w:r>
        <w:tab/>
        <w:t>(a)</w:t>
      </w:r>
      <w:r>
        <w:tab/>
        <w:t>the chief executive officer consents; or</w:t>
      </w:r>
    </w:p>
    <w:p>
      <w:pPr>
        <w:pStyle w:val="nzIndenta"/>
      </w:pPr>
      <w:r>
        <w:tab/>
        <w:t>(b)</w:t>
      </w:r>
      <w:r>
        <w:tab/>
        <w:t xml:space="preserve">the WAIRC is satisfied that — </w:t>
      </w:r>
    </w:p>
    <w:p>
      <w:pPr>
        <w:pStyle w:val="nzIndenti"/>
      </w:pPr>
      <w:r>
        <w:tab/>
        <w:t>(i)</w:t>
      </w:r>
      <w:r>
        <w:tab/>
        <w:t>the appellant is likely to be able to use the new evidence to show that the chief executive officer has acted upon wrong or mistaken information; or</w:t>
      </w:r>
    </w:p>
    <w:p>
      <w:pPr>
        <w:pStyle w:val="nzIndenti"/>
      </w:pPr>
      <w:r>
        <w:tab/>
        <w:t>(ii)</w:t>
      </w:r>
      <w:r>
        <w:tab/>
        <w:t>the new evidence might materially have affected the chief executive officer’s removal decision; or</w:t>
      </w:r>
    </w:p>
    <w:p>
      <w:pPr>
        <w:pStyle w:val="nzIndenti"/>
      </w:pPr>
      <w:r>
        <w:tab/>
        <w:t>(iii)</w:t>
      </w:r>
      <w:r>
        <w:tab/>
        <w:t>it is in the interests of justice to do so.</w:t>
      </w:r>
    </w:p>
    <w:p>
      <w:pPr>
        <w:pStyle w:val="nzSubsection"/>
      </w:pPr>
      <w:r>
        <w:tab/>
        <w:t>(4)</w:t>
      </w:r>
      <w:r>
        <w:tab/>
        <w:t xml:space="preserve">In the exercise of its discretion under subsection (3), the WAIRC must have regard to — </w:t>
      </w:r>
    </w:p>
    <w:p>
      <w:pPr>
        <w:pStyle w:val="nzIndenta"/>
      </w:pPr>
      <w:r>
        <w:tab/>
        <w:t>(a)</w:t>
      </w:r>
      <w:r>
        <w:tab/>
        <w:t>whether or not the appellant was aware of the substance of the new evidence before the appellant’s removal; and</w:t>
      </w:r>
    </w:p>
    <w:p>
      <w:pPr>
        <w:pStyle w:val="nzIndenta"/>
      </w:pPr>
      <w:r>
        <w:tab/>
        <w:t>(b)</w:t>
      </w:r>
      <w:r>
        <w:tab/>
        <w:t>whether or not the substance of the new evidence was contained in a document to which the appellant had reasonable access before the appellant’s removal.</w:t>
      </w:r>
    </w:p>
    <w:p>
      <w:pPr>
        <w:pStyle w:val="nzHeading5"/>
      </w:pPr>
      <w:bookmarkStart w:id="825" w:name="_Toc404765113"/>
      <w:bookmarkStart w:id="826" w:name="_Toc405375775"/>
      <w:r>
        <w:t>11CK.</w:t>
      </w:r>
      <w:r>
        <w:tab/>
        <w:t>Opportunity to consider new evidence</w:t>
      </w:r>
      <w:bookmarkEnd w:id="825"/>
      <w:bookmarkEnd w:id="826"/>
    </w:p>
    <w:p>
      <w:pPr>
        <w:pStyle w:val="nzSubsection"/>
      </w:pPr>
      <w:r>
        <w:tab/>
        <w:t>(1)</w:t>
      </w:r>
      <w:r>
        <w:tab/>
        <w:t xml:space="preserve">If the chief executive officer is given leave to tender new evidence under section 11CJ(2) — </w:t>
      </w:r>
    </w:p>
    <w:p>
      <w:pPr>
        <w:pStyle w:val="nzIndenta"/>
      </w:pPr>
      <w:r>
        <w:tab/>
        <w:t>(a)</w:t>
      </w:r>
      <w:r>
        <w:tab/>
        <w:t xml:space="preserve">the WAIRC must give the appellant a reasonable opportunity to consider the new evidence; and </w:t>
      </w:r>
    </w:p>
    <w:p>
      <w:pPr>
        <w:pStyle w:val="nzIndenta"/>
      </w:pPr>
      <w:r>
        <w:tab/>
        <w:t>(b)</w:t>
      </w:r>
      <w:r>
        <w:tab/>
        <w:t>the appellant may, without the leave of the WAIRC, tender new evidence under this section in response to the new evidence tendered by the chief executive officer.</w:t>
      </w:r>
    </w:p>
    <w:p>
      <w:pPr>
        <w:pStyle w:val="nzSubsection"/>
      </w:pPr>
      <w:r>
        <w:tab/>
        <w:t>(2)</w:t>
      </w:r>
      <w:r>
        <w:tab/>
        <w:t>If the appellant is given leave to tender new evidence under section 11CJ(3), the WAIRC must give the chief executive officer a reasonable opportunity to consider the new evidence.</w:t>
      </w:r>
    </w:p>
    <w:p>
      <w:pPr>
        <w:pStyle w:val="nzHeading5"/>
      </w:pPr>
      <w:bookmarkStart w:id="827" w:name="_Toc404765114"/>
      <w:bookmarkStart w:id="828" w:name="_Toc405375776"/>
      <w:r>
        <w:t>11CL.</w:t>
      </w:r>
      <w:r>
        <w:tab/>
        <w:t>Revocation of removal after consideration of new evidence</w:t>
      </w:r>
      <w:bookmarkEnd w:id="827"/>
      <w:bookmarkEnd w:id="828"/>
    </w:p>
    <w:p>
      <w:pPr>
        <w:pStyle w:val="nzSubsection"/>
      </w:pPr>
      <w:r>
        <w:tab/>
        <w:t>(1)</w:t>
      </w:r>
      <w:r>
        <w:tab/>
        <w:t xml:space="preserve">If, having considered any new evidence, the chief executive officer revokes the removal under section 11CF(1) — </w:t>
      </w:r>
    </w:p>
    <w:p>
      <w:pPr>
        <w:pStyle w:val="nzIndenta"/>
      </w:pPr>
      <w:r>
        <w:tab/>
        <w:t>(a)</w:t>
      </w:r>
      <w:r>
        <w:tab/>
        <w:t xml:space="preserve">the chief executive officer must give the WAIRC notice of the revocation; and </w:t>
      </w:r>
    </w:p>
    <w:p>
      <w:pPr>
        <w:pStyle w:val="nzIndenta"/>
      </w:pPr>
      <w:r>
        <w:tab/>
        <w:t>(b)</w:t>
      </w:r>
      <w:r>
        <w:tab/>
        <w:t>the hearing of the appeal is discontinued when the WAIRC receives the notice.</w:t>
      </w:r>
    </w:p>
    <w:p>
      <w:pPr>
        <w:pStyle w:val="nzSubsection"/>
      </w:pPr>
      <w:r>
        <w:tab/>
        <w:t>(2)</w:t>
      </w:r>
      <w:r>
        <w:tab/>
        <w:t xml:space="preserve">If the chief executive officer does not give notice under subsection (1), the hearing of the appeal must continue but the chief executive officer may — </w:t>
      </w:r>
    </w:p>
    <w:p>
      <w:pPr>
        <w:pStyle w:val="nzIndenta"/>
      </w:pPr>
      <w:r>
        <w:tab/>
        <w:t>(a)</w:t>
      </w:r>
      <w:r>
        <w:tab/>
        <w:t>reformulate his or her reasons for not having confidence in the appellant’s suitability to continue as a custodial officer; and</w:t>
      </w:r>
    </w:p>
    <w:p>
      <w:pPr>
        <w:pStyle w:val="nzIndenta"/>
      </w:pPr>
      <w:r>
        <w:tab/>
        <w:t>(b)</w:t>
      </w:r>
      <w:r>
        <w:tab/>
        <w:t>without the leave of the WAIRC, tender new evidence under this section in response to the new evidence tendered by the appellant.</w:t>
      </w:r>
    </w:p>
    <w:p>
      <w:pPr>
        <w:pStyle w:val="nzSubsection"/>
      </w:pPr>
      <w:r>
        <w:tab/>
        <w:t>(3)</w:t>
      </w:r>
      <w:r>
        <w:tab/>
        <w:t>Reasons reformulated under subsection (2)(a) may differ from, or be additional to, the reasons given to the appellant in the decision notice.</w:t>
      </w:r>
    </w:p>
    <w:p>
      <w:pPr>
        <w:pStyle w:val="nzSubsection"/>
      </w:pPr>
      <w:r>
        <w:tab/>
        <w:t>(4)</w:t>
      </w:r>
      <w:r>
        <w:tab/>
        <w:t xml:space="preserve">If the chief executive officer reformulates reasons under subsection (2)(a) — </w:t>
      </w:r>
    </w:p>
    <w:p>
      <w:pPr>
        <w:pStyle w:val="nzIndenta"/>
      </w:pPr>
      <w:r>
        <w:tab/>
        <w:t>(a)</w:t>
      </w:r>
      <w:r>
        <w:tab/>
        <w:t>the chief executive officer must give the WAIRC and the appellant notice in writing of the reasons before the resumption of the hearing of the appeal; and</w:t>
      </w:r>
    </w:p>
    <w:p>
      <w:pPr>
        <w:pStyle w:val="nzIndenta"/>
      </w:pPr>
      <w:r>
        <w:tab/>
        <w:t>(b)</w:t>
      </w:r>
      <w:r>
        <w:tab/>
        <w:t>the WAIRC must consider the reasons as if they had been reasons given to the appellant in the decision notice.</w:t>
      </w:r>
    </w:p>
    <w:p>
      <w:pPr>
        <w:pStyle w:val="nzHeading5"/>
      </w:pPr>
      <w:bookmarkStart w:id="829" w:name="_Toc404765115"/>
      <w:bookmarkStart w:id="830" w:name="_Toc405375777"/>
      <w:r>
        <w:t>11CM.</w:t>
      </w:r>
      <w:r>
        <w:tab/>
        <w:t xml:space="preserve">Application of </w:t>
      </w:r>
      <w:r>
        <w:rPr>
          <w:i/>
        </w:rPr>
        <w:t>Industrial Relations Act 1979</w:t>
      </w:r>
      <w:r>
        <w:t xml:space="preserve"> to appeals</w:t>
      </w:r>
      <w:bookmarkEnd w:id="829"/>
      <w:bookmarkEnd w:id="830"/>
    </w:p>
    <w:p>
      <w:pPr>
        <w:pStyle w:val="nzSubsection"/>
      </w:pPr>
      <w:r>
        <w:tab/>
      </w:r>
      <w:r>
        <w:tab/>
        <w:t xml:space="preserve">The provisions of the </w:t>
      </w:r>
      <w:r>
        <w:rPr>
          <w:i/>
        </w:rPr>
        <w:t>Industrial Relations Act 1979</w:t>
      </w:r>
      <w:r>
        <w:t xml:space="preserve"> listed in the Table apply to, and in relation to, an appeal and its determination, subject to —</w:t>
      </w:r>
    </w:p>
    <w:p>
      <w:pPr>
        <w:pStyle w:val="nzIndenta"/>
      </w:pPr>
      <w:r>
        <w:tab/>
        <w:t>(a)</w:t>
      </w:r>
      <w:r>
        <w:tab/>
        <w:t>any specific modifications set out in the Table; and</w:t>
      </w:r>
    </w:p>
    <w:p>
      <w:pPr>
        <w:pStyle w:val="nzIndenta"/>
      </w:pPr>
      <w:r>
        <w:tab/>
        <w:t>(b)</w:t>
      </w:r>
      <w:r>
        <w:tab/>
        <w:t>all other necessary modifications.</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685"/>
      </w:tblGrid>
      <w:tr>
        <w:trPr>
          <w:cantSplit/>
        </w:trPr>
        <w:tc>
          <w:tcPr>
            <w:tcW w:w="1843" w:type="dxa"/>
          </w:tcPr>
          <w:p>
            <w:pPr>
              <w:pStyle w:val="TableNAm"/>
              <w:rPr>
                <w:sz w:val="20"/>
              </w:rPr>
            </w:pPr>
            <w:r>
              <w:rPr>
                <w:sz w:val="20"/>
              </w:rPr>
              <w:t>s. 26(1)(a) and (b)</w:t>
            </w:r>
          </w:p>
        </w:tc>
        <w:tc>
          <w:tcPr>
            <w:tcW w:w="3685" w:type="dxa"/>
          </w:tcPr>
          <w:p>
            <w:pPr>
              <w:pStyle w:val="TableNAm"/>
              <w:rPr>
                <w:sz w:val="20"/>
              </w:rPr>
            </w:pPr>
          </w:p>
        </w:tc>
      </w:tr>
      <w:tr>
        <w:trPr>
          <w:cantSplit/>
        </w:trPr>
        <w:tc>
          <w:tcPr>
            <w:tcW w:w="1843" w:type="dxa"/>
          </w:tcPr>
          <w:p>
            <w:pPr>
              <w:pStyle w:val="TableNAm"/>
              <w:rPr>
                <w:sz w:val="20"/>
              </w:rPr>
            </w:pPr>
            <w:r>
              <w:rPr>
                <w:sz w:val="20"/>
              </w:rPr>
              <w:t>s. 26(3)</w:t>
            </w:r>
          </w:p>
        </w:tc>
        <w:tc>
          <w:tcPr>
            <w:tcW w:w="3685" w:type="dxa"/>
          </w:tcPr>
          <w:p>
            <w:pPr>
              <w:pStyle w:val="TableNAm"/>
              <w:rPr>
                <w:sz w:val="20"/>
              </w:rPr>
            </w:pPr>
          </w:p>
        </w:tc>
      </w:tr>
      <w:tr>
        <w:trPr>
          <w:cantSplit/>
        </w:trPr>
        <w:tc>
          <w:tcPr>
            <w:tcW w:w="1843" w:type="dxa"/>
          </w:tcPr>
          <w:p>
            <w:pPr>
              <w:pStyle w:val="TableNAm"/>
              <w:rPr>
                <w:sz w:val="20"/>
              </w:rPr>
            </w:pPr>
            <w:r>
              <w:rPr>
                <w:sz w:val="20"/>
              </w:rPr>
              <w:t>s. 27(1)(b), (c), (d), (e), (f), (h), (ha), (hb), (l), (m), (n), (o) and (v)</w:t>
            </w:r>
          </w:p>
        </w:tc>
        <w:tc>
          <w:tcPr>
            <w:tcW w:w="3685" w:type="dxa"/>
          </w:tcPr>
          <w:p>
            <w:pPr>
              <w:pStyle w:val="TableNAm"/>
              <w:rPr>
                <w:sz w:val="20"/>
              </w:rPr>
            </w:pPr>
          </w:p>
        </w:tc>
      </w:tr>
      <w:tr>
        <w:trPr>
          <w:cantSplit/>
        </w:trPr>
        <w:tc>
          <w:tcPr>
            <w:tcW w:w="1843" w:type="dxa"/>
          </w:tcPr>
          <w:p>
            <w:pPr>
              <w:pStyle w:val="TableNAm"/>
              <w:rPr>
                <w:sz w:val="20"/>
              </w:rPr>
            </w:pPr>
            <w:r>
              <w:rPr>
                <w:sz w:val="20"/>
              </w:rPr>
              <w:t>s. 27(1a)</w:t>
            </w:r>
          </w:p>
        </w:tc>
        <w:tc>
          <w:tcPr>
            <w:tcW w:w="3685" w:type="dxa"/>
          </w:tcPr>
          <w:p>
            <w:pPr>
              <w:pStyle w:val="TableNAm"/>
              <w:rPr>
                <w:sz w:val="20"/>
              </w:rPr>
            </w:pPr>
          </w:p>
        </w:tc>
      </w:tr>
      <w:tr>
        <w:trPr>
          <w:cantSplit/>
        </w:trPr>
        <w:tc>
          <w:tcPr>
            <w:tcW w:w="1843" w:type="dxa"/>
          </w:tcPr>
          <w:p>
            <w:pPr>
              <w:pStyle w:val="TableNAm"/>
              <w:rPr>
                <w:sz w:val="20"/>
              </w:rPr>
            </w:pPr>
            <w:r>
              <w:rPr>
                <w:sz w:val="20"/>
              </w:rPr>
              <w:t>s. 28</w:t>
            </w:r>
          </w:p>
        </w:tc>
        <w:tc>
          <w:tcPr>
            <w:tcW w:w="3685" w:type="dxa"/>
          </w:tcPr>
          <w:p>
            <w:pPr>
              <w:pStyle w:val="TableNAm"/>
              <w:rPr>
                <w:sz w:val="20"/>
              </w:rPr>
            </w:pPr>
            <w:r>
              <w:rPr>
                <w:sz w:val="20"/>
              </w:rPr>
              <w:t>The section applies only in relation to powers conferred by section 27 listed in this Table.</w:t>
            </w:r>
          </w:p>
        </w:tc>
      </w:tr>
      <w:tr>
        <w:trPr>
          <w:cantSplit/>
        </w:trPr>
        <w:tc>
          <w:tcPr>
            <w:tcW w:w="1843" w:type="dxa"/>
          </w:tcPr>
          <w:p>
            <w:pPr>
              <w:pStyle w:val="TableNAm"/>
              <w:rPr>
                <w:sz w:val="20"/>
              </w:rPr>
            </w:pPr>
            <w:r>
              <w:rPr>
                <w:sz w:val="20"/>
              </w:rPr>
              <w:t>s. 31(1)</w:t>
            </w:r>
          </w:p>
        </w:tc>
        <w:tc>
          <w:tcPr>
            <w:tcW w:w="3685" w:type="dxa"/>
          </w:tcPr>
          <w:p>
            <w:pPr>
              <w:pStyle w:val="TableNAm"/>
              <w:rPr>
                <w:sz w:val="20"/>
              </w:rPr>
            </w:pPr>
            <w:r>
              <w:rPr>
                <w:sz w:val="20"/>
              </w:rPr>
              <w:t>Paragraphs (b) and (c) do not apply but the subsection is to be read as if it contained the following paragraphs —</w:t>
            </w:r>
          </w:p>
          <w:p>
            <w:pPr>
              <w:pStyle w:val="TableNAm"/>
              <w:tabs>
                <w:tab w:val="clear" w:pos="567"/>
                <w:tab w:val="left" w:pos="317"/>
                <w:tab w:val="left" w:pos="884"/>
              </w:tabs>
              <w:ind w:left="884" w:hanging="884"/>
              <w:rPr>
                <w:sz w:val="20"/>
              </w:rPr>
            </w:pPr>
            <w:r>
              <w:rPr>
                <w:sz w:val="20"/>
              </w:rPr>
              <w:t>“</w:t>
            </w:r>
            <w:r>
              <w:rPr>
                <w:sz w:val="20"/>
              </w:rPr>
              <w:tab/>
              <w:t>(b)</w:t>
            </w:r>
            <w:r>
              <w:rPr>
                <w:sz w:val="20"/>
              </w:rPr>
              <w:tab/>
              <w:t>with the leave of the Commission, by an agent; or</w:t>
            </w:r>
          </w:p>
          <w:p>
            <w:pPr>
              <w:pStyle w:val="TableNAm"/>
              <w:tabs>
                <w:tab w:val="clear" w:pos="567"/>
                <w:tab w:val="left" w:pos="317"/>
                <w:tab w:val="left" w:pos="884"/>
              </w:tabs>
              <w:rPr>
                <w:sz w:val="20"/>
              </w:rPr>
            </w:pPr>
            <w:r>
              <w:rPr>
                <w:sz w:val="20"/>
              </w:rPr>
              <w:tab/>
              <w:t>(c)</w:t>
            </w:r>
            <w:r>
              <w:rPr>
                <w:sz w:val="20"/>
              </w:rPr>
              <w:tab/>
              <w:t>by a legal practitioner.  ”.</w:t>
            </w:r>
          </w:p>
        </w:tc>
      </w:tr>
      <w:tr>
        <w:trPr>
          <w:cantSplit/>
        </w:trPr>
        <w:tc>
          <w:tcPr>
            <w:tcW w:w="1843" w:type="dxa"/>
          </w:tcPr>
          <w:p>
            <w:pPr>
              <w:pStyle w:val="TableNAm"/>
              <w:rPr>
                <w:sz w:val="20"/>
              </w:rPr>
            </w:pPr>
            <w:r>
              <w:rPr>
                <w:sz w:val="20"/>
              </w:rPr>
              <w:t>s. 31(3)</w:t>
            </w:r>
          </w:p>
        </w:tc>
        <w:tc>
          <w:tcPr>
            <w:tcW w:w="3685" w:type="dxa"/>
          </w:tcPr>
          <w:p>
            <w:pPr>
              <w:pStyle w:val="TableNAm"/>
              <w:rPr>
                <w:sz w:val="20"/>
              </w:rPr>
            </w:pPr>
          </w:p>
        </w:tc>
      </w:tr>
      <w:tr>
        <w:trPr>
          <w:cantSplit/>
        </w:trPr>
        <w:tc>
          <w:tcPr>
            <w:tcW w:w="1843" w:type="dxa"/>
          </w:tcPr>
          <w:p>
            <w:pPr>
              <w:pStyle w:val="TableNAm"/>
              <w:rPr>
                <w:sz w:val="20"/>
              </w:rPr>
            </w:pPr>
            <w:r>
              <w:rPr>
                <w:sz w:val="20"/>
              </w:rPr>
              <w:t>s. 31(5)</w:t>
            </w:r>
          </w:p>
        </w:tc>
        <w:tc>
          <w:tcPr>
            <w:tcW w:w="3685" w:type="dxa"/>
          </w:tcPr>
          <w:p>
            <w:pPr>
              <w:pStyle w:val="TableNAm"/>
              <w:rPr>
                <w:sz w:val="20"/>
              </w:rPr>
            </w:pPr>
          </w:p>
        </w:tc>
      </w:tr>
      <w:tr>
        <w:trPr>
          <w:cantSplit/>
        </w:trPr>
        <w:tc>
          <w:tcPr>
            <w:tcW w:w="1843" w:type="dxa"/>
          </w:tcPr>
          <w:p>
            <w:pPr>
              <w:pStyle w:val="TableNAm"/>
              <w:rPr>
                <w:sz w:val="20"/>
              </w:rPr>
            </w:pPr>
            <w:r>
              <w:rPr>
                <w:sz w:val="20"/>
              </w:rPr>
              <w:t>s. 32</w:t>
            </w:r>
          </w:p>
        </w:tc>
        <w:tc>
          <w:tcPr>
            <w:tcW w:w="3685" w:type="dxa"/>
          </w:tcPr>
          <w:p>
            <w:pPr>
              <w:pStyle w:val="TableNAm"/>
              <w:rPr>
                <w:sz w:val="20"/>
              </w:rPr>
            </w:pPr>
            <w:r>
              <w:rPr>
                <w:sz w:val="20"/>
              </w:rPr>
              <w:t xml:space="preserve">Section 32(1) is to be read as if a reference to “Where an industrial matter has been referred to the Commission the Commission shall, unless it” were a reference to “Where the Commission is dealing with an appeal instituted under the </w:t>
            </w:r>
            <w:r>
              <w:rPr>
                <w:i/>
                <w:sz w:val="20"/>
              </w:rPr>
              <w:t>Young Offenders Act 1994</w:t>
            </w:r>
            <w:r>
              <w:rPr>
                <w:sz w:val="20"/>
              </w:rPr>
              <w:t xml:space="preserve"> section 11CH, a member of the Commission may recommend that the parties to the appeal, unless he or she”.</w:t>
            </w:r>
          </w:p>
          <w:p>
            <w:pPr>
              <w:pStyle w:val="TableNAm"/>
              <w:rPr>
                <w:sz w:val="20"/>
              </w:rPr>
            </w:pPr>
            <w:r>
              <w:rPr>
                <w:sz w:val="20"/>
              </w:rPr>
              <w:t>References to “the matter” and “an industrial matter” are to be read as if they were references to “the appeal”.</w:t>
            </w:r>
          </w:p>
        </w:tc>
      </w:tr>
      <w:tr>
        <w:trPr>
          <w:cantSplit/>
        </w:trPr>
        <w:tc>
          <w:tcPr>
            <w:tcW w:w="1843" w:type="dxa"/>
          </w:tcPr>
          <w:p>
            <w:pPr>
              <w:pStyle w:val="zTableNAm"/>
              <w:rPr>
                <w:sz w:val="20"/>
              </w:rPr>
            </w:pPr>
          </w:p>
        </w:tc>
        <w:tc>
          <w:tcPr>
            <w:tcW w:w="3685" w:type="dxa"/>
          </w:tcPr>
          <w:p>
            <w:pPr>
              <w:pStyle w:val="TableNAm"/>
              <w:rPr>
                <w:sz w:val="20"/>
              </w:rPr>
            </w:pPr>
            <w:r>
              <w:rPr>
                <w:sz w:val="20"/>
              </w:rPr>
              <w:t xml:space="preserve">For the purposes of subsections (2) and (3), </w:t>
            </w:r>
            <w:r>
              <w:rPr>
                <w:b/>
                <w:bCs/>
                <w:i/>
                <w:iCs/>
                <w:sz w:val="20"/>
              </w:rPr>
              <w:t>Commission</w:t>
            </w:r>
            <w:r>
              <w:rPr>
                <w:sz w:val="20"/>
              </w:rPr>
              <w:t xml:space="preserve"> does not include an industrial commissioner constituting the WAIRC to hear the appeal.</w:t>
            </w:r>
          </w:p>
          <w:p>
            <w:pPr>
              <w:pStyle w:val="TableNAm"/>
              <w:rPr>
                <w:sz w:val="20"/>
              </w:rPr>
            </w:pPr>
            <w:r>
              <w:rPr>
                <w:sz w:val="20"/>
              </w:rPr>
              <w:t>Subsections (4), (6), (7) and (8) do not apply.</w:t>
            </w:r>
          </w:p>
        </w:tc>
      </w:tr>
      <w:tr>
        <w:trPr>
          <w:cantSplit/>
        </w:trPr>
        <w:tc>
          <w:tcPr>
            <w:tcW w:w="1843" w:type="dxa"/>
          </w:tcPr>
          <w:p>
            <w:pPr>
              <w:pStyle w:val="TableNAm"/>
              <w:rPr>
                <w:sz w:val="20"/>
              </w:rPr>
            </w:pPr>
            <w:r>
              <w:rPr>
                <w:sz w:val="20"/>
              </w:rPr>
              <w:t>s. 33</w:t>
            </w:r>
          </w:p>
        </w:tc>
        <w:tc>
          <w:tcPr>
            <w:tcW w:w="3685" w:type="dxa"/>
          </w:tcPr>
          <w:p>
            <w:pPr>
              <w:pStyle w:val="TableNAm"/>
              <w:rPr>
                <w:sz w:val="20"/>
              </w:rPr>
            </w:pPr>
            <w:r>
              <w:rPr>
                <w:sz w:val="20"/>
              </w:rPr>
              <w:t>A summons must not be issued under section 33(1)(a) to the Governor.</w:t>
            </w:r>
          </w:p>
          <w:p>
            <w:pPr>
              <w:pStyle w:val="TableNAm"/>
              <w:rPr>
                <w:sz w:val="20"/>
              </w:rPr>
            </w:pPr>
            <w:r>
              <w:rPr>
                <w:sz w:val="20"/>
              </w:rPr>
              <w:t xml:space="preserve">A summons may be issued to the chief executive officer or the Minister but only at the direction of a commissioner appointed under the </w:t>
            </w:r>
            <w:r>
              <w:rPr>
                <w:i/>
                <w:sz w:val="20"/>
              </w:rPr>
              <w:t>Industrial Relations Act 1979</w:t>
            </w:r>
            <w:r>
              <w:rPr>
                <w:sz w:val="20"/>
              </w:rPr>
              <w:t xml:space="preserve"> if that commissioner is satisfied that there are extraordinary grounds for doing so.</w:t>
            </w:r>
          </w:p>
          <w:p>
            <w:pPr>
              <w:pStyle w:val="TableNAm"/>
              <w:rPr>
                <w:sz w:val="20"/>
              </w:rPr>
            </w:pPr>
            <w:r>
              <w:rPr>
                <w:sz w:val="20"/>
              </w:rPr>
              <w:t>A summons may not be issued to any other person except at the direction of a commissioner.</w:t>
            </w:r>
          </w:p>
        </w:tc>
      </w:tr>
      <w:tr>
        <w:trPr>
          <w:cantSplit/>
        </w:trPr>
        <w:tc>
          <w:tcPr>
            <w:tcW w:w="1843" w:type="dxa"/>
          </w:tcPr>
          <w:p>
            <w:pPr>
              <w:pStyle w:val="TableNAm"/>
              <w:rPr>
                <w:sz w:val="20"/>
              </w:rPr>
            </w:pPr>
            <w:r>
              <w:rPr>
                <w:sz w:val="20"/>
              </w:rPr>
              <w:t>s. 34</w:t>
            </w:r>
          </w:p>
        </w:tc>
        <w:tc>
          <w:tcPr>
            <w:tcW w:w="3685" w:type="dxa"/>
          </w:tcPr>
          <w:p>
            <w:pPr>
              <w:pStyle w:val="TableNAm"/>
              <w:rPr>
                <w:sz w:val="20"/>
              </w:rPr>
            </w:pPr>
            <w:r>
              <w:rPr>
                <w:sz w:val="20"/>
              </w:rPr>
              <w:t>A reference in subsection (1) to “an award, order, or declaration” is to be read as if it were a reference to “an order”.</w:t>
            </w:r>
          </w:p>
          <w:p>
            <w:pPr>
              <w:pStyle w:val="TableNAm"/>
              <w:rPr>
                <w:sz w:val="20"/>
              </w:rPr>
            </w:pPr>
            <w:r>
              <w:rPr>
                <w:sz w:val="20"/>
              </w:rPr>
              <w:t>A reference in subsection (3) to “the President, the Full Bench, or the Commission” is to be read as if it were a reference to “the Commission”.</w:t>
            </w:r>
          </w:p>
        </w:tc>
      </w:tr>
      <w:tr>
        <w:trPr>
          <w:cantSplit/>
        </w:trPr>
        <w:tc>
          <w:tcPr>
            <w:tcW w:w="1843" w:type="dxa"/>
          </w:tcPr>
          <w:p>
            <w:pPr>
              <w:pStyle w:val="zTableNAm"/>
              <w:rPr>
                <w:sz w:val="20"/>
              </w:rPr>
            </w:pPr>
          </w:p>
        </w:tc>
        <w:tc>
          <w:tcPr>
            <w:tcW w:w="3685" w:type="dxa"/>
          </w:tcPr>
          <w:p>
            <w:pPr>
              <w:pStyle w:val="TableNAm"/>
              <w:rPr>
                <w:sz w:val="20"/>
              </w:rPr>
            </w:pPr>
            <w:r>
              <w:rPr>
                <w:sz w:val="20"/>
              </w:rPr>
              <w:t>A reference in subsection (4) to “no award, order, declaration, finding, or proceeding of the President, the Full Bench, or the Commission” is to be read as if it were a reference to “no decision, order, finding or proceeding of the Commission”.</w:t>
            </w:r>
          </w:p>
        </w:tc>
      </w:tr>
      <w:tr>
        <w:trPr>
          <w:cantSplit/>
        </w:trPr>
        <w:tc>
          <w:tcPr>
            <w:tcW w:w="1843" w:type="dxa"/>
          </w:tcPr>
          <w:p>
            <w:pPr>
              <w:pStyle w:val="TableNAm"/>
              <w:rPr>
                <w:sz w:val="20"/>
              </w:rPr>
            </w:pPr>
            <w:r>
              <w:rPr>
                <w:sz w:val="20"/>
              </w:rPr>
              <w:t>s. 35</w:t>
            </w:r>
          </w:p>
        </w:tc>
        <w:tc>
          <w:tcPr>
            <w:tcW w:w="3685" w:type="dxa"/>
          </w:tcPr>
          <w:p>
            <w:pPr>
              <w:pStyle w:val="TableNAm"/>
              <w:rPr>
                <w:sz w:val="20"/>
              </w:rPr>
            </w:pPr>
          </w:p>
        </w:tc>
      </w:tr>
      <w:tr>
        <w:trPr>
          <w:cantSplit/>
        </w:trPr>
        <w:tc>
          <w:tcPr>
            <w:tcW w:w="1843" w:type="dxa"/>
          </w:tcPr>
          <w:p>
            <w:pPr>
              <w:pStyle w:val="TableNAm"/>
              <w:rPr>
                <w:sz w:val="20"/>
              </w:rPr>
            </w:pPr>
            <w:r>
              <w:rPr>
                <w:sz w:val="20"/>
              </w:rPr>
              <w:t>s. 36</w:t>
            </w:r>
          </w:p>
        </w:tc>
        <w:tc>
          <w:tcPr>
            <w:tcW w:w="3685" w:type="dxa"/>
          </w:tcPr>
          <w:p>
            <w:pPr>
              <w:pStyle w:val="TableNAm"/>
              <w:rPr>
                <w:sz w:val="20"/>
              </w:rPr>
            </w:pPr>
          </w:p>
        </w:tc>
      </w:tr>
      <w:tr>
        <w:trPr>
          <w:cantSplit/>
        </w:trPr>
        <w:tc>
          <w:tcPr>
            <w:tcW w:w="1843" w:type="dxa"/>
          </w:tcPr>
          <w:p>
            <w:pPr>
              <w:pStyle w:val="TableNAm"/>
              <w:rPr>
                <w:sz w:val="20"/>
              </w:rPr>
            </w:pPr>
            <w:r>
              <w:rPr>
                <w:sz w:val="20"/>
              </w:rPr>
              <w:t>s. 86</w:t>
            </w:r>
          </w:p>
        </w:tc>
        <w:tc>
          <w:tcPr>
            <w:tcW w:w="3685" w:type="dxa"/>
          </w:tcPr>
          <w:p>
            <w:pPr>
              <w:pStyle w:val="TableNAm"/>
              <w:rPr>
                <w:sz w:val="20"/>
              </w:rPr>
            </w:pPr>
            <w:r>
              <w:rPr>
                <w:sz w:val="20"/>
              </w:rPr>
              <w:t>The section does not apply in relation to costs and expenses, other than expenses of witnesses.</w:t>
            </w:r>
          </w:p>
        </w:tc>
      </w:tr>
      <w:tr>
        <w:trPr>
          <w:cantSplit/>
        </w:trPr>
        <w:tc>
          <w:tcPr>
            <w:tcW w:w="1843" w:type="dxa"/>
          </w:tcPr>
          <w:p>
            <w:pPr>
              <w:pStyle w:val="TableNAm"/>
              <w:rPr>
                <w:sz w:val="20"/>
              </w:rPr>
            </w:pPr>
            <w:r>
              <w:rPr>
                <w:sz w:val="20"/>
              </w:rPr>
              <w:t>s. 90</w:t>
            </w:r>
          </w:p>
        </w:tc>
        <w:tc>
          <w:tcPr>
            <w:tcW w:w="3685" w:type="dxa"/>
          </w:tcPr>
          <w:p>
            <w:pPr>
              <w:pStyle w:val="TableNAm"/>
              <w:rPr>
                <w:sz w:val="20"/>
              </w:rPr>
            </w:pPr>
            <w:r>
              <w:rPr>
                <w:sz w:val="20"/>
              </w:rPr>
              <w:t xml:space="preserve">A reference in subsection (1) to “any decision of the President, the Full Bench, or the Commission in Court Session” is to be read as if it were a reference to “a decision of the Commission under the </w:t>
            </w:r>
            <w:r>
              <w:rPr>
                <w:i/>
                <w:sz w:val="20"/>
              </w:rPr>
              <w:t>Young Offenders Act</w:t>
            </w:r>
            <w:r>
              <w:rPr>
                <w:b/>
                <w:i/>
                <w:sz w:val="20"/>
              </w:rPr>
              <w:t> </w:t>
            </w:r>
            <w:r>
              <w:rPr>
                <w:i/>
                <w:sz w:val="20"/>
              </w:rPr>
              <w:t>1994</w:t>
            </w:r>
            <w:r>
              <w:rPr>
                <w:sz w:val="20"/>
              </w:rPr>
              <w:t xml:space="preserve"> section 11CP”.</w:t>
            </w:r>
          </w:p>
        </w:tc>
      </w:tr>
    </w:tbl>
    <w:p>
      <w:pPr>
        <w:pStyle w:val="nzHeading5"/>
      </w:pPr>
      <w:bookmarkStart w:id="831" w:name="_Toc404765116"/>
      <w:bookmarkStart w:id="832" w:name="_Toc405375778"/>
      <w:r>
        <w:t>11CN.</w:t>
      </w:r>
      <w:r>
        <w:tab/>
        <w:t>Adjournment of appeal if appellant charged with offence</w:t>
      </w:r>
      <w:bookmarkEnd w:id="831"/>
      <w:bookmarkEnd w:id="832"/>
    </w:p>
    <w:p>
      <w:pPr>
        <w:pStyle w:val="nzSubsection"/>
      </w:pPr>
      <w:r>
        <w:tab/>
        <w:t>(1)</w:t>
      </w:r>
      <w:r>
        <w:tab/>
        <w:t>The chief executive officer or an appellant may apply to the WAIRC for an adjournment of the hearing of an appeal if the appellant has been —</w:t>
      </w:r>
    </w:p>
    <w:p>
      <w:pPr>
        <w:pStyle w:val="nzIndenta"/>
      </w:pPr>
      <w:r>
        <w:tab/>
        <w:t>(a)</w:t>
      </w:r>
      <w:r>
        <w:tab/>
        <w:t>charged with an offence relating to any matter, act or omission that was taken into account by the chief executive officer in deciding that he or she did not have confidence in the appellant’s suitability to continue as a custodial officer; and</w:t>
      </w:r>
    </w:p>
    <w:p>
      <w:pPr>
        <w:pStyle w:val="nzIndenta"/>
      </w:pPr>
      <w:r>
        <w:tab/>
        <w:t>(b)</w:t>
      </w:r>
      <w:r>
        <w:tab/>
        <w:t>the charge has not been finally determined by a court or otherwise disposed of.</w:t>
      </w:r>
    </w:p>
    <w:p>
      <w:pPr>
        <w:pStyle w:val="nzSubsection"/>
      </w:pPr>
      <w:r>
        <w:tab/>
        <w:t>(2)</w:t>
      </w:r>
      <w:r>
        <w:tab/>
        <w:t>If an adjournment application is made by the chief executive officer, the WAIRC may adjourn the hearing of the appeal if it considers that it is in the interests of justice to do so.</w:t>
      </w:r>
    </w:p>
    <w:p>
      <w:pPr>
        <w:pStyle w:val="nzSubsection"/>
      </w:pPr>
      <w:r>
        <w:tab/>
        <w:t>(3)</w:t>
      </w:r>
      <w:r>
        <w:tab/>
        <w:t>If an adjournment application is made by the appellant, the WAIRC must adjourn the hearing of the appeal for the period (not exceeding 12 months) requested by the appellant.</w:t>
      </w:r>
    </w:p>
    <w:p>
      <w:pPr>
        <w:pStyle w:val="nz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nzSubsection"/>
      </w:pPr>
      <w:r>
        <w:tab/>
        <w:t>(5)</w:t>
      </w:r>
      <w:r>
        <w:tab/>
        <w:t>Subsections (2) and (4) do not affect any other power of the WAIRC to grant an adjournment.</w:t>
      </w:r>
    </w:p>
    <w:p>
      <w:pPr>
        <w:pStyle w:val="nzHeading5"/>
      </w:pPr>
      <w:bookmarkStart w:id="833" w:name="_Toc404765117"/>
      <w:bookmarkStart w:id="834" w:name="_Toc405375779"/>
      <w:r>
        <w:t>11CO.</w:t>
      </w:r>
      <w:r>
        <w:tab/>
        <w:t>Resumption of appeal before end of adjournment</w:t>
      </w:r>
      <w:bookmarkEnd w:id="833"/>
      <w:bookmarkEnd w:id="834"/>
    </w:p>
    <w:p>
      <w:pPr>
        <w:pStyle w:val="nzSubsection"/>
      </w:pPr>
      <w:r>
        <w:tab/>
      </w:r>
      <w:r>
        <w:tab/>
        <w:t>If the charge is finally determined by a court or otherwise disposed of before the end of the period of an adjournment under section 11CN, the chief executive officer or the appellant may apply to the WAIRC for the hearing of the appeal to be resumed on a date specified by the WAIRC.</w:t>
      </w:r>
    </w:p>
    <w:p>
      <w:pPr>
        <w:pStyle w:val="nzHeading5"/>
      </w:pPr>
      <w:bookmarkStart w:id="835" w:name="_Toc404765118"/>
      <w:bookmarkStart w:id="836" w:name="_Toc405375780"/>
      <w:r>
        <w:t>11CP.</w:t>
      </w:r>
      <w:r>
        <w:tab/>
        <w:t>Decision by WAIRC</w:t>
      </w:r>
      <w:bookmarkEnd w:id="835"/>
      <w:bookmarkEnd w:id="836"/>
    </w:p>
    <w:p>
      <w:pPr>
        <w:pStyle w:val="nzSubsection"/>
      </w:pPr>
      <w:r>
        <w:tab/>
        <w:t>(1)</w:t>
      </w:r>
      <w:r>
        <w:tab/>
        <w:t>This section applies if the WAIRC decides on an appeal that the decision to take removal action relating to the appellant was harsh, oppressive or unfair.</w:t>
      </w:r>
    </w:p>
    <w:p>
      <w:pPr>
        <w:pStyle w:val="nzSubsection"/>
      </w:pPr>
      <w:r>
        <w:tab/>
        <w:t>(2)</w:t>
      </w:r>
      <w:r>
        <w:tab/>
        <w:t>The WAIRC may —</w:t>
      </w:r>
    </w:p>
    <w:p>
      <w:pPr>
        <w:pStyle w:val="nzIndenta"/>
      </w:pPr>
      <w:r>
        <w:tab/>
        <w:t>(a)</w:t>
      </w:r>
      <w:r>
        <w:tab/>
        <w:t>order that the appellant’s removal is, and is to be taken to have always been, of no effect; or</w:t>
      </w:r>
    </w:p>
    <w:p>
      <w:pPr>
        <w:pStyle w:val="nzIndenta"/>
      </w:pPr>
      <w:r>
        <w:tab/>
        <w:t>(b)</w:t>
      </w:r>
      <w:r>
        <w:tab/>
        <w:t>if it is impracticable to make an order under paragraph (a), order the chief executive officer to pay the appellant an amount of compensation for loss or injury caused by the removal.</w:t>
      </w:r>
    </w:p>
    <w:p>
      <w:pPr>
        <w:pStyle w:val="nzSubsection"/>
      </w:pPr>
      <w:r>
        <w:tab/>
        <w:t>(3)</w:t>
      </w:r>
      <w:r>
        <w:tab/>
        <w:t>In considering whether or not it is impracticable to make an order under subsection (2)(a), it is relevant to consider —</w:t>
      </w:r>
    </w:p>
    <w:p>
      <w:pPr>
        <w:pStyle w:val="nzIndenta"/>
      </w:pPr>
      <w:r>
        <w:tab/>
        <w:t>(a)</w:t>
      </w:r>
      <w:r>
        <w:tab/>
        <w:t>whether, at the time of the appellant’s removal, the position occupied by the appellant is vacant; and</w:t>
      </w:r>
    </w:p>
    <w:p>
      <w:pPr>
        <w:pStyle w:val="nzIndenta"/>
      </w:pPr>
      <w:r>
        <w:tab/>
        <w:t>(b)</w:t>
      </w:r>
      <w:r>
        <w:tab/>
        <w:t>whether there is another suitable vacant position in the Department.</w:t>
      </w:r>
    </w:p>
    <w:p>
      <w:pPr>
        <w:pStyle w:val="nzSubsection"/>
      </w:pPr>
      <w:r>
        <w:tab/>
        <w:t>(4)</w:t>
      </w:r>
      <w:r>
        <w:tab/>
        <w:t>If the WAIRC makes an order under subsection (2)(a), the appellant is not entitled to be paid his or her remuneration as a custodial officer for any period the appellant received a maintenance payment.</w:t>
      </w:r>
    </w:p>
    <w:p>
      <w:pPr>
        <w:pStyle w:val="nzSubsection"/>
      </w:pPr>
      <w:r>
        <w:tab/>
        <w:t>(5)</w:t>
      </w:r>
      <w:r>
        <w:tab/>
        <w:t>An order under this section may require that it be complied with within a specified time.</w:t>
      </w:r>
    </w:p>
    <w:p>
      <w:pPr>
        <w:pStyle w:val="nzHeading5"/>
      </w:pPr>
      <w:bookmarkStart w:id="837" w:name="_Toc404765119"/>
      <w:bookmarkStart w:id="838" w:name="_Toc405375781"/>
      <w:r>
        <w:t>11CQ.</w:t>
      </w:r>
      <w:r>
        <w:tab/>
        <w:t>Determining amount of compensation</w:t>
      </w:r>
      <w:bookmarkEnd w:id="837"/>
      <w:bookmarkEnd w:id="838"/>
    </w:p>
    <w:p>
      <w:pPr>
        <w:pStyle w:val="nzSubsection"/>
      </w:pPr>
      <w:r>
        <w:tab/>
        <w:t>(1)</w:t>
      </w:r>
      <w:r>
        <w:tab/>
        <w:t>An amount of compensation ordered under section 11CP(2)(b) must be determined in accordance with this section.</w:t>
      </w:r>
    </w:p>
    <w:p>
      <w:pPr>
        <w:pStyle w:val="nzSubsection"/>
      </w:pPr>
      <w:r>
        <w:tab/>
        <w:t>(2)</w:t>
      </w:r>
      <w:r>
        <w:tab/>
        <w:t xml:space="preserve">In determining the amount, the WAIRC must have regard to all of the following — </w:t>
      </w:r>
    </w:p>
    <w:p>
      <w:pPr>
        <w:pStyle w:val="nzIndenta"/>
      </w:pPr>
      <w:r>
        <w:tab/>
        <w:t>(a)</w:t>
      </w:r>
      <w:r>
        <w:tab/>
        <w:t>the efforts, if any, of the chief executive officer and the appellant to mitigate the loss suffered by the appellant as a result of the removal;</w:t>
      </w:r>
    </w:p>
    <w:p>
      <w:pPr>
        <w:pStyle w:val="nzIndenta"/>
      </w:pPr>
      <w:r>
        <w:tab/>
        <w:t>(b)</w:t>
      </w:r>
      <w:r>
        <w:tab/>
        <w:t>any maintenance payment received by the appellant;</w:t>
      </w:r>
    </w:p>
    <w:p>
      <w:pPr>
        <w:pStyle w:val="nz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nzIndenta"/>
      </w:pPr>
      <w:r>
        <w:tab/>
        <w:t>(d)</w:t>
      </w:r>
      <w:r>
        <w:tab/>
        <w:t>any other matter that the WAIRC considers relevant.</w:t>
      </w:r>
    </w:p>
    <w:p>
      <w:pPr>
        <w:pStyle w:val="nzSubsection"/>
      </w:pPr>
      <w:r>
        <w:tab/>
        <w:t>(3)</w:t>
      </w:r>
      <w:r>
        <w:tab/>
        <w:t>In determining the amount, the WAIRC may have regard to the average rate of remuneration as a custodial officer received by the appellant during any relevant period of service.</w:t>
      </w:r>
    </w:p>
    <w:p>
      <w:pPr>
        <w:pStyle w:val="nzSubsection"/>
      </w:pPr>
      <w:r>
        <w:tab/>
        <w:t>(4)</w:t>
      </w:r>
      <w:r>
        <w:tab/>
        <w:t>The amount must not exceed 12 months’ remuneration as a custodial officer.</w:t>
      </w:r>
    </w:p>
    <w:p>
      <w:pPr>
        <w:pStyle w:val="nzHeading5"/>
      </w:pPr>
      <w:bookmarkStart w:id="839" w:name="_Toc404765120"/>
      <w:bookmarkStart w:id="840" w:name="_Toc405375782"/>
      <w:r>
        <w:t>11CR.</w:t>
      </w:r>
      <w:r>
        <w:tab/>
        <w:t>Restriction on publication</w:t>
      </w:r>
      <w:bookmarkEnd w:id="839"/>
      <w:bookmarkEnd w:id="840"/>
    </w:p>
    <w:p>
      <w:pPr>
        <w:pStyle w:val="nzSubsection"/>
      </w:pPr>
      <w:r>
        <w:tab/>
        <w:t>(1)</w:t>
      </w:r>
      <w:r>
        <w:tab/>
        <w:t>If the WAIRC is satisfied that it is in the public interest, it may direct that any evidence given before it, or the contents of any document produced to it, on an appeal —</w:t>
      </w:r>
    </w:p>
    <w:p>
      <w:pPr>
        <w:pStyle w:val="nzIndenta"/>
      </w:pPr>
      <w:r>
        <w:tab/>
        <w:t>(a)</w:t>
      </w:r>
      <w:r>
        <w:tab/>
        <w:t>must not be published; or</w:t>
      </w:r>
    </w:p>
    <w:p>
      <w:pPr>
        <w:pStyle w:val="nzIndenta"/>
      </w:pPr>
      <w:r>
        <w:tab/>
        <w:t>(b)</w:t>
      </w:r>
      <w:r>
        <w:tab/>
        <w:t>must not be published except in a manner, and to persons, specified by the WAIRC.</w:t>
      </w:r>
    </w:p>
    <w:p>
      <w:pPr>
        <w:pStyle w:val="nzSubsection"/>
      </w:pPr>
      <w:r>
        <w:tab/>
        <w:t>(2)</w:t>
      </w:r>
      <w:r>
        <w:tab/>
        <w:t>A person must not contravene a direction given under this section.</w:t>
      </w:r>
    </w:p>
    <w:p>
      <w:pPr>
        <w:pStyle w:val="nzPenstart"/>
      </w:pPr>
      <w:r>
        <w:tab/>
        <w:t>Penalty: a fine of $4 000 and imprisonment for 12 months.</w:t>
      </w:r>
    </w:p>
    <w:p>
      <w:pPr>
        <w:pStyle w:val="nzHeading4"/>
      </w:pPr>
      <w:bookmarkStart w:id="841" w:name="_Toc370987272"/>
      <w:bookmarkStart w:id="842" w:name="_Toc370987364"/>
      <w:bookmarkStart w:id="843" w:name="_Toc370987456"/>
      <w:bookmarkStart w:id="844" w:name="_Toc370987548"/>
      <w:bookmarkStart w:id="845" w:name="_Toc370988026"/>
      <w:bookmarkStart w:id="846" w:name="_Toc370988478"/>
      <w:bookmarkStart w:id="847" w:name="_Toc370988579"/>
      <w:bookmarkStart w:id="848" w:name="_Toc371347038"/>
      <w:bookmarkStart w:id="849" w:name="_Toc372281420"/>
      <w:bookmarkStart w:id="850" w:name="_Toc404765121"/>
      <w:bookmarkStart w:id="851" w:name="_Toc405375783"/>
      <w:r>
        <w:t>Subdivision 4 — General</w:t>
      </w:r>
      <w:bookmarkEnd w:id="841"/>
      <w:bookmarkEnd w:id="842"/>
      <w:bookmarkEnd w:id="843"/>
      <w:bookmarkEnd w:id="844"/>
      <w:bookmarkEnd w:id="845"/>
      <w:bookmarkEnd w:id="846"/>
      <w:bookmarkEnd w:id="847"/>
      <w:bookmarkEnd w:id="848"/>
      <w:bookmarkEnd w:id="849"/>
      <w:bookmarkEnd w:id="850"/>
      <w:bookmarkEnd w:id="851"/>
    </w:p>
    <w:p>
      <w:pPr>
        <w:pStyle w:val="nzHeading5"/>
      </w:pPr>
      <w:bookmarkStart w:id="852" w:name="_Toc404765122"/>
      <w:bookmarkStart w:id="853" w:name="_Toc405375784"/>
      <w:r>
        <w:t>11CS.</w:t>
      </w:r>
      <w:r>
        <w:tab/>
        <w:t>Effect of charge for, or conviction or acquittal of, offence</w:t>
      </w:r>
      <w:bookmarkEnd w:id="852"/>
      <w:bookmarkEnd w:id="853"/>
    </w:p>
    <w:p>
      <w:pPr>
        <w:pStyle w:val="nzSubsection"/>
      </w:pPr>
      <w:r>
        <w:tab/>
      </w:r>
      <w:r>
        <w:tab/>
        <w:t>The chief executive officer can take removal action in relation to a custodial officer for a particular matter, act or omission even if the matter, act or omission is an element of an offence —</w:t>
      </w:r>
    </w:p>
    <w:p>
      <w:pPr>
        <w:pStyle w:val="nzIndenta"/>
      </w:pPr>
      <w:r>
        <w:tab/>
        <w:t>(a)</w:t>
      </w:r>
      <w:r>
        <w:tab/>
        <w:t>with which the custodial officer has been charged; or</w:t>
      </w:r>
    </w:p>
    <w:p>
      <w:pPr>
        <w:pStyle w:val="nzIndenta"/>
      </w:pPr>
      <w:r>
        <w:tab/>
        <w:t>(b)</w:t>
      </w:r>
      <w:r>
        <w:tab/>
        <w:t>of which the custodial officer has been convicted or acquitted.</w:t>
      </w:r>
    </w:p>
    <w:p>
      <w:pPr>
        <w:pStyle w:val="nzHeading5"/>
      </w:pPr>
      <w:bookmarkStart w:id="854" w:name="_Toc404765123"/>
      <w:bookmarkStart w:id="855" w:name="_Toc405375785"/>
      <w:r>
        <w:t>11CT.</w:t>
      </w:r>
      <w:r>
        <w:tab/>
        <w:t>Failure to comply with procedure</w:t>
      </w:r>
      <w:bookmarkEnd w:id="854"/>
      <w:bookmarkEnd w:id="855"/>
    </w:p>
    <w:p>
      <w:pPr>
        <w:pStyle w:val="nzSubsection"/>
      </w:pPr>
      <w:r>
        <w:tab/>
      </w:r>
      <w:r>
        <w:tab/>
        <w:t>An act or omission of the chief executive officer is not invalid, and cannot be called in question, if —</w:t>
      </w:r>
    </w:p>
    <w:p>
      <w:pPr>
        <w:pStyle w:val="nzIndenta"/>
      </w:pPr>
      <w:r>
        <w:tab/>
        <w:t>(a)</w:t>
      </w:r>
      <w:r>
        <w:tab/>
        <w:t>the act or omission comprises a failure to comply with procedure prescribed for the purposes of this Division; and</w:t>
      </w:r>
    </w:p>
    <w:p>
      <w:pPr>
        <w:pStyle w:val="nzIndenta"/>
      </w:pPr>
      <w:r>
        <w:tab/>
        <w:t>(b)</w:t>
      </w:r>
      <w:r>
        <w:tab/>
        <w:t>the failure is not substantive.</w:t>
      </w:r>
    </w:p>
    <w:p>
      <w:pPr>
        <w:pStyle w:val="nzHeading5"/>
      </w:pPr>
      <w:bookmarkStart w:id="856" w:name="_Toc404765124"/>
      <w:bookmarkStart w:id="857" w:name="_Toc405375786"/>
      <w:r>
        <w:t>11CU.</w:t>
      </w:r>
      <w:r>
        <w:tab/>
        <w:t>Transfer, standing down and leave of custodial officer</w:t>
      </w:r>
      <w:bookmarkEnd w:id="856"/>
      <w:bookmarkEnd w:id="857"/>
    </w:p>
    <w:p>
      <w:pPr>
        <w:pStyle w:val="nzSubsection"/>
      </w:pPr>
      <w:r>
        <w:tab/>
        <w:t>(1)</w:t>
      </w:r>
      <w:r>
        <w:tab/>
        <w:t xml:space="preserve">This Division does not derogate from the chief executive officer’s power to — </w:t>
      </w:r>
    </w:p>
    <w:p>
      <w:pPr>
        <w:pStyle w:val="nzIndenta"/>
      </w:pPr>
      <w:r>
        <w:tab/>
        <w:t>(a)</w:t>
      </w:r>
      <w:r>
        <w:tab/>
        <w:t>transfer a custodial officer; or</w:t>
      </w:r>
    </w:p>
    <w:p>
      <w:pPr>
        <w:pStyle w:val="nzIndenta"/>
      </w:pPr>
      <w:r>
        <w:tab/>
        <w:t>(b)</w:t>
      </w:r>
      <w:r>
        <w:tab/>
        <w:t>stand a custodial officer down from performing that custodial officer’s usual duties, with or without pay, until the custodial officer is directed by the chief executive officer to return to those duties; or</w:t>
      </w:r>
    </w:p>
    <w:p>
      <w:pPr>
        <w:pStyle w:val="nzIndenta"/>
      </w:pPr>
      <w:r>
        <w:tab/>
        <w:t>(c)</w:t>
      </w:r>
      <w:r>
        <w:tab/>
        <w:t>allocate duties to a custodial officer other than the custodial officer’s usual duties.</w:t>
      </w:r>
    </w:p>
    <w:p>
      <w:pPr>
        <w:pStyle w:val="nzSubsection"/>
      </w:pPr>
      <w:r>
        <w:tab/>
        <w:t>(2)</w:t>
      </w:r>
      <w:r>
        <w:tab/>
        <w:t>If the chief executive officer stands down a custodial officer in relation to whom removal action is being taken, the chief executive officer must review the decision to stand the custodial officer down every 60 days and advise the custodial officer in writing of the result of the review.</w:t>
      </w:r>
    </w:p>
    <w:p>
      <w:pPr>
        <w:pStyle w:val="nzSubsection"/>
      </w:pPr>
      <w:r>
        <w:tab/>
        <w:t>(3)</w:t>
      </w:r>
      <w:r>
        <w:tab/>
        <w:t>The chief executive officer must not direct a custodial officer in relation to whom removal action is being taken to take leave during the removal action unless the leave accrues during any period that the custodial officer is stood down from performing the custodial officer’s usual duties.</w:t>
      </w:r>
    </w:p>
    <w:p>
      <w:pPr>
        <w:pStyle w:val="nzHeading5"/>
      </w:pPr>
      <w:bookmarkStart w:id="858" w:name="_Toc404765125"/>
      <w:bookmarkStart w:id="859" w:name="_Toc405375787"/>
      <w:r>
        <w:t>11CV.</w:t>
      </w:r>
      <w:r>
        <w:tab/>
        <w:t>Review of Division</w:t>
      </w:r>
      <w:bookmarkEnd w:id="858"/>
      <w:bookmarkEnd w:id="859"/>
    </w:p>
    <w:p>
      <w:pPr>
        <w:pStyle w:val="nzSubsection"/>
      </w:pPr>
      <w:r>
        <w:tab/>
        <w:t>(1)</w:t>
      </w:r>
      <w:r>
        <w:tab/>
        <w:t xml:space="preserve">In this section — </w:t>
      </w:r>
    </w:p>
    <w:p>
      <w:pPr>
        <w:pStyle w:val="nzDefstart"/>
      </w:pPr>
      <w:r>
        <w:tab/>
      </w:r>
      <w:r>
        <w:rPr>
          <w:rStyle w:val="CharDefText"/>
        </w:rPr>
        <w:t>commencement day</w:t>
      </w:r>
      <w:r>
        <w:t xml:space="preserve"> means the day on which the </w:t>
      </w:r>
      <w:r>
        <w:rPr>
          <w:i/>
        </w:rPr>
        <w:t>Custodial Legislation (Officers Discipline) Amendment Act 2014</w:t>
      </w:r>
      <w:r>
        <w:t xml:space="preserve"> Part 3 comes into operation.</w:t>
      </w:r>
    </w:p>
    <w:p>
      <w:pPr>
        <w:pStyle w:val="nz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nzIndenta"/>
      </w:pPr>
      <w:r>
        <w:tab/>
        <w:t>(a)</w:t>
      </w:r>
      <w:r>
        <w:tab/>
        <w:t>the effectiveness of this Division; and</w:t>
      </w:r>
    </w:p>
    <w:p>
      <w:pPr>
        <w:pStyle w:val="nzIndenta"/>
      </w:pPr>
      <w:r>
        <w:tab/>
        <w:t>(b)</w:t>
      </w:r>
      <w:r>
        <w:tab/>
        <w:t>the need for the retention of the Division; and</w:t>
      </w:r>
    </w:p>
    <w:p>
      <w:pPr>
        <w:pStyle w:val="nzIndenta"/>
      </w:pPr>
      <w:r>
        <w:tab/>
        <w:t>(c)</w:t>
      </w:r>
      <w:r>
        <w:tab/>
        <w:t>any other matters that appear to the Minister to be relevant to the operation and effectiveness of this Division.</w:t>
      </w:r>
    </w:p>
    <w:p>
      <w:pPr>
        <w:pStyle w:val="nzSubsection"/>
      </w:pPr>
      <w:r>
        <w:tab/>
        <w:t>(3)</w:t>
      </w:r>
      <w:r>
        <w:tab/>
        <w:t>Without limiting subsection (2), in carrying out the review, the Minister must consult with and have regard to the views of the Chief Commissioner of the WAIRC, the chief executive officer and any union that has custodial officers as some or all of its members.</w:t>
      </w:r>
    </w:p>
    <w:p>
      <w:pPr>
        <w:pStyle w:val="nz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nzHeading5"/>
      </w:pPr>
      <w:bookmarkStart w:id="860" w:name="_Toc404765126"/>
      <w:bookmarkStart w:id="861" w:name="_Toc405375788"/>
      <w:r>
        <w:rPr>
          <w:rStyle w:val="CharSectno"/>
        </w:rPr>
        <w:t>17</w:t>
      </w:r>
      <w:r>
        <w:t>.</w:t>
      </w:r>
      <w:r>
        <w:tab/>
        <w:t>Part 3 Division 4 heading inserted</w:t>
      </w:r>
      <w:bookmarkEnd w:id="860"/>
      <w:bookmarkEnd w:id="861"/>
    </w:p>
    <w:p>
      <w:pPr>
        <w:pStyle w:val="nzSubsection"/>
      </w:pPr>
      <w:r>
        <w:tab/>
      </w:r>
      <w:r>
        <w:tab/>
        <w:t>Before section 11C insert:</w:t>
      </w:r>
    </w:p>
    <w:p>
      <w:pPr>
        <w:pStyle w:val="BlankOpen"/>
      </w:pPr>
    </w:p>
    <w:p>
      <w:pPr>
        <w:pStyle w:val="nzHeading3"/>
      </w:pPr>
      <w:bookmarkStart w:id="862" w:name="_Toc370987278"/>
      <w:bookmarkStart w:id="863" w:name="_Toc370987370"/>
      <w:bookmarkStart w:id="864" w:name="_Toc370987462"/>
      <w:bookmarkStart w:id="865" w:name="_Toc370987554"/>
      <w:bookmarkStart w:id="866" w:name="_Toc370988032"/>
      <w:bookmarkStart w:id="867" w:name="_Toc370988484"/>
      <w:bookmarkStart w:id="868" w:name="_Toc370988585"/>
      <w:bookmarkStart w:id="869" w:name="_Toc371347044"/>
      <w:bookmarkStart w:id="870" w:name="_Toc372281426"/>
      <w:bookmarkStart w:id="871" w:name="_Toc404765127"/>
      <w:bookmarkStart w:id="872" w:name="_Toc405375789"/>
      <w:r>
        <w:t>Division 4 — Management, control, security and wellbeing of young offenders</w:t>
      </w:r>
      <w:bookmarkEnd w:id="862"/>
      <w:bookmarkEnd w:id="863"/>
      <w:bookmarkEnd w:id="864"/>
      <w:bookmarkEnd w:id="865"/>
      <w:bookmarkEnd w:id="866"/>
      <w:bookmarkEnd w:id="867"/>
      <w:bookmarkEnd w:id="868"/>
      <w:bookmarkEnd w:id="869"/>
      <w:bookmarkEnd w:id="870"/>
      <w:bookmarkEnd w:id="871"/>
      <w:bookmarkEnd w:id="872"/>
    </w:p>
    <w:p>
      <w:pPr>
        <w:pStyle w:val="BlankClose"/>
      </w:pPr>
    </w:p>
    <w:p>
      <w:pPr>
        <w:pStyle w:val="nzHeading5"/>
      </w:pPr>
      <w:bookmarkStart w:id="873" w:name="_Toc404765128"/>
      <w:bookmarkStart w:id="874" w:name="_Toc405375790"/>
      <w:r>
        <w:rPr>
          <w:rStyle w:val="CharSectno"/>
        </w:rPr>
        <w:t>18</w:t>
      </w:r>
      <w:r>
        <w:t>.</w:t>
      </w:r>
      <w:r>
        <w:tab/>
        <w:t>Section 11C amended</w:t>
      </w:r>
      <w:bookmarkEnd w:id="873"/>
      <w:bookmarkEnd w:id="874"/>
    </w:p>
    <w:p>
      <w:pPr>
        <w:pStyle w:val="nzSubsection"/>
      </w:pPr>
      <w:r>
        <w:tab/>
      </w:r>
      <w:r>
        <w:tab/>
        <w:t>In section 11C(1) and (2) delete “person who is appointed under section 11(1) or (1a) as a”.</w:t>
      </w:r>
    </w:p>
    <w:p>
      <w:pPr>
        <w:pStyle w:val="nzHeading5"/>
      </w:pPr>
      <w:bookmarkStart w:id="875" w:name="_Toc404765129"/>
      <w:bookmarkStart w:id="876" w:name="_Toc405375791"/>
      <w:r>
        <w:rPr>
          <w:rStyle w:val="CharSectno"/>
        </w:rPr>
        <w:t>19</w:t>
      </w:r>
      <w:r>
        <w:t>.</w:t>
      </w:r>
      <w:r>
        <w:tab/>
        <w:t>Section 11E amended</w:t>
      </w:r>
      <w:bookmarkEnd w:id="875"/>
      <w:bookmarkEnd w:id="876"/>
    </w:p>
    <w:p>
      <w:pPr>
        <w:pStyle w:val="nzSubsection"/>
      </w:pPr>
      <w:r>
        <w:tab/>
        <w:t>(1)</w:t>
      </w:r>
      <w:r>
        <w:tab/>
        <w:t>In section 11E(2) delete “officer appointed under section 11(1) or (1a),” and insert:</w:t>
      </w:r>
    </w:p>
    <w:p>
      <w:pPr>
        <w:pStyle w:val="BlankOpen"/>
      </w:pPr>
    </w:p>
    <w:p>
      <w:pPr>
        <w:pStyle w:val="nzSubsection"/>
      </w:pPr>
      <w:r>
        <w:tab/>
      </w:r>
      <w:r>
        <w:tab/>
        <w:t xml:space="preserve">officer, </w:t>
      </w:r>
    </w:p>
    <w:p>
      <w:pPr>
        <w:pStyle w:val="BlankClose"/>
      </w:pPr>
    </w:p>
    <w:p>
      <w:pPr>
        <w:pStyle w:val="nzSubsection"/>
      </w:pPr>
      <w:r>
        <w:tab/>
        <w:t>(2)</w:t>
      </w:r>
      <w:r>
        <w:tab/>
        <w:t>In section 11E(3) delete “appointed under section 11(1) or (1a)”.</w:t>
      </w:r>
    </w:p>
    <w:p>
      <w:pPr>
        <w:pStyle w:val="nzHeading5"/>
      </w:pPr>
      <w:bookmarkStart w:id="877" w:name="_Toc404765130"/>
      <w:bookmarkStart w:id="878" w:name="_Toc405375792"/>
      <w:r>
        <w:rPr>
          <w:rStyle w:val="CharSectno"/>
        </w:rPr>
        <w:t>20</w:t>
      </w:r>
      <w:r>
        <w:t>.</w:t>
      </w:r>
      <w:r>
        <w:tab/>
        <w:t>Section 11F amended</w:t>
      </w:r>
      <w:bookmarkEnd w:id="877"/>
      <w:bookmarkEnd w:id="878"/>
    </w:p>
    <w:p>
      <w:pPr>
        <w:pStyle w:val="nzSubsection"/>
      </w:pPr>
      <w:r>
        <w:tab/>
      </w:r>
      <w:r>
        <w:tab/>
        <w:t>In section 11F(2) delete “officer appointed under section 11(1) or (1a),” and insert:</w:t>
      </w:r>
    </w:p>
    <w:p>
      <w:pPr>
        <w:pStyle w:val="BlankOpen"/>
      </w:pPr>
    </w:p>
    <w:p>
      <w:pPr>
        <w:pStyle w:val="nzSubsection"/>
      </w:pPr>
      <w:r>
        <w:tab/>
      </w:r>
      <w:r>
        <w:tab/>
        <w:t>officer,</w:t>
      </w:r>
    </w:p>
    <w:p>
      <w:pPr>
        <w:pStyle w:val="BlankClose"/>
      </w:pPr>
    </w:p>
    <w:p>
      <w:pPr>
        <w:pStyle w:val="nzHeading5"/>
      </w:pPr>
      <w:bookmarkStart w:id="879" w:name="_Toc404765131"/>
      <w:bookmarkStart w:id="880" w:name="_Toc405375793"/>
      <w:r>
        <w:rPr>
          <w:rStyle w:val="CharSectno"/>
        </w:rPr>
        <w:t>21</w:t>
      </w:r>
      <w:r>
        <w:t>.</w:t>
      </w:r>
      <w:r>
        <w:tab/>
        <w:t>Part 3 Division 2 heading replaced</w:t>
      </w:r>
      <w:bookmarkEnd w:id="879"/>
      <w:bookmarkEnd w:id="880"/>
    </w:p>
    <w:p>
      <w:pPr>
        <w:pStyle w:val="nzSubsection"/>
      </w:pPr>
      <w:r>
        <w:tab/>
      </w:r>
      <w:r>
        <w:tab/>
        <w:t>Delete the heading to Part 3 Division 2 and insert:</w:t>
      </w:r>
    </w:p>
    <w:p>
      <w:pPr>
        <w:pStyle w:val="BlankOpen"/>
      </w:pPr>
    </w:p>
    <w:p>
      <w:pPr>
        <w:pStyle w:val="nzHeading3"/>
      </w:pPr>
      <w:bookmarkStart w:id="881" w:name="_Toc370987283"/>
      <w:bookmarkStart w:id="882" w:name="_Toc370987375"/>
      <w:bookmarkStart w:id="883" w:name="_Toc370987467"/>
      <w:bookmarkStart w:id="884" w:name="_Toc370987559"/>
      <w:bookmarkStart w:id="885" w:name="_Toc370988037"/>
      <w:bookmarkStart w:id="886" w:name="_Toc370988489"/>
      <w:bookmarkStart w:id="887" w:name="_Toc370988590"/>
      <w:bookmarkStart w:id="888" w:name="_Toc371347049"/>
      <w:bookmarkStart w:id="889" w:name="_Toc372281431"/>
      <w:bookmarkStart w:id="890" w:name="_Toc404765132"/>
      <w:bookmarkStart w:id="891" w:name="_Toc405375794"/>
      <w:r>
        <w:t>Division 5 — Arrangements with councils of Aboriginal communities</w:t>
      </w:r>
      <w:bookmarkEnd w:id="881"/>
      <w:bookmarkEnd w:id="882"/>
      <w:bookmarkEnd w:id="883"/>
      <w:bookmarkEnd w:id="884"/>
      <w:bookmarkEnd w:id="885"/>
      <w:bookmarkEnd w:id="886"/>
      <w:bookmarkEnd w:id="887"/>
      <w:bookmarkEnd w:id="888"/>
      <w:bookmarkEnd w:id="889"/>
      <w:bookmarkEnd w:id="890"/>
      <w:bookmarkEnd w:id="891"/>
    </w:p>
    <w:p>
      <w:pPr>
        <w:pStyle w:val="BlankClose"/>
      </w:pPr>
    </w:p>
    <w:p>
      <w:pPr>
        <w:pStyle w:val="nzHeading5"/>
      </w:pPr>
      <w:bookmarkStart w:id="892" w:name="_Toc404765133"/>
      <w:bookmarkStart w:id="893" w:name="_Toc405375795"/>
      <w:r>
        <w:rPr>
          <w:rStyle w:val="CharSectno"/>
        </w:rPr>
        <w:t>22</w:t>
      </w:r>
      <w:r>
        <w:t>.</w:t>
      </w:r>
      <w:r>
        <w:tab/>
        <w:t>Section 169A amended</w:t>
      </w:r>
      <w:bookmarkEnd w:id="892"/>
      <w:bookmarkEnd w:id="893"/>
    </w:p>
    <w:p>
      <w:pPr>
        <w:pStyle w:val="nzSubsection"/>
      </w:pPr>
      <w:r>
        <w:tab/>
        <w:t>(1)</w:t>
      </w:r>
      <w:r>
        <w:tab/>
        <w:t>In section 169A(4) delete “person who is appointed under section 11(1) or (1a)” and insert:</w:t>
      </w:r>
    </w:p>
    <w:p>
      <w:pPr>
        <w:pStyle w:val="BlankOpen"/>
      </w:pPr>
    </w:p>
    <w:p>
      <w:pPr>
        <w:pStyle w:val="nzSubsection"/>
      </w:pPr>
      <w:r>
        <w:tab/>
      </w:r>
      <w:r>
        <w:tab/>
        <w:t>custodial officer</w:t>
      </w:r>
    </w:p>
    <w:p>
      <w:pPr>
        <w:pStyle w:val="BlankClose"/>
      </w:pPr>
    </w:p>
    <w:p>
      <w:pPr>
        <w:pStyle w:val="nzSubsection"/>
      </w:pPr>
      <w:r>
        <w:tab/>
        <w:t>(2)</w:t>
      </w:r>
      <w:r>
        <w:tab/>
        <w:t>In section 169A(5) delete “person who is appointed under section 11(1) or (1a),” and insert:</w:t>
      </w:r>
    </w:p>
    <w:p>
      <w:pPr>
        <w:pStyle w:val="BlankOpen"/>
      </w:pPr>
    </w:p>
    <w:p>
      <w:pPr>
        <w:pStyle w:val="nzSubsection"/>
      </w:pPr>
      <w:r>
        <w:tab/>
      </w:r>
      <w:r>
        <w:tab/>
        <w:t>custodial officer</w:t>
      </w:r>
    </w:p>
    <w:p>
      <w:pPr>
        <w:pStyle w:val="BlankClose"/>
      </w:pPr>
    </w:p>
    <w:p>
      <w:pPr>
        <w:pStyle w:val="BlankClose"/>
      </w:pPr>
    </w:p>
    <w:p>
      <w:pPr>
        <w:pStyle w:val="nSubsection"/>
        <w:keepNext/>
        <w:keepLines/>
        <w:rPr>
          <w:snapToGrid w:val="0"/>
        </w:rPr>
      </w:pPr>
      <w:r>
        <w:rPr>
          <w:snapToGrid w:val="0"/>
          <w:vertAlign w:val="superscript"/>
        </w:rPr>
        <w:t>16</w:t>
      </w:r>
      <w:r>
        <w:rPr>
          <w:snapToGrid w:val="0"/>
        </w:rPr>
        <w:tab/>
      </w:r>
      <w:r>
        <w:t xml:space="preserve">On the date as at which this compilation was prepared, </w:t>
      </w:r>
      <w:r>
        <w:rPr>
          <w:snapToGrid w:val="0"/>
        </w:rPr>
        <w:t xml:space="preserve">the </w:t>
      </w:r>
      <w:r>
        <w:rPr>
          <w:i/>
        </w:rPr>
        <w:t>Declared Places (Mentally Impaired Accused) Act 2015</w:t>
      </w:r>
      <w:r>
        <w:t xml:space="preserve"> s. 89 </w:t>
      </w:r>
      <w:r>
        <w:rPr>
          <w:snapToGrid w:val="0"/>
        </w:rPr>
        <w:t>had not come into operation.  It reads as follows:</w:t>
      </w:r>
    </w:p>
    <w:p>
      <w:pPr>
        <w:pStyle w:val="BlankOpen"/>
      </w:pPr>
    </w:p>
    <w:p>
      <w:pPr>
        <w:pStyle w:val="nzHeading5"/>
      </w:pPr>
      <w:bookmarkStart w:id="894" w:name="_Toc413223677"/>
      <w:bookmarkStart w:id="895" w:name="_Toc413230132"/>
      <w:r>
        <w:rPr>
          <w:rStyle w:val="CharSectno"/>
        </w:rPr>
        <w:t>89</w:t>
      </w:r>
      <w:r>
        <w:t>.</w:t>
      </w:r>
      <w:r>
        <w:tab/>
      </w:r>
      <w:r>
        <w:rPr>
          <w:i/>
        </w:rPr>
        <w:t>Young Offenders Act 1994</w:t>
      </w:r>
      <w:r>
        <w:t xml:space="preserve"> amended</w:t>
      </w:r>
      <w:bookmarkEnd w:id="894"/>
      <w:bookmarkEnd w:id="895"/>
    </w:p>
    <w:p>
      <w:pPr>
        <w:pStyle w:val="nzSubsection"/>
      </w:pPr>
      <w:r>
        <w:tab/>
        <w:t>(1)</w:t>
      </w:r>
      <w:r>
        <w:tab/>
        <w:t xml:space="preserve">This section amends the </w:t>
      </w:r>
      <w:r>
        <w:rPr>
          <w:i/>
        </w:rPr>
        <w:t>Young Offenders Act 1994</w:t>
      </w:r>
      <w:r>
        <w:t>.</w:t>
      </w:r>
    </w:p>
    <w:p>
      <w:pPr>
        <w:pStyle w:val="nzSubsection"/>
      </w:pPr>
      <w:r>
        <w:tab/>
        <w:t>(2)</w:t>
      </w:r>
      <w:r>
        <w:tab/>
        <w:t xml:space="preserve">In section 16(1) delete the definition of </w:t>
      </w:r>
      <w:r>
        <w:rPr>
          <w:b/>
          <w:i/>
        </w:rPr>
        <w:t>contractor</w:t>
      </w:r>
      <w:r>
        <w:t xml:space="preserve"> and insert: </w:t>
      </w:r>
    </w:p>
    <w:p>
      <w:pPr>
        <w:pStyle w:val="BlankOpen"/>
      </w:pPr>
    </w:p>
    <w:p>
      <w:pPr>
        <w:pStyle w:val="nzDefstart"/>
      </w:pPr>
      <w:r>
        <w:tab/>
      </w:r>
      <w:r>
        <w:rPr>
          <w:rStyle w:val="CharDefText"/>
        </w:rPr>
        <w:t>contractor</w:t>
      </w:r>
      <w:r>
        <w:t xml:space="preserve"> means — </w:t>
      </w:r>
    </w:p>
    <w:p>
      <w:pPr>
        <w:pStyle w:val="nzDefpara"/>
      </w:pPr>
      <w:r>
        <w:tab/>
        <w:t>(a)</w:t>
      </w:r>
      <w:r>
        <w:tab/>
        <w:t xml:space="preserve">a contractor as defined in the </w:t>
      </w:r>
      <w:r>
        <w:rPr>
          <w:i/>
        </w:rPr>
        <w:t>Court Security and Custodial Services Act 1999</w:t>
      </w:r>
      <w:r>
        <w:t xml:space="preserve"> section 3; or</w:t>
      </w:r>
    </w:p>
    <w:p>
      <w:pPr>
        <w:pStyle w:val="nzDefpara"/>
      </w:pPr>
      <w:r>
        <w:tab/>
        <w:t>(b)</w:t>
      </w:r>
      <w:r>
        <w:tab/>
        <w:t xml:space="preserve">a contractor as defined in the </w:t>
      </w:r>
      <w:r>
        <w:rPr>
          <w:i/>
        </w:rPr>
        <w:t>Declared Places (Mentally Impaired Accused) Act 2015</w:t>
      </w:r>
      <w:r>
        <w:t xml:space="preserve"> section 3;</w:t>
      </w:r>
    </w:p>
    <w:p>
      <w:pPr>
        <w:pStyle w:val="BlankClose"/>
      </w:pPr>
    </w:p>
    <w:p>
      <w:pPr>
        <w:pStyle w:val="BlankClose"/>
      </w:pPr>
    </w:p>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Mar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Mar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Mar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26" w:name="Schedule"/>
    <w:bookmarkEnd w:id="62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Schedule 2 offences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Schedule 2 offences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896" w:name="Compilation"/>
    <w:bookmarkEnd w:id="896"/>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97" w:name="Coversheet"/>
    <w:bookmarkEnd w:id="89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7880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CFADB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CF638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692C2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3EBA2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42C1A9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D3486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6AEDCE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CDA6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AE4BA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BA249C0"/>
    <w:multiLevelType w:val="multilevel"/>
    <w:tmpl w:val="FB9AD72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nsid w:val="22FF52EB"/>
    <w:multiLevelType w:val="multilevel"/>
    <w:tmpl w:val="F542B0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A5C9C1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79F73C7"/>
    <w:multiLevelType w:val="hybridMultilevel"/>
    <w:tmpl w:val="CC128D4C"/>
    <w:lvl w:ilvl="0" w:tplc="F858E684">
      <w:start w:val="1"/>
      <w:numFmt w:val="bullet"/>
      <w:lvlText w:val=""/>
      <w:lvlJc w:val="left"/>
      <w:pPr>
        <w:tabs>
          <w:tab w:val="num" w:pos="720"/>
        </w:tabs>
        <w:ind w:left="720" w:hanging="360"/>
      </w:pPr>
      <w:rPr>
        <w:rFonts w:ascii="Symbol" w:hAnsi="Symbol" w:hint="default"/>
      </w:rPr>
    </w:lvl>
    <w:lvl w:ilvl="1" w:tplc="D8FE4888" w:tentative="1">
      <w:start w:val="1"/>
      <w:numFmt w:val="bullet"/>
      <w:lvlText w:val="o"/>
      <w:lvlJc w:val="left"/>
      <w:pPr>
        <w:tabs>
          <w:tab w:val="num" w:pos="1440"/>
        </w:tabs>
        <w:ind w:left="1440" w:hanging="360"/>
      </w:pPr>
      <w:rPr>
        <w:rFonts w:ascii="Courier New" w:hAnsi="Courier New" w:hint="default"/>
      </w:rPr>
    </w:lvl>
    <w:lvl w:ilvl="2" w:tplc="17FC9782" w:tentative="1">
      <w:start w:val="1"/>
      <w:numFmt w:val="bullet"/>
      <w:lvlText w:val=""/>
      <w:lvlJc w:val="left"/>
      <w:pPr>
        <w:tabs>
          <w:tab w:val="num" w:pos="2160"/>
        </w:tabs>
        <w:ind w:left="2160" w:hanging="360"/>
      </w:pPr>
      <w:rPr>
        <w:rFonts w:ascii="Wingdings" w:hAnsi="Wingdings" w:hint="default"/>
      </w:rPr>
    </w:lvl>
    <w:lvl w:ilvl="3" w:tplc="FC760288" w:tentative="1">
      <w:start w:val="1"/>
      <w:numFmt w:val="bullet"/>
      <w:lvlText w:val=""/>
      <w:lvlJc w:val="left"/>
      <w:pPr>
        <w:tabs>
          <w:tab w:val="num" w:pos="2880"/>
        </w:tabs>
        <w:ind w:left="2880" w:hanging="360"/>
      </w:pPr>
      <w:rPr>
        <w:rFonts w:ascii="Symbol" w:hAnsi="Symbol" w:hint="default"/>
      </w:rPr>
    </w:lvl>
    <w:lvl w:ilvl="4" w:tplc="5B4ABDA4" w:tentative="1">
      <w:start w:val="1"/>
      <w:numFmt w:val="bullet"/>
      <w:lvlText w:val="o"/>
      <w:lvlJc w:val="left"/>
      <w:pPr>
        <w:tabs>
          <w:tab w:val="num" w:pos="3600"/>
        </w:tabs>
        <w:ind w:left="3600" w:hanging="360"/>
      </w:pPr>
      <w:rPr>
        <w:rFonts w:ascii="Courier New" w:hAnsi="Courier New" w:hint="default"/>
      </w:rPr>
    </w:lvl>
    <w:lvl w:ilvl="5" w:tplc="D042F5BA" w:tentative="1">
      <w:start w:val="1"/>
      <w:numFmt w:val="bullet"/>
      <w:lvlText w:val=""/>
      <w:lvlJc w:val="left"/>
      <w:pPr>
        <w:tabs>
          <w:tab w:val="num" w:pos="4320"/>
        </w:tabs>
        <w:ind w:left="4320" w:hanging="360"/>
      </w:pPr>
      <w:rPr>
        <w:rFonts w:ascii="Wingdings" w:hAnsi="Wingdings" w:hint="default"/>
      </w:rPr>
    </w:lvl>
    <w:lvl w:ilvl="6" w:tplc="9D0EC3C0" w:tentative="1">
      <w:start w:val="1"/>
      <w:numFmt w:val="bullet"/>
      <w:lvlText w:val=""/>
      <w:lvlJc w:val="left"/>
      <w:pPr>
        <w:tabs>
          <w:tab w:val="num" w:pos="5040"/>
        </w:tabs>
        <w:ind w:left="5040" w:hanging="360"/>
      </w:pPr>
      <w:rPr>
        <w:rFonts w:ascii="Symbol" w:hAnsi="Symbol" w:hint="default"/>
      </w:rPr>
    </w:lvl>
    <w:lvl w:ilvl="7" w:tplc="2716D0B8" w:tentative="1">
      <w:start w:val="1"/>
      <w:numFmt w:val="bullet"/>
      <w:lvlText w:val="o"/>
      <w:lvlJc w:val="left"/>
      <w:pPr>
        <w:tabs>
          <w:tab w:val="num" w:pos="5760"/>
        </w:tabs>
        <w:ind w:left="5760" w:hanging="360"/>
      </w:pPr>
      <w:rPr>
        <w:rFonts w:ascii="Courier New" w:hAnsi="Courier New" w:hint="default"/>
      </w:rPr>
    </w:lvl>
    <w:lvl w:ilvl="8" w:tplc="A6081DD0" w:tentative="1">
      <w:start w:val="1"/>
      <w:numFmt w:val="bullet"/>
      <w:lvlText w:val=""/>
      <w:lvlJc w:val="left"/>
      <w:pPr>
        <w:tabs>
          <w:tab w:val="num" w:pos="6480"/>
        </w:tabs>
        <w:ind w:left="6480" w:hanging="360"/>
      </w:pPr>
      <w:rPr>
        <w:rFonts w:ascii="Wingdings" w:hAnsi="Wingdings" w:hint="default"/>
      </w:r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31"/>
  </w:num>
  <w:num w:numId="3">
    <w:abstractNumId w:val="15"/>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0"/>
  </w:num>
  <w:num w:numId="15">
    <w:abstractNumId w:val="22"/>
  </w:num>
  <w:num w:numId="16">
    <w:abstractNumId w:val="26"/>
  </w:num>
  <w:num w:numId="17">
    <w:abstractNumId w:val="28"/>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5163720"/>
    <w:docVar w:name="WAFER_20140114105255" w:val="RemoveTocBookmarks,RemoveUnusedBookmarks,RemoveLanguageTags,UsedStyles,ResetPageSize,UpdateArrangement"/>
    <w:docVar w:name="WAFER_20140114105255_GUID" w:val="29cbcde7-9b77-4de9-a0a1-24674fecfd84"/>
    <w:docVar w:name="WAFER_20140114110603" w:val="RemoveTocBookmarks,RunningHeaders"/>
    <w:docVar w:name="WAFER_20140114110603_GUID" w:val="aba6ea1c-4290-4ef4-8d05-99eed9a06064"/>
    <w:docVar w:name="WAFER_20141104172112" w:val="RemoveTocBookmarks,RemoveUnusedBookmarks,RemoveLanguageTags,UsedStyles,ResetPageSize"/>
    <w:docVar w:name="WAFER_20141104172112_GUID" w:val="354c51a4-13e1-4e6e-b596-f911029d80b6"/>
    <w:docVar w:name="WAFER_20141203140935" w:val="RemoveTocBookmarks,RemoveUnusedBookmarks,RemoveLanguageTags,UsedStyles,ResetPageSize,UpdateArrangement"/>
    <w:docVar w:name="WAFER_20141203140935_GUID" w:val="cb16592c-6793-4131-be6e-3239bfa36602"/>
    <w:docVar w:name="WAFER_20150305163645" w:val="ResetPageSize,UpdateArrangement,UpdateNTable"/>
    <w:docVar w:name="WAFER_20150305163645_GUID" w:val="6b691a77-bfe7-48c7-be81-685701402095"/>
    <w:docVar w:name="WAFER_20150305163720" w:val="ResetPageSize,UpdateArrangement,UpdateNTable"/>
    <w:docVar w:name="WAFER_20150305163720_GUID" w:val="6f393aae-88ef-4238-814f-a06d24592af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zTHeadingNAm">
    <w:name w:val="zTHeadingNAm"/>
    <w:basedOn w:val="Normal"/>
    <w:pPr>
      <w:keepNext/>
      <w:spacing w:before="160" w:after="60" w:line="260" w:lineRule="atLeast"/>
      <w:ind w:left="1446" w:right="142"/>
      <w:jc w:val="center"/>
    </w:pPr>
    <w:rPr>
      <w:b/>
      <w:bCs/>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zTHeadingNAm">
    <w:name w:val="zTHeadingNAm"/>
    <w:basedOn w:val="Normal"/>
    <w:pPr>
      <w:keepNext/>
      <w:spacing w:before="160" w:after="60" w:line="260" w:lineRule="atLeast"/>
      <w:ind w:left="1446" w:right="142"/>
      <w:jc w:val="center"/>
    </w:pPr>
    <w:rPr>
      <w:b/>
      <w:bCs/>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44756</Words>
  <Characters>209460</Characters>
  <Application>Microsoft Office Word</Application>
  <DocSecurity>0</DocSecurity>
  <Lines>5661</Lines>
  <Paragraphs>3062</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251154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05-h0-01 - 05-i0-01</dc:title>
  <dc:subject/>
  <dc:creator/>
  <cp:keywords/>
  <dc:description/>
  <cp:lastModifiedBy>svcMRProcess</cp:lastModifiedBy>
  <cp:revision>2</cp:revision>
  <cp:lastPrinted>2012-08-17T02:43:00Z</cp:lastPrinted>
  <dcterms:created xsi:type="dcterms:W3CDTF">2020-02-21T06:22:00Z</dcterms:created>
  <dcterms:modified xsi:type="dcterms:W3CDTF">2020-02-21T06:22:00Z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DocumentType">
    <vt:lpwstr>Act</vt:lpwstr>
  </property>
  <property fmtid="{D5CDD505-2E9C-101B-9397-08002B2CF9AE}" pid="4" name="OwlsUID">
    <vt:i4>922</vt:i4>
  </property>
  <property fmtid="{D5CDD505-2E9C-101B-9397-08002B2CF9AE}" pid="5" name="ThisVersion">
    <vt:lpwstr>04-m0-00</vt:lpwstr>
  </property>
  <property fmtid="{D5CDD505-2E9C-101B-9397-08002B2CF9AE}" pid="6" name="ReprintedAsAt">
    <vt:filetime>2012-08-09T16:00:00Z</vt:filetime>
  </property>
  <property fmtid="{D5CDD505-2E9C-101B-9397-08002B2CF9AE}" pid="7" name="ReprintNo">
    <vt:lpwstr>5</vt:lpwstr>
  </property>
  <property fmtid="{D5CDD505-2E9C-101B-9397-08002B2CF9AE}" pid="8" name="CommencementDate">
    <vt:lpwstr>20150427</vt:lpwstr>
  </property>
  <property fmtid="{D5CDD505-2E9C-101B-9397-08002B2CF9AE}" pid="9" name="FromSuffix">
    <vt:lpwstr>05-h0-01</vt:lpwstr>
  </property>
  <property fmtid="{D5CDD505-2E9C-101B-9397-08002B2CF9AE}" pid="10" name="FromAsAtDate">
    <vt:lpwstr>03 Mar 2015</vt:lpwstr>
  </property>
  <property fmtid="{D5CDD505-2E9C-101B-9397-08002B2CF9AE}" pid="11" name="ToSuffix">
    <vt:lpwstr>05-i0-01</vt:lpwstr>
  </property>
  <property fmtid="{D5CDD505-2E9C-101B-9397-08002B2CF9AE}" pid="12" name="ToAsAtDate">
    <vt:lpwstr>27 Apr 2015</vt:lpwstr>
  </property>
</Properties>
</file>