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Nov 2014</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10:34:00Z"/>
        </w:trPr>
        <w:tc>
          <w:tcPr>
            <w:tcW w:w="2434" w:type="dxa"/>
            <w:vMerge w:val="restart"/>
          </w:tcPr>
          <w:p>
            <w:pPr>
              <w:rPr>
                <w:del w:id="2" w:author="Master Repository Process" w:date="2021-07-31T10:34:00Z"/>
              </w:rPr>
            </w:pPr>
          </w:p>
        </w:tc>
        <w:tc>
          <w:tcPr>
            <w:tcW w:w="2434" w:type="dxa"/>
            <w:vMerge w:val="restart"/>
          </w:tcPr>
          <w:p>
            <w:pPr>
              <w:jc w:val="center"/>
              <w:rPr>
                <w:del w:id="3" w:author="Master Repository Process" w:date="2021-07-31T10:34:00Z"/>
              </w:rPr>
            </w:pPr>
            <w:del w:id="4" w:author="Master Repository Process" w:date="2021-07-31T10:34: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10:34:00Z"/>
              </w:rPr>
            </w:pPr>
            <w:del w:id="6" w:author="Master Repository Process" w:date="2021-07-31T10:34: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7-31T10:34:00Z"/>
        </w:trPr>
        <w:tc>
          <w:tcPr>
            <w:tcW w:w="2434" w:type="dxa"/>
            <w:vMerge/>
          </w:tcPr>
          <w:p>
            <w:pPr>
              <w:rPr>
                <w:del w:id="8" w:author="Master Repository Process" w:date="2021-07-31T10:34:00Z"/>
              </w:rPr>
            </w:pPr>
          </w:p>
        </w:tc>
        <w:tc>
          <w:tcPr>
            <w:tcW w:w="2434" w:type="dxa"/>
            <w:vMerge/>
          </w:tcPr>
          <w:p>
            <w:pPr>
              <w:jc w:val="center"/>
              <w:rPr>
                <w:del w:id="9" w:author="Master Repository Process" w:date="2021-07-31T10:34:00Z"/>
              </w:rPr>
            </w:pPr>
          </w:p>
        </w:tc>
        <w:tc>
          <w:tcPr>
            <w:tcW w:w="2434" w:type="dxa"/>
          </w:tcPr>
          <w:p>
            <w:pPr>
              <w:keepNext/>
              <w:rPr>
                <w:del w:id="10" w:author="Master Repository Process" w:date="2021-07-31T10:34:00Z"/>
                <w:b/>
                <w:sz w:val="22"/>
              </w:rPr>
            </w:pPr>
            <w:del w:id="11" w:author="Master Repository Process" w:date="2021-07-31T10:34:00Z">
              <w:r>
                <w:rPr>
                  <w:b/>
                  <w:sz w:val="22"/>
                </w:rPr>
                <w:delText>at 21 November 2014</w:delText>
              </w:r>
            </w:del>
          </w:p>
        </w:tc>
      </w:tr>
    </w:tbl>
    <w:p>
      <w:pPr>
        <w:pStyle w:val="WA"/>
        <w:spacing w:before="12"/>
      </w:pPr>
      <w:r>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12" w:name="_Toc404845743"/>
      <w:bookmarkStart w:id="13" w:name="_Toc415059424"/>
      <w:bookmarkStart w:id="14" w:name="_Toc415059773"/>
      <w:bookmarkStart w:id="15" w:name="_Toc422928137"/>
      <w:bookmarkStart w:id="16" w:name="_Toc423434644"/>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p>
    <w:p>
      <w:pPr>
        <w:pStyle w:val="Heading5"/>
      </w:pPr>
      <w:bookmarkStart w:id="18" w:name="_Toc404845744"/>
      <w:bookmarkStart w:id="19" w:name="_Toc423434645"/>
      <w:bookmarkStart w:id="20" w:name="_Toc415059774"/>
      <w:r>
        <w:rPr>
          <w:rStyle w:val="CharSectno"/>
        </w:rPr>
        <w:t>1</w:t>
      </w:r>
      <w:r>
        <w:t>.</w:t>
      </w:r>
      <w:r>
        <w:tab/>
        <w:t>Citation</w:t>
      </w:r>
      <w:bookmarkEnd w:id="18"/>
      <w:bookmarkEnd w:id="19"/>
      <w:bookmarkEnd w:id="20"/>
    </w:p>
    <w:p>
      <w:pPr>
        <w:pStyle w:val="Subsection"/>
        <w:rPr>
          <w:i/>
        </w:rPr>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21" w:name="_Toc404845745"/>
      <w:bookmarkStart w:id="22" w:name="_Toc423434646"/>
      <w:bookmarkStart w:id="23" w:name="_Toc415059775"/>
      <w:r>
        <w:rPr>
          <w:rStyle w:val="CharSectno"/>
        </w:rPr>
        <w:t>2</w:t>
      </w:r>
      <w:r>
        <w:rPr>
          <w:spacing w:val="-2"/>
        </w:rPr>
        <w:t>.</w:t>
      </w:r>
      <w:r>
        <w:rPr>
          <w:spacing w:val="-2"/>
        </w:rPr>
        <w:tab/>
        <w:t>Commencement</w:t>
      </w:r>
      <w:bookmarkEnd w:id="21"/>
      <w:bookmarkEnd w:id="22"/>
      <w:bookmarkEnd w:id="2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24" w:name="_Toc404845746"/>
      <w:bookmarkStart w:id="25" w:name="_Toc423434647"/>
      <w:bookmarkStart w:id="26" w:name="_Toc415059776"/>
      <w:r>
        <w:rPr>
          <w:rStyle w:val="CharSectno"/>
        </w:rPr>
        <w:t>3</w:t>
      </w:r>
      <w:r>
        <w:t>.</w:t>
      </w:r>
      <w:r>
        <w:tab/>
        <w:t>Terms used</w:t>
      </w:r>
      <w:bookmarkEnd w:id="24"/>
      <w:bookmarkEnd w:id="25"/>
      <w:bookmarkEnd w:id="26"/>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lastRenderedPageBreak/>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spacing w:before="60"/>
      </w:pPr>
      <w:r>
        <w:tab/>
        <w:t>(a)</w:t>
      </w:r>
      <w:r>
        <w:tab/>
        <w:t>which the public are not entitled to use; and</w:t>
      </w:r>
    </w:p>
    <w:p>
      <w:pPr>
        <w:pStyle w:val="Defpara"/>
        <w:spacing w:before="60"/>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w:t>
      </w:r>
    </w:p>
    <w:p>
      <w:pPr>
        <w:pStyle w:val="Heading2"/>
      </w:pPr>
      <w:bookmarkStart w:id="27" w:name="_Toc404845747"/>
      <w:bookmarkStart w:id="28" w:name="_Toc415059428"/>
      <w:bookmarkStart w:id="29" w:name="_Toc415059777"/>
      <w:bookmarkStart w:id="30" w:name="_Toc422928141"/>
      <w:bookmarkStart w:id="31" w:name="_Toc423434648"/>
      <w:r>
        <w:rPr>
          <w:rStyle w:val="CharPartNo"/>
        </w:rPr>
        <w:t>Part 2</w:t>
      </w:r>
      <w:r>
        <w:rPr>
          <w:rStyle w:val="CharDivNo"/>
        </w:rPr>
        <w:t> </w:t>
      </w:r>
      <w:r>
        <w:t>—</w:t>
      </w:r>
      <w:r>
        <w:rPr>
          <w:rStyle w:val="CharDivText"/>
        </w:rPr>
        <w:t> </w:t>
      </w:r>
      <w:r>
        <w:rPr>
          <w:rStyle w:val="CharPartText"/>
        </w:rPr>
        <w:t>General matters</w:t>
      </w:r>
      <w:bookmarkEnd w:id="27"/>
      <w:bookmarkEnd w:id="28"/>
      <w:bookmarkEnd w:id="29"/>
      <w:bookmarkEnd w:id="30"/>
      <w:bookmarkEnd w:id="31"/>
    </w:p>
    <w:p>
      <w:pPr>
        <w:pStyle w:val="Heading5"/>
      </w:pPr>
      <w:bookmarkStart w:id="32" w:name="_Toc404845748"/>
      <w:bookmarkStart w:id="33" w:name="_Toc423434649"/>
      <w:bookmarkStart w:id="34" w:name="_Toc415059778"/>
      <w:r>
        <w:rPr>
          <w:rStyle w:val="CharSectno"/>
        </w:rPr>
        <w:t>4</w:t>
      </w:r>
      <w:r>
        <w:t>.</w:t>
      </w:r>
      <w:r>
        <w:tab/>
        <w:t>Approval of manner or form of things (s. 3)</w:t>
      </w:r>
      <w:bookmarkEnd w:id="32"/>
      <w:bookmarkEnd w:id="33"/>
      <w:bookmarkEnd w:id="34"/>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35" w:name="_Toc404845749"/>
      <w:bookmarkStart w:id="36" w:name="_Toc423434650"/>
      <w:bookmarkStart w:id="37" w:name="_Toc415059779"/>
      <w:r>
        <w:rPr>
          <w:rStyle w:val="CharSectno"/>
        </w:rPr>
        <w:t>5A</w:t>
      </w:r>
      <w:r>
        <w:t>.</w:t>
      </w:r>
      <w:r>
        <w:tab/>
        <w:t>Authorised persons (s. 3)</w:t>
      </w:r>
      <w:bookmarkEnd w:id="35"/>
      <w:bookmarkEnd w:id="36"/>
      <w:bookmarkEnd w:id="37"/>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38" w:name="_Toc404845750"/>
      <w:bookmarkStart w:id="39" w:name="_Toc423434651"/>
      <w:bookmarkStart w:id="40" w:name="_Toc415059780"/>
      <w:r>
        <w:rPr>
          <w:rStyle w:val="CharSectno"/>
        </w:rPr>
        <w:t>5</w:t>
      </w:r>
      <w:r>
        <w:t>.</w:t>
      </w:r>
      <w:r>
        <w:tab/>
        <w:t>Building surveyors (s. 3)</w:t>
      </w:r>
      <w:bookmarkEnd w:id="38"/>
      <w:bookmarkEnd w:id="39"/>
      <w:bookmarkEnd w:id="40"/>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41" w:name="_Toc404845751"/>
      <w:bookmarkStart w:id="42" w:name="_Toc423434652"/>
      <w:bookmarkStart w:id="43" w:name="_Toc415059781"/>
      <w:r>
        <w:rPr>
          <w:rStyle w:val="CharSectno"/>
        </w:rPr>
        <w:t>6</w:t>
      </w:r>
      <w:r>
        <w:t>.</w:t>
      </w:r>
      <w:r>
        <w:tab/>
        <w:t>Classification of buildings and incidental structures (s. 3)</w:t>
      </w:r>
      <w:bookmarkEnd w:id="41"/>
      <w:bookmarkEnd w:id="42"/>
      <w:bookmarkEnd w:id="43"/>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44" w:name="_Toc404845752"/>
      <w:bookmarkStart w:id="45" w:name="_Toc423434653"/>
      <w:bookmarkStart w:id="46" w:name="_Toc415059782"/>
      <w:r>
        <w:rPr>
          <w:rStyle w:val="CharSectno"/>
        </w:rPr>
        <w:t>10</w:t>
      </w:r>
      <w:r>
        <w:t>.</w:t>
      </w:r>
      <w:r>
        <w:tab/>
        <w:t>Owners of land (s. 5(1))</w:t>
      </w:r>
      <w:bookmarkEnd w:id="44"/>
      <w:bookmarkEnd w:id="45"/>
      <w:bookmarkEnd w:id="46"/>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a person who is a proprietor of the land within the meaning of paragraph (b) of the definition of </w:t>
      </w:r>
      <w:r>
        <w:rPr>
          <w:b/>
          <w:i/>
        </w:rPr>
        <w:t>proprietor</w:t>
      </w:r>
      <w:r>
        <w:t xml:space="preserve"> in the </w:t>
      </w:r>
      <w:r>
        <w:rPr>
          <w:i/>
        </w:rPr>
        <w:t xml:space="preserve">Transfer of Land Act 1893 </w:t>
      </w:r>
      <w:r>
        <w:t>section 4(1) is prescribed.</w:t>
      </w:r>
    </w:p>
    <w:p>
      <w:pPr>
        <w:pStyle w:val="Subsection"/>
      </w:pPr>
      <w:r>
        <w:tab/>
        <w:t>(3)</w:t>
      </w:r>
      <w:r>
        <w:tab/>
        <w:t xml:space="preserve">For the purposes of paragraph (ba) of the definition of </w:t>
      </w:r>
      <w:r>
        <w:rPr>
          <w:b/>
          <w:i/>
        </w:rPr>
        <w:t>owner</w:t>
      </w:r>
      <w:r>
        <w:t>, in relation to Crown land, in section 5(1) the State is the owner of land for which neither a certificate of Crown land title nor a qualified certificate of Crown land title has been created and registered.</w:t>
      </w:r>
    </w:p>
    <w:p>
      <w:pPr>
        <w:pStyle w:val="Footnotesection"/>
      </w:pPr>
      <w:r>
        <w:tab/>
        <w:t>[Regulation 10 amended in Gazette 18 Dec 2012 p. 6556-7.]</w:t>
      </w:r>
    </w:p>
    <w:p>
      <w:pPr>
        <w:pStyle w:val="Heading5"/>
      </w:pPr>
      <w:bookmarkStart w:id="47" w:name="_Toc404845753"/>
      <w:bookmarkStart w:id="48" w:name="_Toc423434654"/>
      <w:bookmarkStart w:id="49" w:name="_Toc415059783"/>
      <w:r>
        <w:rPr>
          <w:rStyle w:val="CharSectno"/>
        </w:rPr>
        <w:t>11A</w:t>
      </w:r>
      <w:r>
        <w:t>.</w:t>
      </w:r>
      <w:r>
        <w:tab/>
        <w:t>Restriction on circumstances where person treated as owner (s. 5(2))</w:t>
      </w:r>
      <w:bookmarkEnd w:id="47"/>
      <w:bookmarkEnd w:id="48"/>
      <w:bookmarkEnd w:id="49"/>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50" w:name="_Toc404845754"/>
      <w:bookmarkStart w:id="51" w:name="_Toc423434655"/>
      <w:bookmarkStart w:id="52" w:name="_Toc415059784"/>
      <w:r>
        <w:rPr>
          <w:rStyle w:val="CharSectno"/>
        </w:rPr>
        <w:t>11</w:t>
      </w:r>
      <w:r>
        <w:t>.</w:t>
      </w:r>
      <w:r>
        <w:tab/>
        <w:t>Fees</w:t>
      </w:r>
      <w:bookmarkEnd w:id="50"/>
      <w:bookmarkEnd w:id="51"/>
      <w:bookmarkEnd w:id="52"/>
    </w:p>
    <w:p>
      <w:pPr>
        <w:pStyle w:val="Subsection"/>
      </w:pPr>
      <w:r>
        <w:tab/>
      </w:r>
      <w:r>
        <w:tab/>
        <w:t>The fee for an application of a kind mentioned in an item set out in Schedule 2 is the fee specified in that item in relation to the application.</w:t>
      </w:r>
    </w:p>
    <w:p>
      <w:pPr>
        <w:pStyle w:val="Heading5"/>
      </w:pPr>
      <w:bookmarkStart w:id="53" w:name="_Toc404845755"/>
      <w:bookmarkStart w:id="54" w:name="_Toc423434656"/>
      <w:bookmarkStart w:id="55" w:name="_Toc415059785"/>
      <w:r>
        <w:rPr>
          <w:rStyle w:val="CharSectno"/>
        </w:rPr>
        <w:t>12</w:t>
      </w:r>
      <w:r>
        <w:t>.</w:t>
      </w:r>
      <w:r>
        <w:tab/>
        <w:t>Building records to be kept (s. 130)</w:t>
      </w:r>
      <w:bookmarkEnd w:id="53"/>
      <w:bookmarkEnd w:id="54"/>
      <w:bookmarkEnd w:id="55"/>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56" w:name="_Toc404845756"/>
      <w:bookmarkStart w:id="57" w:name="_Toc423434657"/>
      <w:bookmarkStart w:id="58" w:name="_Toc415059786"/>
      <w:r>
        <w:rPr>
          <w:rStyle w:val="CharSectno"/>
        </w:rPr>
        <w:t>13</w:t>
      </w:r>
      <w:r>
        <w:t>.</w:t>
      </w:r>
      <w:r>
        <w:tab/>
        <w:t>Inspection, copies of building records (s. 131)</w:t>
      </w:r>
      <w:bookmarkEnd w:id="56"/>
      <w:bookmarkEnd w:id="57"/>
      <w:bookmarkEnd w:id="58"/>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59" w:name="_Toc404845757"/>
      <w:bookmarkStart w:id="60" w:name="_Toc423434658"/>
      <w:bookmarkStart w:id="61" w:name="_Toc415059787"/>
      <w:r>
        <w:rPr>
          <w:rStyle w:val="CharSectno"/>
        </w:rPr>
        <w:t>14</w:t>
      </w:r>
      <w:r>
        <w:t>.</w:t>
      </w:r>
      <w:r>
        <w:tab/>
        <w:t>Provision of information to Building Commissioner (s. 132)</w:t>
      </w:r>
      <w:bookmarkEnd w:id="59"/>
      <w:bookmarkEnd w:id="60"/>
      <w:bookmarkEnd w:id="61"/>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62" w:name="_Toc404845758"/>
      <w:bookmarkStart w:id="63" w:name="_Toc423434659"/>
      <w:bookmarkStart w:id="64" w:name="_Toc415059788"/>
      <w:r>
        <w:rPr>
          <w:rStyle w:val="CharSectno"/>
        </w:rPr>
        <w:t>15A</w:t>
      </w:r>
      <w:r>
        <w:t>.</w:t>
      </w:r>
      <w:r>
        <w:tab/>
        <w:t xml:space="preserve">Provision of information to </w:t>
      </w:r>
      <w:smartTag w:uri="urn:schemas-microsoft-com:office:smarttags" w:element="place">
        <w:r>
          <w:t>FES</w:t>
        </w:r>
      </w:smartTag>
      <w:r>
        <w:t xml:space="preserve"> Commissioner (s. 149)</w:t>
      </w:r>
      <w:bookmarkEnd w:id="62"/>
      <w:bookmarkEnd w:id="63"/>
      <w:bookmarkEnd w:id="64"/>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2"/>
      </w:pPr>
      <w:bookmarkStart w:id="65" w:name="_Toc404845759"/>
      <w:bookmarkStart w:id="66" w:name="_Toc415059440"/>
      <w:bookmarkStart w:id="67" w:name="_Toc415059789"/>
      <w:bookmarkStart w:id="68" w:name="_Toc422928153"/>
      <w:bookmarkStart w:id="69" w:name="_Toc423434660"/>
      <w:r>
        <w:rPr>
          <w:rStyle w:val="CharPartNo"/>
        </w:rPr>
        <w:t>Part 3</w:t>
      </w:r>
      <w:r>
        <w:rPr>
          <w:rStyle w:val="CharDivNo"/>
        </w:rPr>
        <w:t> </w:t>
      </w:r>
      <w:r>
        <w:t>—</w:t>
      </w:r>
      <w:r>
        <w:rPr>
          <w:rStyle w:val="CharDivText"/>
        </w:rPr>
        <w:t> </w:t>
      </w:r>
      <w:r>
        <w:rPr>
          <w:rStyle w:val="CharPartText"/>
        </w:rPr>
        <w:t>Building and demolition permits</w:t>
      </w:r>
      <w:bookmarkEnd w:id="65"/>
      <w:bookmarkEnd w:id="66"/>
      <w:bookmarkEnd w:id="67"/>
      <w:bookmarkEnd w:id="68"/>
      <w:bookmarkEnd w:id="69"/>
    </w:p>
    <w:p>
      <w:pPr>
        <w:pStyle w:val="Heading5"/>
        <w:spacing w:before="240"/>
      </w:pPr>
      <w:bookmarkStart w:id="70" w:name="_Toc404845760"/>
      <w:bookmarkStart w:id="71" w:name="_Toc423434661"/>
      <w:bookmarkStart w:id="72" w:name="_Toc415059790"/>
      <w:r>
        <w:rPr>
          <w:rStyle w:val="CharSectno"/>
        </w:rPr>
        <w:t>15</w:t>
      </w:r>
      <w:r>
        <w:t>.</w:t>
      </w:r>
      <w:r>
        <w:tab/>
        <w:t>Uncertified applications (s. 14(2))</w:t>
      </w:r>
      <w:bookmarkEnd w:id="70"/>
      <w:bookmarkEnd w:id="71"/>
      <w:bookmarkEnd w:id="72"/>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73" w:name="_Toc404845761"/>
      <w:bookmarkStart w:id="74" w:name="_Toc423434662"/>
      <w:bookmarkStart w:id="75" w:name="_Toc415059791"/>
      <w:r>
        <w:rPr>
          <w:rStyle w:val="CharSectno"/>
        </w:rPr>
        <w:t>16</w:t>
      </w:r>
      <w:r>
        <w:t>.</w:t>
      </w:r>
      <w:r>
        <w:tab/>
        <w:t>Application for building and demolition permits (s. 16)</w:t>
      </w:r>
      <w:bookmarkEnd w:id="73"/>
      <w:bookmarkEnd w:id="74"/>
      <w:bookmarkEnd w:id="75"/>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76" w:name="_Toc404845762"/>
      <w:bookmarkStart w:id="77" w:name="_Toc423434663"/>
      <w:bookmarkStart w:id="78" w:name="_Toc415059792"/>
      <w:r>
        <w:rPr>
          <w:rStyle w:val="CharSectno"/>
        </w:rPr>
        <w:t>17</w:t>
      </w:r>
      <w:r>
        <w:t>.</w:t>
      </w:r>
      <w:r>
        <w:tab/>
        <w:t>Further information (s. 18(3) and (4))</w:t>
      </w:r>
      <w:bookmarkEnd w:id="76"/>
      <w:bookmarkEnd w:id="77"/>
      <w:bookmarkEnd w:id="78"/>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79" w:name="_Toc404845763"/>
      <w:bookmarkStart w:id="80" w:name="_Toc423434664"/>
      <w:bookmarkStart w:id="81" w:name="_Toc415059793"/>
      <w:r>
        <w:rPr>
          <w:rStyle w:val="CharSectno"/>
        </w:rPr>
        <w:t>18A</w:t>
      </w:r>
      <w:r>
        <w:t>.</w:t>
      </w:r>
      <w:r>
        <w:tab/>
        <w:t>Certificate of design compliance — contents (s. 19(5))</w:t>
      </w:r>
      <w:bookmarkEnd w:id="79"/>
      <w:bookmarkEnd w:id="80"/>
      <w:bookmarkEnd w:id="81"/>
    </w:p>
    <w:p>
      <w:pPr>
        <w:pStyle w:val="Subsection"/>
      </w:pPr>
      <w:r>
        <w:tab/>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Footnotesection"/>
      </w:pPr>
      <w:r>
        <w:tab/>
        <w:t>[Regulation 18A inserted in Gazette 18 Dec 2012 p. 6559.]</w:t>
      </w:r>
    </w:p>
    <w:p>
      <w:pPr>
        <w:pStyle w:val="Heading5"/>
      </w:pPr>
      <w:bookmarkStart w:id="82" w:name="_Toc404845764"/>
      <w:bookmarkStart w:id="83" w:name="_Toc423434665"/>
      <w:bookmarkStart w:id="84" w:name="_Toc415059794"/>
      <w:r>
        <w:rPr>
          <w:rStyle w:val="CharSectno"/>
        </w:rPr>
        <w:t>18B</w:t>
      </w:r>
      <w:r>
        <w:t>.</w:t>
      </w:r>
      <w:r>
        <w:tab/>
        <w:t>Certificate of design compliance — preliminary action (s. 19(6))</w:t>
      </w:r>
      <w:bookmarkEnd w:id="82"/>
      <w:bookmarkEnd w:id="83"/>
      <w:bookmarkEnd w:id="84"/>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85" w:name="_Toc404845765"/>
      <w:bookmarkStart w:id="86" w:name="_Toc423434666"/>
      <w:bookmarkStart w:id="87" w:name="_Toc415059795"/>
      <w:r>
        <w:rPr>
          <w:rStyle w:val="CharSectno"/>
        </w:rPr>
        <w:t>18C</w:t>
      </w:r>
      <w:r>
        <w:t>.</w:t>
      </w:r>
      <w:r>
        <w:tab/>
        <w:t>Certificate of design compliance — things to accompany (s. 149)</w:t>
      </w:r>
      <w:bookmarkEnd w:id="85"/>
      <w:bookmarkEnd w:id="86"/>
      <w:bookmarkEnd w:id="87"/>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88" w:name="_Toc404845766"/>
      <w:bookmarkStart w:id="89" w:name="_Toc423434667"/>
      <w:bookmarkStart w:id="90" w:name="_Toc415059796"/>
      <w:r>
        <w:rPr>
          <w:rStyle w:val="CharSectno"/>
        </w:rPr>
        <w:t>18</w:t>
      </w:r>
      <w:r>
        <w:t>.</w:t>
      </w:r>
      <w:r>
        <w:tab/>
        <w:t>Grant of building permit (s. 20)</w:t>
      </w:r>
      <w:bookmarkEnd w:id="88"/>
      <w:bookmarkEnd w:id="89"/>
      <w:bookmarkEnd w:id="90"/>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91" w:name="_Toc404845767"/>
      <w:bookmarkStart w:id="92" w:name="_Toc423434668"/>
      <w:bookmarkStart w:id="93" w:name="_Toc415059797"/>
      <w:r>
        <w:rPr>
          <w:rStyle w:val="CharSectno"/>
        </w:rPr>
        <w:t>19</w:t>
      </w:r>
      <w:r>
        <w:t>.</w:t>
      </w:r>
      <w:r>
        <w:tab/>
        <w:t>Grant of demolition permit (s. 21)</w:t>
      </w:r>
      <w:bookmarkEnd w:id="91"/>
      <w:bookmarkEnd w:id="92"/>
      <w:bookmarkEnd w:id="93"/>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94" w:name="_Toc404845768"/>
      <w:bookmarkStart w:id="95" w:name="_Toc423434669"/>
      <w:bookmarkStart w:id="96" w:name="_Toc415059798"/>
      <w:r>
        <w:rPr>
          <w:rStyle w:val="CharSectno"/>
        </w:rPr>
        <w:t>20</w:t>
      </w:r>
      <w:r>
        <w:t>.</w:t>
      </w:r>
      <w:r>
        <w:tab/>
        <w:t>Time for deciding application for building or demolition permit (s. 23)</w:t>
      </w:r>
      <w:bookmarkEnd w:id="94"/>
      <w:bookmarkEnd w:id="95"/>
      <w:bookmarkEnd w:id="96"/>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97" w:name="_Toc404845769"/>
      <w:bookmarkStart w:id="98" w:name="_Toc423434670"/>
      <w:bookmarkStart w:id="99" w:name="_Toc415059799"/>
      <w:r>
        <w:rPr>
          <w:rStyle w:val="CharSectno"/>
        </w:rPr>
        <w:t>21</w:t>
      </w:r>
      <w:r>
        <w:t>.</w:t>
      </w:r>
      <w:r>
        <w:tab/>
        <w:t>Form and content of building permit (s. 25)</w:t>
      </w:r>
      <w:bookmarkEnd w:id="97"/>
      <w:bookmarkEnd w:id="98"/>
      <w:bookmarkEnd w:id="99"/>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00" w:name="_Toc404845770"/>
      <w:bookmarkStart w:id="101" w:name="_Toc423434671"/>
      <w:bookmarkStart w:id="102" w:name="_Toc415059800"/>
      <w:r>
        <w:rPr>
          <w:rStyle w:val="CharSectno"/>
        </w:rPr>
        <w:t>22</w:t>
      </w:r>
      <w:r>
        <w:t>.</w:t>
      </w:r>
      <w:r>
        <w:tab/>
        <w:t>Form and content of demolition permit (s. 25)</w:t>
      </w:r>
      <w:bookmarkEnd w:id="100"/>
      <w:bookmarkEnd w:id="101"/>
      <w:bookmarkEnd w:id="102"/>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103" w:name="_Toc404845771"/>
      <w:bookmarkStart w:id="104" w:name="_Toc423434672"/>
      <w:bookmarkStart w:id="105" w:name="_Toc415059801"/>
      <w:r>
        <w:rPr>
          <w:rStyle w:val="CharSectno"/>
        </w:rPr>
        <w:t>23</w:t>
      </w:r>
      <w:r>
        <w:t>.</w:t>
      </w:r>
      <w:r>
        <w:tab/>
        <w:t>Application to extend time during which permit has effect (s. 32)</w:t>
      </w:r>
      <w:bookmarkEnd w:id="103"/>
      <w:bookmarkEnd w:id="104"/>
      <w:bookmarkEnd w:id="105"/>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106" w:name="_Toc404845772"/>
      <w:bookmarkStart w:id="107" w:name="_Toc423434673"/>
      <w:bookmarkStart w:id="108" w:name="_Toc415059802"/>
      <w:r>
        <w:rPr>
          <w:rStyle w:val="CharSectno"/>
        </w:rPr>
        <w:t>24</w:t>
      </w:r>
      <w:r>
        <w:t>.</w:t>
      </w:r>
      <w:r>
        <w:tab/>
        <w:t>Extension of time during which permit has effect (s. 32(3))</w:t>
      </w:r>
      <w:bookmarkEnd w:id="106"/>
      <w:bookmarkEnd w:id="107"/>
      <w:bookmarkEnd w:id="108"/>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09" w:name="_Toc404845773"/>
      <w:bookmarkStart w:id="110" w:name="_Toc423434674"/>
      <w:bookmarkStart w:id="111" w:name="_Toc415059803"/>
      <w:r>
        <w:rPr>
          <w:rStyle w:val="CharSectno"/>
        </w:rPr>
        <w:t>25</w:t>
      </w:r>
      <w:r>
        <w:t>.</w:t>
      </w:r>
      <w:r>
        <w:tab/>
        <w:t>Review of decision to refuse to extend time during which permit has effect (s. 32(3))</w:t>
      </w:r>
      <w:bookmarkEnd w:id="109"/>
      <w:bookmarkEnd w:id="110"/>
      <w:bookmarkEnd w:id="111"/>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112" w:name="_Toc404845774"/>
      <w:bookmarkStart w:id="113" w:name="_Toc423434675"/>
      <w:bookmarkStart w:id="114" w:name="_Toc415059804"/>
      <w:r>
        <w:rPr>
          <w:rStyle w:val="CharSectno"/>
        </w:rPr>
        <w:t>26</w:t>
      </w:r>
      <w:r>
        <w:t>.</w:t>
      </w:r>
      <w:r>
        <w:tab/>
        <w:t>Approval of new responsible person (s. 35(c))</w:t>
      </w:r>
      <w:bookmarkEnd w:id="112"/>
      <w:bookmarkEnd w:id="113"/>
      <w:bookmarkEnd w:id="114"/>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115" w:name="_Toc404845775"/>
      <w:bookmarkStart w:id="116" w:name="_Toc423434676"/>
      <w:bookmarkStart w:id="117" w:name="_Toc415059805"/>
      <w:r>
        <w:rPr>
          <w:rStyle w:val="CharSectno"/>
        </w:rPr>
        <w:t>27</w:t>
      </w:r>
      <w:r>
        <w:t>.</w:t>
      </w:r>
      <w:r>
        <w:tab/>
        <w:t>Required inspection and tests: Class 2 to Class 9 buildings (s. 36(2)(a))</w:t>
      </w:r>
      <w:bookmarkEnd w:id="115"/>
      <w:bookmarkEnd w:id="116"/>
      <w:bookmarkEnd w:id="117"/>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18" w:name="_Toc404845776"/>
      <w:bookmarkStart w:id="119" w:name="_Toc423434677"/>
      <w:bookmarkStart w:id="120" w:name="_Toc415059806"/>
      <w:r>
        <w:rPr>
          <w:rStyle w:val="CharSectno"/>
        </w:rPr>
        <w:t>28</w:t>
      </w:r>
      <w:r>
        <w:t>.</w:t>
      </w:r>
      <w:r>
        <w:tab/>
        <w:t>Required inspection: enclosure of private swimming pool (s. 36(2)(a))</w:t>
      </w:r>
      <w:bookmarkEnd w:id="118"/>
      <w:bookmarkEnd w:id="119"/>
      <w:bookmarkEnd w:id="120"/>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121" w:name="_Toc404845777"/>
      <w:bookmarkStart w:id="122" w:name="_Toc423434678"/>
      <w:bookmarkStart w:id="123" w:name="_Toc415059807"/>
      <w:r>
        <w:rPr>
          <w:rStyle w:val="CharSectno"/>
        </w:rPr>
        <w:t>29</w:t>
      </w:r>
      <w:r>
        <w:t>.</w:t>
      </w:r>
      <w:r>
        <w:tab/>
        <w:t>Inspection certificates (s. 36(2)(h) and (j))</w:t>
      </w:r>
      <w:bookmarkEnd w:id="121"/>
      <w:bookmarkEnd w:id="122"/>
      <w:bookmarkEnd w:id="123"/>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24" w:name="_Toc404845778"/>
      <w:bookmarkStart w:id="125" w:name="_Toc423434679"/>
      <w:bookmarkStart w:id="126" w:name="_Toc415059808"/>
      <w:r>
        <w:rPr>
          <w:rStyle w:val="CharSectno"/>
        </w:rPr>
        <w:t>30</w:t>
      </w:r>
      <w:r>
        <w:t>.</w:t>
      </w:r>
      <w:r>
        <w:tab/>
        <w:t>Transitional provisions (s. 203)</w:t>
      </w:r>
      <w:bookmarkEnd w:id="124"/>
      <w:bookmarkEnd w:id="125"/>
      <w:bookmarkEnd w:id="126"/>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27" w:name="_Toc404845779"/>
      <w:bookmarkStart w:id="128" w:name="_Toc415059460"/>
      <w:bookmarkStart w:id="129" w:name="_Toc415059809"/>
      <w:bookmarkStart w:id="130" w:name="_Toc422928173"/>
      <w:bookmarkStart w:id="131" w:name="_Toc423434680"/>
      <w:r>
        <w:rPr>
          <w:rStyle w:val="CharPartNo"/>
        </w:rPr>
        <w:t>Part 4</w:t>
      </w:r>
      <w:r>
        <w:t> — </w:t>
      </w:r>
      <w:r>
        <w:rPr>
          <w:rStyle w:val="CharPartText"/>
        </w:rPr>
        <w:t>Building standards</w:t>
      </w:r>
      <w:bookmarkEnd w:id="127"/>
      <w:bookmarkEnd w:id="128"/>
      <w:bookmarkEnd w:id="129"/>
      <w:bookmarkEnd w:id="130"/>
      <w:bookmarkEnd w:id="131"/>
    </w:p>
    <w:p>
      <w:pPr>
        <w:pStyle w:val="Heading3"/>
        <w:spacing w:before="220"/>
      </w:pPr>
      <w:bookmarkStart w:id="132" w:name="_Toc404845780"/>
      <w:bookmarkStart w:id="133" w:name="_Toc415059461"/>
      <w:bookmarkStart w:id="134" w:name="_Toc415059810"/>
      <w:bookmarkStart w:id="135" w:name="_Toc422928174"/>
      <w:bookmarkStart w:id="136" w:name="_Toc423434681"/>
      <w:r>
        <w:rPr>
          <w:rStyle w:val="CharDivNo"/>
        </w:rPr>
        <w:t>Division 1</w:t>
      </w:r>
      <w:r>
        <w:t> — </w:t>
      </w:r>
      <w:r>
        <w:rPr>
          <w:rStyle w:val="CharDivText"/>
        </w:rPr>
        <w:t>Applicable building standards</w:t>
      </w:r>
      <w:bookmarkEnd w:id="132"/>
      <w:bookmarkEnd w:id="133"/>
      <w:bookmarkEnd w:id="134"/>
      <w:bookmarkEnd w:id="135"/>
      <w:bookmarkEnd w:id="136"/>
    </w:p>
    <w:p>
      <w:pPr>
        <w:pStyle w:val="Footnoteheading"/>
        <w:spacing w:before="100"/>
      </w:pPr>
      <w:r>
        <w:tab/>
        <w:t>[Heading inserted in Gazette 18 Dec 2012 p. 6562.]</w:t>
      </w:r>
    </w:p>
    <w:p>
      <w:pPr>
        <w:pStyle w:val="Heading4"/>
        <w:spacing w:before="220"/>
      </w:pPr>
      <w:bookmarkStart w:id="137" w:name="_Toc404845781"/>
      <w:bookmarkStart w:id="138" w:name="_Toc415059462"/>
      <w:bookmarkStart w:id="139" w:name="_Toc415059811"/>
      <w:bookmarkStart w:id="140" w:name="_Toc422928175"/>
      <w:bookmarkStart w:id="141" w:name="_Toc423434682"/>
      <w:r>
        <w:t>Subdivision 1 — Building standards in relation to construction</w:t>
      </w:r>
      <w:bookmarkEnd w:id="137"/>
      <w:bookmarkEnd w:id="138"/>
      <w:bookmarkEnd w:id="139"/>
      <w:bookmarkEnd w:id="140"/>
      <w:bookmarkEnd w:id="141"/>
    </w:p>
    <w:p>
      <w:pPr>
        <w:pStyle w:val="Footnoteheading"/>
        <w:spacing w:before="100"/>
      </w:pPr>
      <w:r>
        <w:tab/>
        <w:t>[Heading inserted in Gazette 18 Dec 2012 p. 6562.]</w:t>
      </w:r>
    </w:p>
    <w:p>
      <w:pPr>
        <w:pStyle w:val="Heading5"/>
        <w:spacing w:before="200"/>
      </w:pPr>
      <w:bookmarkStart w:id="142" w:name="_Toc404845782"/>
      <w:bookmarkStart w:id="143" w:name="_Toc423434683"/>
      <w:bookmarkStart w:id="144" w:name="_Toc415059812"/>
      <w:r>
        <w:rPr>
          <w:rStyle w:val="CharSectno"/>
        </w:rPr>
        <w:t>31A</w:t>
      </w:r>
      <w:r>
        <w:t>.</w:t>
      </w:r>
      <w:r>
        <w:tab/>
        <w:t>Applicable building standards generally (s. 3, 19(3) and 37(1))</w:t>
      </w:r>
      <w:bookmarkEnd w:id="142"/>
      <w:bookmarkEnd w:id="143"/>
      <w:bookmarkEnd w:id="144"/>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w:t>
      </w:r>
    </w:p>
    <w:p>
      <w:pPr>
        <w:pStyle w:val="Heading5"/>
      </w:pPr>
      <w:bookmarkStart w:id="145" w:name="_Toc404845783"/>
      <w:bookmarkStart w:id="146" w:name="_Toc423434684"/>
      <w:bookmarkStart w:id="147" w:name="_Toc415059813"/>
      <w:r>
        <w:rPr>
          <w:rStyle w:val="CharSectno"/>
        </w:rPr>
        <w:t>31B</w:t>
      </w:r>
      <w:r>
        <w:t>.</w:t>
      </w:r>
      <w:r>
        <w:tab/>
        <w:t>Applicable building standards for alterations etc. before 1 May 2015 (s. 3, 19(3) and 37(1))</w:t>
      </w:r>
      <w:bookmarkEnd w:id="145"/>
      <w:bookmarkEnd w:id="146"/>
      <w:bookmarkEnd w:id="147"/>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spacing w:before="180"/>
      </w:pPr>
      <w:bookmarkStart w:id="148" w:name="_Toc404845784"/>
      <w:bookmarkStart w:id="149" w:name="_Toc423434685"/>
      <w:bookmarkStart w:id="150" w:name="_Toc415059814"/>
      <w:r>
        <w:rPr>
          <w:rStyle w:val="CharSectno"/>
        </w:rPr>
        <w:t>31C</w:t>
      </w:r>
      <w:r>
        <w:t>.</w:t>
      </w:r>
      <w:r>
        <w:tab/>
        <w:t>Applicable building standards for private swimming pools (s. 3, 19(3) and 37(1))</w:t>
      </w:r>
      <w:bookmarkEnd w:id="148"/>
      <w:bookmarkEnd w:id="149"/>
      <w:bookmarkEnd w:id="150"/>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p>
    <w:p>
      <w:pPr>
        <w:pStyle w:val="Subsection"/>
        <w:spacing w:before="120"/>
      </w:pPr>
      <w:r>
        <w:tab/>
        <w:t>(2)</w:t>
      </w:r>
      <w:r>
        <w:tab/>
        <w:t xml:space="preserve">For subregulation (1), the applicable building standards in respect of the construction of a private swimming pool are — </w:t>
      </w:r>
    </w:p>
    <w:p>
      <w:pPr>
        <w:pStyle w:val="Indenta"/>
        <w:spacing w:before="60"/>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Footnotesection"/>
      </w:pPr>
      <w:r>
        <w:tab/>
        <w:t>[Regulation 31C inserted in Gazette 18 Dec 2012 p. 6564.]</w:t>
      </w:r>
    </w:p>
    <w:p>
      <w:pPr>
        <w:pStyle w:val="Heading5"/>
      </w:pPr>
      <w:bookmarkStart w:id="151" w:name="_Toc404845785"/>
      <w:bookmarkStart w:id="152" w:name="_Toc423434686"/>
      <w:bookmarkStart w:id="153" w:name="_Toc415059815"/>
      <w:r>
        <w:rPr>
          <w:rStyle w:val="CharSectno"/>
        </w:rPr>
        <w:t>31D</w:t>
      </w:r>
      <w:r>
        <w:t>.</w:t>
      </w:r>
      <w:r>
        <w:tab/>
        <w:t>Applicable building standards for relocated buildings and incidental structures (s. 3, 19(3) and 37(1) and (2))</w:t>
      </w:r>
      <w:bookmarkEnd w:id="151"/>
      <w:bookmarkEnd w:id="152"/>
      <w:bookmarkEnd w:id="153"/>
      <w:r>
        <w:t xml:space="preserve"> </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GP1.2(b), 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 P2.5.4</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w:t>
      </w:r>
    </w:p>
    <w:p>
      <w:pPr>
        <w:pStyle w:val="Heading5"/>
      </w:pPr>
      <w:bookmarkStart w:id="154" w:name="_Toc404845786"/>
      <w:bookmarkStart w:id="155" w:name="_Toc423434687"/>
      <w:bookmarkStart w:id="156" w:name="_Toc415059816"/>
      <w:r>
        <w:rPr>
          <w:rStyle w:val="CharSectno"/>
        </w:rPr>
        <w:t>31E</w:t>
      </w:r>
      <w:r>
        <w:t>.</w:t>
      </w:r>
      <w:r>
        <w:tab/>
        <w:t>Applicable building standards for building work done without a permit (s. 3 and 37(2))</w:t>
      </w:r>
      <w:bookmarkEnd w:id="154"/>
      <w:bookmarkEnd w:id="155"/>
      <w:bookmarkEnd w:id="15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w:t>
      </w:r>
    </w:p>
    <w:p>
      <w:pPr>
        <w:pStyle w:val="Heading5"/>
      </w:pPr>
      <w:bookmarkStart w:id="157" w:name="_Toc404845787"/>
      <w:bookmarkStart w:id="158" w:name="_Toc423434688"/>
      <w:bookmarkStart w:id="159" w:name="_Toc415059817"/>
      <w:r>
        <w:rPr>
          <w:rStyle w:val="CharSectno"/>
        </w:rPr>
        <w:t>31F</w:t>
      </w:r>
      <w:r>
        <w:t>.</w:t>
      </w:r>
      <w:r>
        <w:tab/>
        <w:t>Applicable building standards for replacement occupancy permit for permanent change of building’s use or for occupancy permit or building approval certificate for registration of strata scheme, plan of re subdivision (s. 3, 57(3), 49(a), 50(1)(a) and (b) and 50(2)(a) and (b))</w:t>
      </w:r>
      <w:bookmarkEnd w:id="157"/>
      <w:bookmarkEnd w:id="158"/>
      <w:bookmarkEnd w:id="15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160" w:name="_Toc404845788"/>
      <w:bookmarkStart w:id="161" w:name="_Toc423434689"/>
      <w:bookmarkStart w:id="162" w:name="_Toc415059818"/>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160"/>
      <w:bookmarkEnd w:id="161"/>
      <w:bookmarkEnd w:id="162"/>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in Gazette 18 Dec 2012 p. 6568-9; amended in Gazette 21 Jun 2013 p. 2446.]</w:t>
      </w:r>
    </w:p>
    <w:p>
      <w:pPr>
        <w:pStyle w:val="Heading5"/>
      </w:pPr>
      <w:bookmarkStart w:id="163" w:name="_Toc404845789"/>
      <w:bookmarkStart w:id="164" w:name="_Toc423434690"/>
      <w:bookmarkStart w:id="165" w:name="_Toc415059819"/>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63"/>
      <w:bookmarkEnd w:id="164"/>
      <w:bookmarkEnd w:id="16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166" w:name="_Toc404845790"/>
      <w:bookmarkStart w:id="167" w:name="_Toc415059471"/>
      <w:bookmarkStart w:id="168" w:name="_Toc415059820"/>
      <w:bookmarkStart w:id="169" w:name="_Toc422928184"/>
      <w:bookmarkStart w:id="170" w:name="_Toc423434691"/>
      <w:r>
        <w:t>Subdivision 2 — Building standards in relation to demolition</w:t>
      </w:r>
      <w:bookmarkEnd w:id="166"/>
      <w:bookmarkEnd w:id="167"/>
      <w:bookmarkEnd w:id="168"/>
      <w:bookmarkEnd w:id="169"/>
      <w:bookmarkEnd w:id="170"/>
    </w:p>
    <w:p>
      <w:pPr>
        <w:pStyle w:val="Footnoteheading"/>
      </w:pPr>
      <w:r>
        <w:tab/>
        <w:t>[Heading inserted in Gazette 18 Dec 2012 p. 6570.]</w:t>
      </w:r>
    </w:p>
    <w:p>
      <w:pPr>
        <w:pStyle w:val="Heading5"/>
        <w:spacing w:before="240"/>
      </w:pPr>
      <w:bookmarkStart w:id="171" w:name="_Toc404845791"/>
      <w:bookmarkStart w:id="172" w:name="_Toc423434692"/>
      <w:bookmarkStart w:id="173" w:name="_Toc415059821"/>
      <w:r>
        <w:rPr>
          <w:rStyle w:val="CharSectno"/>
        </w:rPr>
        <w:t>31I</w:t>
      </w:r>
      <w:r>
        <w:t>.</w:t>
      </w:r>
      <w:r>
        <w:tab/>
        <w:t>Applicable building standards in relation to demolition work (s. 3 and 38)</w:t>
      </w:r>
      <w:bookmarkEnd w:id="171"/>
      <w:bookmarkEnd w:id="172"/>
      <w:bookmarkEnd w:id="17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174" w:name="_Toc404845792"/>
      <w:bookmarkStart w:id="175" w:name="_Toc415059473"/>
      <w:bookmarkStart w:id="176" w:name="_Toc415059822"/>
      <w:bookmarkStart w:id="177" w:name="_Toc422928186"/>
      <w:bookmarkStart w:id="178" w:name="_Toc423434693"/>
      <w:r>
        <w:rPr>
          <w:rStyle w:val="CharDivNo"/>
        </w:rPr>
        <w:t>Division 2</w:t>
      </w:r>
      <w:r>
        <w:t> — </w:t>
      </w:r>
      <w:r>
        <w:rPr>
          <w:rStyle w:val="CharDivText"/>
        </w:rPr>
        <w:t>Demonstrating compliance with building standards</w:t>
      </w:r>
      <w:bookmarkEnd w:id="174"/>
      <w:bookmarkEnd w:id="175"/>
      <w:bookmarkEnd w:id="176"/>
      <w:bookmarkEnd w:id="177"/>
      <w:bookmarkEnd w:id="178"/>
    </w:p>
    <w:p>
      <w:pPr>
        <w:pStyle w:val="Footnoteheading"/>
      </w:pPr>
      <w:r>
        <w:tab/>
        <w:t>[Heading inserted in Gazette 18 Dec 2012 p. 6571.]</w:t>
      </w:r>
    </w:p>
    <w:p>
      <w:pPr>
        <w:pStyle w:val="Heading5"/>
      </w:pPr>
      <w:bookmarkStart w:id="179" w:name="_Toc404845793"/>
      <w:bookmarkStart w:id="180" w:name="_Toc423434694"/>
      <w:bookmarkStart w:id="181" w:name="_Toc415059823"/>
      <w:r>
        <w:rPr>
          <w:rStyle w:val="CharSectno"/>
        </w:rPr>
        <w:t>31J</w:t>
      </w:r>
      <w:r>
        <w:t>.</w:t>
      </w:r>
      <w:r>
        <w:tab/>
        <w:t>Compliance with building standards — CodeMark certificates</w:t>
      </w:r>
      <w:bookmarkEnd w:id="179"/>
      <w:bookmarkEnd w:id="180"/>
      <w:bookmarkEnd w:id="181"/>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ageBreakBefore/>
        <w:spacing w:before="0"/>
      </w:pPr>
      <w:bookmarkStart w:id="182" w:name="_Toc404845794"/>
      <w:bookmarkStart w:id="183" w:name="_Toc415059475"/>
      <w:bookmarkStart w:id="184" w:name="_Toc415059824"/>
      <w:bookmarkStart w:id="185" w:name="_Toc422928188"/>
      <w:bookmarkStart w:id="186" w:name="_Toc423434695"/>
      <w:r>
        <w:rPr>
          <w:rStyle w:val="CharDivNo"/>
        </w:rPr>
        <w:t>Division 3</w:t>
      </w:r>
      <w:r>
        <w:t> — </w:t>
      </w:r>
      <w:r>
        <w:rPr>
          <w:rStyle w:val="CharDivText"/>
        </w:rPr>
        <w:t>Non</w:t>
      </w:r>
      <w:r>
        <w:rPr>
          <w:rStyle w:val="CharDivText"/>
        </w:rPr>
        <w:noBreakHyphen/>
        <w:t>application, modification, of building standards</w:t>
      </w:r>
      <w:bookmarkEnd w:id="182"/>
      <w:bookmarkEnd w:id="183"/>
      <w:bookmarkEnd w:id="184"/>
      <w:bookmarkEnd w:id="185"/>
      <w:bookmarkEnd w:id="186"/>
    </w:p>
    <w:p>
      <w:pPr>
        <w:pStyle w:val="Footnoteheading"/>
      </w:pPr>
      <w:r>
        <w:tab/>
        <w:t>[Heading inserted in Gazette 18 Dec 2012 p. 6571.]</w:t>
      </w:r>
    </w:p>
    <w:p>
      <w:pPr>
        <w:pStyle w:val="Heading5"/>
      </w:pPr>
      <w:bookmarkStart w:id="187" w:name="_Toc404845795"/>
      <w:bookmarkStart w:id="188" w:name="_Toc423434696"/>
      <w:bookmarkStart w:id="189" w:name="_Toc415059825"/>
      <w:r>
        <w:rPr>
          <w:rStyle w:val="CharSectno"/>
        </w:rPr>
        <w:t>31</w:t>
      </w:r>
      <w:r>
        <w:t>.</w:t>
      </w:r>
      <w:r>
        <w:tab/>
        <w:t>Term used: application</w:t>
      </w:r>
      <w:bookmarkEnd w:id="187"/>
      <w:bookmarkEnd w:id="188"/>
      <w:bookmarkEnd w:id="189"/>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190" w:name="_Toc404845796"/>
      <w:bookmarkStart w:id="191" w:name="_Toc423434697"/>
      <w:bookmarkStart w:id="192" w:name="_Toc415059826"/>
      <w:r>
        <w:rPr>
          <w:rStyle w:val="CharSectno"/>
        </w:rPr>
        <w:t>32</w:t>
      </w:r>
      <w:r>
        <w:t>.</w:t>
      </w:r>
      <w:r>
        <w:tab/>
        <w:t>Statements to accompany application (s. 39(8)(b))</w:t>
      </w:r>
      <w:bookmarkEnd w:id="190"/>
      <w:bookmarkEnd w:id="191"/>
      <w:bookmarkEnd w:id="192"/>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ageBreakBefore/>
        <w:spacing w:before="0"/>
      </w:pPr>
      <w:bookmarkStart w:id="193" w:name="_Toc404845797"/>
      <w:bookmarkStart w:id="194" w:name="_Toc423434698"/>
      <w:bookmarkStart w:id="195" w:name="_Toc415059827"/>
      <w:r>
        <w:rPr>
          <w:rStyle w:val="CharSectno"/>
        </w:rPr>
        <w:t>33</w:t>
      </w:r>
      <w:r>
        <w:t>.</w:t>
      </w:r>
      <w:r>
        <w:tab/>
        <w:t>Decisions on applications (s. 39(9)(a))</w:t>
      </w:r>
      <w:bookmarkEnd w:id="193"/>
      <w:bookmarkEnd w:id="194"/>
      <w:bookmarkEnd w:id="195"/>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196" w:name="_Toc404845798"/>
      <w:bookmarkStart w:id="197" w:name="_Toc423434699"/>
      <w:bookmarkStart w:id="198" w:name="_Toc415059828"/>
      <w:r>
        <w:rPr>
          <w:rStyle w:val="CharSectno"/>
        </w:rPr>
        <w:t>34</w:t>
      </w:r>
      <w:r>
        <w:t>.</w:t>
      </w:r>
      <w:r>
        <w:tab/>
        <w:t>Revoking or amending declarations (s. 39(9)(b))</w:t>
      </w:r>
      <w:bookmarkEnd w:id="196"/>
      <w:bookmarkEnd w:id="197"/>
      <w:bookmarkEnd w:id="198"/>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99" w:name="_Toc404845799"/>
      <w:bookmarkStart w:id="200" w:name="_Toc415059480"/>
      <w:bookmarkStart w:id="201" w:name="_Toc415059829"/>
      <w:bookmarkStart w:id="202" w:name="_Toc422928193"/>
      <w:bookmarkStart w:id="203" w:name="_Toc423434700"/>
      <w:r>
        <w:rPr>
          <w:rStyle w:val="CharPartNo"/>
        </w:rPr>
        <w:t>Part 5</w:t>
      </w:r>
      <w:r>
        <w:rPr>
          <w:rStyle w:val="CharDivNo"/>
        </w:rPr>
        <w:t> </w:t>
      </w:r>
      <w:r>
        <w:t>—</w:t>
      </w:r>
      <w:r>
        <w:rPr>
          <w:rStyle w:val="CharDivText"/>
        </w:rPr>
        <w:t> </w:t>
      </w:r>
      <w:r>
        <w:rPr>
          <w:rStyle w:val="CharPartText"/>
        </w:rPr>
        <w:t>Occupancy permits and building approval certificates</w:t>
      </w:r>
      <w:bookmarkEnd w:id="199"/>
      <w:bookmarkEnd w:id="200"/>
      <w:bookmarkEnd w:id="201"/>
      <w:bookmarkEnd w:id="202"/>
      <w:bookmarkEnd w:id="203"/>
    </w:p>
    <w:p>
      <w:pPr>
        <w:pStyle w:val="Heading5"/>
      </w:pPr>
      <w:bookmarkStart w:id="204" w:name="_Toc404845800"/>
      <w:bookmarkStart w:id="205" w:name="_Toc423434701"/>
      <w:bookmarkStart w:id="206" w:name="_Toc415059830"/>
      <w:r>
        <w:rPr>
          <w:rStyle w:val="CharSectno"/>
        </w:rPr>
        <w:t>35</w:t>
      </w:r>
      <w:r>
        <w:t>.</w:t>
      </w:r>
      <w:r>
        <w:tab/>
        <w:t>Display of occupancy permit details (s. 42(a))</w:t>
      </w:r>
      <w:bookmarkEnd w:id="204"/>
      <w:bookmarkEnd w:id="205"/>
      <w:bookmarkEnd w:id="206"/>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207" w:name="_Toc404845801"/>
      <w:bookmarkStart w:id="208" w:name="_Toc423434702"/>
      <w:bookmarkStart w:id="209" w:name="_Toc415059831"/>
      <w:r>
        <w:rPr>
          <w:rStyle w:val="CharSectno"/>
        </w:rPr>
        <w:t>36A</w:t>
      </w:r>
      <w:r>
        <w:t>.</w:t>
      </w:r>
      <w:r>
        <w:tab/>
        <w:t>Further information (s. 55(3) and (4))</w:t>
      </w:r>
      <w:bookmarkEnd w:id="207"/>
      <w:bookmarkEnd w:id="208"/>
      <w:bookmarkEnd w:id="209"/>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210" w:name="_Toc404845802"/>
      <w:bookmarkStart w:id="211" w:name="_Toc423434703"/>
      <w:bookmarkStart w:id="212" w:name="_Toc415059832"/>
      <w:r>
        <w:rPr>
          <w:rStyle w:val="CharSectno"/>
        </w:rPr>
        <w:t>36</w:t>
      </w:r>
      <w:r>
        <w:t>.</w:t>
      </w:r>
      <w:r>
        <w:tab/>
        <w:t>Certificate of building compliance (s. 57)</w:t>
      </w:r>
      <w:bookmarkEnd w:id="210"/>
      <w:bookmarkEnd w:id="211"/>
      <w:bookmarkEnd w:id="212"/>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213" w:name="_Toc404845803"/>
      <w:bookmarkStart w:id="214" w:name="_Toc423434704"/>
      <w:bookmarkStart w:id="215" w:name="_Toc415059833"/>
      <w:r>
        <w:rPr>
          <w:rStyle w:val="CharSectno"/>
        </w:rPr>
        <w:t>37</w:t>
      </w:r>
      <w:r>
        <w:t>.</w:t>
      </w:r>
      <w:r>
        <w:tab/>
        <w:t>Grant of occupancy permit or building approval certificate (s. 58)</w:t>
      </w:r>
      <w:bookmarkEnd w:id="213"/>
      <w:bookmarkEnd w:id="214"/>
      <w:bookmarkEnd w:id="215"/>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216" w:name="_Toc404845804"/>
      <w:bookmarkStart w:id="217" w:name="_Toc423434705"/>
      <w:bookmarkStart w:id="218" w:name="_Toc415059834"/>
      <w:r>
        <w:rPr>
          <w:rStyle w:val="CharSectno"/>
        </w:rPr>
        <w:t>38</w:t>
      </w:r>
      <w:r>
        <w:t>.</w:t>
      </w:r>
      <w:r>
        <w:tab/>
        <w:t>Time for granting occupancy permit or building approval certificate (s. 59)</w:t>
      </w:r>
      <w:bookmarkEnd w:id="216"/>
      <w:bookmarkEnd w:id="217"/>
      <w:bookmarkEnd w:id="218"/>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219" w:name="_Toc404845805"/>
      <w:bookmarkStart w:id="220" w:name="_Toc423434706"/>
      <w:bookmarkStart w:id="221" w:name="_Toc415059835"/>
      <w:r>
        <w:rPr>
          <w:rStyle w:val="CharSectno"/>
        </w:rPr>
        <w:t>39</w:t>
      </w:r>
      <w:r>
        <w:t>.</w:t>
      </w:r>
      <w:r>
        <w:tab/>
        <w:t>Occupancy permit and building approval certificates (s. 61(2))</w:t>
      </w:r>
      <w:bookmarkEnd w:id="219"/>
      <w:bookmarkEnd w:id="220"/>
      <w:bookmarkEnd w:id="221"/>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222" w:name="_Toc404845806"/>
      <w:bookmarkStart w:id="223" w:name="_Toc423434707"/>
      <w:bookmarkStart w:id="224" w:name="_Toc415059836"/>
      <w:r>
        <w:rPr>
          <w:rStyle w:val="CharSectno"/>
        </w:rPr>
        <w:t>40</w:t>
      </w:r>
      <w:r>
        <w:t>.</w:t>
      </w:r>
      <w:r>
        <w:tab/>
        <w:t>Extension of period of duration of time limited occupancy permit or building approval certificate (s. 65)</w:t>
      </w:r>
      <w:bookmarkEnd w:id="222"/>
      <w:bookmarkEnd w:id="223"/>
      <w:bookmarkEnd w:id="224"/>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225" w:name="_Toc404845807"/>
      <w:bookmarkStart w:id="226" w:name="_Toc415059488"/>
      <w:bookmarkStart w:id="227" w:name="_Toc415059837"/>
      <w:bookmarkStart w:id="228" w:name="_Toc422928201"/>
      <w:bookmarkStart w:id="229" w:name="_Toc423434708"/>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25"/>
      <w:bookmarkEnd w:id="226"/>
      <w:bookmarkEnd w:id="227"/>
      <w:bookmarkEnd w:id="228"/>
      <w:bookmarkEnd w:id="229"/>
    </w:p>
    <w:p>
      <w:pPr>
        <w:pStyle w:val="Heading5"/>
      </w:pPr>
      <w:bookmarkStart w:id="230" w:name="_Toc404845808"/>
      <w:bookmarkStart w:id="231" w:name="_Toc423434709"/>
      <w:bookmarkStart w:id="232" w:name="_Toc415059838"/>
      <w:r>
        <w:rPr>
          <w:rStyle w:val="CharSectno"/>
        </w:rPr>
        <w:t>41</w:t>
      </w:r>
      <w:r>
        <w:t>.</w:t>
      </w:r>
      <w:r>
        <w:tab/>
        <w:t>Building work for which building permit is not required (s. 9(b))</w:t>
      </w:r>
      <w:bookmarkEnd w:id="230"/>
      <w:bookmarkEnd w:id="231"/>
      <w:bookmarkEnd w:id="232"/>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233" w:name="_Toc404845809"/>
      <w:bookmarkStart w:id="234" w:name="_Toc423434710"/>
      <w:bookmarkStart w:id="235" w:name="_Toc415059839"/>
      <w:r>
        <w:rPr>
          <w:rStyle w:val="CharSectno"/>
        </w:rPr>
        <w:t>42</w:t>
      </w:r>
      <w:r>
        <w:t>.</w:t>
      </w:r>
      <w:r>
        <w:tab/>
        <w:t>Demolition work for which demolition permit not required (s. 10(c))</w:t>
      </w:r>
      <w:bookmarkEnd w:id="233"/>
      <w:bookmarkEnd w:id="234"/>
      <w:bookmarkEnd w:id="235"/>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36" w:name="_Toc404845810"/>
      <w:bookmarkStart w:id="237" w:name="_Toc423434711"/>
      <w:bookmarkStart w:id="238" w:name="_Toc415059840"/>
      <w:r>
        <w:rPr>
          <w:rStyle w:val="CharSectno"/>
        </w:rPr>
        <w:t>43</w:t>
      </w:r>
      <w:r>
        <w:t>.</w:t>
      </w:r>
      <w:r>
        <w:tab/>
        <w:t>Buildings for which occupancy permit not required (s. 41(2))</w:t>
      </w:r>
      <w:bookmarkEnd w:id="236"/>
      <w:bookmarkEnd w:id="237"/>
      <w:bookmarkEnd w:id="238"/>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w:t>
      </w:r>
      <w:del w:id="239" w:author="Master Repository Process" w:date="2021-07-31T10:34:00Z">
        <w:r>
          <w:delText>2014</w:delText>
        </w:r>
      </w:del>
      <w:ins w:id="240" w:author="Master Repository Process" w:date="2021-07-31T10:34:00Z">
        <w:r>
          <w:t>2017</w:t>
        </w:r>
      </w:ins>
      <w:r>
        <w:t>;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w:t>
      </w:r>
      <w:ins w:id="241" w:author="Master Repository Process" w:date="2021-07-31T10:34:00Z">
        <w:r>
          <w:t>; amended in Gazette 30 Jun 2015 p. 2328</w:t>
        </w:r>
      </w:ins>
      <w:r>
        <w:t>.]</w:t>
      </w:r>
    </w:p>
    <w:p>
      <w:pPr>
        <w:pStyle w:val="Heading2"/>
        <w:rPr>
          <w:rStyle w:val="CharPartText"/>
        </w:rPr>
      </w:pPr>
      <w:bookmarkStart w:id="242" w:name="_Toc404845811"/>
      <w:bookmarkStart w:id="243" w:name="_Toc415059492"/>
      <w:bookmarkStart w:id="244" w:name="_Toc415059841"/>
      <w:bookmarkStart w:id="245" w:name="_Toc422928205"/>
      <w:bookmarkStart w:id="246" w:name="_Toc423434712"/>
      <w:r>
        <w:rPr>
          <w:rStyle w:val="CharPartNo"/>
        </w:rPr>
        <w:t>Part 7</w:t>
      </w:r>
      <w:r>
        <w:rPr>
          <w:rStyle w:val="CharDivNo"/>
        </w:rPr>
        <w:t> </w:t>
      </w:r>
      <w:r>
        <w:t>—</w:t>
      </w:r>
      <w:r>
        <w:rPr>
          <w:rStyle w:val="CharDivText"/>
        </w:rPr>
        <w:t> </w:t>
      </w:r>
      <w:r>
        <w:rPr>
          <w:rStyle w:val="CharPartText"/>
        </w:rPr>
        <w:t>Work affecting other land</w:t>
      </w:r>
      <w:bookmarkEnd w:id="242"/>
      <w:bookmarkEnd w:id="243"/>
      <w:bookmarkEnd w:id="244"/>
      <w:bookmarkEnd w:id="245"/>
      <w:bookmarkEnd w:id="246"/>
    </w:p>
    <w:p>
      <w:pPr>
        <w:pStyle w:val="Heading5"/>
      </w:pPr>
      <w:bookmarkStart w:id="247" w:name="_Toc404845812"/>
      <w:bookmarkStart w:id="248" w:name="_Toc423434713"/>
      <w:bookmarkStart w:id="249" w:name="_Toc415059842"/>
      <w:r>
        <w:rPr>
          <w:rStyle w:val="CharSectno"/>
        </w:rPr>
        <w:t>44A</w:t>
      </w:r>
      <w:r>
        <w:t>.</w:t>
      </w:r>
      <w:r>
        <w:tab/>
        <w:t>Terms used</w:t>
      </w:r>
      <w:bookmarkEnd w:id="247"/>
      <w:bookmarkEnd w:id="248"/>
      <w:bookmarkEnd w:id="249"/>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 xml:space="preserve">road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250" w:name="_Toc404845813"/>
      <w:bookmarkStart w:id="251" w:name="_Toc423434714"/>
      <w:bookmarkStart w:id="252" w:name="_Toc415059843"/>
      <w:r>
        <w:rPr>
          <w:rStyle w:val="CharSectno"/>
        </w:rPr>
        <w:t>44</w:t>
      </w:r>
      <w:r>
        <w:t>.</w:t>
      </w:r>
      <w:r>
        <w:tab/>
        <w:t>Owner of land for purposes of Part 6 of Act</w:t>
      </w:r>
      <w:bookmarkEnd w:id="250"/>
      <w:bookmarkEnd w:id="251"/>
      <w:bookmarkEnd w:id="252"/>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253" w:name="_Toc404845814"/>
      <w:bookmarkStart w:id="254" w:name="_Toc423434715"/>
      <w:bookmarkStart w:id="255" w:name="_Toc415059844"/>
      <w:r>
        <w:rPr>
          <w:rStyle w:val="CharSectno"/>
        </w:rPr>
        <w:t>45A</w:t>
      </w:r>
      <w:r>
        <w:t>.</w:t>
      </w:r>
      <w:r>
        <w:tab/>
        <w:t>Minor encroachments (s. 76(1)(c))</w:t>
      </w:r>
      <w:bookmarkEnd w:id="253"/>
      <w:bookmarkEnd w:id="254"/>
      <w:bookmarkEnd w:id="255"/>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256" w:name="_Toc404845815"/>
      <w:bookmarkStart w:id="257" w:name="_Toc423434716"/>
      <w:bookmarkStart w:id="258" w:name="_Toc415059845"/>
      <w:r>
        <w:rPr>
          <w:rStyle w:val="CharSectno"/>
        </w:rPr>
        <w:t>45B</w:t>
      </w:r>
      <w:r>
        <w:t>.</w:t>
      </w:r>
      <w:r>
        <w:tab/>
        <w:t>Circumstances prescribed for purposes of section 76(1)(e)</w:t>
      </w:r>
      <w:bookmarkEnd w:id="256"/>
      <w:bookmarkEnd w:id="257"/>
      <w:bookmarkEnd w:id="258"/>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259" w:name="_Toc404845816"/>
      <w:bookmarkStart w:id="260" w:name="_Toc423434717"/>
      <w:bookmarkStart w:id="261" w:name="_Toc415059846"/>
      <w:r>
        <w:rPr>
          <w:rStyle w:val="CharSectno"/>
        </w:rPr>
        <w:t>45</w:t>
      </w:r>
      <w:r>
        <w:t>.</w:t>
      </w:r>
      <w:r>
        <w:tab/>
        <w:t>Content of notice about effect on other land (s. 85)</w:t>
      </w:r>
      <w:bookmarkEnd w:id="259"/>
      <w:bookmarkEnd w:id="260"/>
      <w:bookmarkEnd w:id="261"/>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62" w:name="_Toc404845817"/>
      <w:bookmarkStart w:id="263" w:name="_Toc415059498"/>
      <w:bookmarkStart w:id="264" w:name="_Toc415059847"/>
      <w:bookmarkStart w:id="265" w:name="_Toc422928211"/>
      <w:bookmarkStart w:id="266" w:name="_Toc423434718"/>
      <w:r>
        <w:rPr>
          <w:rStyle w:val="CharPartNo"/>
        </w:rPr>
        <w:t>Part 8</w:t>
      </w:r>
      <w:r>
        <w:t> — </w:t>
      </w:r>
      <w:r>
        <w:rPr>
          <w:rStyle w:val="CharPartText"/>
        </w:rPr>
        <w:t>Existing buildings</w:t>
      </w:r>
      <w:bookmarkEnd w:id="262"/>
      <w:bookmarkEnd w:id="263"/>
      <w:bookmarkEnd w:id="264"/>
      <w:bookmarkEnd w:id="265"/>
      <w:bookmarkEnd w:id="266"/>
    </w:p>
    <w:p>
      <w:pPr>
        <w:pStyle w:val="Heading3"/>
        <w:spacing w:before="200"/>
      </w:pPr>
      <w:bookmarkStart w:id="267" w:name="_Toc404845818"/>
      <w:bookmarkStart w:id="268" w:name="_Toc415059499"/>
      <w:bookmarkStart w:id="269" w:name="_Toc415059848"/>
      <w:bookmarkStart w:id="270" w:name="_Toc422928212"/>
      <w:bookmarkStart w:id="271" w:name="_Toc423434719"/>
      <w:r>
        <w:rPr>
          <w:rStyle w:val="CharDivNo"/>
        </w:rPr>
        <w:t>Division 1</w:t>
      </w:r>
      <w:r>
        <w:t> — </w:t>
      </w:r>
      <w:r>
        <w:rPr>
          <w:rStyle w:val="CharDivText"/>
        </w:rPr>
        <w:t>General</w:t>
      </w:r>
      <w:bookmarkEnd w:id="267"/>
      <w:bookmarkEnd w:id="268"/>
      <w:bookmarkEnd w:id="269"/>
      <w:bookmarkEnd w:id="270"/>
      <w:bookmarkEnd w:id="271"/>
    </w:p>
    <w:p>
      <w:pPr>
        <w:pStyle w:val="Ednotesection"/>
        <w:spacing w:before="200"/>
      </w:pPr>
      <w:r>
        <w:t>[</w:t>
      </w:r>
      <w:r>
        <w:rPr>
          <w:b/>
        </w:rPr>
        <w:t>46.</w:t>
      </w:r>
      <w:r>
        <w:tab/>
        <w:t>Deleted in Gazette 18 Dec 2012 p. 6574.]</w:t>
      </w:r>
    </w:p>
    <w:p>
      <w:pPr>
        <w:pStyle w:val="Heading5"/>
        <w:spacing w:before="200"/>
      </w:pPr>
      <w:bookmarkStart w:id="272" w:name="_Toc404845819"/>
      <w:bookmarkStart w:id="273" w:name="_Toc423434720"/>
      <w:bookmarkStart w:id="274" w:name="_Toc415059849"/>
      <w:r>
        <w:rPr>
          <w:rStyle w:val="CharSectno"/>
        </w:rPr>
        <w:t>47</w:t>
      </w:r>
      <w:r>
        <w:t>.</w:t>
      </w:r>
      <w:r>
        <w:tab/>
        <w:t>Notification of change of classification of certain buildings and incidental structures</w:t>
      </w:r>
      <w:bookmarkEnd w:id="272"/>
      <w:bookmarkEnd w:id="273"/>
      <w:bookmarkEnd w:id="274"/>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spacing w:before="140"/>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Footnotesection"/>
      </w:pPr>
      <w:r>
        <w:tab/>
        <w:t>[Regulation 47 amended in Gazette 24 Apr 2014 p. 1138.]</w:t>
      </w:r>
    </w:p>
    <w:p>
      <w:pPr>
        <w:pStyle w:val="Heading3"/>
      </w:pPr>
      <w:bookmarkStart w:id="275" w:name="_Toc404845820"/>
      <w:bookmarkStart w:id="276" w:name="_Toc415059501"/>
      <w:bookmarkStart w:id="277" w:name="_Toc415059850"/>
      <w:bookmarkStart w:id="278" w:name="_Toc422928214"/>
      <w:bookmarkStart w:id="279" w:name="_Toc423434721"/>
      <w:r>
        <w:rPr>
          <w:rStyle w:val="CharDivNo"/>
        </w:rPr>
        <w:t>Division 2A</w:t>
      </w:r>
      <w:r>
        <w:t> — </w:t>
      </w:r>
      <w:r>
        <w:rPr>
          <w:rStyle w:val="CharDivText"/>
        </w:rPr>
        <w:t>Maintenance</w:t>
      </w:r>
      <w:bookmarkEnd w:id="275"/>
      <w:bookmarkEnd w:id="276"/>
      <w:bookmarkEnd w:id="277"/>
      <w:bookmarkEnd w:id="278"/>
      <w:bookmarkEnd w:id="279"/>
    </w:p>
    <w:p>
      <w:pPr>
        <w:pStyle w:val="Footnoteheading"/>
        <w:keepNext/>
      </w:pPr>
      <w:r>
        <w:tab/>
        <w:t>[Heading inserted in Gazette 24 Apr 2014 p. 1138.]</w:t>
      </w:r>
    </w:p>
    <w:p>
      <w:pPr>
        <w:pStyle w:val="Heading5"/>
      </w:pPr>
      <w:bookmarkStart w:id="280" w:name="_Toc404845821"/>
      <w:bookmarkStart w:id="281" w:name="_Toc423434722"/>
      <w:bookmarkStart w:id="282" w:name="_Toc415059851"/>
      <w:r>
        <w:rPr>
          <w:rStyle w:val="CharSectno"/>
        </w:rPr>
        <w:t>48A</w:t>
      </w:r>
      <w:r>
        <w:t>.</w:t>
      </w:r>
      <w:r>
        <w:tab/>
        <w:t>Maintenance of buildings</w:t>
      </w:r>
      <w:bookmarkEnd w:id="280"/>
      <w:bookmarkEnd w:id="281"/>
      <w:bookmarkEnd w:id="282"/>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rPr>
          <w:ins w:id="283" w:author="Master Repository Process" w:date="2021-07-31T10:34:00Z"/>
        </w:rPr>
      </w:pPr>
      <w:r>
        <w:tab/>
        <w:t>(b)</w:t>
      </w:r>
      <w:r>
        <w:tab/>
        <w:t>if paragraph</w:t>
      </w:r>
      <w:ins w:id="284" w:author="Master Repository Process" w:date="2021-07-31T10:34:00Z">
        <w:r>
          <w:t xml:space="preserve"> </w:t>
        </w:r>
      </w:ins>
      <w:r>
        <w:t xml:space="preserve">(a) does not apply but one or more building licences were issued under the </w:t>
      </w:r>
      <w:r>
        <w:rPr>
          <w:i/>
        </w:rPr>
        <w:t>Local Government (Miscellaneous Provisions) Act 1960</w:t>
      </w:r>
      <w:r>
        <w:t xml:space="preserve"> in respect of </w:t>
      </w:r>
      <w:del w:id="285" w:author="Master Repository Process" w:date="2021-07-31T10:34:00Z">
        <w:r>
          <w:delText>the</w:delText>
        </w:r>
      </w:del>
      <w:ins w:id="286" w:author="Master Repository Process" w:date="2021-07-31T10:34:00Z">
        <w:r>
          <w:t>that</w:t>
        </w:r>
      </w:ins>
      <w:r>
        <w:t xml:space="preserve"> part — </w:t>
      </w:r>
    </w:p>
    <w:p>
      <w:pPr>
        <w:pStyle w:val="Defsubpara"/>
      </w:pPr>
      <w:ins w:id="287" w:author="Master Repository Process" w:date="2021-07-31T10:34:00Z">
        <w:r>
          <w:tab/>
          <w:t>(i)</w:t>
        </w:r>
        <w:r>
          <w:tab/>
        </w:r>
      </w:ins>
      <w:r>
        <w:t>the building standards in the edition of the Building Code that applied at the time the most recent building licence was issued;</w:t>
      </w:r>
      <w:ins w:id="288" w:author="Master Repository Process" w:date="2021-07-31T10:34:00Z">
        <w:r>
          <w:t xml:space="preserve"> or</w:t>
        </w:r>
      </w:ins>
    </w:p>
    <w:p>
      <w:pPr>
        <w:pStyle w:val="Defsubpara"/>
        <w:rPr>
          <w:ins w:id="289" w:author="Master Repository Process" w:date="2021-07-31T10:34:00Z"/>
        </w:rPr>
      </w:pPr>
      <w:ins w:id="290" w:author="Master Repository Process" w:date="2021-07-31T10:34:00Z">
        <w:r>
          <w:tab/>
          <w:t>(ii)</w:t>
        </w:r>
        <w:r>
          <w:tab/>
          <w:t>if no edition of the Building Code applied at the time the most recent building licence was issued — each requirement in relation to the technical aspects of the construction of the part applicable at that time;</w:t>
        </w:r>
      </w:ins>
    </w:p>
    <w:p>
      <w:pPr>
        <w:pStyle w:val="Defpara"/>
        <w:rPr>
          <w:ins w:id="291" w:author="Master Repository Process" w:date="2021-07-31T10:34:00Z"/>
        </w:rPr>
      </w:pPr>
      <w:ins w:id="292" w:author="Master Repository Process" w:date="2021-07-31T10:34:00Z">
        <w:r>
          <w:tab/>
        </w:r>
        <w:r>
          <w:tab/>
          <w:t>or</w:t>
        </w:r>
      </w:ins>
    </w:p>
    <w:p>
      <w:pPr>
        <w:pStyle w:val="Defpara"/>
        <w:rPr>
          <w:ins w:id="293" w:author="Master Repository Process" w:date="2021-07-31T10:34:00Z"/>
        </w:rPr>
      </w:pPr>
      <w:ins w:id="294" w:author="Master Repository Process" w:date="2021-07-31T10:34:00Z">
        <w:r>
          <w:tab/>
          <w:t>(c)</w:t>
        </w:r>
        <w:r>
          <w:tab/>
          <w:t>otherwise — each requirement in relation to the technical aspects of the construction of the part applicable to the part at the time of its construction;</w:t>
        </w:r>
      </w:ins>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pPr>
      <w:r>
        <w:tab/>
        <w:t>[Regulation 48A inserted in Gazette 24 Apr 2014 p. </w:t>
      </w:r>
      <w:del w:id="295" w:author="Master Repository Process" w:date="2021-07-31T10:34:00Z">
        <w:r>
          <w:delText>1138</w:delText>
        </w:r>
      </w:del>
      <w:ins w:id="296" w:author="Master Repository Process" w:date="2021-07-31T10:34:00Z">
        <w:r>
          <w:t>1138</w:t>
        </w:r>
        <w:r>
          <w:noBreakHyphen/>
          <w:t>9; amended in Gazette 30 Jun 2015 p. 2328</w:t>
        </w:r>
      </w:ins>
      <w:r>
        <w:noBreakHyphen/>
        <w:t>9.]</w:t>
      </w:r>
    </w:p>
    <w:p>
      <w:pPr>
        <w:pStyle w:val="Heading3"/>
        <w:spacing w:before="220"/>
      </w:pPr>
      <w:bookmarkStart w:id="297" w:name="_Toc404845822"/>
      <w:bookmarkStart w:id="298" w:name="_Toc415059503"/>
      <w:bookmarkStart w:id="299" w:name="_Toc415059852"/>
      <w:bookmarkStart w:id="300" w:name="_Toc422928216"/>
      <w:bookmarkStart w:id="301" w:name="_Toc423434723"/>
      <w:r>
        <w:rPr>
          <w:rStyle w:val="CharDivNo"/>
        </w:rPr>
        <w:t>Division 2</w:t>
      </w:r>
      <w:r>
        <w:t> — </w:t>
      </w:r>
      <w:r>
        <w:rPr>
          <w:rStyle w:val="CharDivText"/>
        </w:rPr>
        <w:t>Private swimming pools</w:t>
      </w:r>
      <w:bookmarkEnd w:id="297"/>
      <w:bookmarkEnd w:id="298"/>
      <w:bookmarkEnd w:id="299"/>
      <w:bookmarkEnd w:id="300"/>
      <w:bookmarkEnd w:id="301"/>
    </w:p>
    <w:p>
      <w:pPr>
        <w:pStyle w:val="Heading5"/>
        <w:spacing w:before="200"/>
      </w:pPr>
      <w:bookmarkStart w:id="302" w:name="_Toc404845823"/>
      <w:bookmarkStart w:id="303" w:name="_Toc423434724"/>
      <w:bookmarkStart w:id="304" w:name="_Toc415059853"/>
      <w:r>
        <w:rPr>
          <w:rStyle w:val="CharSectno"/>
        </w:rPr>
        <w:t>48</w:t>
      </w:r>
      <w:r>
        <w:t>.</w:t>
      </w:r>
      <w:r>
        <w:tab/>
        <w:t>Terms used</w:t>
      </w:r>
      <w:bookmarkEnd w:id="302"/>
      <w:bookmarkEnd w:id="303"/>
      <w:bookmarkEnd w:id="304"/>
    </w:p>
    <w:p>
      <w:pPr>
        <w:pStyle w:val="Subsection"/>
        <w:spacing w:before="140"/>
      </w:pPr>
      <w:r>
        <w:tab/>
      </w:r>
      <w:r>
        <w:tab/>
        <w:t>In this Division —</w:t>
      </w:r>
    </w:p>
    <w:p>
      <w:pPr>
        <w:pStyle w:val="Defstart"/>
        <w:spacing w:before="60"/>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305" w:name="_Toc404845824"/>
      <w:bookmarkStart w:id="306" w:name="_Toc423434725"/>
      <w:bookmarkStart w:id="307" w:name="_Toc415059854"/>
      <w:r>
        <w:rPr>
          <w:rStyle w:val="CharSectno"/>
        </w:rPr>
        <w:t>49</w:t>
      </w:r>
      <w:r>
        <w:t>.</w:t>
      </w:r>
      <w:r>
        <w:tab/>
        <w:t>Application of this Division</w:t>
      </w:r>
      <w:bookmarkEnd w:id="305"/>
      <w:bookmarkEnd w:id="306"/>
      <w:bookmarkEnd w:id="307"/>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spacing w:before="180"/>
      </w:pPr>
      <w:bookmarkStart w:id="308" w:name="_Toc404845825"/>
      <w:bookmarkStart w:id="309" w:name="_Toc423434726"/>
      <w:bookmarkStart w:id="310" w:name="_Toc415059855"/>
      <w:r>
        <w:rPr>
          <w:rStyle w:val="CharSectno"/>
        </w:rPr>
        <w:t>50</w:t>
      </w:r>
      <w:r>
        <w:t>.</w:t>
      </w:r>
      <w:r>
        <w:tab/>
        <w:t>Enclosure of private swimming pool</w:t>
      </w:r>
      <w:bookmarkEnd w:id="308"/>
      <w:bookmarkEnd w:id="309"/>
      <w:bookmarkEnd w:id="310"/>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311" w:name="_Toc404845826"/>
      <w:bookmarkStart w:id="312" w:name="_Toc423434727"/>
      <w:bookmarkStart w:id="313" w:name="_Toc415059856"/>
      <w:r>
        <w:rPr>
          <w:rStyle w:val="CharSectno"/>
        </w:rPr>
        <w:t>51</w:t>
      </w:r>
      <w:r>
        <w:t>.</w:t>
      </w:r>
      <w:r>
        <w:tab/>
        <w:t>Approvals by permit authority</w:t>
      </w:r>
      <w:bookmarkEnd w:id="311"/>
      <w:bookmarkEnd w:id="312"/>
      <w:bookmarkEnd w:id="313"/>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Heading5"/>
      </w:pPr>
      <w:bookmarkStart w:id="314" w:name="_Toc404845827"/>
      <w:bookmarkStart w:id="315" w:name="_Toc423434728"/>
      <w:bookmarkStart w:id="316" w:name="_Toc415059857"/>
      <w:r>
        <w:rPr>
          <w:rStyle w:val="CharSectno"/>
        </w:rPr>
        <w:t>52</w:t>
      </w:r>
      <w:r>
        <w:t>.</w:t>
      </w:r>
      <w:r>
        <w:tab/>
        <w:t>Concessions for pre</w:t>
      </w:r>
      <w:r>
        <w:noBreakHyphen/>
        <w:t>November 2001 private swimming pools</w:t>
      </w:r>
      <w:bookmarkEnd w:id="314"/>
      <w:bookmarkEnd w:id="315"/>
      <w:bookmarkEnd w:id="316"/>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enclosure required by regulation 50 may include a wall that contains a door permitting access through a building if that door satisfies the requirements of AS 1926.l.</w:t>
      </w:r>
    </w:p>
    <w:p>
      <w:pPr>
        <w:pStyle w:val="Heading5"/>
      </w:pPr>
      <w:bookmarkStart w:id="317" w:name="_Toc404845828"/>
      <w:bookmarkStart w:id="318" w:name="_Toc423434729"/>
      <w:bookmarkStart w:id="319" w:name="_Toc415059858"/>
      <w:r>
        <w:rPr>
          <w:rStyle w:val="CharSectno"/>
        </w:rPr>
        <w:t>53</w:t>
      </w:r>
      <w:r>
        <w:t>.</w:t>
      </w:r>
      <w:r>
        <w:tab/>
        <w:t>Inspections of pool enclosures</w:t>
      </w:r>
      <w:bookmarkEnd w:id="317"/>
      <w:bookmarkEnd w:id="318"/>
      <w:bookmarkEnd w:id="319"/>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w:t>
      </w:r>
      <w:del w:id="320" w:author="Master Repository Process" w:date="2021-07-31T10:34:00Z">
        <w:r>
          <w:delText>56</w:delText>
        </w:r>
      </w:del>
      <w:ins w:id="321" w:author="Master Repository Process" w:date="2021-07-31T10:34:00Z">
        <w:r>
          <w:t>57.45</w:t>
        </w:r>
      </w:ins>
      <w:r>
        <w:t>.</w:t>
      </w:r>
    </w:p>
    <w:p>
      <w:pPr>
        <w:pStyle w:val="Footnotesection"/>
      </w:pPr>
      <w:r>
        <w:tab/>
        <w:t>[Regulation 53 amended in Gazette 15 Jun 2012 p. 2515; 27 Jun 2014 p. 2309</w:t>
      </w:r>
      <w:ins w:id="322" w:author="Master Repository Process" w:date="2021-07-31T10:34:00Z">
        <w:r>
          <w:t>; 23 Jun 2015 p. 2162</w:t>
        </w:r>
      </w:ins>
      <w:r>
        <w:t>.]</w:t>
      </w:r>
    </w:p>
    <w:p>
      <w:pPr>
        <w:pStyle w:val="Heading5"/>
      </w:pPr>
      <w:bookmarkStart w:id="323" w:name="_Toc404845829"/>
      <w:bookmarkStart w:id="324" w:name="_Toc423434730"/>
      <w:bookmarkStart w:id="325" w:name="_Toc415059859"/>
      <w:r>
        <w:rPr>
          <w:rStyle w:val="CharSectno"/>
        </w:rPr>
        <w:t>54A</w:t>
      </w:r>
      <w:r>
        <w:t>.</w:t>
      </w:r>
      <w:r>
        <w:tab/>
        <w:t>Temporary pool enclosures</w:t>
      </w:r>
      <w:bookmarkEnd w:id="323"/>
      <w:bookmarkEnd w:id="324"/>
      <w:bookmarkEnd w:id="325"/>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barrier that is part of the enclosure for a private swimming pool must ensure that an alternative enclosure that complies with regulation 50 is installed or provided for any period during which the fence, wall, gate or barrier is removed.</w:t>
      </w:r>
    </w:p>
    <w:p>
      <w:pPr>
        <w:pStyle w:val="Footnotesection"/>
      </w:pPr>
      <w:r>
        <w:tab/>
        <w:t>[Regulation 54A inserted in Gazette 24 Apr 2014 p. 1140.]</w:t>
      </w:r>
    </w:p>
    <w:p>
      <w:pPr>
        <w:pStyle w:val="Heading5"/>
      </w:pPr>
      <w:bookmarkStart w:id="326" w:name="_Toc404845830"/>
      <w:bookmarkStart w:id="327" w:name="_Toc423434731"/>
      <w:bookmarkStart w:id="328" w:name="_Toc415059860"/>
      <w:r>
        <w:rPr>
          <w:rStyle w:val="CharSectno"/>
        </w:rPr>
        <w:t>54</w:t>
      </w:r>
      <w:r>
        <w:t>.</w:t>
      </w:r>
      <w:r>
        <w:tab/>
        <w:t>Transitional provisions — persons authorised to carry out inspections of private swimming pools</w:t>
      </w:r>
      <w:bookmarkEnd w:id="326"/>
      <w:bookmarkEnd w:id="327"/>
      <w:bookmarkEnd w:id="328"/>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private swimming pool enclosures for the period commencing on repeal day and ending on the day that is 5 years after that day.</w:t>
      </w:r>
    </w:p>
    <w:p>
      <w:pPr>
        <w:pStyle w:val="Footnotesection"/>
      </w:pPr>
      <w:r>
        <w:tab/>
        <w:t>[Regulation 54 amended in Gazette 18 Dec 2012 p. 6574.]</w:t>
      </w:r>
    </w:p>
    <w:p>
      <w:pPr>
        <w:pStyle w:val="Heading3"/>
      </w:pPr>
      <w:bookmarkStart w:id="329" w:name="_Toc404845831"/>
      <w:bookmarkStart w:id="330" w:name="_Toc415059512"/>
      <w:bookmarkStart w:id="331" w:name="_Toc415059861"/>
      <w:bookmarkStart w:id="332" w:name="_Toc422928225"/>
      <w:bookmarkStart w:id="333" w:name="_Toc423434732"/>
      <w:r>
        <w:rPr>
          <w:rStyle w:val="CharDivNo"/>
        </w:rPr>
        <w:t>Division 3</w:t>
      </w:r>
      <w:r>
        <w:t> — </w:t>
      </w:r>
      <w:r>
        <w:rPr>
          <w:rStyle w:val="CharDivText"/>
        </w:rPr>
        <w:t>Smoke alarms</w:t>
      </w:r>
      <w:bookmarkEnd w:id="329"/>
      <w:bookmarkEnd w:id="330"/>
      <w:bookmarkEnd w:id="331"/>
      <w:bookmarkEnd w:id="332"/>
      <w:bookmarkEnd w:id="333"/>
    </w:p>
    <w:p>
      <w:pPr>
        <w:pStyle w:val="Heading5"/>
      </w:pPr>
      <w:bookmarkStart w:id="334" w:name="_Toc404845832"/>
      <w:bookmarkStart w:id="335" w:name="_Toc423434733"/>
      <w:bookmarkStart w:id="336" w:name="_Toc415059862"/>
      <w:r>
        <w:rPr>
          <w:rStyle w:val="CharSectno"/>
        </w:rPr>
        <w:t>55</w:t>
      </w:r>
      <w:r>
        <w:t>.</w:t>
      </w:r>
      <w:r>
        <w:tab/>
        <w:t>Terms used</w:t>
      </w:r>
      <w:bookmarkEnd w:id="334"/>
      <w:bookmarkEnd w:id="335"/>
      <w:bookmarkEnd w:id="336"/>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337" w:name="_Toc404845833"/>
      <w:bookmarkStart w:id="338" w:name="_Toc423434734"/>
      <w:bookmarkStart w:id="339" w:name="_Toc415059863"/>
      <w:r>
        <w:rPr>
          <w:rStyle w:val="CharSectno"/>
        </w:rPr>
        <w:t>56</w:t>
      </w:r>
      <w:r>
        <w:t>.</w:t>
      </w:r>
      <w:r>
        <w:tab/>
        <w:t>Requirement to have smoke alarms or similar prior to transfer of dwelling</w:t>
      </w:r>
      <w:bookmarkEnd w:id="337"/>
      <w:bookmarkEnd w:id="338"/>
      <w:bookmarkEnd w:id="339"/>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40" w:name="_Toc404845834"/>
      <w:bookmarkStart w:id="341" w:name="_Toc423434735"/>
      <w:bookmarkStart w:id="342" w:name="_Toc415059864"/>
      <w:r>
        <w:rPr>
          <w:rStyle w:val="CharSectno"/>
        </w:rPr>
        <w:t>57</w:t>
      </w:r>
      <w:r>
        <w:t>.</w:t>
      </w:r>
      <w:r>
        <w:tab/>
        <w:t>New owner must install smoke alarms or similar, and right to recover costs</w:t>
      </w:r>
      <w:bookmarkEnd w:id="340"/>
      <w:bookmarkEnd w:id="341"/>
      <w:bookmarkEnd w:id="342"/>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343" w:name="_Toc404845835"/>
      <w:bookmarkStart w:id="344" w:name="_Toc423434736"/>
      <w:bookmarkStart w:id="345" w:name="_Toc415059865"/>
      <w:r>
        <w:rPr>
          <w:rStyle w:val="CharSectno"/>
        </w:rPr>
        <w:t>58</w:t>
      </w:r>
      <w:r>
        <w:t>.</w:t>
      </w:r>
      <w:r>
        <w:tab/>
        <w:t>Requirement to have smoke alarms or similar prior to tenancy</w:t>
      </w:r>
      <w:bookmarkEnd w:id="343"/>
      <w:bookmarkEnd w:id="344"/>
      <w:bookmarkEnd w:id="345"/>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346" w:name="_Toc404845836"/>
      <w:bookmarkStart w:id="347" w:name="_Toc423434737"/>
      <w:bookmarkStart w:id="348" w:name="_Toc415059866"/>
      <w:r>
        <w:rPr>
          <w:rStyle w:val="CharSectno"/>
        </w:rPr>
        <w:t>59</w:t>
      </w:r>
      <w:r>
        <w:t>.</w:t>
      </w:r>
      <w:r>
        <w:tab/>
        <w:t>Requirement to have smoke alarms or similar prior to hire of dwelling</w:t>
      </w:r>
      <w:bookmarkEnd w:id="346"/>
      <w:bookmarkEnd w:id="347"/>
      <w:bookmarkEnd w:id="348"/>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49" w:name="_Toc404845837"/>
      <w:bookmarkStart w:id="350" w:name="_Toc423434738"/>
      <w:bookmarkStart w:id="351" w:name="_Toc415059867"/>
      <w:r>
        <w:rPr>
          <w:rStyle w:val="CharSectno"/>
        </w:rPr>
        <w:t>60</w:t>
      </w:r>
      <w:r>
        <w:t>.</w:t>
      </w:r>
      <w:r>
        <w:tab/>
        <w:t>Requirements for smoke alarms</w:t>
      </w:r>
      <w:bookmarkEnd w:id="349"/>
      <w:bookmarkEnd w:id="350"/>
      <w:bookmarkEnd w:id="351"/>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 xml:space="preserve">a building permit for the construction, erection, assembly or placement of the dwelling was granted </w:t>
      </w:r>
      <w:ins w:id="352" w:author="Master Repository Process" w:date="2021-07-31T10:34:00Z">
        <w:r>
          <w:t xml:space="preserve">on an application for a building permit made </w:t>
        </w:r>
      </w:ins>
      <w:r>
        <w:t>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w:t>
      </w:r>
      <w:ins w:id="353" w:author="Master Repository Process" w:date="2021-07-31T10:34:00Z">
        <w:r>
          <w:t>; 30 Jun 2015 p. 2329</w:t>
        </w:r>
      </w:ins>
      <w:r>
        <w:t>.]</w:t>
      </w:r>
    </w:p>
    <w:p>
      <w:pPr>
        <w:pStyle w:val="Heading5"/>
        <w:spacing w:before="180"/>
      </w:pPr>
      <w:bookmarkStart w:id="354" w:name="_Toc404845838"/>
      <w:bookmarkStart w:id="355" w:name="_Toc423434739"/>
      <w:bookmarkStart w:id="356" w:name="_Toc415059868"/>
      <w:r>
        <w:rPr>
          <w:rStyle w:val="CharSectno"/>
        </w:rPr>
        <w:t>61</w:t>
      </w:r>
      <w:r>
        <w:t>.</w:t>
      </w:r>
      <w:r>
        <w:tab/>
        <w:t>Local government approval of battery powered smoke alarms</w:t>
      </w:r>
      <w:bookmarkEnd w:id="354"/>
      <w:bookmarkEnd w:id="355"/>
      <w:bookmarkEnd w:id="356"/>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w:t>
      </w:r>
      <w:del w:id="357" w:author="Master Repository Process" w:date="2021-07-31T10:34:00Z">
        <w:r>
          <w:delText>170</w:delText>
        </w:r>
      </w:del>
      <w:ins w:id="358" w:author="Master Repository Process" w:date="2021-07-31T10:34:00Z">
        <w:r>
          <w:t>174.40</w:t>
        </w:r>
      </w:ins>
      <w:r>
        <w:t>.</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rPr>
          <w:ins w:id="359" w:author="Master Repository Process" w:date="2021-07-31T10:34:00Z"/>
        </w:rPr>
      </w:pPr>
      <w:ins w:id="360" w:author="Master Repository Process" w:date="2021-07-31T10:34:00Z">
        <w:r>
          <w:tab/>
          <w:t>[Regulation 61 amended in Gazette 23 Jun 2015 p. 2162.]</w:t>
        </w:r>
      </w:ins>
    </w:p>
    <w:p>
      <w:pPr>
        <w:pStyle w:val="Heading5"/>
      </w:pPr>
      <w:bookmarkStart w:id="361" w:name="_Toc404845839"/>
      <w:bookmarkStart w:id="362" w:name="_Toc423434740"/>
      <w:bookmarkStart w:id="363" w:name="_Toc415059869"/>
      <w:r>
        <w:rPr>
          <w:rStyle w:val="CharSectno"/>
        </w:rPr>
        <w:t>62</w:t>
      </w:r>
      <w:r>
        <w:t>.</w:t>
      </w:r>
      <w:r>
        <w:tab/>
        <w:t>Requirement to maintain certain smoke alarms</w:t>
      </w:r>
      <w:bookmarkEnd w:id="361"/>
      <w:bookmarkEnd w:id="362"/>
      <w:bookmarkEnd w:id="363"/>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364" w:name="_Toc404845840"/>
      <w:bookmarkStart w:id="365" w:name="_Toc415059521"/>
      <w:bookmarkStart w:id="366" w:name="_Toc415059870"/>
      <w:bookmarkStart w:id="367" w:name="_Toc422928234"/>
      <w:bookmarkStart w:id="368" w:name="_Toc423434741"/>
      <w:r>
        <w:rPr>
          <w:rStyle w:val="CharPartNo"/>
        </w:rPr>
        <w:t>Part 10</w:t>
      </w:r>
      <w:r>
        <w:rPr>
          <w:rStyle w:val="CharDivNo"/>
        </w:rPr>
        <w:t> </w:t>
      </w:r>
      <w:r>
        <w:t>—</w:t>
      </w:r>
      <w:r>
        <w:rPr>
          <w:rStyle w:val="CharDivText"/>
        </w:rPr>
        <w:t> </w:t>
      </w:r>
      <w:r>
        <w:rPr>
          <w:rStyle w:val="CharPartText"/>
        </w:rPr>
        <w:t>Infringement notices</w:t>
      </w:r>
      <w:bookmarkEnd w:id="364"/>
      <w:bookmarkEnd w:id="365"/>
      <w:bookmarkEnd w:id="366"/>
      <w:bookmarkEnd w:id="367"/>
      <w:bookmarkEnd w:id="368"/>
    </w:p>
    <w:p>
      <w:pPr>
        <w:pStyle w:val="Footnoteheading"/>
      </w:pPr>
      <w:r>
        <w:tab/>
        <w:t>[Heading inserted in Gazette 18 Dec 2012 p. 6575.]</w:t>
      </w:r>
    </w:p>
    <w:p>
      <w:pPr>
        <w:pStyle w:val="Heading5"/>
      </w:pPr>
      <w:bookmarkStart w:id="369" w:name="_Toc404845841"/>
      <w:bookmarkStart w:id="370" w:name="_Toc423434742"/>
      <w:bookmarkStart w:id="371" w:name="_Toc415059871"/>
      <w:r>
        <w:rPr>
          <w:rStyle w:val="CharSectno"/>
        </w:rPr>
        <w:t>69</w:t>
      </w:r>
      <w:r>
        <w:t>.</w:t>
      </w:r>
      <w:r>
        <w:tab/>
        <w:t>Prescribed offences and modified penalties</w:t>
      </w:r>
      <w:bookmarkEnd w:id="369"/>
      <w:bookmarkEnd w:id="370"/>
      <w:bookmarkEnd w:id="371"/>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372" w:name="_Toc404845842"/>
      <w:bookmarkStart w:id="373" w:name="_Toc423434743"/>
      <w:bookmarkStart w:id="374" w:name="_Toc415059872"/>
      <w:r>
        <w:rPr>
          <w:rStyle w:val="CharSectno"/>
        </w:rPr>
        <w:t>70</w:t>
      </w:r>
      <w:r>
        <w:t>.</w:t>
      </w:r>
      <w:r>
        <w:tab/>
        <w:t>Approved officers and authorised officers</w:t>
      </w:r>
      <w:bookmarkEnd w:id="372"/>
      <w:bookmarkEnd w:id="373"/>
      <w:bookmarkEnd w:id="374"/>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375" w:name="_Toc404845843"/>
      <w:bookmarkStart w:id="376" w:name="_Toc423434744"/>
      <w:bookmarkStart w:id="377" w:name="_Toc415059873"/>
      <w:r>
        <w:rPr>
          <w:rStyle w:val="CharSectno"/>
        </w:rPr>
        <w:t>71</w:t>
      </w:r>
      <w:r>
        <w:t>.</w:t>
      </w:r>
      <w:r>
        <w:tab/>
        <w:t>Forms</w:t>
      </w:r>
      <w:bookmarkEnd w:id="375"/>
      <w:bookmarkEnd w:id="376"/>
      <w:bookmarkEnd w:id="377"/>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78" w:name="_Toc404845844"/>
      <w:bookmarkStart w:id="379" w:name="_Toc415059525"/>
      <w:bookmarkStart w:id="380" w:name="_Toc415059874"/>
      <w:bookmarkStart w:id="381" w:name="_Toc422928238"/>
      <w:bookmarkStart w:id="382" w:name="_Toc423434745"/>
      <w:r>
        <w:rPr>
          <w:rStyle w:val="CharSchNo"/>
        </w:rPr>
        <w:t>Schedule 1</w:t>
      </w:r>
      <w:r>
        <w:rPr>
          <w:rStyle w:val="CharSDivNo"/>
        </w:rPr>
        <w:t> </w:t>
      </w:r>
      <w:r>
        <w:t>—</w:t>
      </w:r>
      <w:r>
        <w:rPr>
          <w:rStyle w:val="CharSDivText"/>
        </w:rPr>
        <w:t> </w:t>
      </w:r>
      <w:r>
        <w:rPr>
          <w:rStyle w:val="CharSchText"/>
        </w:rPr>
        <w:t>Estimated value of building work</w:t>
      </w:r>
      <w:bookmarkEnd w:id="378"/>
      <w:bookmarkEnd w:id="379"/>
      <w:bookmarkEnd w:id="380"/>
      <w:bookmarkEnd w:id="381"/>
      <w:bookmarkEnd w:id="382"/>
    </w:p>
    <w:p>
      <w:pPr>
        <w:pStyle w:val="yShoulderClause"/>
      </w:pPr>
      <w:r>
        <w:t>[r. 3]</w:t>
      </w:r>
    </w:p>
    <w:p>
      <w:pPr>
        <w:pStyle w:val="yHeading5"/>
        <w:spacing w:before="180"/>
      </w:pPr>
      <w:bookmarkStart w:id="383" w:name="_Toc404845845"/>
      <w:bookmarkStart w:id="384" w:name="_Toc423434746"/>
      <w:bookmarkStart w:id="385" w:name="_Toc415059875"/>
      <w:r>
        <w:rPr>
          <w:rStyle w:val="CharSClsNo"/>
        </w:rPr>
        <w:t>1</w:t>
      </w:r>
      <w:r>
        <w:t>.</w:t>
      </w:r>
      <w:r>
        <w:tab/>
        <w:t>Terms used</w:t>
      </w:r>
      <w:bookmarkEnd w:id="383"/>
      <w:bookmarkEnd w:id="384"/>
      <w:bookmarkEnd w:id="385"/>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86" w:name="_Toc404845846"/>
      <w:bookmarkStart w:id="387" w:name="_Toc423434747"/>
      <w:bookmarkStart w:id="388" w:name="_Toc415059876"/>
      <w:r>
        <w:rPr>
          <w:rStyle w:val="CharSClsNo"/>
        </w:rPr>
        <w:t>2</w:t>
      </w:r>
      <w:r>
        <w:t>.</w:t>
      </w:r>
      <w:r>
        <w:tab/>
        <w:t>Estimated value of building work</w:t>
      </w:r>
      <w:bookmarkEnd w:id="386"/>
      <w:bookmarkEnd w:id="387"/>
      <w:bookmarkEnd w:id="388"/>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89" w:name="_Toc404845847"/>
      <w:bookmarkStart w:id="390" w:name="_Toc423434748"/>
      <w:bookmarkStart w:id="391" w:name="_Toc415059877"/>
      <w:r>
        <w:rPr>
          <w:rStyle w:val="CharSClsNo"/>
        </w:rPr>
        <w:t>3</w:t>
      </w:r>
      <w:r>
        <w:t>.</w:t>
      </w:r>
      <w:r>
        <w:tab/>
        <w:t>Estimated value of unauthorised building work</w:t>
      </w:r>
      <w:bookmarkEnd w:id="389"/>
      <w:bookmarkEnd w:id="390"/>
      <w:bookmarkEnd w:id="391"/>
    </w:p>
    <w:p>
      <w:pPr>
        <w:pStyle w:val="ySubsection"/>
      </w:pPr>
      <w:r>
        <w:tab/>
      </w:r>
      <w:r>
        <w:tab/>
        <w:t>The estimated value of unauthorised building work is the sum of the estimated current value (including GST) of the relevant components.</w:t>
      </w:r>
    </w:p>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393" w:name="_Toc422928242"/>
      <w:bookmarkStart w:id="394" w:name="_Toc423434749"/>
      <w:bookmarkStart w:id="395" w:name="_Toc404845848"/>
      <w:bookmarkStart w:id="396" w:name="_Toc415059529"/>
      <w:bookmarkStart w:id="397" w:name="_Toc415059878"/>
      <w:r>
        <w:rPr>
          <w:rStyle w:val="CharSchNo"/>
        </w:rPr>
        <w:t>Schedule</w:t>
      </w:r>
      <w:del w:id="398" w:author="Master Repository Process" w:date="2021-07-31T10:34:00Z">
        <w:r>
          <w:rPr>
            <w:rStyle w:val="CharSchNo"/>
          </w:rPr>
          <w:delText xml:space="preserve"> </w:delText>
        </w:r>
      </w:del>
      <w:ins w:id="399" w:author="Master Repository Process" w:date="2021-07-31T10:34:00Z">
        <w:r>
          <w:rPr>
            <w:rStyle w:val="CharSchNo"/>
          </w:rPr>
          <w:t> </w:t>
        </w:r>
      </w:ins>
      <w:r>
        <w:rPr>
          <w:rStyle w:val="CharSchNo"/>
        </w:rPr>
        <w:t>2</w:t>
      </w:r>
      <w:r>
        <w:t> — </w:t>
      </w:r>
      <w:r>
        <w:rPr>
          <w:rStyle w:val="CharSchText"/>
        </w:rPr>
        <w:t>Fees</w:t>
      </w:r>
      <w:bookmarkEnd w:id="393"/>
      <w:bookmarkEnd w:id="394"/>
    </w:p>
    <w:p>
      <w:pPr>
        <w:pStyle w:val="yShoulderClause"/>
      </w:pPr>
      <w:r>
        <w:t>[r. 11]</w:t>
      </w:r>
    </w:p>
    <w:p>
      <w:pPr>
        <w:pStyle w:val="yFootnotesection"/>
        <w:keepLines w:val="0"/>
        <w:spacing w:before="80"/>
        <w:rPr>
          <w:ins w:id="400" w:author="Master Repository Process" w:date="2021-07-31T10:34:00Z"/>
        </w:rPr>
      </w:pPr>
      <w:ins w:id="401" w:author="Master Repository Process" w:date="2021-07-31T10:34:00Z">
        <w:r>
          <w:tab/>
          <w:t>[Heading inserted in Gazette 23 Jun 2015 p. 2162.]</w:t>
        </w:r>
      </w:ins>
    </w:p>
    <w:p>
      <w:pPr>
        <w:pStyle w:val="yHeading3"/>
      </w:pPr>
      <w:bookmarkStart w:id="402" w:name="_Toc422928243"/>
      <w:bookmarkStart w:id="403" w:name="_Toc423434750"/>
      <w:bookmarkStart w:id="404" w:name="_Toc404845849"/>
      <w:bookmarkStart w:id="405" w:name="_Toc415059530"/>
      <w:bookmarkStart w:id="406" w:name="_Toc415059879"/>
      <w:r>
        <w:rPr>
          <w:rStyle w:val="CharSDivNo"/>
        </w:rPr>
        <w:t>Division</w:t>
      </w:r>
      <w:del w:id="407" w:author="Master Repository Process" w:date="2021-07-31T10:34:00Z">
        <w:r>
          <w:rPr>
            <w:rStyle w:val="CharSDivNo"/>
          </w:rPr>
          <w:delText xml:space="preserve"> </w:delText>
        </w:r>
      </w:del>
      <w:ins w:id="408" w:author="Master Repository Process" w:date="2021-07-31T10:34:00Z">
        <w:r>
          <w:rPr>
            <w:rStyle w:val="CharSDivNo"/>
          </w:rPr>
          <w:t> </w:t>
        </w:r>
      </w:ins>
      <w:r>
        <w:rPr>
          <w:rStyle w:val="CharSDivNo"/>
        </w:rPr>
        <w:t>1</w:t>
      </w:r>
      <w:r>
        <w:rPr>
          <w:b w:val="0"/>
        </w:rPr>
        <w:t> — </w:t>
      </w:r>
      <w:r>
        <w:rPr>
          <w:rStyle w:val="CharSDivText"/>
        </w:rPr>
        <w:t>Applications for building permits, demolition</w:t>
      </w:r>
      <w:del w:id="409" w:author="Master Repository Process" w:date="2021-07-31T10:34:00Z">
        <w:r>
          <w:rPr>
            <w:rStyle w:val="CharSDivText"/>
          </w:rPr>
          <w:delText xml:space="preserve"> </w:delText>
        </w:r>
      </w:del>
      <w:ins w:id="410" w:author="Master Repository Process" w:date="2021-07-31T10:34:00Z">
        <w:r>
          <w:rPr>
            <w:rStyle w:val="CharSDivText"/>
          </w:rPr>
          <w:t> </w:t>
        </w:r>
      </w:ins>
      <w:r>
        <w:rPr>
          <w:rStyle w:val="CharSDivText"/>
        </w:rPr>
        <w:t>permits</w:t>
      </w:r>
      <w:bookmarkEnd w:id="402"/>
      <w:bookmarkEnd w:id="403"/>
      <w:bookmarkEnd w:id="404"/>
      <w:bookmarkEnd w:id="405"/>
      <w:bookmarkEnd w:id="406"/>
    </w:p>
    <w:p>
      <w:pPr>
        <w:pStyle w:val="yFootnotesection"/>
        <w:keepLines w:val="0"/>
        <w:spacing w:before="80" w:after="120"/>
        <w:rPr>
          <w:ins w:id="411" w:author="Master Repository Process" w:date="2021-07-31T10:34:00Z"/>
        </w:rPr>
      </w:pPr>
      <w:ins w:id="412" w:author="Master Repository Process" w:date="2021-07-31T10:34:00Z">
        <w:r>
          <w:tab/>
          <w:t>[Heading inserted in Gazette 23 Jun 2015 p. 2162.]</w:t>
        </w:r>
      </w:ins>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zyTableNAm"/>
              <w:keepNext/>
              <w:keepLines/>
            </w:pPr>
          </w:p>
        </w:tc>
        <w:tc>
          <w:tcPr>
            <w:tcW w:w="3823" w:type="dxa"/>
          </w:tcPr>
          <w:p>
            <w:pPr>
              <w:pStyle w:val="yTableNAm"/>
            </w:pPr>
            <w:r>
              <w:t>(a)</w:t>
            </w:r>
            <w:r>
              <w:tab/>
              <w:t>for building work for a Class 1 or Class 10 building or incidental structure</w:t>
            </w:r>
          </w:p>
        </w:tc>
        <w:tc>
          <w:tcPr>
            <w:tcW w:w="2447" w:type="dxa"/>
          </w:tcPr>
          <w:p>
            <w:pPr>
              <w:pStyle w:val="yTableNAm"/>
            </w:pPr>
            <w:r>
              <w:t>0.19% of the estimated value of the building work as determined by the relevant permit authority, but not less than $</w:t>
            </w:r>
            <w:del w:id="413" w:author="Master Repository Process" w:date="2021-07-31T10:34:00Z">
              <w:r>
                <w:rPr>
                  <w:szCs w:val="22"/>
                </w:rPr>
                <w:delText>92</w:delText>
              </w:r>
            </w:del>
            <w:ins w:id="414" w:author="Master Repository Process" w:date="2021-07-31T10:34:00Z">
              <w:r>
                <w:t>95</w:t>
              </w:r>
            </w:ins>
            <w:r>
              <w:t>.00</w:t>
            </w:r>
          </w:p>
        </w:tc>
      </w:tr>
      <w:tr>
        <w:trPr>
          <w:cantSplit/>
        </w:trPr>
        <w:tc>
          <w:tcPr>
            <w:tcW w:w="855" w:type="dxa"/>
          </w:tcPr>
          <w:p>
            <w:pPr>
              <w:pStyle w:val="zyTableNAm"/>
            </w:pPr>
          </w:p>
        </w:tc>
        <w:tc>
          <w:tcPr>
            <w:tcW w:w="3823" w:type="dxa"/>
          </w:tcPr>
          <w:p>
            <w:pPr>
              <w:pStyle w:val="yTableNAm"/>
            </w:pPr>
            <w:r>
              <w:t>(b)</w:t>
            </w:r>
            <w:r>
              <w:tab/>
              <w:t>for building work for a Class 2 to Class 9 building or incidental structure</w:t>
            </w:r>
          </w:p>
        </w:tc>
        <w:tc>
          <w:tcPr>
            <w:tcW w:w="2447" w:type="dxa"/>
          </w:tcPr>
          <w:p>
            <w:pPr>
              <w:pStyle w:val="yTableNAm"/>
            </w:pPr>
            <w:r>
              <w:t>0.09% of the estimated value of the building work as determined by the relevant permit authority, but not less than $</w:t>
            </w:r>
            <w:del w:id="415" w:author="Master Repository Process" w:date="2021-07-31T10:34:00Z">
              <w:r>
                <w:rPr>
                  <w:szCs w:val="22"/>
                </w:rPr>
                <w:delText>92</w:delText>
              </w:r>
            </w:del>
            <w:ins w:id="416" w:author="Master Repository Process" w:date="2021-07-31T10:34:00Z">
              <w:r>
                <w:t>95</w:t>
              </w:r>
            </w:ins>
            <w:r>
              <w:t>.00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0.32% of the estimated value of the building work as determined by the relevant permit authority, but not less than $</w:t>
            </w:r>
            <w:del w:id="417" w:author="Master Repository Process" w:date="2021-07-31T10:34:00Z">
              <w:r>
                <w:rPr>
                  <w:szCs w:val="22"/>
                </w:rPr>
                <w:delText>92</w:delText>
              </w:r>
            </w:del>
            <w:ins w:id="418" w:author="Master Repository Process" w:date="2021-07-31T10:34:00Z">
              <w:r>
                <w:t>95</w:t>
              </w:r>
            </w:ins>
            <w:r>
              <w:t>.00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del w:id="419" w:author="Master Repository Process" w:date="2021-07-31T10:34:00Z">
              <w:r>
                <w:rPr>
                  <w:szCs w:val="22"/>
                </w:rPr>
                <w:delText xml:space="preserve"> </w:delText>
              </w:r>
            </w:del>
          </w:p>
        </w:tc>
        <w:tc>
          <w:tcPr>
            <w:tcW w:w="2447" w:type="dxa"/>
          </w:tcPr>
          <w:p>
            <w:pPr>
              <w:pStyle w:val="yTableNAm"/>
              <w:rPr>
                <w:rStyle w:val="DraftersNotes"/>
                <w:b w:val="0"/>
                <w:i w:val="0"/>
                <w:sz w:val="22"/>
                <w:szCs w:val="22"/>
              </w:rPr>
            </w:pPr>
          </w:p>
        </w:tc>
      </w:tr>
      <w:tr>
        <w:trPr>
          <w:cantSplit/>
        </w:trPr>
        <w:tc>
          <w:tcPr>
            <w:tcW w:w="855" w:type="dxa"/>
          </w:tcPr>
          <w:p>
            <w:pPr>
              <w:pStyle w:val="zyTableNAm"/>
            </w:pPr>
          </w:p>
        </w:tc>
        <w:tc>
          <w:tcPr>
            <w:tcW w:w="3823" w:type="dxa"/>
          </w:tcPr>
          <w:p>
            <w:pPr>
              <w:pStyle w:val="yTableNAm"/>
            </w:pPr>
            <w:r>
              <w:t>(a)</w:t>
            </w:r>
            <w:r>
              <w:tab/>
              <w:t>for demolition work in respect of a Class 1 or Class 10 building or incidental structure</w:t>
            </w:r>
          </w:p>
        </w:tc>
        <w:tc>
          <w:tcPr>
            <w:tcW w:w="2447" w:type="dxa"/>
          </w:tcPr>
          <w:p>
            <w:pPr>
              <w:pStyle w:val="yTableNAm"/>
            </w:pPr>
            <w:r>
              <w:t>$</w:t>
            </w:r>
            <w:del w:id="420" w:author="Master Repository Process" w:date="2021-07-31T10:34:00Z">
              <w:r>
                <w:rPr>
                  <w:szCs w:val="22"/>
                </w:rPr>
                <w:delText>92</w:delText>
              </w:r>
            </w:del>
            <w:ins w:id="421" w:author="Master Repository Process" w:date="2021-07-31T10:34:00Z">
              <w:r>
                <w:t>95</w:t>
              </w:r>
            </w:ins>
            <w:r>
              <w:t>.00</w:t>
            </w:r>
          </w:p>
        </w:tc>
      </w:tr>
      <w:tr>
        <w:trPr>
          <w:cantSplit/>
        </w:trPr>
        <w:tc>
          <w:tcPr>
            <w:tcW w:w="855" w:type="dxa"/>
          </w:tcPr>
          <w:p>
            <w:pPr>
              <w:pStyle w:val="zyTableNAm"/>
            </w:pPr>
          </w:p>
        </w:tc>
        <w:tc>
          <w:tcPr>
            <w:tcW w:w="3823" w:type="dxa"/>
          </w:tcPr>
          <w:p>
            <w:pPr>
              <w:pStyle w:val="yTableNAm"/>
            </w:pPr>
            <w:r>
              <w:t>(b)</w:t>
            </w:r>
            <w:r>
              <w:tab/>
              <w:t>for demolition work in respect of a Class 2 to Class 9 building</w:t>
            </w:r>
            <w:del w:id="422" w:author="Master Repository Process" w:date="2021-07-31T10:34:00Z">
              <w:r>
                <w:rPr>
                  <w:szCs w:val="22"/>
                </w:rPr>
                <w:delText xml:space="preserve"> </w:delText>
              </w:r>
            </w:del>
          </w:p>
        </w:tc>
        <w:tc>
          <w:tcPr>
            <w:tcW w:w="2447" w:type="dxa"/>
          </w:tcPr>
          <w:p>
            <w:pPr>
              <w:pStyle w:val="yTableNAm"/>
            </w:pPr>
            <w:r>
              <w:t>$</w:t>
            </w:r>
            <w:del w:id="423" w:author="Master Repository Process" w:date="2021-07-31T10:34:00Z">
              <w:r>
                <w:rPr>
                  <w:szCs w:val="22"/>
                </w:rPr>
                <w:delText>92</w:delText>
              </w:r>
            </w:del>
            <w:ins w:id="424" w:author="Master Repository Process" w:date="2021-07-31T10:34:00Z">
              <w:r>
                <w:t>95</w:t>
              </w:r>
            </w:ins>
            <w:r>
              <w:t xml:space="preserve">.00 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t>$</w:t>
            </w:r>
            <w:del w:id="425" w:author="Master Repository Process" w:date="2021-07-31T10:34:00Z">
              <w:r>
                <w:rPr>
                  <w:szCs w:val="22"/>
                </w:rPr>
                <w:delText>92</w:delText>
              </w:r>
            </w:del>
            <w:ins w:id="426" w:author="Master Repository Process" w:date="2021-07-31T10:34:00Z">
              <w:r>
                <w:t>95</w:t>
              </w:r>
            </w:ins>
            <w:r>
              <w:t>.00</w:t>
            </w:r>
          </w:p>
        </w:tc>
      </w:tr>
    </w:tbl>
    <w:p>
      <w:pPr>
        <w:pStyle w:val="yFootnotesection"/>
        <w:keepLines w:val="0"/>
        <w:spacing w:before="80"/>
      </w:pPr>
      <w:r>
        <w:tab/>
        <w:t xml:space="preserve">[Division 1 </w:t>
      </w:r>
      <w:del w:id="427" w:author="Master Repository Process" w:date="2021-07-31T10:34:00Z">
        <w:r>
          <w:delText>amended</w:delText>
        </w:r>
      </w:del>
      <w:ins w:id="428" w:author="Master Repository Process" w:date="2021-07-31T10:34:00Z">
        <w:r>
          <w:t>inserted</w:t>
        </w:r>
      </w:ins>
      <w:r>
        <w:t xml:space="preserve"> in Gazette </w:t>
      </w:r>
      <w:del w:id="429" w:author="Master Repository Process" w:date="2021-07-31T10:34:00Z">
        <w:r>
          <w:delText>17</w:delText>
        </w:r>
      </w:del>
      <w:ins w:id="430" w:author="Master Repository Process" w:date="2021-07-31T10:34:00Z">
        <w:r>
          <w:t>23</w:t>
        </w:r>
      </w:ins>
      <w:r>
        <w:t xml:space="preserve"> Jun </w:t>
      </w:r>
      <w:del w:id="431" w:author="Master Repository Process" w:date="2021-07-31T10:34:00Z">
        <w:r>
          <w:delText>2014</w:delText>
        </w:r>
      </w:del>
      <w:ins w:id="432" w:author="Master Repository Process" w:date="2021-07-31T10:34:00Z">
        <w:r>
          <w:t>2015</w:t>
        </w:r>
      </w:ins>
      <w:r>
        <w:t xml:space="preserve"> p. </w:t>
      </w:r>
      <w:del w:id="433" w:author="Master Repository Process" w:date="2021-07-31T10:34:00Z">
        <w:r>
          <w:delText>1957</w:delText>
        </w:r>
      </w:del>
      <w:ins w:id="434" w:author="Master Repository Process" w:date="2021-07-31T10:34:00Z">
        <w:r>
          <w:t>2162</w:t>
        </w:r>
        <w:r>
          <w:noBreakHyphen/>
          <w:t>3</w:t>
        </w:r>
      </w:ins>
      <w:r>
        <w:t>.]</w:t>
      </w:r>
    </w:p>
    <w:p>
      <w:pPr>
        <w:pStyle w:val="yHeading3"/>
      </w:pPr>
      <w:bookmarkStart w:id="435" w:name="_Toc422928244"/>
      <w:bookmarkStart w:id="436" w:name="_Toc423434751"/>
      <w:bookmarkStart w:id="437" w:name="_Toc404845850"/>
      <w:bookmarkStart w:id="438" w:name="_Toc415059531"/>
      <w:bookmarkStart w:id="439" w:name="_Toc415059880"/>
      <w:r>
        <w:rPr>
          <w:rStyle w:val="CharSDivNo"/>
        </w:rPr>
        <w:t>Division</w:t>
      </w:r>
      <w:del w:id="440" w:author="Master Repository Process" w:date="2021-07-31T10:34:00Z">
        <w:r>
          <w:rPr>
            <w:rStyle w:val="CharSDivNo"/>
            <w:szCs w:val="24"/>
          </w:rPr>
          <w:delText xml:space="preserve"> </w:delText>
        </w:r>
      </w:del>
      <w:ins w:id="441" w:author="Master Repository Process" w:date="2021-07-31T10:34:00Z">
        <w:r>
          <w:rPr>
            <w:rStyle w:val="CharSDivNo"/>
          </w:rPr>
          <w:t> </w:t>
        </w:r>
      </w:ins>
      <w:r>
        <w:rPr>
          <w:rStyle w:val="CharSDivNo"/>
        </w:rPr>
        <w:t>2</w:t>
      </w:r>
      <w:r>
        <w:rPr>
          <w:b w:val="0"/>
        </w:rPr>
        <w:t> — </w:t>
      </w:r>
      <w:r>
        <w:rPr>
          <w:rStyle w:val="CharSDivText"/>
        </w:rPr>
        <w:t>Application for occupancy permits, building</w:t>
      </w:r>
      <w:del w:id="442" w:author="Master Repository Process" w:date="2021-07-31T10:34:00Z">
        <w:r>
          <w:rPr>
            <w:rStyle w:val="CharSDivText"/>
            <w:szCs w:val="24"/>
          </w:rPr>
          <w:delText> </w:delText>
        </w:r>
      </w:del>
      <w:ins w:id="443" w:author="Master Repository Process" w:date="2021-07-31T10:34:00Z">
        <w:r>
          <w:rPr>
            <w:rStyle w:val="CharSDivText"/>
          </w:rPr>
          <w:t xml:space="preserve"> </w:t>
        </w:r>
      </w:ins>
      <w:r>
        <w:rPr>
          <w:rStyle w:val="CharSDivText"/>
        </w:rPr>
        <w:t>approval</w:t>
      </w:r>
      <w:del w:id="444" w:author="Master Repository Process" w:date="2021-07-31T10:34:00Z">
        <w:r>
          <w:rPr>
            <w:rStyle w:val="CharSDivText"/>
            <w:szCs w:val="24"/>
          </w:rPr>
          <w:delText> </w:delText>
        </w:r>
      </w:del>
      <w:ins w:id="445" w:author="Master Repository Process" w:date="2021-07-31T10:34:00Z">
        <w:r>
          <w:rPr>
            <w:rStyle w:val="CharSDivText"/>
          </w:rPr>
          <w:t xml:space="preserve"> </w:t>
        </w:r>
      </w:ins>
      <w:r>
        <w:rPr>
          <w:rStyle w:val="CharSDivText"/>
        </w:rPr>
        <w:t>certificates</w:t>
      </w:r>
      <w:bookmarkEnd w:id="435"/>
      <w:bookmarkEnd w:id="436"/>
      <w:bookmarkEnd w:id="437"/>
      <w:bookmarkEnd w:id="438"/>
      <w:bookmarkEnd w:id="439"/>
    </w:p>
    <w:p>
      <w:pPr>
        <w:pStyle w:val="yFootnotesection"/>
        <w:keepLines w:val="0"/>
        <w:spacing w:before="80" w:after="120"/>
        <w:rPr>
          <w:ins w:id="446" w:author="Master Repository Process" w:date="2021-07-31T10:34:00Z"/>
        </w:rPr>
      </w:pPr>
      <w:ins w:id="447" w:author="Master Repository Process" w:date="2021-07-31T10:34:00Z">
        <w:r>
          <w:tab/>
          <w:t>[Heading inserted in Gazette 23 Jun 2015 p. 2163.]</w:t>
        </w:r>
      </w:ins>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t>$</w:t>
            </w:r>
            <w:del w:id="448" w:author="Master Repository Process" w:date="2021-07-31T10:34:00Z">
              <w:r>
                <w:rPr>
                  <w:szCs w:val="22"/>
                </w:rPr>
                <w:delText>92</w:delText>
              </w:r>
            </w:del>
            <w:ins w:id="449" w:author="Master Repository Process" w:date="2021-07-31T10:34:00Z">
              <w:r>
                <w:t>95</w:t>
              </w:r>
            </w:ins>
            <w:r>
              <w:t>.00</w:t>
            </w:r>
          </w:p>
        </w:tc>
      </w:tr>
      <w:tr>
        <w:trPr>
          <w:cantSplit/>
        </w:trPr>
        <w:tc>
          <w:tcPr>
            <w:tcW w:w="855" w:type="dxa"/>
          </w:tcPr>
          <w:p>
            <w:pPr>
              <w:pStyle w:val="yTableNAm"/>
            </w:pPr>
            <w:r>
              <w:t>2.</w:t>
            </w:r>
          </w:p>
        </w:tc>
        <w:tc>
          <w:tcPr>
            <w:tcW w:w="4390" w:type="dxa"/>
          </w:tcPr>
          <w:p>
            <w:pPr>
              <w:pStyle w:val="yTableNAm"/>
            </w:pPr>
            <w:r>
              <w:t>Application for a temporary occupancy permit for an incomplete building (s. 47)</w:t>
            </w:r>
          </w:p>
        </w:tc>
        <w:tc>
          <w:tcPr>
            <w:tcW w:w="1880" w:type="dxa"/>
          </w:tcPr>
          <w:p>
            <w:pPr>
              <w:pStyle w:val="yTableNAm"/>
            </w:pPr>
            <w:r>
              <w:t>$</w:t>
            </w:r>
            <w:del w:id="450" w:author="Master Repository Process" w:date="2021-07-31T10:34:00Z">
              <w:r>
                <w:rPr>
                  <w:szCs w:val="22"/>
                </w:rPr>
                <w:delText>92</w:delText>
              </w:r>
            </w:del>
            <w:ins w:id="451" w:author="Master Repository Process" w:date="2021-07-31T10:34:00Z">
              <w:r>
                <w:t>95</w:t>
              </w:r>
            </w:ins>
            <w:r>
              <w:t>.00</w:t>
            </w:r>
          </w:p>
        </w:tc>
      </w:tr>
      <w:tr>
        <w:trPr>
          <w:cantSplit/>
        </w:trPr>
        <w:tc>
          <w:tcPr>
            <w:tcW w:w="855" w:type="dxa"/>
          </w:tcPr>
          <w:p>
            <w:pPr>
              <w:pStyle w:val="yTableNAm"/>
            </w:pPr>
            <w:r>
              <w:t>3.</w:t>
            </w:r>
          </w:p>
        </w:tc>
        <w:tc>
          <w:tcPr>
            <w:tcW w:w="4390" w:type="dxa"/>
          </w:tcPr>
          <w:p>
            <w:pPr>
              <w:pStyle w:val="yTableNAm"/>
            </w:pPr>
            <w:r>
              <w:t>Application for modification of an occupancy permit for additional use of a building on a temporary basis (s. 48)</w:t>
            </w:r>
          </w:p>
        </w:tc>
        <w:tc>
          <w:tcPr>
            <w:tcW w:w="1880" w:type="dxa"/>
          </w:tcPr>
          <w:p>
            <w:pPr>
              <w:pStyle w:val="yTableNAm"/>
            </w:pPr>
            <w:r>
              <w:t>$</w:t>
            </w:r>
            <w:del w:id="452" w:author="Master Repository Process" w:date="2021-07-31T10:34:00Z">
              <w:r>
                <w:rPr>
                  <w:szCs w:val="22"/>
                </w:rPr>
                <w:delText>92</w:delText>
              </w:r>
            </w:del>
            <w:ins w:id="453" w:author="Master Repository Process" w:date="2021-07-31T10:34:00Z">
              <w:r>
                <w:t>95</w:t>
              </w:r>
            </w:ins>
            <w:r>
              <w:t>.00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classification (s. 49)</w:t>
            </w:r>
          </w:p>
        </w:tc>
        <w:tc>
          <w:tcPr>
            <w:tcW w:w="1880" w:type="dxa"/>
          </w:tcPr>
          <w:p>
            <w:pPr>
              <w:pStyle w:val="yTableNAm"/>
            </w:pPr>
            <w:r>
              <w:t>$</w:t>
            </w:r>
            <w:del w:id="454" w:author="Master Repository Process" w:date="2021-07-31T10:34:00Z">
              <w:r>
                <w:rPr>
                  <w:szCs w:val="22"/>
                </w:rPr>
                <w:delText>92</w:delText>
              </w:r>
            </w:del>
            <w:ins w:id="455" w:author="Master Repository Process" w:date="2021-07-31T10:34:00Z">
              <w:r>
                <w:t>95</w:t>
              </w:r>
            </w:ins>
            <w:r>
              <w:t>.00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plan of re</w:t>
            </w:r>
            <w:r>
              <w:noBreakHyphen/>
              <w:t>subdivision (s. 50(1) and (2))</w:t>
            </w:r>
          </w:p>
        </w:tc>
        <w:tc>
          <w:tcPr>
            <w:tcW w:w="1880" w:type="dxa"/>
          </w:tcPr>
          <w:p>
            <w:pPr>
              <w:pStyle w:val="yTableNAm"/>
            </w:pPr>
            <w:r>
              <w:t>$10.</w:t>
            </w:r>
            <w:del w:id="456" w:author="Master Repository Process" w:date="2021-07-31T10:34:00Z">
              <w:r>
                <w:rPr>
                  <w:szCs w:val="22"/>
                </w:rPr>
                <w:delText>25</w:delText>
              </w:r>
            </w:del>
            <w:ins w:id="457" w:author="Master Repository Process" w:date="2021-07-31T10:34:00Z">
              <w:r>
                <w:t>50</w:t>
              </w:r>
            </w:ins>
            <w:r>
              <w:t xml:space="preserve"> for each strata unit covered by the application, but not less than $</w:t>
            </w:r>
            <w:del w:id="458" w:author="Master Repository Process" w:date="2021-07-31T10:34:00Z">
              <w:r>
                <w:rPr>
                  <w:szCs w:val="22"/>
                </w:rPr>
                <w:delText>102.00</w:delText>
              </w:r>
            </w:del>
            <w:ins w:id="459" w:author="Master Repository Process" w:date="2021-07-31T10:34:00Z">
              <w:r>
                <w:t>104.65</w:t>
              </w:r>
            </w:ins>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0.18% of the estimated value of the unauthorised work as determined by the relevant permit authority, but not less than $</w:t>
            </w:r>
            <w:del w:id="460" w:author="Master Repository Process" w:date="2021-07-31T10:34:00Z">
              <w:r>
                <w:rPr>
                  <w:szCs w:val="22"/>
                </w:rPr>
                <w:delText>92</w:delText>
              </w:r>
            </w:del>
            <w:ins w:id="461" w:author="Master Repository Process" w:date="2021-07-31T10:34:00Z">
              <w:r>
                <w:t>95</w:t>
              </w:r>
            </w:ins>
            <w:r>
              <w:t>.00</w:t>
            </w:r>
          </w:p>
        </w:tc>
      </w:tr>
      <w:tr>
        <w:trPr>
          <w:cantSplit/>
        </w:trPr>
        <w:tc>
          <w:tcPr>
            <w:tcW w:w="855" w:type="dxa"/>
          </w:tcPr>
          <w:p>
            <w:pPr>
              <w:pStyle w:val="yTableNAm"/>
            </w:pPr>
            <w:r>
              <w:t>7.</w:t>
            </w:r>
          </w:p>
        </w:tc>
        <w:tc>
          <w:tcPr>
            <w:tcW w:w="4390" w:type="dxa"/>
          </w:tcPr>
          <w:p>
            <w:pPr>
              <w:pStyle w:val="yTableNAm"/>
            </w:pPr>
            <w:r>
              <w:t>Application for a building approval certificate for a building in respect of which unauthorised work has been done (s. 51(3))</w:t>
            </w:r>
          </w:p>
        </w:tc>
        <w:tc>
          <w:tcPr>
            <w:tcW w:w="1880" w:type="dxa"/>
          </w:tcPr>
          <w:p>
            <w:pPr>
              <w:pStyle w:val="yTableNAm"/>
            </w:pPr>
            <w:r>
              <w:t>0.38% of the estimated value of the unauthorised work as determined by the relevant permit authority, but not less than $</w:t>
            </w:r>
            <w:del w:id="462" w:author="Master Repository Process" w:date="2021-07-31T10:34:00Z">
              <w:r>
                <w:rPr>
                  <w:szCs w:val="22"/>
                </w:rPr>
                <w:delText>92</w:delText>
              </w:r>
            </w:del>
            <w:ins w:id="463" w:author="Master Repository Process" w:date="2021-07-31T10:34:00Z">
              <w:r>
                <w:t>95</w:t>
              </w:r>
            </w:ins>
            <w:r>
              <w:t>.00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w:t>
            </w:r>
            <w:del w:id="464" w:author="Master Repository Process" w:date="2021-07-31T10:34:00Z">
              <w:r>
                <w:rPr>
                  <w:szCs w:val="22"/>
                </w:rPr>
                <w:delText>92</w:delText>
              </w:r>
            </w:del>
            <w:ins w:id="465" w:author="Master Repository Process" w:date="2021-07-31T10:34:00Z">
              <w:r>
                <w:t>95</w:t>
              </w:r>
            </w:ins>
            <w:r>
              <w:t>.00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where unauthorised work has not been done (s. 52(2))</w:t>
            </w:r>
          </w:p>
        </w:tc>
        <w:tc>
          <w:tcPr>
            <w:tcW w:w="1880" w:type="dxa"/>
          </w:tcPr>
          <w:p>
            <w:pPr>
              <w:pStyle w:val="yTableNAm"/>
            </w:pPr>
            <w:r>
              <w:t>$</w:t>
            </w:r>
            <w:del w:id="466" w:author="Master Repository Process" w:date="2021-07-31T10:34:00Z">
              <w:r>
                <w:rPr>
                  <w:szCs w:val="22"/>
                </w:rPr>
                <w:delText>92</w:delText>
              </w:r>
            </w:del>
            <w:ins w:id="467" w:author="Master Repository Process" w:date="2021-07-31T10:34:00Z">
              <w:r>
                <w:t>95</w:t>
              </w:r>
            </w:ins>
            <w:r>
              <w:t>.00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t>$</w:t>
            </w:r>
            <w:del w:id="468" w:author="Master Repository Process" w:date="2021-07-31T10:34:00Z">
              <w:r>
                <w:rPr>
                  <w:szCs w:val="22"/>
                </w:rPr>
                <w:delText>92</w:delText>
              </w:r>
            </w:del>
            <w:ins w:id="469" w:author="Master Repository Process" w:date="2021-07-31T10:34:00Z">
              <w:r>
                <w:t>95</w:t>
              </w:r>
            </w:ins>
            <w:r>
              <w:t>.00</w:t>
            </w:r>
          </w:p>
        </w:tc>
      </w:tr>
    </w:tbl>
    <w:p>
      <w:pPr>
        <w:pStyle w:val="yFootnotesection"/>
        <w:keepLines w:val="0"/>
        <w:spacing w:before="80" w:after="120"/>
      </w:pPr>
      <w:r>
        <w:tab/>
        <w:t xml:space="preserve">[Division 2 </w:t>
      </w:r>
      <w:del w:id="470" w:author="Master Repository Process" w:date="2021-07-31T10:34:00Z">
        <w:r>
          <w:delText>amended</w:delText>
        </w:r>
      </w:del>
      <w:ins w:id="471" w:author="Master Repository Process" w:date="2021-07-31T10:34:00Z">
        <w:r>
          <w:t>inserted</w:t>
        </w:r>
      </w:ins>
      <w:r>
        <w:t xml:space="preserve"> in Gazette </w:t>
      </w:r>
      <w:del w:id="472" w:author="Master Repository Process" w:date="2021-07-31T10:34:00Z">
        <w:r>
          <w:delText>17</w:delText>
        </w:r>
      </w:del>
      <w:ins w:id="473" w:author="Master Repository Process" w:date="2021-07-31T10:34:00Z">
        <w:r>
          <w:t>23</w:t>
        </w:r>
      </w:ins>
      <w:r>
        <w:t xml:space="preserve"> Jun </w:t>
      </w:r>
      <w:del w:id="474" w:author="Master Repository Process" w:date="2021-07-31T10:34:00Z">
        <w:r>
          <w:delText>2014</w:delText>
        </w:r>
      </w:del>
      <w:ins w:id="475" w:author="Master Repository Process" w:date="2021-07-31T10:34:00Z">
        <w:r>
          <w:t>2015</w:t>
        </w:r>
      </w:ins>
      <w:r>
        <w:t xml:space="preserve"> p. </w:t>
      </w:r>
      <w:del w:id="476" w:author="Master Repository Process" w:date="2021-07-31T10:34:00Z">
        <w:r>
          <w:delText>1957</w:delText>
        </w:r>
        <w:r>
          <w:noBreakHyphen/>
          <w:delText>8</w:delText>
        </w:r>
      </w:del>
      <w:ins w:id="477" w:author="Master Repository Process" w:date="2021-07-31T10:34:00Z">
        <w:r>
          <w:t>2163</w:t>
        </w:r>
      </w:ins>
      <w:r>
        <w:t>.]</w:t>
      </w:r>
    </w:p>
    <w:p>
      <w:pPr>
        <w:pStyle w:val="yHeading3"/>
      </w:pPr>
      <w:bookmarkStart w:id="478" w:name="_Toc422928245"/>
      <w:bookmarkStart w:id="479" w:name="_Toc423434752"/>
      <w:bookmarkStart w:id="480" w:name="_Toc404845851"/>
      <w:bookmarkStart w:id="481" w:name="_Toc415059532"/>
      <w:bookmarkStart w:id="482" w:name="_Toc415059881"/>
      <w:r>
        <w:rPr>
          <w:rStyle w:val="CharSDivNo"/>
        </w:rPr>
        <w:t>Division</w:t>
      </w:r>
      <w:del w:id="483" w:author="Master Repository Process" w:date="2021-07-31T10:34:00Z">
        <w:r>
          <w:rPr>
            <w:rStyle w:val="CharSDivNo"/>
            <w:szCs w:val="24"/>
          </w:rPr>
          <w:delText xml:space="preserve"> </w:delText>
        </w:r>
      </w:del>
      <w:ins w:id="484" w:author="Master Repository Process" w:date="2021-07-31T10:34:00Z">
        <w:r>
          <w:rPr>
            <w:rStyle w:val="CharSDivNo"/>
          </w:rPr>
          <w:t> </w:t>
        </w:r>
      </w:ins>
      <w:r>
        <w:rPr>
          <w:rStyle w:val="CharSDivNo"/>
        </w:rPr>
        <w:t>3</w:t>
      </w:r>
      <w:r>
        <w:rPr>
          <w:b w:val="0"/>
        </w:rPr>
        <w:t> — </w:t>
      </w:r>
      <w:r>
        <w:rPr>
          <w:rStyle w:val="CharSDivText"/>
        </w:rPr>
        <w:t>Other applications</w:t>
      </w:r>
      <w:bookmarkEnd w:id="478"/>
      <w:bookmarkEnd w:id="479"/>
      <w:bookmarkEnd w:id="480"/>
      <w:bookmarkEnd w:id="481"/>
      <w:bookmarkEnd w:id="482"/>
    </w:p>
    <w:p>
      <w:pPr>
        <w:pStyle w:val="yFootnotesection"/>
        <w:keepLines w:val="0"/>
        <w:spacing w:before="80" w:after="120"/>
        <w:rPr>
          <w:ins w:id="485" w:author="Master Repository Process" w:date="2021-07-31T10:34:00Z"/>
        </w:rPr>
      </w:pPr>
      <w:ins w:id="486" w:author="Master Repository Process" w:date="2021-07-31T10:34:00Z">
        <w:r>
          <w:tab/>
          <w:t>[Heading inserted in Gazette 23 Jun 2015 p. 2164.]</w:t>
        </w:r>
      </w:ins>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c>
          <w:tcPr>
            <w:tcW w:w="855"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pPr>
            <w:r>
              <w:t>$2 </w:t>
            </w:r>
            <w:del w:id="487" w:author="Master Repository Process" w:date="2021-07-31T10:34:00Z">
              <w:r>
                <w:rPr>
                  <w:szCs w:val="22"/>
                </w:rPr>
                <w:delText>040</w:delText>
              </w:r>
            </w:del>
            <w:ins w:id="488" w:author="Master Repository Process" w:date="2021-07-31T10:34:00Z">
              <w:r>
                <w:t>100</w:t>
              </w:r>
            </w:ins>
            <w:r>
              <w:t>.00</w:t>
            </w:r>
          </w:p>
        </w:tc>
      </w:tr>
    </w:tbl>
    <w:p>
      <w:pPr>
        <w:pStyle w:val="yFootnotesection"/>
        <w:keepLines w:val="0"/>
        <w:spacing w:before="80" w:after="120"/>
      </w:pPr>
      <w:r>
        <w:tab/>
        <w:t xml:space="preserve">[Division 3 </w:t>
      </w:r>
      <w:del w:id="489" w:author="Master Repository Process" w:date="2021-07-31T10:34:00Z">
        <w:r>
          <w:delText>amended</w:delText>
        </w:r>
      </w:del>
      <w:ins w:id="490" w:author="Master Repository Process" w:date="2021-07-31T10:34:00Z">
        <w:r>
          <w:t>inserted</w:t>
        </w:r>
      </w:ins>
      <w:r>
        <w:t xml:space="preserve"> in Gazette </w:t>
      </w:r>
      <w:del w:id="491" w:author="Master Repository Process" w:date="2021-07-31T10:34:00Z">
        <w:r>
          <w:delText>17</w:delText>
        </w:r>
      </w:del>
      <w:ins w:id="492" w:author="Master Repository Process" w:date="2021-07-31T10:34:00Z">
        <w:r>
          <w:t>23</w:t>
        </w:r>
      </w:ins>
      <w:r>
        <w:t xml:space="preserve"> Jun </w:t>
      </w:r>
      <w:del w:id="493" w:author="Master Repository Process" w:date="2021-07-31T10:34:00Z">
        <w:r>
          <w:delText>2014</w:delText>
        </w:r>
      </w:del>
      <w:ins w:id="494" w:author="Master Repository Process" w:date="2021-07-31T10:34:00Z">
        <w:r>
          <w:t>2015</w:t>
        </w:r>
      </w:ins>
      <w:r>
        <w:t xml:space="preserve"> p. </w:t>
      </w:r>
      <w:del w:id="495" w:author="Master Repository Process" w:date="2021-07-31T10:34:00Z">
        <w:r>
          <w:delText>1958</w:delText>
        </w:r>
      </w:del>
      <w:ins w:id="496" w:author="Master Repository Process" w:date="2021-07-31T10:34:00Z">
        <w:r>
          <w:t>2164</w:t>
        </w:r>
      </w:ins>
      <w:r>
        <w:t>.]</w:t>
      </w:r>
    </w:p>
    <w:bookmarkEnd w:id="395"/>
    <w:bookmarkEnd w:id="396"/>
    <w:bookmarkEnd w:id="397"/>
    <w:p/>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497" w:name="_Toc404845852"/>
      <w:bookmarkStart w:id="498" w:name="_Toc415059533"/>
      <w:bookmarkStart w:id="499" w:name="_Toc415059882"/>
      <w:bookmarkStart w:id="500" w:name="_Toc422928246"/>
      <w:bookmarkStart w:id="501" w:name="_Toc423434753"/>
      <w:r>
        <w:rPr>
          <w:rStyle w:val="CharSchNo"/>
        </w:rPr>
        <w:t>Schedule 3</w:t>
      </w:r>
      <w:r>
        <w:t> — </w:t>
      </w:r>
      <w:r>
        <w:rPr>
          <w:rStyle w:val="CharSchText"/>
        </w:rPr>
        <w:t>Inspections or tests of systems</w:t>
      </w:r>
      <w:bookmarkEnd w:id="497"/>
      <w:bookmarkEnd w:id="498"/>
      <w:bookmarkEnd w:id="499"/>
      <w:bookmarkEnd w:id="500"/>
      <w:bookmarkEnd w:id="501"/>
    </w:p>
    <w:p>
      <w:pPr>
        <w:pStyle w:val="yShoulderClause"/>
      </w:pPr>
      <w:r>
        <w:t>[r. 27]</w:t>
      </w:r>
    </w:p>
    <w:p>
      <w:pPr>
        <w:pStyle w:val="yHeading5"/>
      </w:pPr>
      <w:bookmarkStart w:id="502" w:name="_Toc404845853"/>
      <w:bookmarkStart w:id="503" w:name="_Toc423434754"/>
      <w:bookmarkStart w:id="504" w:name="_Toc415059883"/>
      <w:r>
        <w:rPr>
          <w:rStyle w:val="CharSClsNo"/>
        </w:rPr>
        <w:t>1</w:t>
      </w:r>
      <w:r>
        <w:t>.</w:t>
      </w:r>
      <w:r>
        <w:tab/>
        <w:t>Term used: EP</w:t>
      </w:r>
      <w:bookmarkEnd w:id="502"/>
      <w:bookmarkEnd w:id="503"/>
      <w:bookmarkEnd w:id="504"/>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505" w:name="_Toc404845854"/>
      <w:bookmarkStart w:id="506" w:name="_Toc415059535"/>
      <w:bookmarkStart w:id="507" w:name="_Toc415059884"/>
      <w:bookmarkStart w:id="508" w:name="_Toc422928248"/>
      <w:bookmarkStart w:id="509" w:name="_Toc423434755"/>
      <w:r>
        <w:rPr>
          <w:rStyle w:val="CharSchNo"/>
        </w:rPr>
        <w:t>Schedule 4</w:t>
      </w:r>
      <w:r>
        <w:t> — </w:t>
      </w:r>
      <w:r>
        <w:rPr>
          <w:rStyle w:val="CharSchText"/>
        </w:rPr>
        <w:t>Building work that does not require building permit</w:t>
      </w:r>
      <w:bookmarkEnd w:id="505"/>
      <w:bookmarkEnd w:id="506"/>
      <w:bookmarkEnd w:id="507"/>
      <w:bookmarkEnd w:id="508"/>
      <w:bookmarkEnd w:id="509"/>
    </w:p>
    <w:p>
      <w:pPr>
        <w:pStyle w:val="yShoulderClause"/>
      </w:pPr>
      <w:r>
        <w:t>[r. 41]</w:t>
      </w:r>
    </w:p>
    <w:p>
      <w:pPr>
        <w:pStyle w:val="yHeading5"/>
        <w:rPr>
          <w:rStyle w:val="CharSDivText"/>
        </w:rPr>
      </w:pPr>
      <w:bookmarkStart w:id="510" w:name="_Toc404845855"/>
      <w:bookmarkStart w:id="511" w:name="_Toc423434756"/>
      <w:bookmarkStart w:id="512" w:name="_Toc415059885"/>
      <w:r>
        <w:rPr>
          <w:rStyle w:val="CharSClsNo"/>
        </w:rPr>
        <w:t>1</w:t>
      </w:r>
      <w:r>
        <w:t>.</w:t>
      </w:r>
      <w:r>
        <w:tab/>
      </w:r>
      <w:r>
        <w:rPr>
          <w:rStyle w:val="CharSDivText"/>
        </w:rPr>
        <w:t>Areas where building permit not required for certain work</w:t>
      </w:r>
      <w:bookmarkEnd w:id="510"/>
      <w:bookmarkEnd w:id="511"/>
      <w:bookmarkEnd w:id="512"/>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513" w:name="_Toc404845856"/>
      <w:bookmarkStart w:id="514" w:name="_Toc423434757"/>
      <w:bookmarkStart w:id="515" w:name="_Toc415059886"/>
      <w:r>
        <w:rPr>
          <w:rStyle w:val="CharSClsNo"/>
        </w:rPr>
        <w:t>2</w:t>
      </w:r>
      <w:r>
        <w:t>.</w:t>
      </w:r>
      <w:r>
        <w:tab/>
      </w:r>
      <w:r>
        <w:rPr>
          <w:rStyle w:val="CharSDivText"/>
        </w:rPr>
        <w:t>Kinds of building work for which a building permit is not required</w:t>
      </w:r>
      <w:bookmarkEnd w:id="513"/>
      <w:bookmarkEnd w:id="514"/>
      <w:bookmarkEnd w:id="515"/>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bl>
    <w:p>
      <w:pPr>
        <w:pStyle w:val="yFootnotesection"/>
      </w:pPr>
      <w:r>
        <w:tab/>
        <w:t>[Clause 2 amended in Gazette 15 Jun 2012 p. 2515; 18 Dec 2012 p. 6576; 24 Apr 2014 p. 1141.]</w:t>
      </w:r>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516" w:name="_Toc404845857"/>
      <w:bookmarkStart w:id="517" w:name="_Toc415059538"/>
      <w:bookmarkStart w:id="518" w:name="_Toc415059887"/>
      <w:bookmarkStart w:id="519" w:name="_Toc422928251"/>
      <w:bookmarkStart w:id="520" w:name="_Toc423434758"/>
      <w:r>
        <w:rPr>
          <w:rStyle w:val="CharSchNo"/>
        </w:rPr>
        <w:t>Schedule 5</w:t>
      </w:r>
      <w:r>
        <w:rPr>
          <w:rStyle w:val="CharSDivNo"/>
        </w:rPr>
        <w:t> </w:t>
      </w:r>
      <w:r>
        <w:t>—</w:t>
      </w:r>
      <w:r>
        <w:rPr>
          <w:rStyle w:val="CharSDivText"/>
        </w:rPr>
        <w:t> </w:t>
      </w:r>
      <w:r>
        <w:rPr>
          <w:rStyle w:val="CharSchText"/>
        </w:rPr>
        <w:t>Areas of State where Part 8 Division 2 applies</w:t>
      </w:r>
      <w:bookmarkEnd w:id="516"/>
      <w:bookmarkEnd w:id="517"/>
      <w:bookmarkEnd w:id="518"/>
      <w:bookmarkEnd w:id="519"/>
      <w:bookmarkEnd w:id="520"/>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yScheduleHeading"/>
      </w:pPr>
      <w:bookmarkStart w:id="521" w:name="_Toc404845858"/>
      <w:bookmarkStart w:id="522" w:name="_Toc415059539"/>
      <w:bookmarkStart w:id="523" w:name="_Toc415059888"/>
      <w:bookmarkStart w:id="524" w:name="_Toc422928252"/>
      <w:bookmarkStart w:id="525" w:name="_Toc423434759"/>
      <w:r>
        <w:rPr>
          <w:rStyle w:val="CharSchNo"/>
        </w:rPr>
        <w:t>Schedule 6</w:t>
      </w:r>
      <w:r>
        <w:rPr>
          <w:rStyle w:val="CharSDivNo"/>
        </w:rPr>
        <w:t> </w:t>
      </w:r>
      <w:r>
        <w:t>—</w:t>
      </w:r>
      <w:r>
        <w:rPr>
          <w:rStyle w:val="CharSDivText"/>
        </w:rPr>
        <w:t> </w:t>
      </w:r>
      <w:r>
        <w:rPr>
          <w:rStyle w:val="CharSchText"/>
        </w:rPr>
        <w:t>Prescribed offences and modified penalties</w:t>
      </w:r>
      <w:bookmarkEnd w:id="521"/>
      <w:bookmarkEnd w:id="522"/>
      <w:bookmarkEnd w:id="523"/>
      <w:bookmarkEnd w:id="524"/>
      <w:bookmarkEnd w:id="525"/>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Enclosure of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w:t>
      </w:r>
    </w:p>
    <w:p>
      <w:pPr>
        <w:pStyle w:val="yScheduleHeading"/>
        <w:rPr>
          <w:rStyle w:val="CharSchNo"/>
        </w:rPr>
        <w:sectPr>
          <w:headerReference w:type="even" r:id="rId32"/>
          <w:endnotePr>
            <w:numFmt w:val="decimal"/>
          </w:endnotePr>
          <w:pgSz w:w="11907" w:h="16840" w:code="9"/>
          <w:pgMar w:top="2381" w:right="2410" w:bottom="3544" w:left="2410" w:header="720" w:footer="3380" w:gutter="0"/>
          <w:cols w:space="720"/>
          <w:docGrid w:linePitch="326"/>
        </w:sectPr>
      </w:pPr>
    </w:p>
    <w:p>
      <w:pPr>
        <w:pStyle w:val="yScheduleHeading"/>
      </w:pPr>
      <w:bookmarkStart w:id="526" w:name="_Toc404845859"/>
      <w:bookmarkStart w:id="527" w:name="_Toc415059540"/>
      <w:bookmarkStart w:id="528" w:name="_Toc415059889"/>
      <w:bookmarkStart w:id="529" w:name="_Toc422928253"/>
      <w:bookmarkStart w:id="530" w:name="_Toc423434760"/>
      <w:r>
        <w:rPr>
          <w:rStyle w:val="CharSchNo"/>
        </w:rPr>
        <w:t>Schedule 7</w:t>
      </w:r>
      <w:r>
        <w:rPr>
          <w:rStyle w:val="CharSDivNo"/>
        </w:rPr>
        <w:t> </w:t>
      </w:r>
      <w:r>
        <w:t>—</w:t>
      </w:r>
      <w:r>
        <w:rPr>
          <w:rStyle w:val="CharSDivText"/>
        </w:rPr>
        <w:t> </w:t>
      </w:r>
      <w:r>
        <w:rPr>
          <w:rStyle w:val="CharSchText"/>
        </w:rPr>
        <w:t>Forms</w:t>
      </w:r>
      <w:bookmarkEnd w:id="526"/>
      <w:bookmarkEnd w:id="527"/>
      <w:bookmarkEnd w:id="528"/>
      <w:bookmarkEnd w:id="529"/>
      <w:bookmarkEnd w:id="530"/>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p>
    <w:p>
      <w:pPr>
        <w:pStyle w:val="nHeading2"/>
      </w:pPr>
      <w:bookmarkStart w:id="531" w:name="_Toc404845860"/>
      <w:bookmarkStart w:id="532" w:name="_Toc415059541"/>
      <w:bookmarkStart w:id="533" w:name="_Toc415059890"/>
      <w:bookmarkStart w:id="534" w:name="_Toc422928254"/>
      <w:bookmarkStart w:id="535" w:name="_Toc423434761"/>
      <w:r>
        <w:t>Notes</w:t>
      </w:r>
      <w:bookmarkEnd w:id="531"/>
      <w:bookmarkEnd w:id="532"/>
      <w:bookmarkEnd w:id="533"/>
      <w:bookmarkEnd w:id="534"/>
      <w:bookmarkEnd w:id="535"/>
    </w:p>
    <w:p>
      <w:pPr>
        <w:pStyle w:val="nSubsection"/>
        <w:rPr>
          <w:snapToGrid w:val="0"/>
        </w:rPr>
      </w:pPr>
      <w:r>
        <w:rPr>
          <w:snapToGrid w:val="0"/>
          <w:vertAlign w:val="superscript"/>
        </w:rPr>
        <w:t>1</w:t>
      </w:r>
      <w:r>
        <w:rPr>
          <w:snapToGrid w:val="0"/>
        </w:rPr>
        <w:tab/>
        <w:t xml:space="preserve">This reprint is a compilation as at 21 November 2014 of </w:t>
      </w:r>
      <w:r>
        <w:rPr>
          <w:i/>
          <w:snapToGrid w:val="0"/>
        </w:rPr>
        <w:t>the Building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536" w:name="_Toc404845861"/>
      <w:bookmarkStart w:id="537" w:name="_Toc423434762"/>
      <w:bookmarkStart w:id="538" w:name="_Toc415059891"/>
      <w:r>
        <w:t>Compilation table</w:t>
      </w:r>
      <w:bookmarkEnd w:id="536"/>
      <w:bookmarkEnd w:id="537"/>
      <w:bookmarkEnd w:id="53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29"/>
        <w:gridCol w:w="1134"/>
        <w:gridCol w:w="113"/>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163"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806"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163" w:type="dxa"/>
            <w:gridSpan w:val="2"/>
            <w:tcBorders>
              <w:top w:val="single" w:sz="8" w:space="0" w:color="auto"/>
              <w:bottom w:val="nil"/>
            </w:tcBorders>
          </w:tcPr>
          <w:p>
            <w:pPr>
              <w:pStyle w:val="nTable"/>
              <w:spacing w:after="40"/>
              <w:rPr>
                <w:rFonts w:ascii="Times" w:hAnsi="Times"/>
              </w:rPr>
            </w:pPr>
            <w:r>
              <w:rPr>
                <w:rFonts w:ascii="Times" w:hAnsi="Times"/>
              </w:rPr>
              <w:t>13 Mar 2012 p. 1055-137</w:t>
            </w:r>
          </w:p>
        </w:tc>
        <w:tc>
          <w:tcPr>
            <w:tcW w:w="2806" w:type="dxa"/>
            <w:gridSpan w:val="3"/>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163" w:type="dxa"/>
            <w:gridSpan w:val="2"/>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806" w:type="dxa"/>
            <w:gridSpan w:val="3"/>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163" w:type="dxa"/>
            <w:gridSpan w:val="2"/>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806" w:type="dxa"/>
            <w:gridSpan w:val="3"/>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163" w:type="dxa"/>
            <w:gridSpan w:val="2"/>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806" w:type="dxa"/>
            <w:gridSpan w:val="3"/>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6"/>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2014</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24 Apr 2014 p. 1135</w:t>
            </w:r>
            <w:r>
              <w:rPr>
                <w:rFonts w:ascii="Times" w:hAnsi="Times"/>
              </w:rPr>
              <w:noBreakHyphen/>
              <w:t>41</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gridSpan w:val="3"/>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gridSpan w:val="2"/>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gridSpan w:val="2"/>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6"/>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rPr>
          <w:ins w:id="539" w:author="Master Repository Process" w:date="2021-07-31T10:34:00Z"/>
        </w:trPr>
        <w:tc>
          <w:tcPr>
            <w:tcW w:w="3147" w:type="dxa"/>
            <w:gridSpan w:val="2"/>
            <w:tcBorders>
              <w:top w:val="nil"/>
              <w:bottom w:val="nil"/>
            </w:tcBorders>
            <w:shd w:val="clear" w:color="auto" w:fill="auto"/>
          </w:tcPr>
          <w:p>
            <w:pPr>
              <w:pStyle w:val="nTable"/>
              <w:spacing w:after="40"/>
              <w:rPr>
                <w:ins w:id="540" w:author="Master Repository Process" w:date="2021-07-31T10:34:00Z"/>
                <w:rFonts w:ascii="Times" w:hAnsi="Times"/>
                <w:b/>
                <w:snapToGrid w:val="0"/>
              </w:rPr>
            </w:pPr>
            <w:ins w:id="541" w:author="Master Repository Process" w:date="2021-07-31T10:34:00Z">
              <w:r>
                <w:rPr>
                  <w:i/>
                </w:rPr>
                <w:t>Building Amendment Regulations (No. 4) 2015</w:t>
              </w:r>
            </w:ins>
          </w:p>
        </w:tc>
        <w:tc>
          <w:tcPr>
            <w:tcW w:w="1276" w:type="dxa"/>
            <w:gridSpan w:val="3"/>
            <w:tcBorders>
              <w:top w:val="nil"/>
              <w:bottom w:val="nil"/>
            </w:tcBorders>
            <w:shd w:val="clear" w:color="auto" w:fill="auto"/>
          </w:tcPr>
          <w:p>
            <w:pPr>
              <w:pStyle w:val="nTable"/>
              <w:spacing w:after="40"/>
              <w:rPr>
                <w:ins w:id="542" w:author="Master Repository Process" w:date="2021-07-31T10:34:00Z"/>
                <w:rFonts w:ascii="Times" w:hAnsi="Times"/>
                <w:b/>
                <w:snapToGrid w:val="0"/>
              </w:rPr>
            </w:pPr>
            <w:ins w:id="543" w:author="Master Repository Process" w:date="2021-07-31T10:34:00Z">
              <w:r>
                <w:rPr>
                  <w:rFonts w:ascii="Times" w:hAnsi="Times"/>
                  <w:spacing w:val="-4"/>
                </w:rPr>
                <w:t>23 Jun 2015 p. 2161-4</w:t>
              </w:r>
            </w:ins>
          </w:p>
        </w:tc>
        <w:tc>
          <w:tcPr>
            <w:tcW w:w="2664" w:type="dxa"/>
            <w:tcBorders>
              <w:top w:val="nil"/>
              <w:bottom w:val="nil"/>
            </w:tcBorders>
            <w:shd w:val="clear" w:color="auto" w:fill="auto"/>
          </w:tcPr>
          <w:p>
            <w:pPr>
              <w:pStyle w:val="nTable"/>
              <w:spacing w:after="40"/>
              <w:rPr>
                <w:ins w:id="544" w:author="Master Repository Process" w:date="2021-07-31T10:34:00Z"/>
                <w:rFonts w:ascii="Times" w:hAnsi="Times"/>
                <w:b/>
                <w:snapToGrid w:val="0"/>
              </w:rPr>
            </w:pPr>
            <w:ins w:id="545" w:author="Master Repository Process" w:date="2021-07-31T10:34:00Z">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ins>
          </w:p>
        </w:tc>
      </w:tr>
      <w:tr>
        <w:trPr>
          <w:ins w:id="546" w:author="Master Repository Process" w:date="2021-07-31T10:34:00Z"/>
        </w:trPr>
        <w:tc>
          <w:tcPr>
            <w:tcW w:w="3147" w:type="dxa"/>
            <w:gridSpan w:val="2"/>
            <w:tcBorders>
              <w:top w:val="nil"/>
              <w:bottom w:val="single" w:sz="8" w:space="0" w:color="auto"/>
            </w:tcBorders>
            <w:shd w:val="clear" w:color="auto" w:fill="auto"/>
          </w:tcPr>
          <w:p>
            <w:pPr>
              <w:pStyle w:val="nTable"/>
              <w:spacing w:after="40"/>
              <w:rPr>
                <w:ins w:id="547" w:author="Master Repository Process" w:date="2021-07-31T10:34:00Z"/>
                <w:i/>
              </w:rPr>
            </w:pPr>
            <w:ins w:id="548" w:author="Master Repository Process" w:date="2021-07-31T10:34:00Z">
              <w:r>
                <w:rPr>
                  <w:i/>
                </w:rPr>
                <w:t>Building Amendment Regulations (No. 2) 2015</w:t>
              </w:r>
            </w:ins>
          </w:p>
        </w:tc>
        <w:tc>
          <w:tcPr>
            <w:tcW w:w="1276" w:type="dxa"/>
            <w:gridSpan w:val="3"/>
            <w:tcBorders>
              <w:top w:val="nil"/>
              <w:bottom w:val="single" w:sz="8" w:space="0" w:color="auto"/>
            </w:tcBorders>
            <w:shd w:val="clear" w:color="auto" w:fill="auto"/>
          </w:tcPr>
          <w:p>
            <w:pPr>
              <w:pStyle w:val="nTable"/>
              <w:spacing w:after="40"/>
              <w:rPr>
                <w:ins w:id="549" w:author="Master Repository Process" w:date="2021-07-31T10:34:00Z"/>
                <w:rFonts w:ascii="Times" w:hAnsi="Times"/>
                <w:spacing w:val="-4"/>
              </w:rPr>
            </w:pPr>
            <w:ins w:id="550" w:author="Master Repository Process" w:date="2021-07-31T10:34:00Z">
              <w:r>
                <w:rPr>
                  <w:rFonts w:ascii="Times" w:hAnsi="Times"/>
                  <w:spacing w:val="-4"/>
                </w:rPr>
                <w:t>30 Jun 2015 p. 2328</w:t>
              </w:r>
              <w:r>
                <w:rPr>
                  <w:rFonts w:ascii="Times" w:hAnsi="Times"/>
                  <w:spacing w:val="-4"/>
                </w:rPr>
                <w:noBreakHyphen/>
                <w:t>9</w:t>
              </w:r>
            </w:ins>
          </w:p>
        </w:tc>
        <w:tc>
          <w:tcPr>
            <w:tcW w:w="2664" w:type="dxa"/>
            <w:tcBorders>
              <w:top w:val="nil"/>
              <w:bottom w:val="single" w:sz="8" w:space="0" w:color="auto"/>
            </w:tcBorders>
            <w:shd w:val="clear" w:color="auto" w:fill="auto"/>
          </w:tcPr>
          <w:p>
            <w:pPr>
              <w:pStyle w:val="nTable"/>
              <w:spacing w:after="40"/>
              <w:rPr>
                <w:ins w:id="551" w:author="Master Repository Process" w:date="2021-07-31T10:34:00Z"/>
                <w:rFonts w:ascii="Times" w:hAnsi="Times"/>
                <w:bCs/>
                <w:snapToGrid w:val="0"/>
              </w:rPr>
            </w:pPr>
            <w:ins w:id="552" w:author="Master Repository Process" w:date="2021-07-31T10:34:00Z">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ins>
          </w:p>
        </w:tc>
      </w:tr>
    </w:tbl>
    <w:p>
      <w:pPr>
        <w:pStyle w:val="nSubsection"/>
        <w:keepNext/>
        <w:keepLines/>
        <w:spacing w:before="140"/>
        <w:rPr>
          <w:snapToGrid w:val="0"/>
          <w:vertAlign w:val="superscript"/>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392" w:name="Schedule"/>
    <w:bookmarkEnd w:id="3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3" w:name="Compilation"/>
    <w:bookmarkEnd w:id="553"/>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4" w:name="Coversheet"/>
    <w:bookmarkEnd w:id="5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15:restartNumberingAfterBreak="0">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15:restartNumberingAfterBreak="0">
    <w:nsid w:val="1DA734AA"/>
    <w:multiLevelType w:val="multilevel"/>
    <w:tmpl w:val="4CD617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2FF52EB"/>
    <w:multiLevelType w:val="multilevel"/>
    <w:tmpl w:val="F25E9A04"/>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8" w15:restartNumberingAfterBreak="0">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15:restartNumberingAfterBreak="0">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2"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4" w15:restartNumberingAfterBreak="0">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5" w15:restartNumberingAfterBreak="0">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23"/>
  </w:num>
  <w:num w:numId="3">
    <w:abstractNumId w:val="14"/>
  </w:num>
  <w:num w:numId="4">
    <w:abstractNumId w:val="11"/>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4"/>
  </w:num>
  <w:num w:numId="18">
    <w:abstractNumId w:val="16"/>
  </w:num>
  <w:num w:numId="19">
    <w:abstractNumId w:val="16"/>
  </w:num>
  <w:num w:numId="20">
    <w:abstractNumId w:val="16"/>
  </w:num>
  <w:num w:numId="21">
    <w:abstractNumId w:val="16"/>
  </w:num>
  <w:num w:numId="22">
    <w:abstractNumId w:val="16"/>
  </w:num>
  <w:num w:numId="23">
    <w:abstractNumId w:val="16"/>
  </w:num>
  <w:num w:numId="24">
    <w:abstractNumId w:val="16"/>
  </w:num>
  <w:num w:numId="25">
    <w:abstractNumId w:val="16"/>
  </w:num>
  <w:num w:numId="26">
    <w:abstractNumId w:val="16"/>
  </w:num>
  <w:num w:numId="27">
    <w:abstractNumId w:val="20"/>
  </w:num>
  <w:num w:numId="28">
    <w:abstractNumId w:val="15"/>
  </w:num>
  <w:num w:numId="29">
    <w:abstractNumId w:val="21"/>
  </w:num>
  <w:num w:numId="30">
    <w:abstractNumId w:val="25"/>
  </w:num>
  <w:num w:numId="31">
    <w:abstractNumId w:val="16"/>
  </w:num>
  <w:num w:numId="32">
    <w:abstractNumId w:val="16"/>
  </w:num>
  <w:num w:numId="33">
    <w:abstractNumId w:val="16"/>
  </w:num>
  <w:num w:numId="34">
    <w:abstractNumId w:val="13"/>
  </w:num>
  <w:num w:numId="35">
    <w:abstractNumId w:val="19"/>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25145402"/>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0D745F3-8E6F-4C80-8185-2FB1298B6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image" Target="media/image3.png"/><Relationship Id="rId38" Type="http://schemas.openxmlformats.org/officeDocument/2006/relationships/header" Target="header22.xml"/><Relationship Id="rId46" Type="http://schemas.microsoft.com/office/2011/relationships/people" Target="people.xml"/><Relationship Id="rId20" Type="http://schemas.openxmlformats.org/officeDocument/2006/relationships/header" Target="head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4FAB3A-8113-4230-BAA3-9DFE7AAA4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18481</Words>
  <Characters>91854</Characters>
  <Application>Microsoft Office Word</Application>
  <DocSecurity>0</DocSecurity>
  <Lines>3167</Lines>
  <Paragraphs>1779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02-a0-01 - 02-b0-02</dc:title>
  <dc:subject/>
  <dc:creator/>
  <cp:keywords/>
  <dc:description/>
  <cp:lastModifiedBy>Master Repository Process</cp:lastModifiedBy>
  <cp:revision>2</cp:revision>
  <cp:lastPrinted>2014-11-26T04:30:00Z</cp:lastPrinted>
  <dcterms:created xsi:type="dcterms:W3CDTF">2021-07-31T02:34:00Z</dcterms:created>
  <dcterms:modified xsi:type="dcterms:W3CDTF">2021-07-31T02:34:00Z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No">
    <vt:lpwstr>2</vt:lpwstr>
  </property>
  <property fmtid="{D5CDD505-2E9C-101B-9397-08002B2CF9AE}" pid="5" name="ReprintedAsAt">
    <vt:filetime>2014-11-20T16:00:00Z</vt:filetime>
  </property>
  <property fmtid="{D5CDD505-2E9C-101B-9397-08002B2CF9AE}" pid="6" name="CommencementDate">
    <vt:lpwstr>20150701</vt:lpwstr>
  </property>
  <property fmtid="{D5CDD505-2E9C-101B-9397-08002B2CF9AE}" pid="7" name="FromSuffix">
    <vt:lpwstr>02-a0-01</vt:lpwstr>
  </property>
  <property fmtid="{D5CDD505-2E9C-101B-9397-08002B2CF9AE}" pid="8" name="FromAsAtDate">
    <vt:lpwstr>21 Nov 2014</vt:lpwstr>
  </property>
  <property fmtid="{D5CDD505-2E9C-101B-9397-08002B2CF9AE}" pid="9" name="ToSuffix">
    <vt:lpwstr>02-b0-02</vt:lpwstr>
  </property>
  <property fmtid="{D5CDD505-2E9C-101B-9397-08002B2CF9AE}" pid="10" name="ToAsAtDate">
    <vt:lpwstr>01 Jul 2015</vt:lpwstr>
  </property>
</Properties>
</file>