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Construction Contracts Act 2004</w:t>
      </w:r>
    </w:p>
    <w:p>
      <w:pPr>
        <w:pStyle w:val="NameofActReg"/>
      </w:pPr>
      <w:r>
        <w:t>Construction Contracts Regulations 2004</w:t>
      </w:r>
    </w:p>
    <w:p>
      <w:pPr>
        <w:pStyle w:val="Heading5"/>
      </w:pPr>
      <w:bookmarkStart w:id="1" w:name="_Toc423446531"/>
      <w:bookmarkStart w:id="2" w:name="_Toc415652504"/>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423446532"/>
      <w:bookmarkStart w:id="5" w:name="_Toc415652505"/>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6" w:name="_Toc423446533"/>
      <w:bookmarkStart w:id="7" w:name="_Toc415652506"/>
      <w:r>
        <w:rPr>
          <w:rStyle w:val="CharSectno"/>
        </w:rPr>
        <w:t>3</w:t>
      </w:r>
      <w:r>
        <w:t>.</w:t>
      </w:r>
      <w:r>
        <w:tab/>
        <w:t>Terms used in these regulations</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8" w:name="_Toc423446534"/>
      <w:bookmarkStart w:id="9" w:name="_Toc415652507"/>
      <w:r>
        <w:rPr>
          <w:rStyle w:val="CharSectno"/>
        </w:rPr>
        <w:t>4</w:t>
      </w:r>
      <w:r>
        <w:t>.</w:t>
      </w:r>
      <w:r>
        <w:tab/>
        <w:t>Giving a person’s contact details</w:t>
      </w:r>
      <w:bookmarkEnd w:id="8"/>
      <w:bookmarkEnd w:id="9"/>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10" w:name="_Toc423446535"/>
      <w:bookmarkStart w:id="11" w:name="_Toc415652508"/>
      <w:r>
        <w:rPr>
          <w:rStyle w:val="CharSectno"/>
        </w:rPr>
        <w:lastRenderedPageBreak/>
        <w:t>5</w:t>
      </w:r>
      <w:r>
        <w:t>.</w:t>
      </w:r>
      <w:r>
        <w:tab/>
        <w:t>Prescribed information in application for adjudication</w:t>
      </w:r>
      <w:bookmarkEnd w:id="10"/>
      <w:bookmarkEnd w:id="11"/>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2" w:name="_Toc423446536"/>
      <w:bookmarkStart w:id="13" w:name="_Toc415652509"/>
      <w:r>
        <w:rPr>
          <w:rStyle w:val="CharSectno"/>
        </w:rPr>
        <w:t>6</w:t>
      </w:r>
      <w:r>
        <w:t>.</w:t>
      </w:r>
      <w:r>
        <w:tab/>
        <w:t>Prescribed information in response to an application for adjudication</w:t>
      </w:r>
      <w:bookmarkEnd w:id="12"/>
      <w:bookmarkEnd w:id="13"/>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4" w:name="_Toc423446537"/>
      <w:bookmarkStart w:id="15" w:name="_Toc415652510"/>
      <w:r>
        <w:rPr>
          <w:rStyle w:val="CharSectno"/>
        </w:rPr>
        <w:t>7</w:t>
      </w:r>
      <w:r>
        <w:t>.</w:t>
      </w:r>
      <w:r>
        <w:tab/>
        <w:t>Prescribed information in adjudicator’s determination</w:t>
      </w:r>
      <w:bookmarkEnd w:id="14"/>
      <w:bookmarkEnd w:id="15"/>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w:t>
      </w:r>
    </w:p>
    <w:p>
      <w:pPr>
        <w:pStyle w:val="Indenta"/>
      </w:pPr>
      <w:r>
        <w:tab/>
        <w:t>(b)</w:t>
      </w:r>
      <w:r>
        <w:tab/>
        <w:t>the applicant’s name and contact details;</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6" w:name="_Toc423446538"/>
      <w:bookmarkStart w:id="17" w:name="_Toc415652511"/>
      <w:r>
        <w:rPr>
          <w:rStyle w:val="CharSectno"/>
        </w:rPr>
        <w:t>8</w:t>
      </w:r>
      <w:r>
        <w:t>.</w:t>
      </w:r>
      <w:r>
        <w:tab/>
        <w:t>Prescribed information in notice of intention to suspend performance of obligations</w:t>
      </w:r>
      <w:bookmarkEnd w:id="16"/>
      <w:bookmarkEnd w:id="17"/>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w:t>
      </w:r>
    </w:p>
    <w:p>
      <w:pPr>
        <w:pStyle w:val="Indenta"/>
      </w:pPr>
      <w:r>
        <w:tab/>
        <w:t>(b)</w:t>
      </w:r>
      <w:r>
        <w:tab/>
        <w:t>the principal’s name and contact details;</w:t>
      </w:r>
    </w:p>
    <w:p>
      <w:pPr>
        <w:pStyle w:val="Indenta"/>
      </w:pPr>
      <w:r>
        <w:tab/>
        <w:t>(c)</w:t>
      </w:r>
      <w:r>
        <w:tab/>
        <w:t>the contractor’s name and contact details;</w:t>
      </w:r>
    </w:p>
    <w:p>
      <w:pPr>
        <w:pStyle w:val="Indenta"/>
      </w:pPr>
      <w:r>
        <w:tab/>
        <w:t>(d)</w:t>
      </w:r>
      <w:r>
        <w:tab/>
        <w:t>the date and identification number (if any) of the adjudicator’s determination;</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8" w:name="_Toc423446539"/>
      <w:bookmarkStart w:id="19" w:name="_Toc415652512"/>
      <w:r>
        <w:rPr>
          <w:rStyle w:val="CharSectno"/>
        </w:rPr>
        <w:t>9</w:t>
      </w:r>
      <w:r>
        <w:t>.</w:t>
      </w:r>
      <w:r>
        <w:tab/>
        <w:t>Qualifications of registered adjudicators</w:t>
      </w:r>
      <w:bookmarkEnd w:id="18"/>
      <w:bookmarkEnd w:id="19"/>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pPr>
            <w:r>
              <w:t>Architecture</w:t>
            </w:r>
          </w:p>
        </w:tc>
        <w:tc>
          <w:tcPr>
            <w:tcW w:w="2764" w:type="dxa"/>
          </w:tcPr>
          <w:p>
            <w:pPr>
              <w:pStyle w:val="Table"/>
            </w:pPr>
            <w:r>
              <w:t>Building</w:t>
            </w:r>
          </w:p>
        </w:tc>
      </w:tr>
      <w:tr>
        <w:tc>
          <w:tcPr>
            <w:tcW w:w="2764" w:type="dxa"/>
          </w:tcPr>
          <w:p>
            <w:pPr>
              <w:pStyle w:val="Table"/>
            </w:pPr>
            <w:r>
              <w:t>Engineering</w:t>
            </w:r>
          </w:p>
        </w:tc>
        <w:tc>
          <w:tcPr>
            <w:tcW w:w="2764" w:type="dxa"/>
          </w:tcPr>
          <w:p>
            <w:pPr>
              <w:pStyle w:val="Table"/>
            </w:pPr>
            <w:r>
              <w:t>Construction</w:t>
            </w:r>
          </w:p>
        </w:tc>
      </w:tr>
      <w:tr>
        <w:tc>
          <w:tcPr>
            <w:tcW w:w="2764" w:type="dxa"/>
          </w:tcPr>
          <w:p>
            <w:pPr>
              <w:pStyle w:val="Table"/>
            </w:pPr>
            <w:r>
              <w:t>Quantity surveying</w:t>
            </w:r>
          </w:p>
        </w:tc>
        <w:tc>
          <w:tcPr>
            <w:tcW w:w="2764" w:type="dxa"/>
          </w:tcPr>
          <w:p>
            <w:pPr>
              <w:pStyle w:val="Table"/>
            </w:pPr>
            <w:r>
              <w:t>Law</w:t>
            </w:r>
          </w:p>
        </w:tc>
      </w:tr>
      <w:tr>
        <w:tc>
          <w:tcPr>
            <w:tcW w:w="2764" w:type="dxa"/>
          </w:tcPr>
          <w:p>
            <w:pPr>
              <w:pStyle w:val="Table"/>
            </w:pPr>
            <w:r>
              <w:t>Building surveying</w:t>
            </w:r>
          </w:p>
        </w:tc>
        <w:tc>
          <w:tcPr>
            <w:tcW w:w="2764" w:type="dxa"/>
          </w:tcPr>
          <w:p>
            <w:pPr>
              <w:pStyle w:val="Table"/>
            </w:pPr>
            <w:r>
              <w:t>Project management</w:t>
            </w:r>
          </w:p>
        </w:tc>
      </w:tr>
    </w:tbl>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pPr>
            <w:r>
              <w:t>The Royal Australian Institute of Architects</w:t>
            </w:r>
          </w:p>
        </w:tc>
      </w:tr>
      <w:tr>
        <w:trPr>
          <w:cantSplit/>
        </w:trPr>
        <w:tc>
          <w:tcPr>
            <w:tcW w:w="5528" w:type="dxa"/>
          </w:tcPr>
          <w:p>
            <w:pPr>
              <w:pStyle w:val="Table"/>
            </w:pPr>
            <w:r>
              <w:t>Institution of Engineers Australia</w:t>
            </w:r>
          </w:p>
        </w:tc>
      </w:tr>
      <w:tr>
        <w:trPr>
          <w:cantSplit/>
        </w:trPr>
        <w:tc>
          <w:tcPr>
            <w:tcW w:w="5528" w:type="dxa"/>
          </w:tcPr>
          <w:p>
            <w:pPr>
              <w:pStyle w:val="Table"/>
            </w:pPr>
            <w:r>
              <w:t>Australian Institute of Quantity Surveyors</w:t>
            </w:r>
          </w:p>
        </w:tc>
      </w:tr>
      <w:tr>
        <w:trPr>
          <w:cantSplit/>
        </w:trPr>
        <w:tc>
          <w:tcPr>
            <w:tcW w:w="5528" w:type="dxa"/>
          </w:tcPr>
          <w:p>
            <w:pPr>
              <w:pStyle w:val="Table"/>
            </w:pPr>
            <w:r>
              <w:t>Australian Institute of Building Surveyors</w:t>
            </w:r>
          </w:p>
        </w:tc>
      </w:tr>
      <w:tr>
        <w:trPr>
          <w:cantSplit/>
        </w:trPr>
        <w:tc>
          <w:tcPr>
            <w:tcW w:w="5528" w:type="dxa"/>
          </w:tcPr>
          <w:p>
            <w:pPr>
              <w:pStyle w:val="Table"/>
            </w:pPr>
            <w:r>
              <w:t>The Australian Institute of Building</w:t>
            </w:r>
          </w:p>
        </w:tc>
      </w:tr>
      <w:tr>
        <w:trPr>
          <w:cantSplit/>
        </w:trPr>
        <w:tc>
          <w:tcPr>
            <w:tcW w:w="5528" w:type="dxa"/>
          </w:tcPr>
          <w:p>
            <w:pPr>
              <w:pStyle w:val="Table"/>
            </w:pPr>
            <w:r>
              <w:t>The Institute of Arbitrators and Mediators of Australia</w:t>
            </w:r>
          </w:p>
        </w:tc>
      </w:tr>
      <w:tr>
        <w:trPr>
          <w:cantSplit/>
        </w:trPr>
        <w:tc>
          <w:tcPr>
            <w:tcW w:w="5528" w:type="dxa"/>
          </w:tcPr>
          <w:p>
            <w:pPr>
              <w:pStyle w:val="Table"/>
            </w:pPr>
            <w:r>
              <w:t>Australian Institute of Project Management</w:t>
            </w:r>
          </w:p>
        </w:tc>
      </w:tr>
    </w:tbl>
    <w:p>
      <w:pPr>
        <w:pStyle w:val="Indenta"/>
      </w:pPr>
      <w:r>
        <w:tab/>
      </w:r>
      <w: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20" w:name="_Toc423446540"/>
      <w:bookmarkStart w:id="21" w:name="_Toc415652513"/>
      <w:r>
        <w:rPr>
          <w:rStyle w:val="CharSectno"/>
        </w:rPr>
        <w:t>10</w:t>
      </w:r>
      <w:r>
        <w:t>.</w:t>
      </w:r>
      <w:r>
        <w:tab/>
        <w:t>Adjudicator application fee</w:t>
      </w:r>
      <w:bookmarkEnd w:id="20"/>
      <w:bookmarkEnd w:id="21"/>
    </w:p>
    <w:p>
      <w:pPr>
        <w:pStyle w:val="Subsection"/>
      </w:pPr>
      <w:r>
        <w:tab/>
      </w:r>
      <w:r>
        <w:tab/>
        <w:t>For the purposes of section 48(3) of the Act, a fee of $</w:t>
      </w:r>
      <w:del w:id="22" w:author="Master Repository Process" w:date="2021-07-31T16:18:00Z">
        <w:r>
          <w:delText>51</w:delText>
        </w:r>
      </w:del>
      <w:ins w:id="23" w:author="Master Repository Process" w:date="2021-07-31T16:18:00Z">
        <w:r>
          <w:t>52.50</w:t>
        </w:r>
      </w:ins>
      <w:r>
        <w:t xml:space="preserve"> is payable on the application of an individual for registration as a registered adjudicator.</w:t>
      </w:r>
    </w:p>
    <w:p>
      <w:pPr>
        <w:pStyle w:val="Footnotesection"/>
        <w:spacing w:before="100"/>
        <w:ind w:left="890" w:hanging="890"/>
      </w:pPr>
      <w:r>
        <w:tab/>
        <w:t xml:space="preserve">[Regulation 10 amended in Gazette </w:t>
      </w:r>
      <w:r>
        <w:rPr>
          <w:sz w:val="22"/>
        </w:rPr>
        <w:t>17 Jun 2014 p. 1962</w:t>
      </w:r>
      <w:ins w:id="24" w:author="Master Repository Process" w:date="2021-07-31T16:18:00Z">
        <w:r>
          <w:rPr>
            <w:sz w:val="22"/>
          </w:rPr>
          <w:t>; 23 Jun 2015 p. 2170</w:t>
        </w:r>
      </w:ins>
      <w:r>
        <w:t>.]</w:t>
      </w:r>
    </w:p>
    <w:p>
      <w:pPr>
        <w:pStyle w:val="Heading5"/>
      </w:pPr>
      <w:bookmarkStart w:id="25" w:name="_Toc423446541"/>
      <w:bookmarkStart w:id="26" w:name="_Toc415652514"/>
      <w:r>
        <w:rPr>
          <w:rStyle w:val="CharSectno"/>
        </w:rPr>
        <w:t>11</w:t>
      </w:r>
      <w:r>
        <w:t>.</w:t>
      </w:r>
      <w:r>
        <w:tab/>
        <w:t>Prescribed appointors</w:t>
      </w:r>
      <w:bookmarkEnd w:id="25"/>
      <w:bookmarkEnd w:id="26"/>
    </w:p>
    <w:p>
      <w:pPr>
        <w:pStyle w:val="Subsection"/>
      </w:pPr>
      <w:r>
        <w:tab/>
      </w:r>
      <w:r>
        <w:tab/>
        <w:t>For the purposes of the definition of “prescribed appointor” in section 3 of the Act, the persons listed in the Table to this regulation are prescribed.</w:t>
      </w:r>
    </w:p>
    <w:p>
      <w:pPr>
        <w:pStyle w:val="MiscellaneousHeading"/>
        <w:rPr>
          <w:b/>
          <w:bCs/>
          <w:sz w:val="22"/>
        </w:rPr>
      </w:pPr>
      <w:r>
        <w:rPr>
          <w:b/>
          <w:bCs/>
          <w:sz w:val="22"/>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pPr>
            <w:r>
              <w:t>The Australian Institute of Building</w:t>
            </w:r>
          </w:p>
        </w:tc>
      </w:tr>
      <w:tr>
        <w:trPr>
          <w:cantSplit/>
        </w:trPr>
        <w:tc>
          <w:tcPr>
            <w:tcW w:w="5386" w:type="dxa"/>
          </w:tcPr>
          <w:p>
            <w:pPr>
              <w:pStyle w:val="Table"/>
            </w:pPr>
            <w:r>
              <w:t>Australian Institute of Project Management</w:t>
            </w:r>
          </w:p>
        </w:tc>
      </w:tr>
      <w:tr>
        <w:trPr>
          <w:cantSplit/>
        </w:trPr>
        <w:tc>
          <w:tcPr>
            <w:tcW w:w="5386" w:type="dxa"/>
          </w:tcPr>
          <w:p>
            <w:pPr>
              <w:pStyle w:val="Table"/>
            </w:pPr>
            <w:r>
              <w:t>The Australian Institute of Quantity Surveyors</w:t>
            </w:r>
          </w:p>
        </w:tc>
      </w:tr>
      <w:tr>
        <w:trPr>
          <w:cantSplit/>
        </w:trPr>
        <w:tc>
          <w:tcPr>
            <w:tcW w:w="5386" w:type="dxa"/>
          </w:tcPr>
          <w:p>
            <w:pPr>
              <w:pStyle w:val="Table"/>
            </w:pPr>
            <w:r>
              <w:t>Electrical and Communications Association of Western Australia (Union of Employers)</w:t>
            </w:r>
          </w:p>
        </w:tc>
      </w:tr>
      <w:tr>
        <w:trPr>
          <w:cantSplit/>
        </w:trPr>
        <w:tc>
          <w:tcPr>
            <w:tcW w:w="5386" w:type="dxa"/>
          </w:tcPr>
          <w:p>
            <w:pPr>
              <w:pStyle w:val="Table"/>
            </w:pPr>
            <w:r>
              <w:t>The Institute of Arbitrators and Mediators Australia</w:t>
            </w:r>
          </w:p>
        </w:tc>
      </w:tr>
      <w:tr>
        <w:trPr>
          <w:cantSplit/>
        </w:trPr>
        <w:tc>
          <w:tcPr>
            <w:tcW w:w="5386" w:type="dxa"/>
          </w:tcPr>
          <w:p>
            <w:pPr>
              <w:pStyle w:val="Table"/>
            </w:pPr>
            <w:r>
              <w:t>Master Builders Association of Western Australia (Union of Employers)</w:t>
            </w:r>
          </w:p>
        </w:tc>
      </w:tr>
      <w:tr>
        <w:trPr>
          <w:cantSplit/>
        </w:trPr>
        <w:tc>
          <w:tcPr>
            <w:tcW w:w="5386" w:type="dxa"/>
          </w:tcPr>
          <w:p>
            <w:pPr>
              <w:pStyle w:val="Table"/>
            </w:pPr>
            <w:r>
              <w:t>RICS Australasia Pty Ltd</w:t>
            </w:r>
          </w:p>
        </w:tc>
      </w:tr>
      <w:tr>
        <w:trPr>
          <w:cantSplit/>
        </w:trPr>
        <w:tc>
          <w:tcPr>
            <w:tcW w:w="5386" w:type="dxa"/>
          </w:tcPr>
          <w:p>
            <w:pPr>
              <w:pStyle w:val="Table"/>
            </w:pPr>
            <w:r>
              <w:t>The Royal Australian Institute of Architects</w:t>
            </w:r>
          </w:p>
        </w:tc>
      </w:tr>
    </w:tbl>
    <w:p>
      <w:pPr>
        <w:pStyle w:val="Footnotesection"/>
      </w:pPr>
      <w:r>
        <w:tab/>
        <w:t>[Regulation 11 inserted in Gazette 1 Apr 2005 p. 1064; amended in Gazette 12 Aug 2005 p. 3653.]</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 w:name="_Toc415652457"/>
      <w:bookmarkStart w:id="28" w:name="_Toc415652515"/>
      <w:bookmarkStart w:id="29" w:name="_Toc423446542"/>
      <w:r>
        <w:t>Notes</w:t>
      </w:r>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Regulations 2004</w:t>
      </w:r>
      <w:r>
        <w:rPr>
          <w:snapToGrid w:val="0"/>
        </w:rPr>
        <w:t xml:space="preserve"> and includes the amendments made by the other written laws referred to in the following table.</w:t>
      </w:r>
    </w:p>
    <w:p>
      <w:pPr>
        <w:pStyle w:val="nHeading3"/>
      </w:pPr>
      <w:bookmarkStart w:id="30" w:name="_Toc423446543"/>
      <w:bookmarkStart w:id="31" w:name="_Toc415652516"/>
      <w: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Construction Contracts Regulations 2004</w:t>
            </w:r>
          </w:p>
        </w:tc>
        <w:tc>
          <w:tcPr>
            <w:tcW w:w="1276" w:type="dxa"/>
            <w:tcBorders>
              <w:top w:val="single" w:sz="8" w:space="0" w:color="auto"/>
            </w:tcBorders>
          </w:tcPr>
          <w:p>
            <w:pPr>
              <w:pStyle w:val="nTable"/>
            </w:pPr>
            <w:r>
              <w:t>14 Dec 2004 p. 6006</w:t>
            </w:r>
            <w:r>
              <w:noBreakHyphen/>
              <w:t>9</w:t>
            </w:r>
          </w:p>
        </w:tc>
        <w:tc>
          <w:tcPr>
            <w:tcW w:w="2693" w:type="dxa"/>
            <w:tcBorders>
              <w:top w:val="single" w:sz="8" w:space="0" w:color="auto"/>
            </w:tcBorders>
          </w:tcPr>
          <w:p>
            <w:pPr>
              <w:pStyle w:val="nTable"/>
            </w:pPr>
            <w:r>
              <w:t xml:space="preserve">1 Jan 2005 (see r. 2 and </w:t>
            </w:r>
            <w:r>
              <w:rPr>
                <w:i/>
                <w:iCs/>
              </w:rPr>
              <w:t>Gazette</w:t>
            </w:r>
            <w:r>
              <w:t xml:space="preserve"> 14 Dec 2004 p. 5999)</w:t>
            </w:r>
          </w:p>
        </w:tc>
      </w:tr>
      <w:tr>
        <w:tc>
          <w:tcPr>
            <w:tcW w:w="3118" w:type="dxa"/>
          </w:tcPr>
          <w:p>
            <w:pPr>
              <w:pStyle w:val="nTable"/>
              <w:rPr>
                <w:i/>
                <w:noProof/>
                <w:snapToGrid w:val="0"/>
              </w:rPr>
            </w:pPr>
            <w:r>
              <w:rPr>
                <w:i/>
                <w:noProof/>
                <w:snapToGrid w:val="0"/>
              </w:rPr>
              <w:t>Construction Contracts Amendment Regulations 2005</w:t>
            </w:r>
          </w:p>
        </w:tc>
        <w:tc>
          <w:tcPr>
            <w:tcW w:w="1276" w:type="dxa"/>
          </w:tcPr>
          <w:p>
            <w:pPr>
              <w:pStyle w:val="nTable"/>
            </w:pPr>
            <w:r>
              <w:t>1 Apr 2005 p. 1063-4</w:t>
            </w:r>
          </w:p>
        </w:tc>
        <w:tc>
          <w:tcPr>
            <w:tcW w:w="2693" w:type="dxa"/>
          </w:tcPr>
          <w:p>
            <w:pPr>
              <w:pStyle w:val="nTable"/>
            </w:pPr>
            <w:r>
              <w:t>1 Apr 2005</w:t>
            </w:r>
          </w:p>
        </w:tc>
      </w:tr>
      <w:tr>
        <w:tc>
          <w:tcPr>
            <w:tcW w:w="3118" w:type="dxa"/>
          </w:tcPr>
          <w:p>
            <w:pPr>
              <w:pStyle w:val="nTable"/>
              <w:rPr>
                <w:i/>
                <w:noProof/>
                <w:snapToGrid w:val="0"/>
              </w:rPr>
            </w:pPr>
            <w:r>
              <w:rPr>
                <w:i/>
                <w:noProof/>
                <w:snapToGrid w:val="0"/>
              </w:rPr>
              <w:t>Construction Contracts Amendment Regulations (No. 2) 2005</w:t>
            </w:r>
          </w:p>
        </w:tc>
        <w:tc>
          <w:tcPr>
            <w:tcW w:w="1276" w:type="dxa"/>
          </w:tcPr>
          <w:p>
            <w:pPr>
              <w:pStyle w:val="nTable"/>
            </w:pPr>
            <w:r>
              <w:t>12 Aug 2005 p. 3652</w:t>
            </w:r>
            <w:r>
              <w:noBreakHyphen/>
              <w:t>3</w:t>
            </w:r>
          </w:p>
        </w:tc>
        <w:tc>
          <w:tcPr>
            <w:tcW w:w="2693" w:type="dxa"/>
          </w:tcPr>
          <w:p>
            <w:pPr>
              <w:pStyle w:val="nTable"/>
            </w:pPr>
            <w:r>
              <w:t>12 Aug 2005</w:t>
            </w:r>
          </w:p>
        </w:tc>
      </w:tr>
      <w:tr>
        <w:tc>
          <w:tcPr>
            <w:tcW w:w="3118" w:type="dxa"/>
          </w:tcPr>
          <w:p>
            <w:pPr>
              <w:pStyle w:val="nTable"/>
              <w:rPr>
                <w:i/>
                <w:noProof/>
                <w:snapToGrid w:val="0"/>
              </w:rPr>
            </w:pPr>
            <w:r>
              <w:rPr>
                <w:i/>
              </w:rPr>
              <w:t>Construction Contracts Amendment Regulations 2014</w:t>
            </w:r>
          </w:p>
        </w:tc>
        <w:tc>
          <w:tcPr>
            <w:tcW w:w="1276" w:type="dxa"/>
          </w:tcPr>
          <w:p>
            <w:pPr>
              <w:pStyle w:val="nTable"/>
            </w:pPr>
            <w:r>
              <w:t>17 Jun 2014 p. 1961</w:t>
            </w:r>
            <w:r>
              <w:noBreakHyphen/>
              <w:t>2</w:t>
            </w:r>
          </w:p>
        </w:tc>
        <w:tc>
          <w:tcPr>
            <w:tcW w:w="2693" w:type="dxa"/>
          </w:tcPr>
          <w:p>
            <w:pPr>
              <w:pStyle w:val="nTable"/>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ins w:id="32" w:author="Master Repository Process" w:date="2021-07-31T16:18:00Z"/>
        </w:trPr>
        <w:tc>
          <w:tcPr>
            <w:tcW w:w="3118" w:type="dxa"/>
            <w:tcBorders>
              <w:bottom w:val="single" w:sz="4" w:space="0" w:color="auto"/>
            </w:tcBorders>
          </w:tcPr>
          <w:p>
            <w:pPr>
              <w:pStyle w:val="nTable"/>
              <w:rPr>
                <w:ins w:id="33" w:author="Master Repository Process" w:date="2021-07-31T16:18:00Z"/>
                <w:i/>
              </w:rPr>
            </w:pPr>
            <w:ins w:id="34" w:author="Master Repository Process" w:date="2021-07-31T16:18:00Z">
              <w:r>
                <w:rPr>
                  <w:i/>
                </w:rPr>
                <w:t>Construction Contracts Amendment Regulations 2015</w:t>
              </w:r>
            </w:ins>
          </w:p>
        </w:tc>
        <w:tc>
          <w:tcPr>
            <w:tcW w:w="1276" w:type="dxa"/>
            <w:tcBorders>
              <w:bottom w:val="single" w:sz="4" w:space="0" w:color="auto"/>
            </w:tcBorders>
          </w:tcPr>
          <w:p>
            <w:pPr>
              <w:pStyle w:val="nTable"/>
              <w:rPr>
                <w:ins w:id="35" w:author="Master Repository Process" w:date="2021-07-31T16:18:00Z"/>
              </w:rPr>
            </w:pPr>
            <w:ins w:id="36" w:author="Master Repository Process" w:date="2021-07-31T16:18:00Z">
              <w:r>
                <w:t>23 Jun 2015 p. 2170</w:t>
              </w:r>
            </w:ins>
          </w:p>
        </w:tc>
        <w:tc>
          <w:tcPr>
            <w:tcW w:w="2693" w:type="dxa"/>
            <w:tcBorders>
              <w:bottom w:val="single" w:sz="4" w:space="0" w:color="auto"/>
            </w:tcBorders>
          </w:tcPr>
          <w:p>
            <w:pPr>
              <w:pStyle w:val="nTable"/>
              <w:rPr>
                <w:ins w:id="37" w:author="Master Repository Process" w:date="2021-07-31T16:18:00Z"/>
                <w:rFonts w:ascii="Times" w:hAnsi="Times"/>
                <w:bCs/>
                <w:snapToGrid w:val="0"/>
                <w:spacing w:val="-2"/>
              </w:rPr>
            </w:pPr>
            <w:ins w:id="38" w:author="Master Repository Process" w:date="2021-07-31T16:18:00Z">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61801"/>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5A386D-FCD9-43A4-B3C2-EB7402B9B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5900</Characters>
  <Application>Microsoft Office Word</Application>
  <DocSecurity>0</DocSecurity>
  <Lines>190</Lines>
  <Paragraphs>127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00-d0-01 - 00-e0-01</dc:title>
  <dc:subject/>
  <dc:creator/>
  <cp:keywords/>
  <dc:description/>
  <cp:lastModifiedBy>Master Repository Process</cp:lastModifiedBy>
  <cp:revision>2</cp:revision>
  <cp:lastPrinted>2004-11-15T08:24:00Z</cp:lastPrinted>
  <dcterms:created xsi:type="dcterms:W3CDTF">2021-07-31T08:18:00Z</dcterms:created>
  <dcterms:modified xsi:type="dcterms:W3CDTF">2021-07-31T08:18:00Z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CommencementDate">
    <vt:lpwstr>20150701</vt:lpwstr>
  </property>
  <property fmtid="{D5CDD505-2E9C-101B-9397-08002B2CF9AE}" pid="6" name="FromSuffix">
    <vt:lpwstr>00-d0-01</vt:lpwstr>
  </property>
  <property fmtid="{D5CDD505-2E9C-101B-9397-08002B2CF9AE}" pid="7" name="FromAsAtDate">
    <vt:lpwstr>01 Jul 2014</vt:lpwstr>
  </property>
  <property fmtid="{D5CDD505-2E9C-101B-9397-08002B2CF9AE}" pid="8" name="ToSuffix">
    <vt:lpwstr>00-e0-01</vt:lpwstr>
  </property>
  <property fmtid="{D5CDD505-2E9C-101B-9397-08002B2CF9AE}" pid="9" name="ToAsAtDate">
    <vt:lpwstr>01 Jul 2015</vt:lpwstr>
  </property>
</Properties>
</file>