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w:t>
      </w:r>
      <w:bookmarkStart w:id="1" w:name="_GoBack"/>
      <w:bookmarkEnd w:id="1"/>
      <w:r>
        <w:rPr>
          <w:snapToGrid w:val="0"/>
        </w:rPr>
        <w:t>n Act to establish a program to give protection and assistance to certain witnesses and other persons and for related purposes.</w:t>
      </w:r>
    </w:p>
    <w:p>
      <w:pPr>
        <w:pStyle w:val="Heading2"/>
      </w:pPr>
      <w:bookmarkStart w:id="2" w:name="_Toc377039028"/>
      <w:bookmarkStart w:id="3" w:name="_Toc406081399"/>
      <w:bookmarkStart w:id="4" w:name="_Toc423090687"/>
      <w:bookmarkStart w:id="5" w:name="_Toc423595245"/>
      <w:bookmarkStart w:id="6" w:name="_Toc5361919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6081400"/>
      <w:bookmarkStart w:id="8" w:name="_Toc536191928"/>
      <w:bookmarkStart w:id="9" w:name="_Toc423090688"/>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10" w:name="_Toc406081401"/>
      <w:bookmarkStart w:id="11" w:name="_Toc536191929"/>
      <w:bookmarkStart w:id="12" w:name="_Toc423090689"/>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3" w:name="_Toc406081402"/>
      <w:bookmarkStart w:id="14" w:name="_Toc536191930"/>
      <w:bookmarkStart w:id="15" w:name="_Toc423090690"/>
      <w:r>
        <w:rPr>
          <w:rStyle w:val="CharSectno"/>
        </w:rPr>
        <w:t>3</w:t>
      </w:r>
      <w:r>
        <w:rPr>
          <w:snapToGrid w:val="0"/>
        </w:rPr>
        <w:t>.</w:t>
      </w:r>
      <w:r>
        <w:rPr>
          <w:snapToGrid w:val="0"/>
        </w:rPr>
        <w:tab/>
        <w:t>Terms and abbreviation used in this Act</w:t>
      </w:r>
      <w:bookmarkEnd w:id="13"/>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w:t>
      </w:r>
      <w:del w:id="16" w:author="svcMRProcess" w:date="2019-01-25T15:59:00Z">
        <w:r>
          <w:rPr>
            <w:i/>
          </w:rPr>
          <w:delText xml:space="preserve"> and</w:delText>
        </w:r>
      </w:del>
      <w:ins w:id="17" w:author="svcMRProcess" w:date="2019-01-25T15:59:00Z">
        <w:r>
          <w:rPr>
            <w:i/>
          </w:rPr>
          <w:t>,</w:t>
        </w:r>
      </w:ins>
      <w:r>
        <w:rPr>
          <w:i/>
        </w:rPr>
        <w:t xml:space="preserve"> Crime </w:t>
      </w:r>
      <w:del w:id="18" w:author="svcMRProcess" w:date="2019-01-25T15:59:00Z">
        <w:r>
          <w:rPr>
            <w:i/>
          </w:rPr>
          <w:delText>Commission</w:delText>
        </w:r>
      </w:del>
      <w:ins w:id="19" w:author="svcMRProcess" w:date="2019-01-25T15:59:00Z">
        <w:r>
          <w:rPr>
            <w:i/>
          </w:rPr>
          <w:t>and Misconduct</w:t>
        </w:r>
      </w:ins>
      <w:r>
        <w:rPr>
          <w:i/>
        </w:rPr>
        <w:t xml:space="preserve">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w:t>
      </w:r>
      <w:del w:id="20" w:author="svcMRProcess" w:date="2019-01-25T15:59:00Z">
        <w:r>
          <w:rPr>
            <w:i/>
          </w:rPr>
          <w:delText xml:space="preserve"> and</w:delText>
        </w:r>
      </w:del>
      <w:ins w:id="21" w:author="svcMRProcess" w:date="2019-01-25T15:59:00Z">
        <w:r>
          <w:rPr>
            <w:i/>
          </w:rPr>
          <w:t>,</w:t>
        </w:r>
      </w:ins>
      <w:r>
        <w:rPr>
          <w:i/>
        </w:rPr>
        <w:t xml:space="preserve"> Crime </w:t>
      </w:r>
      <w:del w:id="22" w:author="svcMRProcess" w:date="2019-01-25T15:59:00Z">
        <w:r>
          <w:rPr>
            <w:i/>
          </w:rPr>
          <w:delText>Commission</w:delText>
        </w:r>
      </w:del>
      <w:ins w:id="23" w:author="svcMRProcess" w:date="2019-01-25T15:59:00Z">
        <w:r>
          <w:rPr>
            <w:i/>
          </w:rPr>
          <w:t>and Misconduct</w:t>
        </w:r>
      </w:ins>
      <w:r>
        <w:rPr>
          <w:i/>
        </w:rPr>
        <w:t xml:space="preserve">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w:t>
      </w:r>
      <w:del w:id="24" w:author="svcMRProcess" w:date="2019-01-25T15:59:00Z">
        <w:r>
          <w:delText xml:space="preserve"> by</w:delText>
        </w:r>
      </w:del>
      <w:ins w:id="25" w:author="svcMRProcess" w:date="2019-01-25T15:59:00Z">
        <w:r>
          <w:t>:</w:t>
        </w:r>
      </w:ins>
      <w:r>
        <w:t xml:space="preserve"> No. 40 of 1998 s. 18(2); No. 48 of 2003 s. 62 and Sch. 3</w:t>
      </w:r>
      <w:r>
        <w:rPr>
          <w:vertAlign w:val="superscript"/>
        </w:rPr>
        <w:t> 3</w:t>
      </w:r>
      <w:r>
        <w:t xml:space="preserve"> cl. 11; No. 4 of 2004 s. 58; No. 74 of 2004 s. 75; No. 8 of 2008 s. 22 and 23(9</w:t>
      </w:r>
      <w:del w:id="26" w:author="svcMRProcess" w:date="2019-01-25T15:59:00Z">
        <w:r>
          <w:delText>).]</w:delText>
        </w:r>
      </w:del>
      <w:ins w:id="27" w:author="svcMRProcess" w:date="2019-01-25T15:59:00Z">
        <w:r>
          <w:t>); No. 35 of 2014 s. 39.]</w:t>
        </w:r>
      </w:ins>
    </w:p>
    <w:p>
      <w:pPr>
        <w:pStyle w:val="Heading5"/>
        <w:rPr>
          <w:snapToGrid w:val="0"/>
        </w:rPr>
      </w:pPr>
      <w:bookmarkStart w:id="28" w:name="_Toc406081403"/>
      <w:bookmarkStart w:id="29" w:name="_Toc536191931"/>
      <w:bookmarkStart w:id="30" w:name="_Toc423090691"/>
      <w:r>
        <w:rPr>
          <w:rStyle w:val="CharSectno"/>
        </w:rPr>
        <w:t>4</w:t>
      </w:r>
      <w:r>
        <w:rPr>
          <w:snapToGrid w:val="0"/>
        </w:rPr>
        <w:t>.</w:t>
      </w:r>
      <w:r>
        <w:rPr>
          <w:snapToGrid w:val="0"/>
        </w:rPr>
        <w:tab/>
        <w:t>Meaning of “witness”</w:t>
      </w:r>
      <w:bookmarkEnd w:id="28"/>
      <w:bookmarkEnd w:id="29"/>
      <w:bookmarkEnd w:id="30"/>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31" w:name="_Toc377039033"/>
      <w:bookmarkStart w:id="32" w:name="_Toc406081404"/>
      <w:bookmarkStart w:id="33" w:name="_Toc423090692"/>
      <w:bookmarkStart w:id="34" w:name="_Toc423595250"/>
      <w:bookmarkStart w:id="35" w:name="_Toc536191932"/>
      <w:r>
        <w:rPr>
          <w:rStyle w:val="CharPartNo"/>
        </w:rPr>
        <w:t>Part 2</w:t>
      </w:r>
      <w:r>
        <w:t> — </w:t>
      </w:r>
      <w:r>
        <w:rPr>
          <w:rStyle w:val="CharPartText"/>
        </w:rPr>
        <w:t>State Witness Protection Program</w:t>
      </w:r>
      <w:bookmarkEnd w:id="31"/>
      <w:bookmarkEnd w:id="32"/>
      <w:bookmarkEnd w:id="33"/>
      <w:bookmarkEnd w:id="34"/>
      <w:bookmarkEnd w:id="35"/>
    </w:p>
    <w:p>
      <w:pPr>
        <w:pStyle w:val="Heading3"/>
      </w:pPr>
      <w:bookmarkStart w:id="36" w:name="_Toc377039034"/>
      <w:bookmarkStart w:id="37" w:name="_Toc406081405"/>
      <w:bookmarkStart w:id="38" w:name="_Toc423090693"/>
      <w:bookmarkStart w:id="39" w:name="_Toc423595251"/>
      <w:bookmarkStart w:id="40" w:name="_Toc536191933"/>
      <w:r>
        <w:rPr>
          <w:rStyle w:val="CharDivNo"/>
        </w:rPr>
        <w:t>Division 1</w:t>
      </w:r>
      <w:r>
        <w:rPr>
          <w:snapToGrid w:val="0"/>
        </w:rPr>
        <w:t> — </w:t>
      </w:r>
      <w:r>
        <w:rPr>
          <w:rStyle w:val="CharDivText"/>
        </w:rPr>
        <w:t>Establishment</w:t>
      </w:r>
      <w:bookmarkEnd w:id="36"/>
      <w:bookmarkEnd w:id="37"/>
      <w:bookmarkEnd w:id="38"/>
      <w:bookmarkEnd w:id="39"/>
      <w:bookmarkEnd w:id="40"/>
    </w:p>
    <w:p>
      <w:pPr>
        <w:pStyle w:val="Heading5"/>
        <w:rPr>
          <w:snapToGrid w:val="0"/>
        </w:rPr>
      </w:pPr>
      <w:bookmarkStart w:id="41" w:name="_Toc406081406"/>
      <w:bookmarkStart w:id="42" w:name="_Toc536191934"/>
      <w:bookmarkStart w:id="43" w:name="_Toc423090694"/>
      <w:r>
        <w:rPr>
          <w:rStyle w:val="CharSectno"/>
        </w:rPr>
        <w:t>5</w:t>
      </w:r>
      <w:r>
        <w:rPr>
          <w:snapToGrid w:val="0"/>
        </w:rPr>
        <w:t>.</w:t>
      </w:r>
      <w:r>
        <w:rPr>
          <w:snapToGrid w:val="0"/>
        </w:rPr>
        <w:tab/>
        <w:t>Commissioner to establish SWPP</w:t>
      </w:r>
      <w:bookmarkEnd w:id="41"/>
      <w:bookmarkEnd w:id="42"/>
      <w:bookmarkEnd w:id="43"/>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44" w:name="_Toc406081407"/>
      <w:bookmarkStart w:id="45" w:name="_Toc536191935"/>
      <w:bookmarkStart w:id="46" w:name="_Toc423090695"/>
      <w:r>
        <w:rPr>
          <w:rStyle w:val="CharSectno"/>
        </w:rPr>
        <w:t>6</w:t>
      </w:r>
      <w:r>
        <w:rPr>
          <w:snapToGrid w:val="0"/>
        </w:rPr>
        <w:t>.</w:t>
      </w:r>
      <w:r>
        <w:rPr>
          <w:snapToGrid w:val="0"/>
        </w:rPr>
        <w:tab/>
        <w:t>Arrangements with approved authorities</w:t>
      </w:r>
      <w:bookmarkEnd w:id="44"/>
      <w:bookmarkEnd w:id="45"/>
      <w:bookmarkEnd w:id="46"/>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47" w:name="_Toc406081408"/>
      <w:bookmarkStart w:id="48" w:name="_Toc536191936"/>
      <w:bookmarkStart w:id="49" w:name="_Toc423090696"/>
      <w:r>
        <w:rPr>
          <w:rStyle w:val="CharSectno"/>
        </w:rPr>
        <w:t>7</w:t>
      </w:r>
      <w:r>
        <w:rPr>
          <w:snapToGrid w:val="0"/>
        </w:rPr>
        <w:t>.</w:t>
      </w:r>
      <w:r>
        <w:rPr>
          <w:snapToGrid w:val="0"/>
        </w:rPr>
        <w:tab/>
        <w:t>Authorisation of approved authorities</w:t>
      </w:r>
      <w:bookmarkEnd w:id="47"/>
      <w:bookmarkEnd w:id="48"/>
      <w:bookmarkEnd w:id="49"/>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50" w:name="_Toc377039038"/>
      <w:bookmarkStart w:id="51" w:name="_Toc406081409"/>
      <w:bookmarkStart w:id="52" w:name="_Toc423090697"/>
      <w:bookmarkStart w:id="53" w:name="_Toc423595255"/>
      <w:bookmarkStart w:id="54" w:name="_Toc536191937"/>
      <w:r>
        <w:rPr>
          <w:rStyle w:val="CharDivNo"/>
        </w:rPr>
        <w:t>Division 2</w:t>
      </w:r>
      <w:r>
        <w:rPr>
          <w:snapToGrid w:val="0"/>
        </w:rPr>
        <w:t> — </w:t>
      </w:r>
      <w:r>
        <w:rPr>
          <w:rStyle w:val="CharDivText"/>
        </w:rPr>
        <w:t>Including witnesses in the SWPP</w:t>
      </w:r>
      <w:bookmarkEnd w:id="50"/>
      <w:bookmarkEnd w:id="51"/>
      <w:bookmarkEnd w:id="52"/>
      <w:bookmarkEnd w:id="53"/>
      <w:bookmarkEnd w:id="54"/>
    </w:p>
    <w:p>
      <w:pPr>
        <w:pStyle w:val="Heading5"/>
        <w:rPr>
          <w:snapToGrid w:val="0"/>
        </w:rPr>
      </w:pPr>
      <w:bookmarkStart w:id="55" w:name="_Toc406081410"/>
      <w:bookmarkStart w:id="56" w:name="_Toc536191938"/>
      <w:bookmarkStart w:id="57" w:name="_Toc423090698"/>
      <w:r>
        <w:rPr>
          <w:rStyle w:val="CharSectno"/>
        </w:rPr>
        <w:t>8</w:t>
      </w:r>
      <w:r>
        <w:rPr>
          <w:snapToGrid w:val="0"/>
        </w:rPr>
        <w:t>.</w:t>
      </w:r>
      <w:r>
        <w:rPr>
          <w:snapToGrid w:val="0"/>
        </w:rPr>
        <w:tab/>
        <w:t>Commissioner to decide who is included</w:t>
      </w:r>
      <w:bookmarkEnd w:id="55"/>
      <w:bookmarkEnd w:id="56"/>
      <w:bookmarkEnd w:id="57"/>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58" w:name="_Toc406081411"/>
      <w:bookmarkStart w:id="59" w:name="_Toc536191939"/>
      <w:bookmarkStart w:id="60" w:name="_Toc423090699"/>
      <w:r>
        <w:rPr>
          <w:rStyle w:val="CharSectno"/>
        </w:rPr>
        <w:t>9</w:t>
      </w:r>
      <w:r>
        <w:rPr>
          <w:snapToGrid w:val="0"/>
        </w:rPr>
        <w:t>.</w:t>
      </w:r>
      <w:r>
        <w:rPr>
          <w:snapToGrid w:val="0"/>
        </w:rPr>
        <w:tab/>
        <w:t>Inclusion not to be a reward for giving evidence etc.</w:t>
      </w:r>
      <w:bookmarkEnd w:id="58"/>
      <w:bookmarkEnd w:id="59"/>
      <w:bookmarkEnd w:id="60"/>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61" w:name="_Toc406081412"/>
      <w:bookmarkStart w:id="62" w:name="_Toc536191940"/>
      <w:bookmarkStart w:id="63" w:name="_Toc423090700"/>
      <w:r>
        <w:rPr>
          <w:rStyle w:val="CharSectno"/>
        </w:rPr>
        <w:t>10</w:t>
      </w:r>
      <w:r>
        <w:rPr>
          <w:snapToGrid w:val="0"/>
        </w:rPr>
        <w:t>.</w:t>
      </w:r>
      <w:r>
        <w:rPr>
          <w:snapToGrid w:val="0"/>
        </w:rPr>
        <w:tab/>
        <w:t>Witness to provide Commissioner with information before inclusion</w:t>
      </w:r>
      <w:bookmarkEnd w:id="61"/>
      <w:bookmarkEnd w:id="62"/>
      <w:bookmarkEnd w:id="63"/>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64" w:name="_Toc406081413"/>
      <w:bookmarkStart w:id="65" w:name="_Toc536191941"/>
      <w:bookmarkStart w:id="66" w:name="_Toc423090701"/>
      <w:r>
        <w:rPr>
          <w:rStyle w:val="CharSectno"/>
        </w:rPr>
        <w:t>11</w:t>
      </w:r>
      <w:r>
        <w:rPr>
          <w:snapToGrid w:val="0"/>
        </w:rPr>
        <w:t>.</w:t>
      </w:r>
      <w:r>
        <w:rPr>
          <w:snapToGrid w:val="0"/>
        </w:rPr>
        <w:tab/>
        <w:t>Memorandum of understanding</w:t>
      </w:r>
      <w:bookmarkEnd w:id="64"/>
      <w:bookmarkEnd w:id="65"/>
      <w:bookmarkEnd w:id="66"/>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w:t>
      </w:r>
      <w:del w:id="67" w:author="svcMRProcess" w:date="2019-01-25T15:59:00Z">
        <w:r>
          <w:delText xml:space="preserve"> by</w:delText>
        </w:r>
      </w:del>
      <w:ins w:id="68" w:author="svcMRProcess" w:date="2019-01-25T15:59:00Z">
        <w:r>
          <w:t>:</w:t>
        </w:r>
      </w:ins>
      <w:r>
        <w:t xml:space="preserve"> No. 48 of 2003 s. 62 and Sch. 3</w:t>
      </w:r>
      <w:r>
        <w:rPr>
          <w:vertAlign w:val="superscript"/>
        </w:rPr>
        <w:t> 3</w:t>
      </w:r>
      <w:r>
        <w:t xml:space="preserve"> cl. 11.]</w:t>
      </w:r>
    </w:p>
    <w:p>
      <w:pPr>
        <w:pStyle w:val="Heading5"/>
        <w:rPr>
          <w:snapToGrid w:val="0"/>
        </w:rPr>
      </w:pPr>
      <w:bookmarkStart w:id="69" w:name="_Toc406081414"/>
      <w:bookmarkStart w:id="70" w:name="_Toc536191942"/>
      <w:bookmarkStart w:id="71" w:name="_Toc423090702"/>
      <w:r>
        <w:rPr>
          <w:rStyle w:val="CharSectno"/>
        </w:rPr>
        <w:t>12</w:t>
      </w:r>
      <w:r>
        <w:rPr>
          <w:snapToGrid w:val="0"/>
        </w:rPr>
        <w:t>.</w:t>
      </w:r>
      <w:r>
        <w:rPr>
          <w:snapToGrid w:val="0"/>
        </w:rPr>
        <w:tab/>
        <w:t>Amending a memorandum of understanding</w:t>
      </w:r>
      <w:bookmarkEnd w:id="69"/>
      <w:bookmarkEnd w:id="70"/>
      <w:bookmarkEnd w:id="71"/>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72" w:name="_Toc377039044"/>
      <w:bookmarkStart w:id="73" w:name="_Toc406081415"/>
      <w:bookmarkStart w:id="74" w:name="_Toc423090703"/>
      <w:bookmarkStart w:id="75" w:name="_Toc423595261"/>
      <w:bookmarkStart w:id="76" w:name="_Toc536191943"/>
      <w:r>
        <w:rPr>
          <w:rStyle w:val="CharDivNo"/>
        </w:rPr>
        <w:t>Division 3</w:t>
      </w:r>
      <w:r>
        <w:rPr>
          <w:snapToGrid w:val="0"/>
        </w:rPr>
        <w:t> — </w:t>
      </w:r>
      <w:r>
        <w:rPr>
          <w:rStyle w:val="CharDivText"/>
        </w:rPr>
        <w:t>Register of participants</w:t>
      </w:r>
      <w:bookmarkEnd w:id="72"/>
      <w:bookmarkEnd w:id="73"/>
      <w:bookmarkEnd w:id="74"/>
      <w:bookmarkEnd w:id="75"/>
      <w:bookmarkEnd w:id="76"/>
    </w:p>
    <w:p>
      <w:pPr>
        <w:pStyle w:val="Heading5"/>
        <w:rPr>
          <w:snapToGrid w:val="0"/>
        </w:rPr>
      </w:pPr>
      <w:bookmarkStart w:id="77" w:name="_Toc406081416"/>
      <w:bookmarkStart w:id="78" w:name="_Toc536191944"/>
      <w:bookmarkStart w:id="79" w:name="_Toc423090704"/>
      <w:r>
        <w:rPr>
          <w:rStyle w:val="CharSectno"/>
        </w:rPr>
        <w:t>13</w:t>
      </w:r>
      <w:r>
        <w:rPr>
          <w:snapToGrid w:val="0"/>
        </w:rPr>
        <w:t>.</w:t>
      </w:r>
      <w:r>
        <w:rPr>
          <w:snapToGrid w:val="0"/>
        </w:rPr>
        <w:tab/>
        <w:t>Commissioner to keep register</w:t>
      </w:r>
      <w:bookmarkEnd w:id="77"/>
      <w:bookmarkEnd w:id="78"/>
      <w:bookmarkEnd w:id="79"/>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80" w:name="_Toc406081417"/>
      <w:bookmarkStart w:id="81" w:name="_Toc536191945"/>
      <w:bookmarkStart w:id="82" w:name="_Toc423090705"/>
      <w:r>
        <w:rPr>
          <w:rStyle w:val="CharSectno"/>
        </w:rPr>
        <w:t>14</w:t>
      </w:r>
      <w:r>
        <w:rPr>
          <w:snapToGrid w:val="0"/>
        </w:rPr>
        <w:t>.</w:t>
      </w:r>
      <w:r>
        <w:rPr>
          <w:snapToGrid w:val="0"/>
        </w:rPr>
        <w:tab/>
        <w:t>Access to the register</w:t>
      </w:r>
      <w:bookmarkEnd w:id="80"/>
      <w:bookmarkEnd w:id="81"/>
      <w:bookmarkEnd w:id="82"/>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w:t>
      </w:r>
      <w:del w:id="83" w:author="svcMRProcess" w:date="2019-01-25T15:59:00Z">
        <w:r>
          <w:rPr>
            <w:i/>
          </w:rPr>
          <w:delText xml:space="preserve"> and</w:delText>
        </w:r>
      </w:del>
      <w:ins w:id="84" w:author="svcMRProcess" w:date="2019-01-25T15:59:00Z">
        <w:r>
          <w:rPr>
            <w:i/>
          </w:rPr>
          <w:t>,</w:t>
        </w:r>
      </w:ins>
      <w:r>
        <w:rPr>
          <w:i/>
        </w:rPr>
        <w:t xml:space="preserve"> Crime </w:t>
      </w:r>
      <w:del w:id="85" w:author="svcMRProcess" w:date="2019-01-25T15:59:00Z">
        <w:r>
          <w:rPr>
            <w:i/>
          </w:rPr>
          <w:delText>Commission</w:delText>
        </w:r>
      </w:del>
      <w:ins w:id="86" w:author="svcMRProcess" w:date="2019-01-25T15:59:00Z">
        <w:r>
          <w:rPr>
            <w:i/>
          </w:rPr>
          <w:t>and Misconduct</w:t>
        </w:r>
      </w:ins>
      <w:r>
        <w:rPr>
          <w:i/>
        </w:rPr>
        <w:t xml:space="preserve">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w:t>
      </w:r>
      <w:del w:id="87" w:author="svcMRProcess" w:date="2019-01-25T15:59:00Z">
        <w:r>
          <w:delText xml:space="preserve"> by</w:delText>
        </w:r>
      </w:del>
      <w:ins w:id="88" w:author="svcMRProcess" w:date="2019-01-25T15:59:00Z">
        <w:r>
          <w:t>:</w:t>
        </w:r>
      </w:ins>
      <w:r>
        <w:t xml:space="preserve"> No. 48 of 2003 s. 62 and Sch. 3</w:t>
      </w:r>
      <w:r>
        <w:rPr>
          <w:vertAlign w:val="superscript"/>
        </w:rPr>
        <w:t> 3</w:t>
      </w:r>
      <w:r>
        <w:t xml:space="preserve"> cl. 11; No. 77 of 2006 s. </w:t>
      </w:r>
      <w:del w:id="89" w:author="svcMRProcess" w:date="2019-01-25T15:59:00Z">
        <w:r>
          <w:delText>17</w:delText>
        </w:r>
      </w:del>
      <w:ins w:id="90" w:author="svcMRProcess" w:date="2019-01-25T15:59:00Z">
        <w:r>
          <w:t>17; No. 35 of 2014 s. 39</w:t>
        </w:r>
      </w:ins>
      <w:r>
        <w:t>.]</w:t>
      </w:r>
    </w:p>
    <w:p>
      <w:pPr>
        <w:pStyle w:val="Heading3"/>
        <w:rPr>
          <w:snapToGrid w:val="0"/>
        </w:rPr>
      </w:pPr>
      <w:bookmarkStart w:id="91" w:name="_Toc377039047"/>
      <w:bookmarkStart w:id="92" w:name="_Toc406081418"/>
      <w:bookmarkStart w:id="93" w:name="_Toc423090706"/>
      <w:bookmarkStart w:id="94" w:name="_Toc423595264"/>
      <w:bookmarkStart w:id="95" w:name="_Toc536191946"/>
      <w:r>
        <w:rPr>
          <w:rStyle w:val="CharDivNo"/>
        </w:rPr>
        <w:t>Division 4</w:t>
      </w:r>
      <w:r>
        <w:rPr>
          <w:snapToGrid w:val="0"/>
        </w:rPr>
        <w:t> — </w:t>
      </w:r>
      <w:r>
        <w:rPr>
          <w:rStyle w:val="CharDivText"/>
        </w:rPr>
        <w:t>Protecting and assisting witnesses and participants</w:t>
      </w:r>
      <w:bookmarkEnd w:id="91"/>
      <w:bookmarkEnd w:id="92"/>
      <w:bookmarkEnd w:id="93"/>
      <w:bookmarkEnd w:id="94"/>
      <w:bookmarkEnd w:id="95"/>
    </w:p>
    <w:p>
      <w:pPr>
        <w:pStyle w:val="Heading5"/>
        <w:rPr>
          <w:snapToGrid w:val="0"/>
        </w:rPr>
      </w:pPr>
      <w:bookmarkStart w:id="96" w:name="_Toc406081419"/>
      <w:bookmarkStart w:id="97" w:name="_Toc536191947"/>
      <w:bookmarkStart w:id="98" w:name="_Toc423090707"/>
      <w:r>
        <w:rPr>
          <w:rStyle w:val="CharSectno"/>
        </w:rPr>
        <w:t>15</w:t>
      </w:r>
      <w:r>
        <w:rPr>
          <w:snapToGrid w:val="0"/>
        </w:rPr>
        <w:t>.</w:t>
      </w:r>
      <w:r>
        <w:rPr>
          <w:snapToGrid w:val="0"/>
        </w:rPr>
        <w:tab/>
        <w:t>Commissioner must take action to protect etc.</w:t>
      </w:r>
      <w:bookmarkEnd w:id="96"/>
      <w:bookmarkEnd w:id="97"/>
      <w:bookmarkEnd w:id="98"/>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99" w:name="_Toc406081420"/>
      <w:bookmarkStart w:id="100" w:name="_Toc536191948"/>
      <w:bookmarkStart w:id="101" w:name="_Toc423090708"/>
      <w:r>
        <w:rPr>
          <w:rStyle w:val="CharSectno"/>
        </w:rPr>
        <w:t>16</w:t>
      </w:r>
      <w:r>
        <w:rPr>
          <w:snapToGrid w:val="0"/>
        </w:rPr>
        <w:t>.</w:t>
      </w:r>
      <w:r>
        <w:rPr>
          <w:snapToGrid w:val="0"/>
        </w:rPr>
        <w:tab/>
        <w:t>Action as to obligations etc. of a participant</w:t>
      </w:r>
      <w:bookmarkEnd w:id="99"/>
      <w:bookmarkEnd w:id="100"/>
      <w:bookmarkEnd w:id="101"/>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02" w:name="_Toc406081421"/>
      <w:bookmarkStart w:id="103" w:name="_Toc536191949"/>
      <w:bookmarkStart w:id="104" w:name="_Toc423090709"/>
      <w:r>
        <w:rPr>
          <w:rStyle w:val="CharSectno"/>
        </w:rPr>
        <w:t>17</w:t>
      </w:r>
      <w:r>
        <w:rPr>
          <w:snapToGrid w:val="0"/>
        </w:rPr>
        <w:t>.</w:t>
      </w:r>
      <w:r>
        <w:rPr>
          <w:snapToGrid w:val="0"/>
        </w:rPr>
        <w:tab/>
        <w:t>Commercial arrangements for benefit of participant</w:t>
      </w:r>
      <w:bookmarkEnd w:id="102"/>
      <w:bookmarkEnd w:id="103"/>
      <w:bookmarkEnd w:id="104"/>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05" w:name="_Toc406081422"/>
      <w:bookmarkStart w:id="106" w:name="_Toc536191950"/>
      <w:bookmarkStart w:id="107" w:name="_Toc423090710"/>
      <w:r>
        <w:rPr>
          <w:rStyle w:val="CharSectno"/>
        </w:rPr>
        <w:t>18</w:t>
      </w:r>
      <w:r>
        <w:rPr>
          <w:snapToGrid w:val="0"/>
        </w:rPr>
        <w:t>.</w:t>
      </w:r>
      <w:r>
        <w:rPr>
          <w:snapToGrid w:val="0"/>
        </w:rPr>
        <w:tab/>
        <w:t>Identity documents in urgent cases</w:t>
      </w:r>
      <w:bookmarkEnd w:id="105"/>
      <w:bookmarkEnd w:id="106"/>
      <w:bookmarkEnd w:id="107"/>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w:t>
      </w:r>
      <w:del w:id="108" w:author="svcMRProcess" w:date="2019-01-25T15:59:00Z">
        <w:r>
          <w:delText xml:space="preserve"> by</w:delText>
        </w:r>
      </w:del>
      <w:ins w:id="109" w:author="svcMRProcess" w:date="2019-01-25T15:59:00Z">
        <w:r>
          <w:t>:</w:t>
        </w:r>
      </w:ins>
      <w:r>
        <w:t xml:space="preserve"> No. 40 of 1998 s. 18(3) and (4).]</w:t>
      </w:r>
    </w:p>
    <w:p>
      <w:pPr>
        <w:pStyle w:val="Heading3"/>
      </w:pPr>
      <w:bookmarkStart w:id="110" w:name="_Toc377039052"/>
      <w:bookmarkStart w:id="111" w:name="_Toc406081423"/>
      <w:bookmarkStart w:id="112" w:name="_Toc423090711"/>
      <w:bookmarkStart w:id="113" w:name="_Toc423595269"/>
      <w:bookmarkStart w:id="114" w:name="_Toc536191951"/>
      <w:r>
        <w:rPr>
          <w:rStyle w:val="CharDivNo"/>
        </w:rPr>
        <w:t>Division 5</w:t>
      </w:r>
      <w:r>
        <w:rPr>
          <w:snapToGrid w:val="0"/>
        </w:rPr>
        <w:t> — </w:t>
      </w:r>
      <w:r>
        <w:rPr>
          <w:rStyle w:val="CharDivText"/>
        </w:rPr>
        <w:t>New identity orders</w:t>
      </w:r>
      <w:bookmarkEnd w:id="110"/>
      <w:bookmarkEnd w:id="111"/>
      <w:bookmarkEnd w:id="112"/>
      <w:bookmarkEnd w:id="113"/>
      <w:bookmarkEnd w:id="114"/>
    </w:p>
    <w:p>
      <w:pPr>
        <w:pStyle w:val="Heading5"/>
        <w:rPr>
          <w:snapToGrid w:val="0"/>
        </w:rPr>
      </w:pPr>
      <w:bookmarkStart w:id="115" w:name="_Toc406081424"/>
      <w:bookmarkStart w:id="116" w:name="_Toc536191952"/>
      <w:bookmarkStart w:id="117" w:name="_Toc423090712"/>
      <w:r>
        <w:rPr>
          <w:rStyle w:val="CharSectno"/>
        </w:rPr>
        <w:t>19</w:t>
      </w:r>
      <w:r>
        <w:rPr>
          <w:snapToGrid w:val="0"/>
        </w:rPr>
        <w:t>.</w:t>
      </w:r>
      <w:r>
        <w:rPr>
          <w:snapToGrid w:val="0"/>
        </w:rPr>
        <w:tab/>
        <w:t>Terms used in this Division</w:t>
      </w:r>
      <w:bookmarkEnd w:id="115"/>
      <w:bookmarkEnd w:id="116"/>
      <w:bookmarkEnd w:id="117"/>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w:t>
      </w:r>
      <w:del w:id="118" w:author="svcMRProcess" w:date="2019-01-25T15:59:00Z">
        <w:r>
          <w:delText xml:space="preserve"> by</w:delText>
        </w:r>
      </w:del>
      <w:ins w:id="119" w:author="svcMRProcess" w:date="2019-01-25T15:59:00Z">
        <w:r>
          <w:t>:</w:t>
        </w:r>
      </w:ins>
      <w:r>
        <w:t xml:space="preserve"> No. 40 of 1998 s. 18(5).]</w:t>
      </w:r>
    </w:p>
    <w:p>
      <w:pPr>
        <w:pStyle w:val="Heading5"/>
        <w:rPr>
          <w:snapToGrid w:val="0"/>
        </w:rPr>
      </w:pPr>
      <w:bookmarkStart w:id="120" w:name="_Toc406081425"/>
      <w:bookmarkStart w:id="121" w:name="_Toc536191953"/>
      <w:bookmarkStart w:id="122" w:name="_Toc423090713"/>
      <w:r>
        <w:rPr>
          <w:rStyle w:val="CharSectno"/>
        </w:rPr>
        <w:t>20</w:t>
      </w:r>
      <w:r>
        <w:rPr>
          <w:snapToGrid w:val="0"/>
        </w:rPr>
        <w:t>.</w:t>
      </w:r>
      <w:r>
        <w:rPr>
          <w:snapToGrid w:val="0"/>
        </w:rPr>
        <w:tab/>
        <w:t>Application to Supreme Court</w:t>
      </w:r>
      <w:bookmarkEnd w:id="120"/>
      <w:bookmarkEnd w:id="121"/>
      <w:bookmarkEnd w:id="122"/>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23" w:name="_Toc406081426"/>
      <w:bookmarkStart w:id="124" w:name="_Toc536191954"/>
      <w:bookmarkStart w:id="125" w:name="_Toc423090714"/>
      <w:r>
        <w:rPr>
          <w:rStyle w:val="CharSectno"/>
        </w:rPr>
        <w:t>21</w:t>
      </w:r>
      <w:r>
        <w:rPr>
          <w:snapToGrid w:val="0"/>
        </w:rPr>
        <w:t>.</w:t>
      </w:r>
      <w:r>
        <w:rPr>
          <w:snapToGrid w:val="0"/>
        </w:rPr>
        <w:tab/>
        <w:t>Supreme Court may make order</w:t>
      </w:r>
      <w:bookmarkEnd w:id="123"/>
      <w:bookmarkEnd w:id="124"/>
      <w:bookmarkEnd w:id="125"/>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w:t>
      </w:r>
      <w:del w:id="126" w:author="svcMRProcess" w:date="2019-01-25T15:59:00Z">
        <w:r>
          <w:delText xml:space="preserve"> by</w:delText>
        </w:r>
      </w:del>
      <w:ins w:id="127" w:author="svcMRProcess" w:date="2019-01-25T15:59:00Z">
        <w:r>
          <w:t>:</w:t>
        </w:r>
      </w:ins>
      <w:r>
        <w:t xml:space="preserve"> No. 40 of 1998 s. 18(6).]</w:t>
      </w:r>
    </w:p>
    <w:p>
      <w:pPr>
        <w:pStyle w:val="Heading5"/>
      </w:pPr>
      <w:bookmarkStart w:id="128" w:name="_Toc406081427"/>
      <w:bookmarkStart w:id="129" w:name="_Toc536191955"/>
      <w:bookmarkStart w:id="130" w:name="_Toc423090715"/>
      <w:r>
        <w:rPr>
          <w:rStyle w:val="CharSectno"/>
        </w:rPr>
        <w:t>22A</w:t>
      </w:r>
      <w:r>
        <w:t>.</w:t>
      </w:r>
      <w:r>
        <w:tab/>
        <w:t>Effect of new identity order</w:t>
      </w:r>
      <w:bookmarkEnd w:id="128"/>
      <w:bookmarkEnd w:id="129"/>
      <w:bookmarkEnd w:id="130"/>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w:t>
      </w:r>
      <w:del w:id="131" w:author="svcMRProcess" w:date="2019-01-25T15:59:00Z">
        <w:r>
          <w:delText xml:space="preserve"> by</w:delText>
        </w:r>
      </w:del>
      <w:ins w:id="132" w:author="svcMRProcess" w:date="2019-01-25T15:59:00Z">
        <w:r>
          <w:t>:</w:t>
        </w:r>
      </w:ins>
      <w:r>
        <w:t xml:space="preserve"> No. 55 of 2012 s. 127.]</w:t>
      </w:r>
    </w:p>
    <w:p>
      <w:pPr>
        <w:pStyle w:val="Heading5"/>
        <w:rPr>
          <w:snapToGrid w:val="0"/>
        </w:rPr>
      </w:pPr>
      <w:bookmarkStart w:id="133" w:name="_Toc406081428"/>
      <w:bookmarkStart w:id="134" w:name="_Toc536191956"/>
      <w:bookmarkStart w:id="135" w:name="_Toc423090716"/>
      <w:r>
        <w:rPr>
          <w:rStyle w:val="CharSectno"/>
        </w:rPr>
        <w:t>22</w:t>
      </w:r>
      <w:r>
        <w:rPr>
          <w:snapToGrid w:val="0"/>
        </w:rPr>
        <w:t>.</w:t>
      </w:r>
      <w:r>
        <w:rPr>
          <w:snapToGrid w:val="0"/>
        </w:rPr>
        <w:tab/>
        <w:t>Supreme Court may order former identity to be restored</w:t>
      </w:r>
      <w:bookmarkEnd w:id="133"/>
      <w:bookmarkEnd w:id="134"/>
      <w:bookmarkEnd w:id="135"/>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36" w:name="_Toc406081429"/>
      <w:bookmarkStart w:id="137" w:name="_Toc536191957"/>
      <w:bookmarkStart w:id="138" w:name="_Toc423090717"/>
      <w:r>
        <w:rPr>
          <w:rStyle w:val="CharSectno"/>
        </w:rPr>
        <w:t>23</w:t>
      </w:r>
      <w:r>
        <w:rPr>
          <w:snapToGrid w:val="0"/>
        </w:rPr>
        <w:t>.</w:t>
      </w:r>
      <w:r>
        <w:rPr>
          <w:snapToGrid w:val="0"/>
        </w:rPr>
        <w:tab/>
        <w:t>Proceedings to be in private</w:t>
      </w:r>
      <w:bookmarkEnd w:id="136"/>
      <w:bookmarkEnd w:id="137"/>
      <w:bookmarkEnd w:id="138"/>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39" w:name="_Toc406081430"/>
      <w:bookmarkStart w:id="140" w:name="_Toc536191958"/>
      <w:bookmarkStart w:id="141" w:name="_Toc423090718"/>
      <w:r>
        <w:rPr>
          <w:rStyle w:val="CharSectno"/>
        </w:rPr>
        <w:t>24</w:t>
      </w:r>
      <w:r>
        <w:rPr>
          <w:snapToGrid w:val="0"/>
        </w:rPr>
        <w:t>.</w:t>
      </w:r>
      <w:r>
        <w:rPr>
          <w:snapToGrid w:val="0"/>
        </w:rPr>
        <w:tab/>
        <w:t>Effect of actions done under order</w:t>
      </w:r>
      <w:bookmarkEnd w:id="139"/>
      <w:bookmarkEnd w:id="140"/>
      <w:bookmarkEnd w:id="141"/>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w:t>
      </w:r>
      <w:del w:id="142" w:author="svcMRProcess" w:date="2019-01-25T15:59:00Z">
        <w:r>
          <w:delText xml:space="preserve"> by</w:delText>
        </w:r>
      </w:del>
      <w:ins w:id="143" w:author="svcMRProcess" w:date="2019-01-25T15:59:00Z">
        <w:r>
          <w:t>:</w:t>
        </w:r>
      </w:ins>
      <w:r>
        <w:t xml:space="preserve"> No. 40 of 1998 s. 18(7).]</w:t>
      </w:r>
    </w:p>
    <w:p>
      <w:pPr>
        <w:pStyle w:val="Heading3"/>
        <w:spacing w:before="260"/>
      </w:pPr>
      <w:bookmarkStart w:id="144" w:name="_Toc377039060"/>
      <w:bookmarkStart w:id="145" w:name="_Toc406081431"/>
      <w:bookmarkStart w:id="146" w:name="_Toc423090719"/>
      <w:bookmarkStart w:id="147" w:name="_Toc423595277"/>
      <w:bookmarkStart w:id="148" w:name="_Toc536191959"/>
      <w:r>
        <w:rPr>
          <w:rStyle w:val="CharDivNo"/>
        </w:rPr>
        <w:t>Division 6</w:t>
      </w:r>
      <w:r>
        <w:rPr>
          <w:snapToGrid w:val="0"/>
        </w:rPr>
        <w:t> — </w:t>
      </w:r>
      <w:r>
        <w:rPr>
          <w:rStyle w:val="CharDivText"/>
        </w:rPr>
        <w:t>Terminating protection and assistance</w:t>
      </w:r>
      <w:bookmarkEnd w:id="144"/>
      <w:bookmarkEnd w:id="145"/>
      <w:bookmarkEnd w:id="146"/>
      <w:bookmarkEnd w:id="147"/>
      <w:bookmarkEnd w:id="148"/>
    </w:p>
    <w:p>
      <w:pPr>
        <w:pStyle w:val="Heading5"/>
        <w:spacing w:before="200"/>
        <w:rPr>
          <w:snapToGrid w:val="0"/>
        </w:rPr>
      </w:pPr>
      <w:bookmarkStart w:id="149" w:name="_Toc406081432"/>
      <w:bookmarkStart w:id="150" w:name="_Toc536191960"/>
      <w:bookmarkStart w:id="151" w:name="_Toc423090720"/>
      <w:r>
        <w:rPr>
          <w:rStyle w:val="CharSectno"/>
        </w:rPr>
        <w:t>25</w:t>
      </w:r>
      <w:r>
        <w:rPr>
          <w:snapToGrid w:val="0"/>
        </w:rPr>
        <w:t>.</w:t>
      </w:r>
      <w:r>
        <w:rPr>
          <w:snapToGrid w:val="0"/>
        </w:rPr>
        <w:tab/>
        <w:t>Commissioner may terminate protection</w:t>
      </w:r>
      <w:bookmarkEnd w:id="149"/>
      <w:bookmarkEnd w:id="150"/>
      <w:bookmarkEnd w:id="151"/>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w:t>
      </w:r>
      <w:del w:id="152" w:author="svcMRProcess" w:date="2019-01-25T15:59:00Z">
        <w:r>
          <w:delText xml:space="preserve"> by</w:delText>
        </w:r>
      </w:del>
      <w:ins w:id="153" w:author="svcMRProcess" w:date="2019-01-25T15:59:00Z">
        <w:r>
          <w:t>:</w:t>
        </w:r>
      </w:ins>
      <w:r>
        <w:t xml:space="preserve"> No. 55 of 2012 s. 128.]</w:t>
      </w:r>
    </w:p>
    <w:p>
      <w:pPr>
        <w:pStyle w:val="Heading5"/>
        <w:spacing w:before="200"/>
        <w:rPr>
          <w:snapToGrid w:val="0"/>
        </w:rPr>
      </w:pPr>
      <w:bookmarkStart w:id="154" w:name="_Toc406081433"/>
      <w:bookmarkStart w:id="155" w:name="_Toc536191961"/>
      <w:bookmarkStart w:id="156" w:name="_Toc423090721"/>
      <w:r>
        <w:rPr>
          <w:rStyle w:val="CharSectno"/>
        </w:rPr>
        <w:t>26</w:t>
      </w:r>
      <w:r>
        <w:rPr>
          <w:snapToGrid w:val="0"/>
        </w:rPr>
        <w:t>.</w:t>
      </w:r>
      <w:r>
        <w:rPr>
          <w:snapToGrid w:val="0"/>
        </w:rPr>
        <w:tab/>
        <w:t>Restoring a former identity</w:t>
      </w:r>
      <w:bookmarkEnd w:id="154"/>
      <w:bookmarkEnd w:id="155"/>
      <w:bookmarkEnd w:id="156"/>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57" w:name="_Toc377039063"/>
      <w:bookmarkStart w:id="158" w:name="_Toc406081434"/>
      <w:bookmarkStart w:id="159" w:name="_Toc423090722"/>
      <w:bookmarkStart w:id="160" w:name="_Toc423595280"/>
      <w:bookmarkStart w:id="161" w:name="_Toc536191962"/>
      <w:r>
        <w:rPr>
          <w:rStyle w:val="CharPartNo"/>
        </w:rPr>
        <w:t>Part 3</w:t>
      </w:r>
      <w:r>
        <w:t> — </w:t>
      </w:r>
      <w:r>
        <w:rPr>
          <w:rStyle w:val="CharPartText"/>
        </w:rPr>
        <w:t>Secrecy and disclosure</w:t>
      </w:r>
      <w:bookmarkEnd w:id="157"/>
      <w:bookmarkEnd w:id="158"/>
      <w:bookmarkEnd w:id="159"/>
      <w:bookmarkEnd w:id="160"/>
      <w:bookmarkEnd w:id="161"/>
    </w:p>
    <w:p>
      <w:pPr>
        <w:pStyle w:val="Heading3"/>
      </w:pPr>
      <w:bookmarkStart w:id="162" w:name="_Toc377039064"/>
      <w:bookmarkStart w:id="163" w:name="_Toc406081435"/>
      <w:bookmarkStart w:id="164" w:name="_Toc423090723"/>
      <w:bookmarkStart w:id="165" w:name="_Toc423595281"/>
      <w:bookmarkStart w:id="166" w:name="_Toc536191963"/>
      <w:r>
        <w:rPr>
          <w:rStyle w:val="CharDivNo"/>
        </w:rPr>
        <w:t>Division 1</w:t>
      </w:r>
      <w:r>
        <w:t> — </w:t>
      </w:r>
      <w:r>
        <w:rPr>
          <w:rStyle w:val="CharDivText"/>
        </w:rPr>
        <w:t>General</w:t>
      </w:r>
      <w:bookmarkEnd w:id="162"/>
      <w:bookmarkEnd w:id="163"/>
      <w:bookmarkEnd w:id="164"/>
      <w:bookmarkEnd w:id="165"/>
      <w:bookmarkEnd w:id="166"/>
    </w:p>
    <w:p>
      <w:pPr>
        <w:pStyle w:val="Footnoteheading"/>
      </w:pPr>
      <w:r>
        <w:tab/>
        <w:t>[Heading inserted</w:t>
      </w:r>
      <w:del w:id="167" w:author="svcMRProcess" w:date="2019-01-25T15:59:00Z">
        <w:r>
          <w:delText xml:space="preserve"> by</w:delText>
        </w:r>
      </w:del>
      <w:ins w:id="168" w:author="svcMRProcess" w:date="2019-01-25T15:59:00Z">
        <w:r>
          <w:t>:</w:t>
        </w:r>
      </w:ins>
      <w:r>
        <w:t xml:space="preserve"> No. 55 of 2012 s. 129.]</w:t>
      </w:r>
    </w:p>
    <w:p>
      <w:pPr>
        <w:pStyle w:val="Heading5"/>
        <w:rPr>
          <w:snapToGrid w:val="0"/>
        </w:rPr>
      </w:pPr>
      <w:bookmarkStart w:id="169" w:name="_Toc406081436"/>
      <w:bookmarkStart w:id="170" w:name="_Toc536191964"/>
      <w:bookmarkStart w:id="171" w:name="_Toc423090724"/>
      <w:r>
        <w:rPr>
          <w:rStyle w:val="CharSectno"/>
        </w:rPr>
        <w:t>27</w:t>
      </w:r>
      <w:r>
        <w:rPr>
          <w:snapToGrid w:val="0"/>
        </w:rPr>
        <w:t>.</w:t>
      </w:r>
      <w:r>
        <w:rPr>
          <w:snapToGrid w:val="0"/>
        </w:rPr>
        <w:tab/>
        <w:t>Duty not to disclose</w:t>
      </w:r>
      <w:bookmarkEnd w:id="169"/>
      <w:bookmarkEnd w:id="170"/>
      <w:bookmarkEnd w:id="171"/>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72" w:name="_Toc406081437"/>
      <w:bookmarkStart w:id="173" w:name="_Toc536191965"/>
      <w:bookmarkStart w:id="174" w:name="_Toc423090725"/>
      <w:r>
        <w:rPr>
          <w:rStyle w:val="CharSectno"/>
        </w:rPr>
        <w:t>28</w:t>
      </w:r>
      <w:r>
        <w:rPr>
          <w:snapToGrid w:val="0"/>
        </w:rPr>
        <w:t>.</w:t>
      </w:r>
      <w:r>
        <w:rPr>
          <w:snapToGrid w:val="0"/>
        </w:rPr>
        <w:tab/>
        <w:t>Disclosure of information cannot be compelled</w:t>
      </w:r>
      <w:bookmarkEnd w:id="172"/>
      <w:bookmarkEnd w:id="173"/>
      <w:bookmarkEnd w:id="174"/>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75" w:name="_Toc406081438"/>
      <w:bookmarkStart w:id="176" w:name="_Toc536191966"/>
      <w:bookmarkStart w:id="177" w:name="_Toc423090726"/>
      <w:r>
        <w:rPr>
          <w:rStyle w:val="CharSectno"/>
        </w:rPr>
        <w:t>29</w:t>
      </w:r>
      <w:r>
        <w:rPr>
          <w:snapToGrid w:val="0"/>
        </w:rPr>
        <w:t>.</w:t>
      </w:r>
      <w:r>
        <w:rPr>
          <w:snapToGrid w:val="0"/>
        </w:rPr>
        <w:tab/>
        <w:t>Disclosing information to approved authorities</w:t>
      </w:r>
      <w:bookmarkEnd w:id="175"/>
      <w:bookmarkEnd w:id="176"/>
      <w:bookmarkEnd w:id="177"/>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w:t>
      </w:r>
      <w:del w:id="178" w:author="svcMRProcess" w:date="2019-01-25T15:59:00Z">
        <w:r>
          <w:delText xml:space="preserve"> by</w:delText>
        </w:r>
      </w:del>
      <w:ins w:id="179" w:author="svcMRProcess" w:date="2019-01-25T15:59:00Z">
        <w:r>
          <w:t>:</w:t>
        </w:r>
      </w:ins>
      <w:r>
        <w:t xml:space="preserve"> No. 55 of 2012 s. 130.]</w:t>
      </w:r>
    </w:p>
    <w:p>
      <w:pPr>
        <w:pStyle w:val="Heading5"/>
        <w:rPr>
          <w:snapToGrid w:val="0"/>
        </w:rPr>
      </w:pPr>
      <w:bookmarkStart w:id="180" w:name="_Toc406081439"/>
      <w:bookmarkStart w:id="181" w:name="_Toc536191967"/>
      <w:bookmarkStart w:id="182" w:name="_Toc423090727"/>
      <w:r>
        <w:rPr>
          <w:rStyle w:val="CharSectno"/>
        </w:rPr>
        <w:t>32</w:t>
      </w:r>
      <w:r>
        <w:rPr>
          <w:snapToGrid w:val="0"/>
        </w:rPr>
        <w:t>.</w:t>
      </w:r>
      <w:r>
        <w:rPr>
          <w:snapToGrid w:val="0"/>
        </w:rPr>
        <w:tab/>
        <w:t>Certain disclosures to court to be in private</w:t>
      </w:r>
      <w:bookmarkEnd w:id="180"/>
      <w:bookmarkEnd w:id="181"/>
      <w:bookmarkEnd w:id="182"/>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w:t>
      </w:r>
      <w:del w:id="183" w:author="svcMRProcess" w:date="2019-01-25T15:59:00Z">
        <w:r>
          <w:delText xml:space="preserve"> by</w:delText>
        </w:r>
      </w:del>
      <w:ins w:id="184" w:author="svcMRProcess" w:date="2019-01-25T15:59:00Z">
        <w:r>
          <w:t>:</w:t>
        </w:r>
      </w:ins>
      <w:r>
        <w:t xml:space="preserve"> No. 55 of 2012 s. 131.]</w:t>
      </w:r>
    </w:p>
    <w:p>
      <w:pPr>
        <w:pStyle w:val="Heading3"/>
      </w:pPr>
      <w:bookmarkStart w:id="185" w:name="_Toc377039069"/>
      <w:bookmarkStart w:id="186" w:name="_Toc406081440"/>
      <w:bookmarkStart w:id="187" w:name="_Toc423090728"/>
      <w:bookmarkStart w:id="188" w:name="_Toc423595286"/>
      <w:bookmarkStart w:id="189" w:name="_Toc536191968"/>
      <w:r>
        <w:rPr>
          <w:rStyle w:val="CharDivNo"/>
        </w:rPr>
        <w:t>Division 2</w:t>
      </w:r>
      <w:r>
        <w:t> — </w:t>
      </w:r>
      <w:r>
        <w:rPr>
          <w:rStyle w:val="CharDivText"/>
        </w:rPr>
        <w:t>Evidence by participants</w:t>
      </w:r>
      <w:bookmarkEnd w:id="185"/>
      <w:bookmarkEnd w:id="186"/>
      <w:bookmarkEnd w:id="187"/>
      <w:bookmarkEnd w:id="188"/>
      <w:bookmarkEnd w:id="189"/>
    </w:p>
    <w:p>
      <w:pPr>
        <w:pStyle w:val="Footnoteheading"/>
      </w:pPr>
      <w:r>
        <w:tab/>
        <w:t>[Heading inserted</w:t>
      </w:r>
      <w:del w:id="190" w:author="svcMRProcess" w:date="2019-01-25T15:59:00Z">
        <w:r>
          <w:delText xml:space="preserve"> by</w:delText>
        </w:r>
      </w:del>
      <w:ins w:id="191" w:author="svcMRProcess" w:date="2019-01-25T15:59:00Z">
        <w:r>
          <w:t>:</w:t>
        </w:r>
      </w:ins>
      <w:r>
        <w:t xml:space="preserve"> No. 55 of 2012 s. 132.]</w:t>
      </w:r>
    </w:p>
    <w:p>
      <w:pPr>
        <w:pStyle w:val="Heading4"/>
      </w:pPr>
      <w:bookmarkStart w:id="192" w:name="_Toc377039070"/>
      <w:bookmarkStart w:id="193" w:name="_Toc406081441"/>
      <w:bookmarkStart w:id="194" w:name="_Toc423090729"/>
      <w:bookmarkStart w:id="195" w:name="_Toc423595287"/>
      <w:bookmarkStart w:id="196" w:name="_Toc536191969"/>
      <w:r>
        <w:t>Subdivision 1 — Terms used</w:t>
      </w:r>
      <w:bookmarkEnd w:id="192"/>
      <w:bookmarkEnd w:id="193"/>
      <w:bookmarkEnd w:id="194"/>
      <w:bookmarkEnd w:id="195"/>
      <w:bookmarkEnd w:id="196"/>
    </w:p>
    <w:p>
      <w:pPr>
        <w:pStyle w:val="Footnoteheading"/>
      </w:pPr>
      <w:r>
        <w:tab/>
        <w:t>[Heading inserted</w:t>
      </w:r>
      <w:del w:id="197" w:author="svcMRProcess" w:date="2019-01-25T15:59:00Z">
        <w:r>
          <w:delText xml:space="preserve"> by</w:delText>
        </w:r>
      </w:del>
      <w:ins w:id="198" w:author="svcMRProcess" w:date="2019-01-25T15:59:00Z">
        <w:r>
          <w:t>:</w:t>
        </w:r>
      </w:ins>
      <w:r>
        <w:t xml:space="preserve"> No. 55 of 2012 s. 132.]</w:t>
      </w:r>
    </w:p>
    <w:p>
      <w:pPr>
        <w:pStyle w:val="Heading5"/>
      </w:pPr>
      <w:bookmarkStart w:id="199" w:name="_Toc406081442"/>
      <w:bookmarkStart w:id="200" w:name="_Toc536191970"/>
      <w:bookmarkStart w:id="201" w:name="_Toc423090730"/>
      <w:r>
        <w:rPr>
          <w:rStyle w:val="CharSectno"/>
        </w:rPr>
        <w:t>33</w:t>
      </w:r>
      <w:r>
        <w:t>.</w:t>
      </w:r>
      <w:r>
        <w:tab/>
        <w:t>Terms used</w:t>
      </w:r>
      <w:bookmarkEnd w:id="199"/>
      <w:bookmarkEnd w:id="200"/>
      <w:bookmarkEnd w:id="201"/>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w:t>
      </w:r>
      <w:del w:id="202" w:author="svcMRProcess" w:date="2019-01-25T15:59:00Z">
        <w:r>
          <w:delText xml:space="preserve"> by</w:delText>
        </w:r>
      </w:del>
      <w:ins w:id="203" w:author="svcMRProcess" w:date="2019-01-25T15:59:00Z">
        <w:r>
          <w:t>:</w:t>
        </w:r>
      </w:ins>
      <w:r>
        <w:t xml:space="preserve"> No. 55 of 2012 s. 133.]</w:t>
      </w:r>
    </w:p>
    <w:p>
      <w:pPr>
        <w:pStyle w:val="Heading4"/>
      </w:pPr>
      <w:bookmarkStart w:id="204" w:name="_Toc377039072"/>
      <w:bookmarkStart w:id="205" w:name="_Toc406081443"/>
      <w:bookmarkStart w:id="206" w:name="_Toc423090731"/>
      <w:bookmarkStart w:id="207" w:name="_Toc423595289"/>
      <w:bookmarkStart w:id="208" w:name="_Toc536191971"/>
      <w:r>
        <w:t>Subdivision 2 — Non-disclosure certificates for protected persons</w:t>
      </w:r>
      <w:bookmarkEnd w:id="204"/>
      <w:bookmarkEnd w:id="205"/>
      <w:bookmarkEnd w:id="206"/>
      <w:bookmarkEnd w:id="207"/>
      <w:bookmarkEnd w:id="208"/>
    </w:p>
    <w:p>
      <w:pPr>
        <w:pStyle w:val="Footnoteheading"/>
      </w:pPr>
      <w:r>
        <w:tab/>
        <w:t>[Heading inserted</w:t>
      </w:r>
      <w:del w:id="209" w:author="svcMRProcess" w:date="2019-01-25T15:59:00Z">
        <w:r>
          <w:delText xml:space="preserve"> by</w:delText>
        </w:r>
      </w:del>
      <w:ins w:id="210" w:author="svcMRProcess" w:date="2019-01-25T15:59:00Z">
        <w:r>
          <w:t>:</w:t>
        </w:r>
      </w:ins>
      <w:r>
        <w:t xml:space="preserve"> No. 55 of 2012 s. 133.]</w:t>
      </w:r>
    </w:p>
    <w:p>
      <w:pPr>
        <w:pStyle w:val="Heading5"/>
      </w:pPr>
      <w:bookmarkStart w:id="211" w:name="_Toc406081444"/>
      <w:bookmarkStart w:id="212" w:name="_Toc536191972"/>
      <w:bookmarkStart w:id="213" w:name="_Toc423090732"/>
      <w:r>
        <w:rPr>
          <w:rStyle w:val="CharSectno"/>
        </w:rPr>
        <w:t>34A</w:t>
      </w:r>
      <w:r>
        <w:t>.</w:t>
      </w:r>
      <w:r>
        <w:tab/>
        <w:t>Non</w:t>
      </w:r>
      <w:r>
        <w:noBreakHyphen/>
        <w:t>disclosure certificates</w:t>
      </w:r>
      <w:bookmarkEnd w:id="211"/>
      <w:bookmarkEnd w:id="212"/>
      <w:bookmarkEnd w:id="213"/>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w:t>
      </w:r>
      <w:del w:id="214" w:author="svcMRProcess" w:date="2019-01-25T15:59:00Z">
        <w:r>
          <w:delText xml:space="preserve"> by</w:delText>
        </w:r>
      </w:del>
      <w:ins w:id="215" w:author="svcMRProcess" w:date="2019-01-25T15:59:00Z">
        <w:r>
          <w:t>:</w:t>
        </w:r>
      </w:ins>
      <w:r>
        <w:t xml:space="preserve"> No. 55 of 2012 s. 133.]</w:t>
      </w:r>
    </w:p>
    <w:p>
      <w:pPr>
        <w:pStyle w:val="Heading5"/>
      </w:pPr>
      <w:bookmarkStart w:id="216" w:name="_Toc406081445"/>
      <w:bookmarkStart w:id="217" w:name="_Toc536191973"/>
      <w:bookmarkStart w:id="218" w:name="_Toc423090733"/>
      <w:r>
        <w:rPr>
          <w:rStyle w:val="CharSectno"/>
        </w:rPr>
        <w:t>34B</w:t>
      </w:r>
      <w:r>
        <w:t>.</w:t>
      </w:r>
      <w:r>
        <w:tab/>
        <w:t>What non</w:t>
      </w:r>
      <w:r>
        <w:noBreakHyphen/>
        <w:t>disclosure certificate must state</w:t>
      </w:r>
      <w:bookmarkEnd w:id="216"/>
      <w:bookmarkEnd w:id="217"/>
      <w:bookmarkEnd w:id="218"/>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w:t>
      </w:r>
      <w:del w:id="219" w:author="svcMRProcess" w:date="2019-01-25T15:59:00Z">
        <w:r>
          <w:delText xml:space="preserve"> by</w:delText>
        </w:r>
      </w:del>
      <w:ins w:id="220" w:author="svcMRProcess" w:date="2019-01-25T15:59:00Z">
        <w:r>
          <w:t>:</w:t>
        </w:r>
      </w:ins>
      <w:r>
        <w:t xml:space="preserve"> No. 55 of 2012 s. 133.]</w:t>
      </w:r>
    </w:p>
    <w:p>
      <w:pPr>
        <w:pStyle w:val="Heading4"/>
      </w:pPr>
      <w:bookmarkStart w:id="221" w:name="_Toc377039075"/>
      <w:bookmarkStart w:id="222" w:name="_Toc406081446"/>
      <w:bookmarkStart w:id="223" w:name="_Toc423090734"/>
      <w:bookmarkStart w:id="224" w:name="_Toc423595292"/>
      <w:bookmarkStart w:id="225" w:name="_Toc536191974"/>
      <w:r>
        <w:t>Subdivision 3 — Provisions applicable to court proceedings</w:t>
      </w:r>
      <w:bookmarkEnd w:id="221"/>
      <w:bookmarkEnd w:id="222"/>
      <w:bookmarkEnd w:id="223"/>
      <w:bookmarkEnd w:id="224"/>
      <w:bookmarkEnd w:id="225"/>
    </w:p>
    <w:p>
      <w:pPr>
        <w:pStyle w:val="Footnoteheading"/>
      </w:pPr>
      <w:r>
        <w:tab/>
        <w:t>[Heading inserted</w:t>
      </w:r>
      <w:del w:id="226" w:author="svcMRProcess" w:date="2019-01-25T15:59:00Z">
        <w:r>
          <w:delText xml:space="preserve"> by</w:delText>
        </w:r>
      </w:del>
      <w:ins w:id="227" w:author="svcMRProcess" w:date="2019-01-25T15:59:00Z">
        <w:r>
          <w:t>:</w:t>
        </w:r>
      </w:ins>
      <w:r>
        <w:t xml:space="preserve"> No. 55 of 2012 s. 133.]</w:t>
      </w:r>
    </w:p>
    <w:p>
      <w:pPr>
        <w:pStyle w:val="Heading5"/>
      </w:pPr>
      <w:bookmarkStart w:id="228" w:name="_Toc406081447"/>
      <w:bookmarkStart w:id="229" w:name="_Toc536191975"/>
      <w:bookmarkStart w:id="230" w:name="_Toc423090735"/>
      <w:r>
        <w:rPr>
          <w:rStyle w:val="CharSectno"/>
        </w:rPr>
        <w:t>34CA</w:t>
      </w:r>
      <w:r>
        <w:t>.</w:t>
      </w:r>
      <w:r>
        <w:tab/>
        <w:t>Application of Subdivision</w:t>
      </w:r>
      <w:bookmarkEnd w:id="228"/>
      <w:bookmarkEnd w:id="229"/>
      <w:bookmarkEnd w:id="230"/>
    </w:p>
    <w:p>
      <w:pPr>
        <w:pStyle w:val="Subsection"/>
      </w:pPr>
      <w:r>
        <w:tab/>
      </w:r>
      <w:r>
        <w:tab/>
        <w:t>This Subdivision applies in relation to court proceedings in which a protected person is, or may be, required to give evidence.</w:t>
      </w:r>
    </w:p>
    <w:p>
      <w:pPr>
        <w:pStyle w:val="Footnotesection"/>
      </w:pPr>
      <w:r>
        <w:tab/>
        <w:t>[Section 34CA inserted</w:t>
      </w:r>
      <w:del w:id="231" w:author="svcMRProcess" w:date="2019-01-25T15:59:00Z">
        <w:r>
          <w:delText xml:space="preserve"> by</w:delText>
        </w:r>
      </w:del>
      <w:ins w:id="232" w:author="svcMRProcess" w:date="2019-01-25T15:59:00Z">
        <w:r>
          <w:t>:</w:t>
        </w:r>
      </w:ins>
      <w:r>
        <w:t xml:space="preserve"> No. 55 of 2012 s. 133.]</w:t>
      </w:r>
    </w:p>
    <w:p>
      <w:pPr>
        <w:pStyle w:val="Heading5"/>
      </w:pPr>
      <w:bookmarkStart w:id="233" w:name="_Toc406081448"/>
      <w:bookmarkStart w:id="234" w:name="_Toc536191976"/>
      <w:bookmarkStart w:id="235" w:name="_Toc423090736"/>
      <w:r>
        <w:rPr>
          <w:rStyle w:val="CharSectno"/>
        </w:rPr>
        <w:t>34C</w:t>
      </w:r>
      <w:r>
        <w:t>.</w:t>
      </w:r>
      <w:r>
        <w:tab/>
        <w:t>Effect of non</w:t>
      </w:r>
      <w:r>
        <w:noBreakHyphen/>
        <w:t>disclosure certificate</w:t>
      </w:r>
      <w:bookmarkEnd w:id="233"/>
      <w:bookmarkEnd w:id="234"/>
      <w:bookmarkEnd w:id="235"/>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w:t>
      </w:r>
      <w:del w:id="236" w:author="svcMRProcess" w:date="2019-01-25T15:59:00Z">
        <w:r>
          <w:delText xml:space="preserve"> by</w:delText>
        </w:r>
      </w:del>
      <w:ins w:id="237" w:author="svcMRProcess" w:date="2019-01-25T15:59:00Z">
        <w:r>
          <w:t>:</w:t>
        </w:r>
      </w:ins>
      <w:r>
        <w:t xml:space="preserve"> No. 55 of 2012 s. 133.]</w:t>
      </w:r>
    </w:p>
    <w:p>
      <w:pPr>
        <w:pStyle w:val="Heading5"/>
      </w:pPr>
      <w:bookmarkStart w:id="238" w:name="_Toc406081449"/>
      <w:bookmarkStart w:id="239" w:name="_Toc536191977"/>
      <w:bookmarkStart w:id="240" w:name="_Toc423090737"/>
      <w:r>
        <w:rPr>
          <w:rStyle w:val="CharSectno"/>
        </w:rPr>
        <w:t>34D</w:t>
      </w:r>
      <w:r>
        <w:t>.</w:t>
      </w:r>
      <w:r>
        <w:tab/>
        <w:t>Disclosure of protected person’s identity despite certificate</w:t>
      </w:r>
      <w:bookmarkEnd w:id="238"/>
      <w:bookmarkEnd w:id="239"/>
      <w:bookmarkEnd w:id="240"/>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w:t>
      </w:r>
      <w:del w:id="241" w:author="svcMRProcess" w:date="2019-01-25T15:59:00Z">
        <w:r>
          <w:delText xml:space="preserve"> by</w:delText>
        </w:r>
      </w:del>
      <w:ins w:id="242" w:author="svcMRProcess" w:date="2019-01-25T15:59:00Z">
        <w:r>
          <w:t>:</w:t>
        </w:r>
      </w:ins>
      <w:r>
        <w:t xml:space="preserve"> No. 55 of 2012 s. 133.]</w:t>
      </w:r>
    </w:p>
    <w:p>
      <w:pPr>
        <w:pStyle w:val="Heading5"/>
      </w:pPr>
      <w:bookmarkStart w:id="243" w:name="_Toc406081450"/>
      <w:bookmarkStart w:id="244" w:name="_Toc536191978"/>
      <w:bookmarkStart w:id="245" w:name="_Toc423090738"/>
      <w:r>
        <w:rPr>
          <w:rStyle w:val="CharSectno"/>
        </w:rPr>
        <w:t>34E</w:t>
      </w:r>
      <w:r>
        <w:t>.</w:t>
      </w:r>
      <w:r>
        <w:tab/>
        <w:t>Directions to jury</w:t>
      </w:r>
      <w:bookmarkEnd w:id="243"/>
      <w:bookmarkEnd w:id="244"/>
      <w:bookmarkEnd w:id="245"/>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w:t>
      </w:r>
      <w:del w:id="246" w:author="svcMRProcess" w:date="2019-01-25T15:59:00Z">
        <w:r>
          <w:delText xml:space="preserve"> by</w:delText>
        </w:r>
      </w:del>
      <w:ins w:id="247" w:author="svcMRProcess" w:date="2019-01-25T15:59:00Z">
        <w:r>
          <w:t>:</w:t>
        </w:r>
      </w:ins>
      <w:r>
        <w:t xml:space="preserve"> No. 55 of 2012 s. 133.]</w:t>
      </w:r>
    </w:p>
    <w:p>
      <w:pPr>
        <w:pStyle w:val="Heading5"/>
      </w:pPr>
      <w:bookmarkStart w:id="248" w:name="_Toc406081451"/>
      <w:bookmarkStart w:id="249" w:name="_Toc536191979"/>
      <w:bookmarkStart w:id="250" w:name="_Toc423090739"/>
      <w:r>
        <w:rPr>
          <w:rStyle w:val="CharSectno"/>
        </w:rPr>
        <w:t>34F</w:t>
      </w:r>
      <w:r>
        <w:t>.</w:t>
      </w:r>
      <w:r>
        <w:tab/>
        <w:t>Adjournment for appeal decision</w:t>
      </w:r>
      <w:bookmarkEnd w:id="248"/>
      <w:bookmarkEnd w:id="249"/>
      <w:bookmarkEnd w:id="250"/>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w:t>
      </w:r>
      <w:del w:id="251" w:author="svcMRProcess" w:date="2019-01-25T15:59:00Z">
        <w:r>
          <w:delText xml:space="preserve"> by</w:delText>
        </w:r>
      </w:del>
      <w:ins w:id="252" w:author="svcMRProcess" w:date="2019-01-25T15:59:00Z">
        <w:r>
          <w:t>:</w:t>
        </w:r>
      </w:ins>
      <w:r>
        <w:t xml:space="preserve"> No. 55 of 2012 s. 133.]</w:t>
      </w:r>
    </w:p>
    <w:p>
      <w:pPr>
        <w:pStyle w:val="Heading5"/>
      </w:pPr>
      <w:bookmarkStart w:id="253" w:name="_Toc406081452"/>
      <w:bookmarkStart w:id="254" w:name="_Toc536191980"/>
      <w:bookmarkStart w:id="255" w:name="_Toc423090740"/>
      <w:r>
        <w:rPr>
          <w:rStyle w:val="CharSectno"/>
        </w:rPr>
        <w:t>34G</w:t>
      </w:r>
      <w:r>
        <w:t>.</w:t>
      </w:r>
      <w:r>
        <w:tab/>
        <w:t>Jurisdiction to hear and determine appeals</w:t>
      </w:r>
      <w:bookmarkEnd w:id="253"/>
      <w:bookmarkEnd w:id="254"/>
      <w:bookmarkEnd w:id="255"/>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w:t>
      </w:r>
      <w:del w:id="256" w:author="svcMRProcess" w:date="2019-01-25T15:59:00Z">
        <w:r>
          <w:delText xml:space="preserve"> by</w:delText>
        </w:r>
      </w:del>
      <w:ins w:id="257" w:author="svcMRProcess" w:date="2019-01-25T15:59:00Z">
        <w:r>
          <w:t>:</w:t>
        </w:r>
      </w:ins>
      <w:r>
        <w:t xml:space="preserve"> No. 55 of 2012 s. 133.]</w:t>
      </w:r>
    </w:p>
    <w:p>
      <w:pPr>
        <w:pStyle w:val="Heading5"/>
      </w:pPr>
      <w:bookmarkStart w:id="258" w:name="_Toc406081453"/>
      <w:bookmarkStart w:id="259" w:name="_Toc536191981"/>
      <w:bookmarkStart w:id="260" w:name="_Toc423090741"/>
      <w:r>
        <w:rPr>
          <w:rStyle w:val="CharSectno"/>
        </w:rPr>
        <w:t>34H</w:t>
      </w:r>
      <w:r>
        <w:t>.</w:t>
      </w:r>
      <w:r>
        <w:tab/>
        <w:t>Recognition of non</w:t>
      </w:r>
      <w:r>
        <w:noBreakHyphen/>
        <w:t>disclosure certificates under corresponding laws</w:t>
      </w:r>
      <w:bookmarkEnd w:id="258"/>
      <w:bookmarkEnd w:id="259"/>
      <w:bookmarkEnd w:id="260"/>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w:t>
      </w:r>
      <w:del w:id="261" w:author="svcMRProcess" w:date="2019-01-25T15:59:00Z">
        <w:r>
          <w:delText xml:space="preserve"> by</w:delText>
        </w:r>
      </w:del>
      <w:ins w:id="262" w:author="svcMRProcess" w:date="2019-01-25T15:59:00Z">
        <w:r>
          <w:t>:</w:t>
        </w:r>
      </w:ins>
      <w:r>
        <w:t xml:space="preserve"> No. 55 of 2012 s. 133.]</w:t>
      </w:r>
    </w:p>
    <w:p>
      <w:pPr>
        <w:pStyle w:val="Heading4"/>
      </w:pPr>
      <w:bookmarkStart w:id="263" w:name="_Toc377039083"/>
      <w:bookmarkStart w:id="264" w:name="_Toc406081454"/>
      <w:bookmarkStart w:id="265" w:name="_Toc423090742"/>
      <w:bookmarkStart w:id="266" w:name="_Toc423595300"/>
      <w:bookmarkStart w:id="267" w:name="_Toc536191982"/>
      <w:r>
        <w:t>Subdivision 4 — Provisions applicable to parliamentary proceedings</w:t>
      </w:r>
      <w:bookmarkEnd w:id="263"/>
      <w:bookmarkEnd w:id="264"/>
      <w:bookmarkEnd w:id="265"/>
      <w:bookmarkEnd w:id="266"/>
      <w:bookmarkEnd w:id="267"/>
    </w:p>
    <w:p>
      <w:pPr>
        <w:pStyle w:val="Footnoteheading"/>
      </w:pPr>
      <w:r>
        <w:tab/>
        <w:t>[Heading inserted</w:t>
      </w:r>
      <w:del w:id="268" w:author="svcMRProcess" w:date="2019-01-25T15:59:00Z">
        <w:r>
          <w:delText xml:space="preserve"> by</w:delText>
        </w:r>
      </w:del>
      <w:ins w:id="269" w:author="svcMRProcess" w:date="2019-01-25T15:59:00Z">
        <w:r>
          <w:t>:</w:t>
        </w:r>
      </w:ins>
      <w:r>
        <w:t xml:space="preserve"> No. 55 of 2012 s. 133.]</w:t>
      </w:r>
    </w:p>
    <w:p>
      <w:pPr>
        <w:pStyle w:val="Heading5"/>
      </w:pPr>
      <w:bookmarkStart w:id="270" w:name="_Toc406081455"/>
      <w:bookmarkStart w:id="271" w:name="_Toc536191983"/>
      <w:bookmarkStart w:id="272" w:name="_Toc423090743"/>
      <w:r>
        <w:t>34I.</w:t>
      </w:r>
      <w:r>
        <w:tab/>
        <w:t>Application of Subdivision</w:t>
      </w:r>
      <w:bookmarkEnd w:id="270"/>
      <w:bookmarkEnd w:id="271"/>
      <w:bookmarkEnd w:id="272"/>
    </w:p>
    <w:p>
      <w:pPr>
        <w:pStyle w:val="Subsection"/>
      </w:pPr>
      <w:r>
        <w:tab/>
      </w:r>
      <w:r>
        <w:tab/>
        <w:t>This Subdivision applies in relation to parliamentary proceedings in which a protected person is, or may be, required to give evidence.</w:t>
      </w:r>
    </w:p>
    <w:p>
      <w:pPr>
        <w:pStyle w:val="Footnotesection"/>
      </w:pPr>
      <w:r>
        <w:tab/>
        <w:t>[Section 34I inserted</w:t>
      </w:r>
      <w:del w:id="273" w:author="svcMRProcess" w:date="2019-01-25T15:59:00Z">
        <w:r>
          <w:delText xml:space="preserve"> by</w:delText>
        </w:r>
      </w:del>
      <w:ins w:id="274" w:author="svcMRProcess" w:date="2019-01-25T15:59:00Z">
        <w:r>
          <w:t>:</w:t>
        </w:r>
      </w:ins>
      <w:r>
        <w:t xml:space="preserve"> No. 55 of 2012 s. 133.]</w:t>
      </w:r>
    </w:p>
    <w:p>
      <w:pPr>
        <w:pStyle w:val="Heading5"/>
      </w:pPr>
      <w:bookmarkStart w:id="275" w:name="_Toc406081456"/>
      <w:bookmarkStart w:id="276" w:name="_Toc536191984"/>
      <w:bookmarkStart w:id="277" w:name="_Toc423090744"/>
      <w:r>
        <w:rPr>
          <w:rStyle w:val="CharSectno"/>
        </w:rPr>
        <w:t>34J</w:t>
      </w:r>
      <w:r>
        <w:t>.</w:t>
      </w:r>
      <w:r>
        <w:tab/>
        <w:t>Effect of non-disclosure certificate</w:t>
      </w:r>
      <w:bookmarkEnd w:id="275"/>
      <w:bookmarkEnd w:id="276"/>
      <w:bookmarkEnd w:id="277"/>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w:t>
      </w:r>
      <w:del w:id="278" w:author="svcMRProcess" w:date="2019-01-25T15:59:00Z">
        <w:r>
          <w:delText xml:space="preserve"> by</w:delText>
        </w:r>
      </w:del>
      <w:ins w:id="279" w:author="svcMRProcess" w:date="2019-01-25T15:59:00Z">
        <w:r>
          <w:t>:</w:t>
        </w:r>
      </w:ins>
      <w:r>
        <w:t xml:space="preserve"> No. 55 of 2012 s. 133.]</w:t>
      </w:r>
    </w:p>
    <w:p>
      <w:pPr>
        <w:pStyle w:val="Heading5"/>
      </w:pPr>
      <w:bookmarkStart w:id="280" w:name="_Toc406081457"/>
      <w:bookmarkStart w:id="281" w:name="_Toc536191985"/>
      <w:bookmarkStart w:id="282" w:name="_Toc423090745"/>
      <w:r>
        <w:rPr>
          <w:rStyle w:val="CharSectno"/>
        </w:rPr>
        <w:t>34K</w:t>
      </w:r>
      <w:r>
        <w:t>.</w:t>
      </w:r>
      <w:r>
        <w:tab/>
        <w:t>Disclosure of protected person’s identity despite certificate</w:t>
      </w:r>
      <w:bookmarkEnd w:id="280"/>
      <w:bookmarkEnd w:id="281"/>
      <w:bookmarkEnd w:id="282"/>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w:t>
      </w:r>
      <w:del w:id="283" w:author="svcMRProcess" w:date="2019-01-25T15:59:00Z">
        <w:r>
          <w:delText xml:space="preserve"> by</w:delText>
        </w:r>
      </w:del>
      <w:ins w:id="284" w:author="svcMRProcess" w:date="2019-01-25T15:59:00Z">
        <w:r>
          <w:t>:</w:t>
        </w:r>
      </w:ins>
      <w:r>
        <w:t xml:space="preserve"> No. 55 of 2012 s. 133.]</w:t>
      </w:r>
    </w:p>
    <w:p>
      <w:pPr>
        <w:pStyle w:val="Heading5"/>
      </w:pPr>
      <w:bookmarkStart w:id="285" w:name="_Toc406081458"/>
      <w:bookmarkStart w:id="286" w:name="_Toc536191986"/>
      <w:bookmarkStart w:id="287" w:name="_Toc423090746"/>
      <w:r>
        <w:rPr>
          <w:rStyle w:val="CharSectno"/>
        </w:rPr>
        <w:t>34L</w:t>
      </w:r>
      <w:r>
        <w:t>.</w:t>
      </w:r>
      <w:r>
        <w:tab/>
        <w:t>Restrictions on content of reports to Parliament</w:t>
      </w:r>
      <w:bookmarkEnd w:id="285"/>
      <w:bookmarkEnd w:id="286"/>
      <w:bookmarkEnd w:id="287"/>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w:t>
      </w:r>
      <w:del w:id="288" w:author="svcMRProcess" w:date="2019-01-25T15:59:00Z">
        <w:r>
          <w:delText xml:space="preserve"> by</w:delText>
        </w:r>
      </w:del>
      <w:ins w:id="289" w:author="svcMRProcess" w:date="2019-01-25T15:59:00Z">
        <w:r>
          <w:t>:</w:t>
        </w:r>
      </w:ins>
      <w:r>
        <w:t xml:space="preserve"> No. 55 of 2012 s. 133.]</w:t>
      </w:r>
    </w:p>
    <w:p>
      <w:pPr>
        <w:pStyle w:val="Heading3"/>
      </w:pPr>
      <w:bookmarkStart w:id="290" w:name="_Toc377039088"/>
      <w:bookmarkStart w:id="291" w:name="_Toc406081459"/>
      <w:bookmarkStart w:id="292" w:name="_Toc423090747"/>
      <w:bookmarkStart w:id="293" w:name="_Toc423595305"/>
      <w:bookmarkStart w:id="294" w:name="_Toc536191987"/>
      <w:r>
        <w:rPr>
          <w:rStyle w:val="CharDivNo"/>
        </w:rPr>
        <w:t>Division 3</w:t>
      </w:r>
      <w:r>
        <w:t> — </w:t>
      </w:r>
      <w:r>
        <w:rPr>
          <w:rStyle w:val="CharDivText"/>
        </w:rPr>
        <w:t>Miscellaneous</w:t>
      </w:r>
      <w:bookmarkEnd w:id="290"/>
      <w:bookmarkEnd w:id="291"/>
      <w:bookmarkEnd w:id="292"/>
      <w:bookmarkEnd w:id="293"/>
      <w:bookmarkEnd w:id="294"/>
    </w:p>
    <w:p>
      <w:pPr>
        <w:pStyle w:val="Footnoteheading"/>
      </w:pPr>
      <w:r>
        <w:tab/>
        <w:t>[Heading inserted</w:t>
      </w:r>
      <w:del w:id="295" w:author="svcMRProcess" w:date="2019-01-25T15:59:00Z">
        <w:r>
          <w:delText xml:space="preserve"> by</w:delText>
        </w:r>
      </w:del>
      <w:ins w:id="296" w:author="svcMRProcess" w:date="2019-01-25T15:59:00Z">
        <w:r>
          <w:t>:</w:t>
        </w:r>
      </w:ins>
      <w:r>
        <w:t xml:space="preserve"> No. 55 of 2012 s. 134.]</w:t>
      </w:r>
    </w:p>
    <w:p>
      <w:pPr>
        <w:pStyle w:val="Heading5"/>
        <w:rPr>
          <w:snapToGrid w:val="0"/>
        </w:rPr>
      </w:pPr>
      <w:bookmarkStart w:id="297" w:name="_Toc406081460"/>
      <w:bookmarkStart w:id="298" w:name="_Toc536191988"/>
      <w:bookmarkStart w:id="299" w:name="_Toc423090748"/>
      <w:r>
        <w:rPr>
          <w:rStyle w:val="CharSectno"/>
        </w:rPr>
        <w:t>34</w:t>
      </w:r>
      <w:r>
        <w:rPr>
          <w:snapToGrid w:val="0"/>
        </w:rPr>
        <w:t>.</w:t>
      </w:r>
      <w:r>
        <w:rPr>
          <w:snapToGrid w:val="0"/>
        </w:rPr>
        <w:tab/>
        <w:t xml:space="preserve">Disclosure by Auditor General, Parliamentary Commissioner or </w:t>
      </w:r>
      <w:r>
        <w:t>Corruption and Crime Commission</w:t>
      </w:r>
      <w:bookmarkEnd w:id="297"/>
      <w:bookmarkEnd w:id="298"/>
      <w:bookmarkEnd w:id="299"/>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w:t>
      </w:r>
      <w:del w:id="300" w:author="svcMRProcess" w:date="2019-01-25T15:59:00Z">
        <w:r>
          <w:rPr>
            <w:i/>
          </w:rPr>
          <w:delText xml:space="preserve"> and</w:delText>
        </w:r>
      </w:del>
      <w:ins w:id="301" w:author="svcMRProcess" w:date="2019-01-25T15:59:00Z">
        <w:r>
          <w:rPr>
            <w:i/>
          </w:rPr>
          <w:t>,</w:t>
        </w:r>
      </w:ins>
      <w:r>
        <w:rPr>
          <w:i/>
        </w:rPr>
        <w:t xml:space="preserve"> Crime </w:t>
      </w:r>
      <w:del w:id="302" w:author="svcMRProcess" w:date="2019-01-25T15:59:00Z">
        <w:r>
          <w:rPr>
            <w:i/>
          </w:rPr>
          <w:delText>Commission</w:delText>
        </w:r>
      </w:del>
      <w:ins w:id="303" w:author="svcMRProcess" w:date="2019-01-25T15:59:00Z">
        <w:r>
          <w:rPr>
            <w:i/>
          </w:rPr>
          <w:t>and Misconduct</w:t>
        </w:r>
      </w:ins>
      <w:r>
        <w:rPr>
          <w:i/>
        </w:rPr>
        <w:t xml:space="preserve">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w:t>
      </w:r>
      <w:del w:id="304" w:author="svcMRProcess" w:date="2019-01-25T15:59:00Z">
        <w:r>
          <w:delText xml:space="preserve"> by</w:delText>
        </w:r>
      </w:del>
      <w:ins w:id="305" w:author="svcMRProcess" w:date="2019-01-25T15:59:00Z">
        <w:r>
          <w:t>:</w:t>
        </w:r>
      </w:ins>
      <w:r>
        <w:t xml:space="preserve"> No. 48 of 2003 s. 62 and Sch. 3</w:t>
      </w:r>
      <w:r>
        <w:rPr>
          <w:vertAlign w:val="superscript"/>
        </w:rPr>
        <w:t> 3</w:t>
      </w:r>
      <w:r>
        <w:t xml:space="preserve"> cl. 11; No. 77 of 2006 s. </w:t>
      </w:r>
      <w:del w:id="306" w:author="svcMRProcess" w:date="2019-01-25T15:59:00Z">
        <w:r>
          <w:delText>17</w:delText>
        </w:r>
      </w:del>
      <w:ins w:id="307" w:author="svcMRProcess" w:date="2019-01-25T15:59:00Z">
        <w:r>
          <w:t>17; No. 35 of 2014 s. 39</w:t>
        </w:r>
      </w:ins>
      <w:r>
        <w:t>.]</w:t>
      </w:r>
    </w:p>
    <w:p>
      <w:pPr>
        <w:pStyle w:val="Heading2"/>
      </w:pPr>
      <w:bookmarkStart w:id="308" w:name="_Toc377039090"/>
      <w:bookmarkStart w:id="309" w:name="_Toc406081461"/>
      <w:bookmarkStart w:id="310" w:name="_Toc423090749"/>
      <w:bookmarkStart w:id="311" w:name="_Toc423595307"/>
      <w:bookmarkStart w:id="312" w:name="_Toc536191989"/>
      <w:r>
        <w:rPr>
          <w:rStyle w:val="CharPartNo"/>
        </w:rPr>
        <w:t>Part 4</w:t>
      </w:r>
      <w:r>
        <w:rPr>
          <w:rStyle w:val="CharDivNo"/>
        </w:rPr>
        <w:t> </w:t>
      </w:r>
      <w:r>
        <w:t>—</w:t>
      </w:r>
      <w:r>
        <w:rPr>
          <w:rStyle w:val="CharDivText"/>
        </w:rPr>
        <w:t> </w:t>
      </w:r>
      <w:r>
        <w:rPr>
          <w:rStyle w:val="CharPartText"/>
        </w:rPr>
        <w:t>Miscellaneous</w:t>
      </w:r>
      <w:bookmarkEnd w:id="308"/>
      <w:bookmarkEnd w:id="309"/>
      <w:bookmarkEnd w:id="310"/>
      <w:bookmarkEnd w:id="311"/>
      <w:bookmarkEnd w:id="312"/>
    </w:p>
    <w:p>
      <w:pPr>
        <w:pStyle w:val="Heading5"/>
        <w:spacing w:before="260"/>
        <w:rPr>
          <w:snapToGrid w:val="0"/>
        </w:rPr>
      </w:pPr>
      <w:bookmarkStart w:id="313" w:name="_Toc406081462"/>
      <w:bookmarkStart w:id="314" w:name="_Toc536191990"/>
      <w:bookmarkStart w:id="315" w:name="_Toc423090750"/>
      <w:r>
        <w:rPr>
          <w:rStyle w:val="CharSectno"/>
        </w:rPr>
        <w:t>35</w:t>
      </w:r>
      <w:r>
        <w:rPr>
          <w:snapToGrid w:val="0"/>
        </w:rPr>
        <w:t>.</w:t>
      </w:r>
      <w:r>
        <w:rPr>
          <w:snapToGrid w:val="0"/>
        </w:rPr>
        <w:tab/>
        <w:t>Offences</w:t>
      </w:r>
      <w:bookmarkEnd w:id="313"/>
      <w:bookmarkEnd w:id="314"/>
      <w:bookmarkEnd w:id="315"/>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316" w:name="_Toc406081463"/>
      <w:bookmarkStart w:id="317" w:name="_Toc536191991"/>
      <w:bookmarkStart w:id="318" w:name="_Toc423090751"/>
      <w:r>
        <w:rPr>
          <w:rStyle w:val="CharSectno"/>
        </w:rPr>
        <w:t>36</w:t>
      </w:r>
      <w:r>
        <w:rPr>
          <w:snapToGrid w:val="0"/>
        </w:rPr>
        <w:t>.</w:t>
      </w:r>
      <w:r>
        <w:rPr>
          <w:snapToGrid w:val="0"/>
        </w:rPr>
        <w:tab/>
        <w:t>Delegation</w:t>
      </w:r>
      <w:bookmarkEnd w:id="316"/>
      <w:bookmarkEnd w:id="317"/>
      <w:bookmarkEnd w:id="318"/>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319" w:name="_Toc406081464"/>
      <w:bookmarkStart w:id="320" w:name="_Toc536191992"/>
      <w:bookmarkStart w:id="321" w:name="_Toc423090752"/>
      <w:r>
        <w:rPr>
          <w:rStyle w:val="CharSectno"/>
        </w:rPr>
        <w:t>37</w:t>
      </w:r>
      <w:r>
        <w:rPr>
          <w:snapToGrid w:val="0"/>
        </w:rPr>
        <w:t>.</w:t>
      </w:r>
      <w:r>
        <w:rPr>
          <w:snapToGrid w:val="0"/>
        </w:rPr>
        <w:tab/>
        <w:t>Reporting on the SWPP</w:t>
      </w:r>
      <w:bookmarkEnd w:id="319"/>
      <w:bookmarkEnd w:id="320"/>
      <w:bookmarkEnd w:id="321"/>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w:t>
      </w:r>
      <w:del w:id="322" w:author="svcMRProcess" w:date="2019-01-25T15:59:00Z">
        <w:r>
          <w:delText xml:space="preserve"> by</w:delText>
        </w:r>
      </w:del>
      <w:ins w:id="323" w:author="svcMRProcess" w:date="2019-01-25T15:59:00Z">
        <w:r>
          <w:t>:</w:t>
        </w:r>
      </w:ins>
      <w:r>
        <w:t xml:space="preserve"> No. 77 of 2006 s. 17.]</w:t>
      </w:r>
    </w:p>
    <w:p>
      <w:pPr>
        <w:pStyle w:val="Heading5"/>
        <w:rPr>
          <w:snapToGrid w:val="0"/>
        </w:rPr>
      </w:pPr>
      <w:bookmarkStart w:id="324" w:name="_Toc406081465"/>
      <w:bookmarkStart w:id="325" w:name="_Toc536191993"/>
      <w:bookmarkStart w:id="326" w:name="_Toc423090753"/>
      <w:r>
        <w:rPr>
          <w:rStyle w:val="CharSectno"/>
        </w:rPr>
        <w:t>38</w:t>
      </w:r>
      <w:r>
        <w:rPr>
          <w:snapToGrid w:val="0"/>
        </w:rPr>
        <w:t>.</w:t>
      </w:r>
      <w:r>
        <w:rPr>
          <w:snapToGrid w:val="0"/>
        </w:rPr>
        <w:tab/>
        <w:t>Protection from liability for wrongdoing</w:t>
      </w:r>
      <w:bookmarkEnd w:id="324"/>
      <w:bookmarkEnd w:id="325"/>
      <w:bookmarkEnd w:id="32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27" w:name="_Toc406081466"/>
      <w:bookmarkStart w:id="328" w:name="_Toc536191994"/>
      <w:bookmarkStart w:id="329" w:name="_Toc423090754"/>
      <w:r>
        <w:rPr>
          <w:rStyle w:val="CharSectno"/>
        </w:rPr>
        <w:t>39</w:t>
      </w:r>
      <w:r>
        <w:rPr>
          <w:snapToGrid w:val="0"/>
        </w:rPr>
        <w:t>.</w:t>
      </w:r>
      <w:r>
        <w:rPr>
          <w:snapToGrid w:val="0"/>
        </w:rPr>
        <w:tab/>
        <w:t>Regulations</w:t>
      </w:r>
      <w:bookmarkEnd w:id="327"/>
      <w:bookmarkEnd w:id="328"/>
      <w:bookmarkEnd w:id="32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330" w:name="_Toc377039096"/>
      <w:bookmarkStart w:id="331" w:name="_Toc406081467"/>
      <w:bookmarkStart w:id="332" w:name="_Toc423090755"/>
      <w:bookmarkStart w:id="333" w:name="_Toc423595313"/>
      <w:bookmarkStart w:id="334" w:name="_Toc536191995"/>
      <w:r>
        <w:rPr>
          <w:rStyle w:val="CharPartNo"/>
        </w:rPr>
        <w:t>Part 5</w:t>
      </w:r>
      <w:r>
        <w:rPr>
          <w:rStyle w:val="CharDivNo"/>
        </w:rPr>
        <w:t> </w:t>
      </w:r>
      <w:r>
        <w:t>—</w:t>
      </w:r>
      <w:r>
        <w:rPr>
          <w:rStyle w:val="CharDivText"/>
        </w:rPr>
        <w:t> </w:t>
      </w:r>
      <w:r>
        <w:rPr>
          <w:rStyle w:val="CharPartText"/>
        </w:rPr>
        <w:t>Transitional and savings provisions</w:t>
      </w:r>
      <w:bookmarkEnd w:id="330"/>
      <w:bookmarkEnd w:id="331"/>
      <w:bookmarkEnd w:id="332"/>
      <w:bookmarkEnd w:id="333"/>
      <w:bookmarkEnd w:id="334"/>
    </w:p>
    <w:p>
      <w:pPr>
        <w:pStyle w:val="Footnoteheading"/>
      </w:pPr>
      <w:r>
        <w:tab/>
        <w:t>[Heading inserted</w:t>
      </w:r>
      <w:del w:id="335" w:author="svcMRProcess" w:date="2019-01-25T15:59:00Z">
        <w:r>
          <w:delText xml:space="preserve"> by</w:delText>
        </w:r>
      </w:del>
      <w:ins w:id="336" w:author="svcMRProcess" w:date="2019-01-25T15:59:00Z">
        <w:r>
          <w:t>:</w:t>
        </w:r>
      </w:ins>
      <w:r>
        <w:t xml:space="preserve"> No. 55 of 2012 s. 135.]</w:t>
      </w:r>
    </w:p>
    <w:p>
      <w:pPr>
        <w:pStyle w:val="Heading5"/>
        <w:spacing w:before="180"/>
        <w:rPr>
          <w:snapToGrid w:val="0"/>
        </w:rPr>
      </w:pPr>
      <w:bookmarkStart w:id="337" w:name="_Toc406081468"/>
      <w:bookmarkStart w:id="338" w:name="_Toc536191996"/>
      <w:bookmarkStart w:id="339" w:name="_Toc423090756"/>
      <w:r>
        <w:rPr>
          <w:rStyle w:val="CharSectno"/>
        </w:rPr>
        <w:t>40</w:t>
      </w:r>
      <w:r>
        <w:rPr>
          <w:snapToGrid w:val="0"/>
        </w:rPr>
        <w:t>.</w:t>
      </w:r>
      <w:r>
        <w:rPr>
          <w:snapToGrid w:val="0"/>
        </w:rPr>
        <w:tab/>
        <w:t>Transitional</w:t>
      </w:r>
      <w:bookmarkEnd w:id="337"/>
      <w:bookmarkEnd w:id="338"/>
      <w:bookmarkEnd w:id="339"/>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340" w:name="_Toc406081469"/>
      <w:bookmarkStart w:id="341" w:name="_Toc536191997"/>
      <w:bookmarkStart w:id="342" w:name="_Toc423090757"/>
      <w:r>
        <w:rPr>
          <w:rStyle w:val="CharSectno"/>
        </w:rPr>
        <w:t>41</w:t>
      </w:r>
      <w:r>
        <w:t>.</w:t>
      </w:r>
      <w:r>
        <w:tab/>
        <w:t xml:space="preserve">Savings provision relating to </w:t>
      </w:r>
      <w:r>
        <w:rPr>
          <w:i/>
        </w:rPr>
        <w:t>Criminal Investigation (Covert Powers) Act 2012</w:t>
      </w:r>
      <w:bookmarkEnd w:id="340"/>
      <w:bookmarkEnd w:id="341"/>
      <w:bookmarkEnd w:id="34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w:t>
      </w:r>
      <w:del w:id="343" w:author="svcMRProcess" w:date="2019-01-25T15:59:00Z">
        <w:r>
          <w:delText xml:space="preserve"> by</w:delText>
        </w:r>
      </w:del>
      <w:ins w:id="344" w:author="svcMRProcess" w:date="2019-01-25T15:59:00Z">
        <w:r>
          <w:t>:</w:t>
        </w:r>
      </w:ins>
      <w:r>
        <w:t xml:space="preserve">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45" w:name="_Toc377039099"/>
      <w:bookmarkStart w:id="346" w:name="_Toc406081470"/>
      <w:bookmarkStart w:id="347" w:name="_Toc423090758"/>
      <w:bookmarkStart w:id="348" w:name="_Toc423595316"/>
      <w:bookmarkStart w:id="349" w:name="_Toc536191998"/>
      <w:r>
        <w:t>Notes</w:t>
      </w:r>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1996</w:t>
      </w:r>
      <w:r>
        <w:rPr>
          <w:snapToGrid w:val="0"/>
        </w:rPr>
        <w:t xml:space="preserve"> and includes the amendments made by the other written laws referred to in the following table</w:t>
      </w:r>
      <w:del w:id="350" w:author="svcMRProcess" w:date="2019-01-25T15:59:00Z">
        <w:r>
          <w:rPr>
            <w:snapToGrid w:val="0"/>
            <w:vertAlign w:val="superscript"/>
          </w:rPr>
          <w:delText> 1a</w:delText>
        </w:r>
      </w:del>
      <w:r>
        <w:rPr>
          <w:snapToGrid w:val="0"/>
        </w:rPr>
        <w:t>.  The table also contains information about any reprint.</w:t>
      </w:r>
    </w:p>
    <w:p>
      <w:pPr>
        <w:pStyle w:val="nHeading3"/>
      </w:pPr>
      <w:bookmarkStart w:id="351" w:name="_Toc406081471"/>
      <w:bookmarkStart w:id="352" w:name="_Toc536191999"/>
      <w:bookmarkStart w:id="353" w:name="_Toc423090759"/>
      <w:r>
        <w:t>Compilation table</w:t>
      </w:r>
      <w:bookmarkEnd w:id="351"/>
      <w:bookmarkEnd w:id="352"/>
      <w:bookmarkEnd w:id="35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0" w:type="dxa"/>
            <w:tcBorders>
              <w:top w:val="nil"/>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Act 1996</w:t>
            </w:r>
          </w:p>
        </w:tc>
        <w:tc>
          <w:tcPr>
            <w:tcW w:w="1135" w:type="dxa"/>
            <w:tcBorders>
              <w:top w:val="nil"/>
              <w:bottom w:val="nil"/>
            </w:tcBorders>
          </w:tcPr>
          <w:p>
            <w:pPr>
              <w:pStyle w:val="nTable"/>
              <w:spacing w:after="40"/>
            </w:pPr>
            <w:r>
              <w:t>11 of 1996</w:t>
            </w:r>
          </w:p>
        </w:tc>
        <w:tc>
          <w:tcPr>
            <w:tcW w:w="1135" w:type="dxa"/>
            <w:tcBorders>
              <w:top w:val="nil"/>
              <w:bottom w:val="nil"/>
            </w:tcBorders>
          </w:tcPr>
          <w:p>
            <w:pPr>
              <w:pStyle w:val="nTable"/>
              <w:spacing w:after="40"/>
            </w:pPr>
            <w:r>
              <w:t>28 Jun 1996</w:t>
            </w:r>
          </w:p>
        </w:tc>
        <w:tc>
          <w:tcPr>
            <w:tcW w:w="2552" w:type="dxa"/>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c>
          <w:tcPr>
            <w:tcW w:w="2270" w:type="dxa"/>
            <w:tcBorders>
              <w:top w:val="nil"/>
              <w:bottom w:val="nil"/>
            </w:tcBorders>
          </w:tcPr>
          <w:p>
            <w:pPr>
              <w:pStyle w:val="nTable"/>
              <w:spacing w:after="40"/>
            </w:pPr>
            <w:r>
              <w:rPr>
                <w:i/>
              </w:rPr>
              <w:t>Statutes (Repeals and Minor Amendments) Act 1997</w:t>
            </w:r>
            <w:r>
              <w:t xml:space="preserve"> s. 133</w:t>
            </w:r>
          </w:p>
        </w:tc>
        <w:tc>
          <w:tcPr>
            <w:tcW w:w="1135" w:type="dxa"/>
            <w:tcBorders>
              <w:top w:val="nil"/>
              <w:bottom w:val="nil"/>
            </w:tcBorders>
          </w:tcPr>
          <w:p>
            <w:pPr>
              <w:pStyle w:val="nTable"/>
              <w:spacing w:after="40"/>
            </w:pPr>
            <w:r>
              <w:t>57 of 1997</w:t>
            </w:r>
          </w:p>
        </w:tc>
        <w:tc>
          <w:tcPr>
            <w:tcW w:w="1135" w:type="dxa"/>
            <w:tcBorders>
              <w:top w:val="nil"/>
              <w:bottom w:val="nil"/>
            </w:tcBorders>
          </w:tcPr>
          <w:p>
            <w:pPr>
              <w:pStyle w:val="nTable"/>
              <w:spacing w:after="40"/>
            </w:pPr>
            <w:r>
              <w:t>15 Dec 1997</w:t>
            </w:r>
          </w:p>
        </w:tc>
        <w:tc>
          <w:tcPr>
            <w:tcW w:w="2552" w:type="dxa"/>
            <w:tcBorders>
              <w:top w:val="nil"/>
              <w:bottom w:val="nil"/>
            </w:tcBorders>
          </w:tcPr>
          <w:p>
            <w:pPr>
              <w:pStyle w:val="nTable"/>
              <w:spacing w:after="40"/>
            </w:pPr>
            <w:r>
              <w:t>28 Jun 1996 (see s. 2(2))</w:t>
            </w:r>
          </w:p>
        </w:tc>
      </w:tr>
      <w:tr>
        <w:tc>
          <w:tcPr>
            <w:tcW w:w="2270" w:type="dxa"/>
            <w:tcBorders>
              <w:top w:val="nil"/>
              <w:bottom w:val="nil"/>
            </w:tcBorders>
          </w:tcPr>
          <w:p>
            <w:pPr>
              <w:pStyle w:val="nTable"/>
              <w:spacing w:after="40"/>
            </w:pPr>
            <w:r>
              <w:rPr>
                <w:i/>
              </w:rPr>
              <w:t xml:space="preserve">Acts Repeal and Amendment (Births, Deaths and Marriages Registration) Act 1998 </w:t>
            </w:r>
            <w:r>
              <w:t>s. 18</w:t>
            </w:r>
          </w:p>
        </w:tc>
        <w:tc>
          <w:tcPr>
            <w:tcW w:w="1135" w:type="dxa"/>
            <w:tcBorders>
              <w:top w:val="nil"/>
              <w:bottom w:val="nil"/>
            </w:tcBorders>
          </w:tcPr>
          <w:p>
            <w:pPr>
              <w:pStyle w:val="nTable"/>
              <w:spacing w:after="40"/>
            </w:pPr>
            <w:r>
              <w:t>40 of 1998</w:t>
            </w:r>
          </w:p>
        </w:tc>
        <w:tc>
          <w:tcPr>
            <w:tcW w:w="1135" w:type="dxa"/>
            <w:tcBorders>
              <w:top w:val="nil"/>
              <w:bottom w:val="nil"/>
            </w:tcBorders>
          </w:tcPr>
          <w:p>
            <w:pPr>
              <w:pStyle w:val="nTable"/>
              <w:spacing w:after="40"/>
            </w:pPr>
            <w:r>
              <w:t>30 Oct 1998</w:t>
            </w:r>
          </w:p>
        </w:tc>
        <w:tc>
          <w:tcPr>
            <w:tcW w:w="2552" w:type="dxa"/>
            <w:tcBorders>
              <w:top w:val="nil"/>
              <w:bottom w:val="nil"/>
            </w:tcBorders>
          </w:tcPr>
          <w:p>
            <w:pPr>
              <w:pStyle w:val="nTable"/>
              <w:spacing w:after="40"/>
            </w:pPr>
            <w:r>
              <w:t xml:space="preserve">14 Apr 1999 (see s. 2 and </w:t>
            </w:r>
            <w:r>
              <w:rPr>
                <w:i/>
              </w:rPr>
              <w:t>Gazette</w:t>
            </w:r>
            <w:r>
              <w:t xml:space="preserve"> 9 Apr 1999 p. 1433)</w:t>
            </w:r>
          </w:p>
        </w:tc>
      </w:tr>
      <w:tr>
        <w:tc>
          <w:tcPr>
            <w:tcW w:w="2270" w:type="dxa"/>
            <w:tcBorders>
              <w:top w:val="nil"/>
              <w:bottom w:val="nil"/>
            </w:tcBorders>
          </w:tcPr>
          <w:p>
            <w:pPr>
              <w:pStyle w:val="nTable"/>
              <w:spacing w:after="40"/>
            </w:pPr>
            <w:r>
              <w:rPr>
                <w:i/>
              </w:rPr>
              <w:t>Corruption and Crime Commission Act 2003</w:t>
            </w:r>
            <w:r>
              <w:t xml:space="preserve"> s. 62 and Sch. 3</w:t>
            </w:r>
            <w:r>
              <w:rPr>
                <w:vertAlign w:val="superscript"/>
              </w:rPr>
              <w:t> 3</w:t>
            </w:r>
            <w:r>
              <w:t xml:space="preserve"> cl. 11</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7092" w:type="dxa"/>
            <w:gridSpan w:val="4"/>
            <w:tcBorders>
              <w:top w:val="nil"/>
              <w:bottom w:val="nil"/>
            </w:tcBorders>
          </w:tcPr>
          <w:p>
            <w:pPr>
              <w:pStyle w:val="nTable"/>
              <w:spacing w:after="40"/>
            </w:pPr>
            <w:r>
              <w:rPr>
                <w:b/>
              </w:rPr>
              <w:t xml:space="preserve">Reprint 1: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10 Oct 2003</w:t>
            </w:r>
            <w:r>
              <w:t xml:space="preserve"> (includes amendments listed above except those in the </w:t>
            </w:r>
            <w:r>
              <w:rPr>
                <w:i/>
              </w:rPr>
              <w:t>Corruption and Crime Commission Act 2003</w:t>
            </w:r>
            <w:r>
              <w:t>)</w:t>
            </w:r>
          </w:p>
        </w:tc>
      </w:tr>
      <w:tr>
        <w:tc>
          <w:tcPr>
            <w:tcW w:w="2270" w:type="dxa"/>
            <w:tcBorders>
              <w:top w:val="nil"/>
              <w:bottom w:val="nil"/>
            </w:tcBorders>
          </w:tcPr>
          <w:p>
            <w:pPr>
              <w:pStyle w:val="nTable"/>
              <w:spacing w:after="40"/>
            </w:pPr>
            <w:r>
              <w:rPr>
                <w:i/>
              </w:rPr>
              <w:t>Criminal Code Amendment Act 2004</w:t>
            </w:r>
            <w:r>
              <w:t xml:space="preserve"> s. 58</w:t>
            </w:r>
          </w:p>
        </w:tc>
        <w:tc>
          <w:tcPr>
            <w:tcW w:w="1135" w:type="dxa"/>
            <w:tcBorders>
              <w:top w:val="nil"/>
              <w:bottom w:val="nil"/>
            </w:tcBorders>
          </w:tcPr>
          <w:p>
            <w:pPr>
              <w:pStyle w:val="nTable"/>
              <w:spacing w:after="40"/>
            </w:pPr>
            <w:r>
              <w:t>4 of 2004</w:t>
            </w:r>
          </w:p>
        </w:tc>
        <w:tc>
          <w:tcPr>
            <w:tcW w:w="1135"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c>
          <w:tcPr>
            <w:tcW w:w="2270" w:type="dxa"/>
            <w:tcBorders>
              <w:top w:val="nil"/>
              <w:bottom w:val="nil"/>
            </w:tcBorders>
          </w:tcPr>
          <w:p>
            <w:pPr>
              <w:pStyle w:val="nTable"/>
              <w:spacing w:after="40"/>
              <w:rPr>
                <w:snapToGrid w:val="0"/>
                <w:vertAlign w:val="superscript"/>
              </w:rPr>
            </w:pPr>
            <w:r>
              <w:rPr>
                <w:i/>
                <w:snapToGrid w:val="0"/>
              </w:rPr>
              <w:t>Australian Crime Commission (</w:t>
            </w:r>
            <w:smartTag w:uri="urn:schemas-microsoft-com:office:smarttags" w:element="State">
              <w:smartTag w:uri="urn:schemas-microsoft-com:office:smarttags" w:element="place">
                <w:r>
                  <w:rPr>
                    <w:i/>
                    <w:snapToGrid w:val="0"/>
                  </w:rPr>
                  <w:t>Western Australia</w:t>
                </w:r>
              </w:smartTag>
            </w:smartTag>
            <w:r>
              <w:rPr>
                <w:i/>
                <w:snapToGrid w:val="0"/>
              </w:rPr>
              <w:t xml:space="preserve">) Act 2004 </w:t>
            </w:r>
            <w:r>
              <w:rPr>
                <w:snapToGrid w:val="0"/>
              </w:rPr>
              <w:t>s. 75</w:t>
            </w:r>
          </w:p>
        </w:tc>
        <w:tc>
          <w:tcPr>
            <w:tcW w:w="1135" w:type="dxa"/>
            <w:tcBorders>
              <w:top w:val="nil"/>
              <w:bottom w:val="nil"/>
            </w:tcBorders>
          </w:tcPr>
          <w:p>
            <w:pPr>
              <w:pStyle w:val="nTable"/>
              <w:spacing w:after="40"/>
              <w:rPr>
                <w:snapToGrid w:val="0"/>
              </w:rPr>
            </w:pPr>
            <w:r>
              <w:rPr>
                <w:snapToGrid w:val="0"/>
              </w:rPr>
              <w:t>74 of 2004</w:t>
            </w:r>
          </w:p>
        </w:tc>
        <w:tc>
          <w:tcPr>
            <w:tcW w:w="1135"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c>
          <w:tcPr>
            <w:tcW w:w="2270" w:type="dxa"/>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tcBorders>
              <w:top w:val="nil"/>
              <w:bottom w:val="nil"/>
            </w:tcBorders>
          </w:tcPr>
          <w:p>
            <w:pPr>
              <w:pStyle w:val="nTable"/>
              <w:spacing w:after="40"/>
              <w:rPr>
                <w:snapToGrid w:val="0"/>
              </w:rPr>
            </w:pPr>
            <w:r>
              <w:rPr>
                <w:snapToGrid w:val="0"/>
              </w:rPr>
              <w:t>77 of 2006</w:t>
            </w:r>
          </w:p>
        </w:tc>
        <w:tc>
          <w:tcPr>
            <w:tcW w:w="1135" w:type="dxa"/>
            <w:tcBorders>
              <w:top w:val="nil"/>
              <w:bottom w:val="nil"/>
            </w:tcBorders>
          </w:tcPr>
          <w:p>
            <w:pPr>
              <w:pStyle w:val="nTable"/>
              <w:spacing w:after="40"/>
              <w:rPr>
                <w:snapToGrid w:val="0"/>
              </w:rPr>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70" w:type="dxa"/>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tcBorders>
              <w:top w:val="nil"/>
              <w:bottom w:val="nil"/>
            </w:tcBorders>
          </w:tcPr>
          <w:p>
            <w:pPr>
              <w:pStyle w:val="nTable"/>
              <w:spacing w:after="40"/>
              <w:rPr>
                <w:snapToGrid w:val="0"/>
              </w:rPr>
            </w:pPr>
            <w:r>
              <w:t>8 of 2008</w:t>
            </w:r>
          </w:p>
        </w:tc>
        <w:tc>
          <w:tcPr>
            <w:tcW w:w="1135" w:type="dxa"/>
            <w:tcBorders>
              <w:top w:val="nil"/>
              <w:bottom w:val="nil"/>
            </w:tcBorders>
          </w:tcPr>
          <w:p>
            <w:pPr>
              <w:pStyle w:val="nTable"/>
              <w:spacing w:after="40"/>
              <w:rPr>
                <w:snapToGrid w:val="0"/>
              </w:rPr>
            </w:pPr>
            <w:r>
              <w:t>31 Mar 2008</w:t>
            </w:r>
          </w:p>
        </w:tc>
        <w:tc>
          <w:tcPr>
            <w:tcW w:w="2552" w:type="dxa"/>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rPr>
          <w:cantSplit/>
        </w:trPr>
        <w:tc>
          <w:tcPr>
            <w:tcW w:w="7092" w:type="dxa"/>
            <w:gridSpan w:val="4"/>
            <w:tcBorders>
              <w:top w:val="nil"/>
              <w:bottom w:val="nil"/>
            </w:tcBorders>
          </w:tcPr>
          <w:p>
            <w:pPr>
              <w:pStyle w:val="nTable"/>
              <w:keepLines/>
              <w:spacing w:after="40"/>
            </w:pPr>
            <w:r>
              <w:rPr>
                <w:b/>
              </w:rPr>
              <w:t xml:space="preserve">Reprint 2: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8 Aug 2008</w:t>
            </w:r>
            <w:r>
              <w:t xml:space="preserve"> (includes amendments listed above)</w:t>
            </w:r>
          </w:p>
        </w:tc>
      </w:tr>
      <w:tr>
        <w:trPr>
          <w:cantSplit/>
        </w:trPr>
        <w:tc>
          <w:tcPr>
            <w:tcW w:w="2270" w:type="dxa"/>
            <w:tcBorders>
              <w:top w:val="nil"/>
              <w:bottom w:val="nil"/>
            </w:tcBorders>
          </w:tcPr>
          <w:p>
            <w:pPr>
              <w:pStyle w:val="nTable"/>
              <w:spacing w:after="40"/>
              <w:rPr>
                <w:i/>
                <w:snapToGrid w:val="0"/>
              </w:rPr>
            </w:pPr>
            <w:r>
              <w:rPr>
                <w:i/>
                <w:snapToGrid w:val="0"/>
              </w:rPr>
              <w:t>Criminal Investigation (Covert Powers) Act 2012</w:t>
            </w:r>
            <w:r>
              <w:rPr>
                <w:snapToGrid w:val="0"/>
              </w:rPr>
              <w:t xml:space="preserve"> Pt. 11</w:t>
            </w:r>
          </w:p>
        </w:tc>
        <w:tc>
          <w:tcPr>
            <w:tcW w:w="1135" w:type="dxa"/>
            <w:tcBorders>
              <w:top w:val="nil"/>
              <w:bottom w:val="nil"/>
            </w:tcBorders>
          </w:tcPr>
          <w:p>
            <w:pPr>
              <w:pStyle w:val="nTable"/>
              <w:spacing w:after="40"/>
              <w:rPr>
                <w:snapToGrid w:val="0"/>
              </w:rPr>
            </w:pPr>
            <w:r>
              <w:t>55 of 2012</w:t>
            </w:r>
          </w:p>
        </w:tc>
        <w:tc>
          <w:tcPr>
            <w:tcW w:w="1135"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t xml:space="preserve">1 Mar 2013 (see s. 2(b) and </w:t>
            </w:r>
            <w:r>
              <w:rPr>
                <w:i/>
              </w:rPr>
              <w:t>Gazette</w:t>
            </w:r>
            <w:r>
              <w:t xml:space="preserve"> 25 Jan 2013 p. 271)</w:t>
            </w:r>
          </w:p>
        </w:tc>
      </w:tr>
    </w:tbl>
    <w:p>
      <w:pPr>
        <w:pStyle w:val="nSubsection"/>
        <w:tabs>
          <w:tab w:val="clear" w:pos="454"/>
          <w:tab w:val="left" w:pos="567"/>
        </w:tabs>
        <w:spacing w:before="120"/>
        <w:ind w:left="567" w:hanging="567"/>
        <w:rPr>
          <w:del w:id="354" w:author="svcMRProcess" w:date="2019-01-25T15:59:00Z"/>
          <w:snapToGrid w:val="0"/>
        </w:rPr>
      </w:pPr>
      <w:del w:id="355" w:author="svcMRProcess" w:date="2019-01-25T15: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6" w:author="svcMRProcess" w:date="2019-01-25T15:59:00Z"/>
        </w:rPr>
      </w:pPr>
      <w:bookmarkStart w:id="357" w:name="_Toc7405065"/>
      <w:bookmarkStart w:id="358" w:name="_Toc405978355"/>
      <w:bookmarkStart w:id="359" w:name="_Toc406081472"/>
      <w:bookmarkStart w:id="360" w:name="_Toc423090760"/>
      <w:del w:id="361" w:author="svcMRProcess" w:date="2019-01-25T15:59:00Z">
        <w:r>
          <w:delText>Provisions that have not come into operation</w:delText>
        </w:r>
        <w:bookmarkEnd w:id="357"/>
        <w:bookmarkEnd w:id="358"/>
        <w:bookmarkEnd w:id="359"/>
        <w:bookmarkEnd w:id="360"/>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70"/>
        <w:gridCol w:w="1135"/>
        <w:gridCol w:w="1135"/>
        <w:gridCol w:w="2552"/>
      </w:tblGrid>
      <w:tr>
        <w:trPr>
          <w:del w:id="362" w:author="svcMRProcess" w:date="2019-01-25T15:59:00Z"/>
        </w:trPr>
        <w:tc>
          <w:tcPr>
            <w:tcW w:w="2268" w:type="dxa"/>
          </w:tcPr>
          <w:p>
            <w:pPr>
              <w:pStyle w:val="nTable"/>
              <w:spacing w:after="40"/>
              <w:rPr>
                <w:del w:id="363" w:author="svcMRProcess" w:date="2019-01-25T15:59:00Z"/>
                <w:b/>
                <w:snapToGrid w:val="0"/>
                <w:lang w:val="en-US"/>
              </w:rPr>
            </w:pPr>
            <w:del w:id="364" w:author="svcMRProcess" w:date="2019-01-25T15:59:00Z">
              <w:r>
                <w:rPr>
                  <w:b/>
                  <w:snapToGrid w:val="0"/>
                  <w:lang w:val="en-US"/>
                </w:rPr>
                <w:delText>Short title</w:delText>
              </w:r>
            </w:del>
          </w:p>
        </w:tc>
        <w:tc>
          <w:tcPr>
            <w:tcW w:w="1118" w:type="dxa"/>
          </w:tcPr>
          <w:p>
            <w:pPr>
              <w:pStyle w:val="nTable"/>
              <w:spacing w:after="40"/>
              <w:rPr>
                <w:del w:id="365" w:author="svcMRProcess" w:date="2019-01-25T15:59:00Z"/>
                <w:b/>
                <w:snapToGrid w:val="0"/>
                <w:lang w:val="en-US"/>
              </w:rPr>
            </w:pPr>
            <w:del w:id="366" w:author="svcMRProcess" w:date="2019-01-25T15:59:00Z">
              <w:r>
                <w:rPr>
                  <w:b/>
                  <w:snapToGrid w:val="0"/>
                  <w:lang w:val="en-US"/>
                </w:rPr>
                <w:delText>Number and year</w:delText>
              </w:r>
            </w:del>
          </w:p>
        </w:tc>
        <w:tc>
          <w:tcPr>
            <w:tcW w:w="1134" w:type="dxa"/>
          </w:tcPr>
          <w:p>
            <w:pPr>
              <w:pStyle w:val="nTable"/>
              <w:spacing w:after="40"/>
              <w:rPr>
                <w:del w:id="367" w:author="svcMRProcess" w:date="2019-01-25T15:59:00Z"/>
                <w:b/>
                <w:snapToGrid w:val="0"/>
                <w:lang w:val="en-US"/>
              </w:rPr>
            </w:pPr>
            <w:del w:id="368" w:author="svcMRProcess" w:date="2019-01-25T15:59:00Z">
              <w:r>
                <w:rPr>
                  <w:b/>
                  <w:snapToGrid w:val="0"/>
                  <w:lang w:val="en-US"/>
                </w:rPr>
                <w:delText>Assent</w:delText>
              </w:r>
            </w:del>
          </w:p>
        </w:tc>
        <w:tc>
          <w:tcPr>
            <w:tcW w:w="2552" w:type="dxa"/>
          </w:tcPr>
          <w:p>
            <w:pPr>
              <w:pStyle w:val="nTable"/>
              <w:spacing w:after="40"/>
              <w:rPr>
                <w:del w:id="369" w:author="svcMRProcess" w:date="2019-01-25T15:59:00Z"/>
                <w:b/>
                <w:snapToGrid w:val="0"/>
                <w:lang w:val="en-US"/>
              </w:rPr>
            </w:pPr>
            <w:del w:id="370" w:author="svcMRProcess" w:date="2019-01-25T15:59:00Z">
              <w:r>
                <w:rPr>
                  <w:b/>
                  <w:snapToGrid w:val="0"/>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70"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del w:id="371" w:author="svcMRProcess" w:date="2019-01-25T15:59:00Z">
              <w:r>
                <w:rPr>
                  <w:snapToGrid w:val="0"/>
                  <w:lang w:val="en-US"/>
                </w:rPr>
                <w:delText>(2)</w:delText>
              </w:r>
              <w:r>
                <w:rPr>
                  <w:snapToGrid w:val="0"/>
                  <w:vertAlign w:val="superscript"/>
                  <w:lang w:val="en-US"/>
                </w:rPr>
                <w:delText> 4</w:delText>
              </w:r>
            </w:del>
          </w:p>
        </w:tc>
        <w:tc>
          <w:tcPr>
            <w:tcW w:w="1135" w:type="dxa"/>
            <w:tcBorders>
              <w:top w:val="nil"/>
              <w:bottom w:val="single" w:sz="4" w:space="0" w:color="auto"/>
            </w:tcBorders>
          </w:tcPr>
          <w:p>
            <w:pPr>
              <w:pStyle w:val="nTable"/>
              <w:spacing w:after="40"/>
            </w:pPr>
            <w:r>
              <w:rPr>
                <w:snapToGrid w:val="0"/>
                <w:lang w:val="en-US"/>
              </w:rPr>
              <w:t>35 of 2014</w:t>
            </w:r>
          </w:p>
        </w:tc>
        <w:tc>
          <w:tcPr>
            <w:tcW w:w="1135"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pPr>
            <w:del w:id="372" w:author="svcMRProcess" w:date="2019-01-25T15:59:00Z">
              <w:r>
                <w:rPr>
                  <w:snapToGrid w:val="0"/>
                  <w:lang w:val="en-US"/>
                </w:rPr>
                <w:delText>To be proclaimed</w:delText>
              </w:r>
            </w:del>
            <w:ins w:id="373" w:author="svcMRProcess" w:date="2019-01-25T15:59:00Z">
              <w:r>
                <w:rPr>
                  <w:snapToGrid w:val="0"/>
                </w:rPr>
                <w:t>1 Jul 2015</w:t>
              </w:r>
            </w:ins>
            <w:r>
              <w:rPr>
                <w:snapToGrid w:val="0"/>
              </w:rPr>
              <w:t xml:space="preserve"> (see s.</w:t>
            </w:r>
            <w:del w:id="374" w:author="svcMRProcess" w:date="2019-01-25T15:59:00Z">
              <w:r>
                <w:rPr>
                  <w:snapToGrid w:val="0"/>
                  <w:lang w:val="en-US"/>
                </w:rPr>
                <w:delText xml:space="preserve"> </w:delText>
              </w:r>
            </w:del>
            <w:ins w:id="375" w:author="svcMRProcess" w:date="2019-01-25T15:59:00Z">
              <w:r>
                <w:rPr>
                  <w:snapToGrid w:val="0"/>
                </w:rPr>
                <w:t> </w:t>
              </w:r>
            </w:ins>
            <w:r>
              <w:rPr>
                <w:snapToGrid w:val="0"/>
              </w:rPr>
              <w:t>2(b</w:t>
            </w:r>
            <w:del w:id="376" w:author="svcMRProcess" w:date="2019-01-25T15:59:00Z">
              <w:r>
                <w:rPr>
                  <w:snapToGrid w:val="0"/>
                  <w:lang w:val="en-US"/>
                </w:rPr>
                <w:delText>))</w:delText>
              </w:r>
            </w:del>
            <w:ins w:id="377" w:author="svcMRProcess" w:date="2019-01-25T15:59:00Z">
              <w:r>
                <w:rPr>
                  <w:snapToGrid w:val="0"/>
                </w:rPr>
                <w:t xml:space="preserve">) and </w:t>
              </w:r>
              <w:r>
                <w:rPr>
                  <w:i/>
                  <w:snapToGrid w:val="0"/>
                </w:rPr>
                <w:t>Gazette</w:t>
              </w:r>
              <w:r>
                <w:rPr>
                  <w:snapToGrid w:val="0"/>
                </w:rPr>
                <w:t xml:space="preserve"> 26 Jun 2015 p. 2235)</w:t>
              </w:r>
            </w:ins>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del w:id="378" w:author="svcMRProcess" w:date="2019-01-25T15:59:00Z"/>
        </w:rPr>
      </w:pPr>
      <w:del w:id="379" w:author="svcMRProcess" w:date="2019-01-25T15:59:00Z">
        <w:r>
          <w:rPr>
            <w:vertAlign w:val="superscript"/>
          </w:rPr>
          <w:delText>4</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380" w:author="svcMRProcess" w:date="2019-01-25T15:59:00Z"/>
        </w:rPr>
      </w:pPr>
    </w:p>
    <w:p>
      <w:pPr>
        <w:pStyle w:val="nzHeading5"/>
        <w:rPr>
          <w:del w:id="381" w:author="svcMRProcess" w:date="2019-01-25T15:59:00Z"/>
        </w:rPr>
      </w:pPr>
      <w:bookmarkStart w:id="382" w:name="_Toc405898145"/>
      <w:bookmarkStart w:id="383" w:name="_Toc405975526"/>
      <w:del w:id="384" w:author="svcMRProcess" w:date="2019-01-25T15:59:00Z">
        <w:r>
          <w:rPr>
            <w:rStyle w:val="CharSectno"/>
          </w:rPr>
          <w:delText>39</w:delText>
        </w:r>
        <w:r>
          <w:delText>.</w:delText>
        </w:r>
        <w:r>
          <w:tab/>
          <w:delText>References in other Acts to “</w:delText>
        </w:r>
        <w:r>
          <w:rPr>
            <w:i/>
          </w:rPr>
          <w:delText>Corruption and Crime Commission Act 2003</w:delText>
        </w:r>
        <w:r>
          <w:delText>” amended</w:delText>
        </w:r>
        <w:bookmarkEnd w:id="382"/>
        <w:bookmarkEnd w:id="383"/>
      </w:del>
    </w:p>
    <w:p>
      <w:pPr>
        <w:pStyle w:val="nzSubsection"/>
        <w:rPr>
          <w:del w:id="385" w:author="svcMRProcess" w:date="2019-01-25T15:59:00Z"/>
        </w:rPr>
      </w:pPr>
      <w:del w:id="386" w:author="svcMRProcess" w:date="2019-01-25T15:59:00Z">
        <w:r>
          <w:tab/>
          <w:delText>(2)</w:delText>
        </w:r>
        <w:r>
          <w:tab/>
          <w:delText>In the provisions listed in the Table:</w:delText>
        </w:r>
      </w:del>
    </w:p>
    <w:p>
      <w:pPr>
        <w:pStyle w:val="nzIndenta"/>
        <w:rPr>
          <w:del w:id="387" w:author="svcMRProcess" w:date="2019-01-25T15:59:00Z"/>
        </w:rPr>
      </w:pPr>
      <w:del w:id="388" w:author="svcMRProcess" w:date="2019-01-25T15:59:00Z">
        <w:r>
          <w:tab/>
          <w:delText>(a)</w:delText>
        </w:r>
        <w:r>
          <w:tab/>
          <w:delText>delete “</w:delText>
        </w:r>
        <w:r>
          <w:rPr>
            <w:i/>
          </w:rPr>
          <w:delText>Corruption and Crime Commission Act 2003</w:delText>
        </w:r>
        <w:r>
          <w:delText>” (each occurrence) and insert:</w:delText>
        </w:r>
      </w:del>
    </w:p>
    <w:p>
      <w:pPr>
        <w:pStyle w:val="BlankOpen"/>
        <w:rPr>
          <w:del w:id="389" w:author="svcMRProcess" w:date="2019-01-25T15:59:00Z"/>
        </w:rPr>
      </w:pPr>
    </w:p>
    <w:p>
      <w:pPr>
        <w:pStyle w:val="nzIndenta"/>
        <w:rPr>
          <w:del w:id="390" w:author="svcMRProcess" w:date="2019-01-25T15:59:00Z"/>
        </w:rPr>
      </w:pPr>
      <w:del w:id="391" w:author="svcMRProcess" w:date="2019-01-25T15:59:00Z">
        <w:r>
          <w:tab/>
        </w:r>
        <w:r>
          <w:tab/>
        </w:r>
        <w:r>
          <w:rPr>
            <w:i/>
          </w:rPr>
          <w:delText>Corruption, Crime and Misconduct Act 2003</w:delText>
        </w:r>
      </w:del>
    </w:p>
    <w:p>
      <w:pPr>
        <w:pStyle w:val="BlankClose"/>
        <w:rPr>
          <w:del w:id="392" w:author="svcMRProcess" w:date="2019-01-25T15:59:00Z"/>
        </w:rPr>
      </w:pPr>
    </w:p>
    <w:p>
      <w:pPr>
        <w:pStyle w:val="nzIndenta"/>
        <w:rPr>
          <w:del w:id="393" w:author="svcMRProcess" w:date="2019-01-25T15:59:00Z"/>
        </w:rPr>
      </w:pPr>
      <w:del w:id="394" w:author="svcMRProcess" w:date="2019-01-25T15:59:00Z">
        <w:r>
          <w:tab/>
          <w:delText>(b)</w:delText>
        </w:r>
        <w:r>
          <w:tab/>
          <w:delText>delete “</w:delText>
        </w:r>
        <w:r>
          <w:rPr>
            <w:i/>
            <w:sz w:val="22"/>
            <w:szCs w:val="22"/>
          </w:rPr>
          <w:delText>Corruption and Crime Commission Act 2003</w:delText>
        </w:r>
        <w:r>
          <w:delText>” (each occurrence) and insert:</w:delText>
        </w:r>
      </w:del>
    </w:p>
    <w:p>
      <w:pPr>
        <w:pStyle w:val="BlankOpen"/>
        <w:rPr>
          <w:del w:id="395" w:author="svcMRProcess" w:date="2019-01-25T15:59:00Z"/>
        </w:rPr>
      </w:pPr>
    </w:p>
    <w:p>
      <w:pPr>
        <w:pStyle w:val="nzIndenta"/>
        <w:rPr>
          <w:del w:id="396" w:author="svcMRProcess" w:date="2019-01-25T15:59:00Z"/>
        </w:rPr>
      </w:pPr>
      <w:del w:id="397" w:author="svcMRProcess" w:date="2019-01-25T15:59:00Z">
        <w:r>
          <w:tab/>
        </w:r>
        <w:r>
          <w:tab/>
        </w:r>
        <w:r>
          <w:rPr>
            <w:i/>
            <w:sz w:val="22"/>
            <w:szCs w:val="22"/>
          </w:rPr>
          <w:delText>Corruption, Crime and Misconduct Act 2003</w:delText>
        </w:r>
      </w:del>
    </w:p>
    <w:p>
      <w:pPr>
        <w:pStyle w:val="BlankClose"/>
        <w:rPr>
          <w:del w:id="398" w:author="svcMRProcess" w:date="2019-01-25T15:59:00Z"/>
        </w:rPr>
      </w:pPr>
    </w:p>
    <w:p>
      <w:pPr>
        <w:pStyle w:val="nzIndenta"/>
        <w:rPr>
          <w:del w:id="399" w:author="svcMRProcess" w:date="2019-01-25T15:59:00Z"/>
        </w:rPr>
      </w:pPr>
      <w:del w:id="400" w:author="svcMRProcess" w:date="2019-01-25T15:59:00Z">
        <w:r>
          <w:tab/>
          <w:delText>(c)</w:delText>
        </w:r>
        <w:r>
          <w:tab/>
          <w:delText>delete “</w:delText>
        </w:r>
        <w:r>
          <w:rPr>
            <w:b/>
            <w:i/>
            <w:sz w:val="22"/>
            <w:szCs w:val="22"/>
          </w:rPr>
          <w:delText>Corruption and Crime Commission Act 2003</w:delText>
        </w:r>
        <w:r>
          <w:delText>” and insert:</w:delText>
        </w:r>
      </w:del>
    </w:p>
    <w:p>
      <w:pPr>
        <w:pStyle w:val="BlankOpen"/>
        <w:rPr>
          <w:del w:id="401" w:author="svcMRProcess" w:date="2019-01-25T15:59:00Z"/>
        </w:rPr>
      </w:pPr>
    </w:p>
    <w:p>
      <w:pPr>
        <w:pStyle w:val="nzIndenta"/>
        <w:rPr>
          <w:del w:id="402" w:author="svcMRProcess" w:date="2019-01-25T15:59:00Z"/>
        </w:rPr>
      </w:pPr>
      <w:del w:id="403" w:author="svcMRProcess" w:date="2019-01-25T15:59:00Z">
        <w:r>
          <w:tab/>
        </w:r>
        <w:r>
          <w:tab/>
        </w:r>
        <w:r>
          <w:rPr>
            <w:b/>
            <w:i/>
            <w:sz w:val="22"/>
            <w:szCs w:val="22"/>
          </w:rPr>
          <w:delText>Corruption, Crime and Misconduct Act 2003</w:delText>
        </w:r>
      </w:del>
    </w:p>
    <w:p>
      <w:pPr>
        <w:pStyle w:val="BlankClose"/>
        <w:rPr>
          <w:del w:id="404" w:author="svcMRProcess" w:date="2019-01-25T15:59:00Z"/>
        </w:rPr>
      </w:pPr>
    </w:p>
    <w:p>
      <w:pPr>
        <w:pStyle w:val="THeading"/>
        <w:tabs>
          <w:tab w:val="left" w:pos="2694"/>
        </w:tabs>
        <w:rPr>
          <w:del w:id="405" w:author="svcMRProcess" w:date="2019-01-25T15:59:00Z"/>
        </w:rPr>
      </w:pPr>
      <w:del w:id="406" w:author="svcMRProcess" w:date="2019-01-25T15:5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07" w:author="svcMRProcess" w:date="2019-01-25T15:59:00Z"/>
        </w:trPr>
        <w:tc>
          <w:tcPr>
            <w:tcW w:w="3402" w:type="dxa"/>
          </w:tcPr>
          <w:p>
            <w:pPr>
              <w:pStyle w:val="TableAm"/>
              <w:tabs>
                <w:tab w:val="left" w:pos="2694"/>
              </w:tabs>
              <w:rPr>
                <w:del w:id="408" w:author="svcMRProcess" w:date="2019-01-25T15:59:00Z"/>
                <w:i/>
                <w:iCs/>
              </w:rPr>
            </w:pPr>
            <w:del w:id="409" w:author="svcMRProcess" w:date="2019-01-25T15:59:00Z">
              <w:r>
                <w:rPr>
                  <w:i/>
                  <w:snapToGrid w:val="0"/>
                </w:rPr>
                <w:delText>Witness Protection (Western Australia) Act 1996</w:delText>
              </w:r>
              <w:r>
                <w:rPr>
                  <w:snapToGrid w:val="0"/>
                  <w:vertAlign w:val="superscript"/>
                </w:rPr>
                <w:delText> </w:delText>
              </w:r>
            </w:del>
          </w:p>
        </w:tc>
        <w:tc>
          <w:tcPr>
            <w:tcW w:w="3402" w:type="dxa"/>
          </w:tcPr>
          <w:p>
            <w:pPr>
              <w:pStyle w:val="TableAm"/>
              <w:tabs>
                <w:tab w:val="left" w:pos="2694"/>
              </w:tabs>
              <w:rPr>
                <w:del w:id="410" w:author="svcMRProcess" w:date="2019-01-25T15:59:00Z"/>
              </w:rPr>
            </w:pPr>
            <w:del w:id="411" w:author="svcMRProcess" w:date="2019-01-25T15:59:00Z">
              <w:r>
                <w:delText xml:space="preserve">s. 3(1) def. of </w:delText>
              </w:r>
              <w:r>
                <w:rPr>
                  <w:b/>
                  <w:i/>
                </w:rPr>
                <w:delText>Corruption and Crime Commission</w:delText>
              </w:r>
              <w:r>
                <w:delText xml:space="preserve"> and </w:delText>
              </w:r>
              <w:r>
                <w:rPr>
                  <w:b/>
                  <w:i/>
                </w:rPr>
                <w:delText>officer of the Corruption and Crime Commission</w:delText>
              </w:r>
              <w:r>
                <w:delText>, 14(2a), 34(2a)</w:delText>
              </w:r>
            </w:del>
          </w:p>
        </w:tc>
      </w:tr>
    </w:tbl>
    <w:p>
      <w:pPr>
        <w:pStyle w:val="BlankClose"/>
        <w:rPr>
          <w:del w:id="412" w:author="svcMRProcess" w:date="2019-01-25T15:59:00Z"/>
        </w:rPr>
      </w:pPr>
    </w:p>
    <w:p>
      <w:pPr>
        <w:rPr>
          <w:snapToGrid w:val="0"/>
        </w:rPr>
      </w:pPr>
    </w:p>
    <w:p>
      <w:pPr>
        <w:rPr>
          <w:snapToGrid w:val="0"/>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901"/>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10809</Words>
  <Characters>53723</Characters>
  <Application>Microsoft Office Word</Application>
  <DocSecurity>0</DocSecurity>
  <Lines>1413</Lines>
  <Paragraphs>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02-d0-02 - 02-e0-03</dc:title>
  <dc:subject/>
  <dc:creator/>
  <cp:keywords/>
  <dc:description/>
  <cp:lastModifiedBy>svcMRProcess</cp:lastModifiedBy>
  <cp:revision>2</cp:revision>
  <cp:lastPrinted>2008-08-12T06:35:00Z</cp:lastPrinted>
  <dcterms:created xsi:type="dcterms:W3CDTF">2019-01-25T07:59:00Z</dcterms:created>
  <dcterms:modified xsi:type="dcterms:W3CDTF">2019-01-25T07:59:00Z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02-d0-02</vt:lpwstr>
  </property>
  <property fmtid="{D5CDD505-2E9C-101B-9397-08002B2CF9AE}" pid="8" name="FromAsAtDate">
    <vt:lpwstr>09 Dec 2014</vt:lpwstr>
  </property>
  <property fmtid="{D5CDD505-2E9C-101B-9397-08002B2CF9AE}" pid="9" name="ToSuffix">
    <vt:lpwstr>02-e0-03</vt:lpwstr>
  </property>
  <property fmtid="{D5CDD505-2E9C-101B-9397-08002B2CF9AE}" pid="10" name="ToAsAtDate">
    <vt:lpwstr>01 Jul 2015</vt:lpwstr>
  </property>
</Properties>
</file>