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Jul 2015</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19 Aug 2015</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Family Court Act 1997</w:t>
      </w:r>
    </w:p>
    <w:p>
      <w:pPr>
        <w:pStyle w:val="NameofActReg"/>
      </w:pPr>
      <w:r>
        <w:t>Family Court Regulations 1998</w:t>
      </w:r>
    </w:p>
    <w:p>
      <w:pPr>
        <w:pStyle w:val="Heading2"/>
        <w:pageBreakBefore w:val="0"/>
      </w:pPr>
      <w:bookmarkStart w:id="1" w:name="_Toc378249007"/>
      <w:bookmarkStart w:id="2" w:name="_Toc391474902"/>
      <w:bookmarkStart w:id="3" w:name="_Toc391474951"/>
      <w:bookmarkStart w:id="4" w:name="_Toc418158219"/>
      <w:bookmarkStart w:id="5" w:name="_Toc424805377"/>
      <w:bookmarkStart w:id="6" w:name="_Toc424805428"/>
      <w:bookmarkStart w:id="7" w:name="_Toc424805479"/>
      <w:bookmarkStart w:id="8" w:name="_Toc424806316"/>
      <w:bookmarkStart w:id="9" w:name="_Toc427665409"/>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in Gazette 13 May 2011 p. 1738.]</w:t>
      </w:r>
    </w:p>
    <w:p>
      <w:pPr>
        <w:pStyle w:val="Heading5"/>
      </w:pPr>
      <w:bookmarkStart w:id="11" w:name="_Toc391474952"/>
      <w:bookmarkStart w:id="12" w:name="_Toc427665410"/>
      <w:bookmarkStart w:id="13" w:name="_Toc424806317"/>
      <w:r>
        <w:rPr>
          <w:rStyle w:val="CharSectno"/>
        </w:rPr>
        <w:t>1</w:t>
      </w:r>
      <w:r>
        <w:t>.</w:t>
      </w:r>
      <w:r>
        <w:tab/>
        <w:t>Citation</w:t>
      </w:r>
      <w:bookmarkEnd w:id="11"/>
      <w:bookmarkEnd w:id="12"/>
      <w:bookmarkEnd w:id="13"/>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14" w:name="_Toc391474953"/>
      <w:bookmarkStart w:id="15" w:name="_Toc427665411"/>
      <w:bookmarkStart w:id="16" w:name="_Toc424806318"/>
      <w:r>
        <w:rPr>
          <w:rStyle w:val="CharSectno"/>
        </w:rPr>
        <w:t>2</w:t>
      </w:r>
      <w:r>
        <w:rPr>
          <w:spacing w:val="-2"/>
        </w:rPr>
        <w:t>.</w:t>
      </w:r>
      <w:r>
        <w:rPr>
          <w:spacing w:val="-2"/>
        </w:rPr>
        <w:tab/>
        <w:t>Commencement</w:t>
      </w:r>
      <w:bookmarkEnd w:id="14"/>
      <w:bookmarkEnd w:id="15"/>
      <w:bookmarkEnd w:id="16"/>
    </w:p>
    <w:p>
      <w:pPr>
        <w:pStyle w:val="Subsection"/>
        <w:rPr>
          <w:spacing w:val="-2"/>
        </w:rPr>
      </w:pPr>
      <w:r>
        <w:rPr>
          <w:spacing w:val="-2"/>
        </w:rPr>
        <w:tab/>
      </w:r>
      <w:r>
        <w:rPr>
          <w:spacing w:val="-2"/>
        </w:rPr>
        <w:tab/>
      </w:r>
      <w:bookmarkStart w:id="17" w:name="Start_Cursor"/>
      <w:bookmarkEnd w:id="17"/>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8" w:name="_Toc391474954"/>
      <w:bookmarkStart w:id="19" w:name="_Toc427665412"/>
      <w:bookmarkStart w:id="20" w:name="_Toc424806319"/>
      <w:r>
        <w:rPr>
          <w:rStyle w:val="CharSectno"/>
        </w:rPr>
        <w:t>3</w:t>
      </w:r>
      <w:r>
        <w:rPr>
          <w:snapToGrid w:val="0"/>
        </w:rPr>
        <w:t>.</w:t>
      </w:r>
      <w:r>
        <w:rPr>
          <w:snapToGrid w:val="0"/>
        </w:rPr>
        <w:tab/>
        <w:t>Terms used</w:t>
      </w:r>
      <w:bookmarkEnd w:id="18"/>
      <w:bookmarkEnd w:id="19"/>
      <w:bookmarkEnd w:id="20"/>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lastRenderedPageBreak/>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 14 Dec 2012 p. 6235-6.]</w:t>
      </w:r>
    </w:p>
    <w:p>
      <w:pPr>
        <w:pStyle w:val="Heading2"/>
        <w:rPr>
          <w:snapToGrid/>
        </w:rPr>
      </w:pPr>
      <w:bookmarkStart w:id="21" w:name="_Toc378249011"/>
      <w:bookmarkStart w:id="22" w:name="_Toc391474906"/>
      <w:bookmarkStart w:id="23" w:name="_Toc391474955"/>
      <w:bookmarkStart w:id="24" w:name="_Toc418158223"/>
      <w:bookmarkStart w:id="25" w:name="_Toc424805381"/>
      <w:bookmarkStart w:id="26" w:name="_Toc424805432"/>
      <w:bookmarkStart w:id="27" w:name="_Toc424805483"/>
      <w:bookmarkStart w:id="28" w:name="_Toc424806320"/>
      <w:bookmarkStart w:id="29" w:name="_Toc427665413"/>
      <w:r>
        <w:rPr>
          <w:rStyle w:val="CharPartNo"/>
        </w:rPr>
        <w:t>Part 2</w:t>
      </w:r>
      <w:r>
        <w:rPr>
          <w:rStyle w:val="CharDivNo"/>
        </w:rPr>
        <w:t> </w:t>
      </w:r>
      <w:r>
        <w:t>—</w:t>
      </w:r>
      <w:r>
        <w:rPr>
          <w:rStyle w:val="CharDivText"/>
        </w:rPr>
        <w:t> </w:t>
      </w:r>
      <w:r>
        <w:rPr>
          <w:rStyle w:val="CharPartText"/>
        </w:rPr>
        <w:t>General</w:t>
      </w:r>
      <w:bookmarkEnd w:id="21"/>
      <w:bookmarkEnd w:id="22"/>
      <w:bookmarkEnd w:id="23"/>
      <w:bookmarkEnd w:id="24"/>
      <w:bookmarkEnd w:id="25"/>
      <w:bookmarkEnd w:id="26"/>
      <w:bookmarkEnd w:id="27"/>
      <w:bookmarkEnd w:id="28"/>
      <w:bookmarkEnd w:id="29"/>
    </w:p>
    <w:p>
      <w:pPr>
        <w:pStyle w:val="Footnoteheading"/>
      </w:pPr>
      <w:r>
        <w:tab/>
        <w:t>[Heading inserted in Gazette 13 May 2011 p. 1738.]</w:t>
      </w:r>
    </w:p>
    <w:p>
      <w:pPr>
        <w:pStyle w:val="Heading5"/>
        <w:rPr>
          <w:snapToGrid w:val="0"/>
        </w:rPr>
      </w:pPr>
      <w:bookmarkStart w:id="30" w:name="_Toc391474956"/>
      <w:bookmarkStart w:id="31" w:name="_Toc427665414"/>
      <w:bookmarkStart w:id="32" w:name="_Toc424806321"/>
      <w:r>
        <w:rPr>
          <w:rStyle w:val="CharSectno"/>
        </w:rPr>
        <w:t>4</w:t>
      </w:r>
      <w:r>
        <w:rPr>
          <w:snapToGrid w:val="0"/>
        </w:rPr>
        <w:t>.</w:t>
      </w:r>
      <w:r>
        <w:rPr>
          <w:snapToGrid w:val="0"/>
        </w:rPr>
        <w:tab/>
        <w:t>Dispensing with compliance with these regulations</w:t>
      </w:r>
      <w:bookmarkEnd w:id="30"/>
      <w:bookmarkEnd w:id="31"/>
      <w:bookmarkEnd w:id="32"/>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33" w:name="_Toc391474957"/>
      <w:bookmarkStart w:id="34" w:name="_Toc427665415"/>
      <w:bookmarkStart w:id="35" w:name="_Toc424806322"/>
      <w:r>
        <w:rPr>
          <w:rStyle w:val="CharSectno"/>
        </w:rPr>
        <w:t>5</w:t>
      </w:r>
      <w:r>
        <w:rPr>
          <w:snapToGrid w:val="0"/>
        </w:rPr>
        <w:t>.</w:t>
      </w:r>
      <w:r>
        <w:rPr>
          <w:snapToGrid w:val="0"/>
        </w:rPr>
        <w:tab/>
        <w:t>Court registry</w:t>
      </w:r>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36" w:name="_Toc391474958"/>
      <w:bookmarkStart w:id="37" w:name="_Toc427665416"/>
      <w:bookmarkStart w:id="38" w:name="_Toc424806323"/>
      <w:r>
        <w:rPr>
          <w:rStyle w:val="CharSectno"/>
        </w:rPr>
        <w:t>6</w:t>
      </w:r>
      <w:r>
        <w:rPr>
          <w:snapToGrid w:val="0"/>
        </w:rPr>
        <w:t>.</w:t>
      </w:r>
      <w:r>
        <w:rPr>
          <w:snapToGrid w:val="0"/>
        </w:rPr>
        <w:tab/>
        <w:t>Fees of Marshal</w:t>
      </w:r>
      <w:bookmarkEnd w:id="36"/>
      <w:bookmarkEnd w:id="37"/>
      <w:bookmarkEnd w:id="38"/>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39" w:name="_Toc391474959"/>
      <w:bookmarkStart w:id="40" w:name="_Toc427665417"/>
      <w:bookmarkStart w:id="41" w:name="_Toc424806324"/>
      <w:r>
        <w:rPr>
          <w:rStyle w:val="CharSectno"/>
        </w:rPr>
        <w:t>7</w:t>
      </w:r>
      <w:r>
        <w:rPr>
          <w:snapToGrid w:val="0"/>
        </w:rPr>
        <w:t>.</w:t>
      </w:r>
      <w:r>
        <w:rPr>
          <w:snapToGrid w:val="0"/>
        </w:rPr>
        <w:tab/>
        <w:t>Recording and transcripts of proceedings</w:t>
      </w:r>
      <w:bookmarkEnd w:id="39"/>
      <w:bookmarkEnd w:id="40"/>
      <w:bookmarkEnd w:id="41"/>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42" w:name="_Toc391474960"/>
      <w:bookmarkStart w:id="43" w:name="_Toc427665418"/>
      <w:bookmarkStart w:id="44" w:name="_Toc424806325"/>
      <w:r>
        <w:rPr>
          <w:rStyle w:val="CharSectno"/>
        </w:rPr>
        <w:t>8</w:t>
      </w:r>
      <w:r>
        <w:t>.</w:t>
      </w:r>
      <w:r>
        <w:tab/>
        <w:t>Family Law Regulations Part 5 adopted</w:t>
      </w:r>
      <w:bookmarkEnd w:id="42"/>
      <w:bookmarkEnd w:id="43"/>
      <w:bookmarkEnd w:id="44"/>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45" w:name="_Toc391474961"/>
      <w:bookmarkStart w:id="46" w:name="_Toc427665419"/>
      <w:bookmarkStart w:id="47" w:name="_Toc424806326"/>
      <w:r>
        <w:rPr>
          <w:rStyle w:val="CharSectno"/>
        </w:rPr>
        <w:t>9</w:t>
      </w:r>
      <w:r>
        <w:t>.</w:t>
      </w:r>
      <w:r>
        <w:tab/>
        <w:t>Family Law Regulation 8A adopted (Act s. 65D)</w:t>
      </w:r>
      <w:bookmarkEnd w:id="45"/>
      <w:bookmarkEnd w:id="46"/>
      <w:bookmarkEnd w:id="47"/>
    </w:p>
    <w:p>
      <w:pPr>
        <w:pStyle w:val="Subsection"/>
      </w:pPr>
      <w:r>
        <w:tab/>
      </w:r>
      <w:r>
        <w:tab/>
        <w:t>Family Law Regulation 8A is adopted for the purposes of section 65D.</w:t>
      </w:r>
    </w:p>
    <w:p>
      <w:pPr>
        <w:pStyle w:val="Footnotesection"/>
      </w:pPr>
      <w:r>
        <w:tab/>
        <w:t>[Regulation 9 inserted in Gazette 14 Jul 2006 p. 2561; amended in Gazette 10 Jul 2015 p. 2780.]</w:t>
      </w:r>
    </w:p>
    <w:p>
      <w:pPr>
        <w:pStyle w:val="Heading5"/>
      </w:pPr>
      <w:bookmarkStart w:id="48" w:name="_Toc391474962"/>
      <w:bookmarkStart w:id="49" w:name="_Toc427665420"/>
      <w:bookmarkStart w:id="50" w:name="_Toc424806327"/>
      <w:r>
        <w:rPr>
          <w:rStyle w:val="CharSectno"/>
        </w:rPr>
        <w:t>10</w:t>
      </w:r>
      <w:r>
        <w:t>.</w:t>
      </w:r>
      <w:r>
        <w:tab/>
        <w:t>Matters prescribed (Act s. 66H(7)(b))</w:t>
      </w:r>
      <w:bookmarkEnd w:id="48"/>
      <w:bookmarkEnd w:id="49"/>
      <w:bookmarkEnd w:id="50"/>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51" w:name="_Toc391474963"/>
      <w:bookmarkStart w:id="52" w:name="_Toc427665421"/>
      <w:bookmarkStart w:id="53" w:name="_Toc424806328"/>
      <w:r>
        <w:rPr>
          <w:rStyle w:val="CharSectno"/>
        </w:rPr>
        <w:t>11</w:t>
      </w:r>
      <w:r>
        <w:t>.</w:t>
      </w:r>
      <w:r>
        <w:tab/>
        <w:t>Registration of court decision (Act s. 176(6))</w:t>
      </w:r>
      <w:bookmarkEnd w:id="51"/>
      <w:bookmarkEnd w:id="52"/>
      <w:bookmarkEnd w:id="53"/>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54" w:name="_Toc391474964"/>
      <w:bookmarkStart w:id="55" w:name="_Toc427665422"/>
      <w:bookmarkStart w:id="56" w:name="_Toc424806329"/>
      <w:r>
        <w:rPr>
          <w:rStyle w:val="CharSectno"/>
        </w:rPr>
        <w:t>12</w:t>
      </w:r>
      <w:r>
        <w:t>.</w:t>
      </w:r>
      <w:r>
        <w:tab/>
        <w:t>Government agencies prescribed (Act s. 202K)</w:t>
      </w:r>
      <w:bookmarkEnd w:id="54"/>
      <w:bookmarkEnd w:id="55"/>
      <w:bookmarkEnd w:id="56"/>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57" w:name="_Toc391474965"/>
      <w:bookmarkStart w:id="58" w:name="_Toc427665423"/>
      <w:bookmarkStart w:id="59" w:name="_Toc424806330"/>
      <w:r>
        <w:rPr>
          <w:rStyle w:val="CharSectno"/>
        </w:rPr>
        <w:t>13</w:t>
      </w:r>
      <w:r>
        <w:t>.</w:t>
      </w:r>
      <w:r>
        <w:tab/>
        <w:t>Third party expenses (Act s. 205ZLK)</w:t>
      </w:r>
      <w:bookmarkEnd w:id="57"/>
      <w:bookmarkEnd w:id="58"/>
      <w:bookmarkEnd w:id="59"/>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60" w:name="_Toc391474966"/>
      <w:bookmarkStart w:id="61" w:name="_Toc427665424"/>
      <w:bookmarkStart w:id="62" w:name="_Toc424806331"/>
      <w:r>
        <w:rPr>
          <w:rStyle w:val="CharSectno"/>
        </w:rPr>
        <w:t>14F</w:t>
      </w:r>
      <w:r>
        <w:t>.</w:t>
      </w:r>
      <w:r>
        <w:tab/>
        <w:t xml:space="preserve">Pensions etc. prescribed (Act s. 205T </w:t>
      </w:r>
      <w:r>
        <w:rPr>
          <w:i/>
        </w:rPr>
        <w:t>income tested pension, allowance or benefit</w:t>
      </w:r>
      <w:r>
        <w:t>)</w:t>
      </w:r>
      <w:bookmarkEnd w:id="60"/>
      <w:bookmarkEnd w:id="61"/>
      <w:bookmarkEnd w:id="62"/>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63" w:name="_Toc391474967"/>
      <w:bookmarkStart w:id="64" w:name="_Toc427665425"/>
      <w:bookmarkStart w:id="65" w:name="_Toc424806332"/>
      <w:r>
        <w:rPr>
          <w:rStyle w:val="CharSectno"/>
        </w:rPr>
        <w:t>15</w:t>
      </w:r>
      <w:r>
        <w:rPr>
          <w:snapToGrid w:val="0"/>
        </w:rPr>
        <w:t>.</w:t>
      </w:r>
      <w:r>
        <w:rPr>
          <w:snapToGrid w:val="0"/>
        </w:rPr>
        <w:tab/>
        <w:t>Parentage testing procedures</w:t>
      </w:r>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66" w:name="_Toc391474968"/>
      <w:bookmarkStart w:id="67" w:name="_Toc427665426"/>
      <w:bookmarkStart w:id="68" w:name="_Toc424806333"/>
      <w:r>
        <w:rPr>
          <w:rStyle w:val="CharSectno"/>
        </w:rPr>
        <w:t>16</w:t>
      </w:r>
      <w:r>
        <w:rPr>
          <w:snapToGrid w:val="0"/>
        </w:rPr>
        <w:t>.</w:t>
      </w:r>
      <w:r>
        <w:rPr>
          <w:snapToGrid w:val="0"/>
        </w:rPr>
        <w:tab/>
        <w:t>Parentage testing reports</w:t>
      </w:r>
      <w:bookmarkEnd w:id="66"/>
      <w:bookmarkEnd w:id="67"/>
      <w:bookmarkEnd w:id="68"/>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69" w:name="_Toc391474969"/>
      <w:bookmarkStart w:id="70" w:name="_Toc427665427"/>
      <w:bookmarkStart w:id="71" w:name="_Toc424806334"/>
      <w:r>
        <w:rPr>
          <w:rStyle w:val="CharSectno"/>
        </w:rPr>
        <w:t>17</w:t>
      </w:r>
      <w:r>
        <w:rPr>
          <w:snapToGrid w:val="0"/>
        </w:rPr>
        <w:t>.</w:t>
      </w:r>
      <w:r>
        <w:rPr>
          <w:snapToGrid w:val="0"/>
        </w:rPr>
        <w:tab/>
        <w:t>Registration in a court of orders etc. made by another court</w:t>
      </w:r>
      <w:bookmarkEnd w:id="69"/>
      <w:bookmarkEnd w:id="70"/>
      <w:bookmarkEnd w:id="71"/>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in Gazette 29 Nov 2002 p. 5665; 14 Jul 2006 p. 2562.]</w:t>
      </w:r>
    </w:p>
    <w:p>
      <w:pPr>
        <w:pStyle w:val="Heading2"/>
      </w:pPr>
      <w:bookmarkStart w:id="72" w:name="_Toc378249026"/>
      <w:bookmarkStart w:id="73" w:name="_Toc391474921"/>
      <w:bookmarkStart w:id="74" w:name="_Toc391474970"/>
      <w:bookmarkStart w:id="75" w:name="_Toc418158238"/>
      <w:bookmarkStart w:id="76" w:name="_Toc424805396"/>
      <w:bookmarkStart w:id="77" w:name="_Toc424805447"/>
      <w:bookmarkStart w:id="78" w:name="_Toc424805498"/>
      <w:bookmarkStart w:id="79" w:name="_Toc424806335"/>
      <w:bookmarkStart w:id="80" w:name="_Toc427665428"/>
      <w:r>
        <w:rPr>
          <w:rStyle w:val="CharPartNo"/>
        </w:rPr>
        <w:t>Part 3</w:t>
      </w:r>
      <w:r>
        <w:rPr>
          <w:b w:val="0"/>
        </w:rPr>
        <w:t> </w:t>
      </w:r>
      <w:r>
        <w:t>—</w:t>
      </w:r>
      <w:r>
        <w:rPr>
          <w:b w:val="0"/>
        </w:rPr>
        <w:t> </w:t>
      </w:r>
      <w:r>
        <w:rPr>
          <w:rStyle w:val="CharPartText"/>
        </w:rPr>
        <w:t>Court fees</w:t>
      </w:r>
      <w:bookmarkEnd w:id="72"/>
      <w:bookmarkEnd w:id="73"/>
      <w:bookmarkEnd w:id="74"/>
      <w:bookmarkEnd w:id="75"/>
      <w:bookmarkEnd w:id="76"/>
      <w:bookmarkEnd w:id="77"/>
      <w:bookmarkEnd w:id="78"/>
      <w:bookmarkEnd w:id="79"/>
      <w:bookmarkEnd w:id="80"/>
    </w:p>
    <w:p>
      <w:pPr>
        <w:pStyle w:val="Footnoteheading"/>
      </w:pPr>
      <w:r>
        <w:tab/>
        <w:t>[Heading inserted in Gazette 14 Dec 2012 p. 6236.]</w:t>
      </w:r>
    </w:p>
    <w:p>
      <w:pPr>
        <w:pStyle w:val="Heading3"/>
      </w:pPr>
      <w:bookmarkStart w:id="81" w:name="_Toc378249027"/>
      <w:bookmarkStart w:id="82" w:name="_Toc391474922"/>
      <w:bookmarkStart w:id="83" w:name="_Toc391474971"/>
      <w:bookmarkStart w:id="84" w:name="_Toc418158239"/>
      <w:bookmarkStart w:id="85" w:name="_Toc424805397"/>
      <w:bookmarkStart w:id="86" w:name="_Toc424805448"/>
      <w:bookmarkStart w:id="87" w:name="_Toc424805499"/>
      <w:bookmarkStart w:id="88" w:name="_Toc424806336"/>
      <w:bookmarkStart w:id="89" w:name="_Toc427665429"/>
      <w:r>
        <w:rPr>
          <w:rStyle w:val="CharDivNo"/>
        </w:rPr>
        <w:t>Division 1</w:t>
      </w:r>
      <w:r>
        <w:t> — </w:t>
      </w:r>
      <w:r>
        <w:rPr>
          <w:rStyle w:val="CharDivText"/>
        </w:rPr>
        <w:t>Preliminary</w:t>
      </w:r>
      <w:bookmarkEnd w:id="81"/>
      <w:bookmarkEnd w:id="82"/>
      <w:bookmarkEnd w:id="83"/>
      <w:bookmarkEnd w:id="84"/>
      <w:bookmarkEnd w:id="85"/>
      <w:bookmarkEnd w:id="86"/>
      <w:bookmarkEnd w:id="87"/>
      <w:bookmarkEnd w:id="88"/>
      <w:bookmarkEnd w:id="89"/>
    </w:p>
    <w:p>
      <w:pPr>
        <w:pStyle w:val="Footnoteheading"/>
      </w:pPr>
      <w:r>
        <w:tab/>
        <w:t>[Heading inserted in Gazette 14 Dec 2012 p. 6236.]</w:t>
      </w:r>
    </w:p>
    <w:p>
      <w:pPr>
        <w:pStyle w:val="Heading5"/>
      </w:pPr>
      <w:bookmarkStart w:id="90" w:name="_Toc391474972"/>
      <w:bookmarkStart w:id="91" w:name="_Toc427665430"/>
      <w:bookmarkStart w:id="92" w:name="_Toc424806337"/>
      <w:r>
        <w:rPr>
          <w:rStyle w:val="CharSectno"/>
        </w:rPr>
        <w:t>18</w:t>
      </w:r>
      <w:r>
        <w:t>.</w:t>
      </w:r>
      <w:r>
        <w:tab/>
        <w:t>Terms used</w:t>
      </w:r>
      <w:bookmarkEnd w:id="90"/>
      <w:bookmarkEnd w:id="91"/>
      <w:bookmarkEnd w:id="92"/>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w:t>
      </w:r>
      <w:del w:id="93" w:author="Master Repository Process" w:date="2021-08-01T17:05:00Z">
        <w:r>
          <w:delText>, 12</w:delText>
        </w:r>
      </w:del>
      <w:r>
        <w:t xml:space="preserve"> or </w:t>
      </w:r>
      <w:del w:id="94" w:author="Master Repository Process" w:date="2021-08-01T17:05:00Z">
        <w:r>
          <w:delText>13</w:delText>
        </w:r>
      </w:del>
      <w:ins w:id="95" w:author="Master Repository Process" w:date="2021-08-01T17:05:00Z">
        <w:r>
          <w:t>12</w:t>
        </w:r>
      </w:ins>
      <w:r>
        <w:t>;</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in Gazette 14 Dec 2012 p. 6236-7; amended in Gazette 10 Jul 2015 p. 2780</w:t>
      </w:r>
      <w:ins w:id="96" w:author="Master Repository Process" w:date="2021-08-01T17:05:00Z">
        <w:r>
          <w:t>; 18 Aug 2015 p. 3299</w:t>
        </w:r>
      </w:ins>
      <w:r>
        <w:t>.]</w:t>
      </w:r>
    </w:p>
    <w:p>
      <w:pPr>
        <w:pStyle w:val="Heading3"/>
      </w:pPr>
      <w:bookmarkStart w:id="97" w:name="_Toc378249029"/>
      <w:bookmarkStart w:id="98" w:name="_Toc391474924"/>
      <w:bookmarkStart w:id="99" w:name="_Toc391474973"/>
      <w:bookmarkStart w:id="100" w:name="_Toc418158241"/>
      <w:bookmarkStart w:id="101" w:name="_Toc424805399"/>
      <w:bookmarkStart w:id="102" w:name="_Toc424805450"/>
      <w:bookmarkStart w:id="103" w:name="_Toc424805501"/>
      <w:bookmarkStart w:id="104" w:name="_Toc424806338"/>
      <w:bookmarkStart w:id="105" w:name="_Toc427665431"/>
      <w:r>
        <w:rPr>
          <w:rStyle w:val="CharDivNo"/>
        </w:rPr>
        <w:t>Division 2</w:t>
      </w:r>
      <w:r>
        <w:t> — </w:t>
      </w:r>
      <w:r>
        <w:rPr>
          <w:rStyle w:val="CharDivText"/>
        </w:rPr>
        <w:t>Fees — general</w:t>
      </w:r>
      <w:bookmarkEnd w:id="97"/>
      <w:bookmarkEnd w:id="98"/>
      <w:bookmarkEnd w:id="99"/>
      <w:bookmarkEnd w:id="100"/>
      <w:bookmarkEnd w:id="101"/>
      <w:bookmarkEnd w:id="102"/>
      <w:bookmarkEnd w:id="103"/>
      <w:bookmarkEnd w:id="104"/>
      <w:bookmarkEnd w:id="105"/>
    </w:p>
    <w:p>
      <w:pPr>
        <w:pStyle w:val="Footnoteheading"/>
      </w:pPr>
      <w:r>
        <w:tab/>
        <w:t>[Heading inserted in Gazette 14 Dec 2012 p. 6237.]</w:t>
      </w:r>
    </w:p>
    <w:p>
      <w:pPr>
        <w:pStyle w:val="Heading5"/>
      </w:pPr>
      <w:bookmarkStart w:id="106" w:name="_Toc391474974"/>
      <w:bookmarkStart w:id="107" w:name="_Toc427665432"/>
      <w:bookmarkStart w:id="108" w:name="_Toc424806339"/>
      <w:r>
        <w:rPr>
          <w:rStyle w:val="CharSectno"/>
        </w:rPr>
        <w:t>19</w:t>
      </w:r>
      <w:r>
        <w:t>.</w:t>
      </w:r>
      <w:r>
        <w:tab/>
        <w:t>Fees (Sch. 1)</w:t>
      </w:r>
      <w:bookmarkEnd w:id="106"/>
      <w:bookmarkEnd w:id="107"/>
      <w:bookmarkEnd w:id="108"/>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in Gazette 14 Dec 2012 p. 6237-8.]</w:t>
      </w:r>
    </w:p>
    <w:p>
      <w:pPr>
        <w:pStyle w:val="Heading3"/>
      </w:pPr>
      <w:bookmarkStart w:id="109" w:name="_Toc378249031"/>
      <w:bookmarkStart w:id="110" w:name="_Toc391474926"/>
      <w:bookmarkStart w:id="111" w:name="_Toc391474975"/>
      <w:bookmarkStart w:id="112" w:name="_Toc418158243"/>
      <w:bookmarkStart w:id="113" w:name="_Toc424805401"/>
      <w:bookmarkStart w:id="114" w:name="_Toc424805452"/>
      <w:bookmarkStart w:id="115" w:name="_Toc424805503"/>
      <w:bookmarkStart w:id="116" w:name="_Toc424806340"/>
      <w:bookmarkStart w:id="117" w:name="_Toc427665433"/>
      <w:r>
        <w:rPr>
          <w:rStyle w:val="CharDivNo"/>
        </w:rPr>
        <w:t>Division 3</w:t>
      </w:r>
      <w:r>
        <w:t> — </w:t>
      </w:r>
      <w:r>
        <w:rPr>
          <w:rStyle w:val="CharDivText"/>
        </w:rPr>
        <w:t>Liability to pay fee</w:t>
      </w:r>
      <w:bookmarkEnd w:id="109"/>
      <w:bookmarkEnd w:id="110"/>
      <w:bookmarkEnd w:id="111"/>
      <w:bookmarkEnd w:id="112"/>
      <w:bookmarkEnd w:id="113"/>
      <w:bookmarkEnd w:id="114"/>
      <w:bookmarkEnd w:id="115"/>
      <w:bookmarkEnd w:id="116"/>
      <w:bookmarkEnd w:id="117"/>
    </w:p>
    <w:p>
      <w:pPr>
        <w:pStyle w:val="Footnoteheading"/>
      </w:pPr>
      <w:r>
        <w:tab/>
        <w:t>[Heading inserted in Gazette 14 Dec 2012 p. 6238.]</w:t>
      </w:r>
    </w:p>
    <w:p>
      <w:pPr>
        <w:pStyle w:val="Heading5"/>
      </w:pPr>
      <w:bookmarkStart w:id="118" w:name="_Toc391474976"/>
      <w:bookmarkStart w:id="119" w:name="_Toc427665434"/>
      <w:bookmarkStart w:id="120" w:name="_Toc424806341"/>
      <w:r>
        <w:rPr>
          <w:rStyle w:val="CharSectno"/>
        </w:rPr>
        <w:t>20</w:t>
      </w:r>
      <w:r>
        <w:t>.</w:t>
      </w:r>
      <w:r>
        <w:tab/>
        <w:t>Persons liable to pay fee</w:t>
      </w:r>
      <w:bookmarkEnd w:id="118"/>
      <w:bookmarkEnd w:id="119"/>
      <w:bookmarkEnd w:id="120"/>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in Gazette 14 Dec 2012 p. 6238-9.]</w:t>
      </w:r>
    </w:p>
    <w:p>
      <w:pPr>
        <w:pStyle w:val="Heading3"/>
        <w:keepLines/>
      </w:pPr>
      <w:bookmarkStart w:id="121" w:name="_Toc378249033"/>
      <w:bookmarkStart w:id="122" w:name="_Toc391474928"/>
      <w:bookmarkStart w:id="123" w:name="_Toc391474977"/>
      <w:bookmarkStart w:id="124" w:name="_Toc418158245"/>
      <w:bookmarkStart w:id="125" w:name="_Toc424805403"/>
      <w:bookmarkStart w:id="126" w:name="_Toc424805454"/>
      <w:bookmarkStart w:id="127" w:name="_Toc424805505"/>
      <w:bookmarkStart w:id="128" w:name="_Toc424806342"/>
      <w:bookmarkStart w:id="129" w:name="_Toc427665435"/>
      <w:r>
        <w:rPr>
          <w:rStyle w:val="CharDivNo"/>
        </w:rPr>
        <w:t>Division 4</w:t>
      </w:r>
      <w:r>
        <w:t> — </w:t>
      </w:r>
      <w:r>
        <w:rPr>
          <w:rStyle w:val="CharDivText"/>
        </w:rPr>
        <w:t>Exemptions from liability to pay fee</w:t>
      </w:r>
      <w:bookmarkEnd w:id="121"/>
      <w:bookmarkEnd w:id="122"/>
      <w:bookmarkEnd w:id="123"/>
      <w:bookmarkEnd w:id="124"/>
      <w:bookmarkEnd w:id="125"/>
      <w:bookmarkEnd w:id="126"/>
      <w:bookmarkEnd w:id="127"/>
      <w:bookmarkEnd w:id="128"/>
      <w:bookmarkEnd w:id="129"/>
    </w:p>
    <w:p>
      <w:pPr>
        <w:pStyle w:val="Footnoteheading"/>
        <w:keepNext/>
        <w:keepLines/>
      </w:pPr>
      <w:r>
        <w:tab/>
        <w:t>[Heading inserted in Gazette 14 Dec 2012 p. 6239.]</w:t>
      </w:r>
    </w:p>
    <w:p>
      <w:pPr>
        <w:pStyle w:val="Heading5"/>
      </w:pPr>
      <w:bookmarkStart w:id="130" w:name="_Toc391474978"/>
      <w:bookmarkStart w:id="131" w:name="_Toc427665436"/>
      <w:bookmarkStart w:id="132" w:name="_Toc424806343"/>
      <w:r>
        <w:rPr>
          <w:rStyle w:val="CharSectno"/>
        </w:rPr>
        <w:t>21A</w:t>
      </w:r>
      <w:r>
        <w:t>.</w:t>
      </w:r>
      <w:r>
        <w:tab/>
        <w:t>Persons exempt from paying fee — general</w:t>
      </w:r>
      <w:bookmarkEnd w:id="130"/>
      <w:bookmarkEnd w:id="131"/>
      <w:bookmarkEnd w:id="132"/>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in Gazette 14 Dec 2012 p. 6239-40.]</w:t>
      </w:r>
    </w:p>
    <w:p>
      <w:pPr>
        <w:pStyle w:val="Heading5"/>
      </w:pPr>
      <w:bookmarkStart w:id="133" w:name="_Toc391474979"/>
      <w:bookmarkStart w:id="134" w:name="_Toc427665437"/>
      <w:bookmarkStart w:id="135" w:name="_Toc424806344"/>
      <w:r>
        <w:rPr>
          <w:rStyle w:val="CharSectno"/>
        </w:rPr>
        <w:t>21B</w:t>
      </w:r>
      <w:r>
        <w:t>.</w:t>
      </w:r>
      <w:r>
        <w:tab/>
        <w:t>Persons exempt from paying fee — financial hardship</w:t>
      </w:r>
      <w:bookmarkEnd w:id="133"/>
      <w:bookmarkEnd w:id="134"/>
      <w:bookmarkEnd w:id="135"/>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in Gazette 14 Dec 2012 p. 6240.]</w:t>
      </w:r>
    </w:p>
    <w:p>
      <w:pPr>
        <w:pStyle w:val="Heading3"/>
      </w:pPr>
      <w:bookmarkStart w:id="136" w:name="_Toc378249036"/>
      <w:bookmarkStart w:id="137" w:name="_Toc391474931"/>
      <w:bookmarkStart w:id="138" w:name="_Toc391474980"/>
      <w:bookmarkStart w:id="139" w:name="_Toc418158248"/>
      <w:bookmarkStart w:id="140" w:name="_Toc424805406"/>
      <w:bookmarkStart w:id="141" w:name="_Toc424805457"/>
      <w:bookmarkStart w:id="142" w:name="_Toc424805508"/>
      <w:bookmarkStart w:id="143" w:name="_Toc424806345"/>
      <w:bookmarkStart w:id="144" w:name="_Toc427665438"/>
      <w:r>
        <w:rPr>
          <w:rStyle w:val="CharDivNo"/>
        </w:rPr>
        <w:t>Division 5</w:t>
      </w:r>
      <w:r>
        <w:t> — </w:t>
      </w:r>
      <w:r>
        <w:rPr>
          <w:rStyle w:val="CharDivText"/>
        </w:rPr>
        <w:t>When fee is not payable</w:t>
      </w:r>
      <w:bookmarkEnd w:id="136"/>
      <w:bookmarkEnd w:id="137"/>
      <w:bookmarkEnd w:id="138"/>
      <w:bookmarkEnd w:id="139"/>
      <w:bookmarkEnd w:id="140"/>
      <w:bookmarkEnd w:id="141"/>
      <w:bookmarkEnd w:id="142"/>
      <w:bookmarkEnd w:id="143"/>
      <w:bookmarkEnd w:id="144"/>
    </w:p>
    <w:p>
      <w:pPr>
        <w:pStyle w:val="Footnoteheading"/>
      </w:pPr>
      <w:r>
        <w:tab/>
        <w:t>[Heading inserted in Gazette 14 Dec 2012 p. 6241.]</w:t>
      </w:r>
    </w:p>
    <w:p>
      <w:pPr>
        <w:pStyle w:val="Heading5"/>
      </w:pPr>
      <w:bookmarkStart w:id="145" w:name="_Toc391474981"/>
      <w:bookmarkStart w:id="146" w:name="_Toc427665439"/>
      <w:bookmarkStart w:id="147" w:name="_Toc424806346"/>
      <w:r>
        <w:rPr>
          <w:rStyle w:val="CharSectno"/>
        </w:rPr>
        <w:t>21C</w:t>
      </w:r>
      <w:r>
        <w:t>.</w:t>
      </w:r>
      <w:r>
        <w:tab/>
        <w:t>Fee not payable by liable person if already paid</w:t>
      </w:r>
      <w:bookmarkEnd w:id="145"/>
      <w:bookmarkEnd w:id="146"/>
      <w:bookmarkEnd w:id="147"/>
    </w:p>
    <w:p>
      <w:pPr>
        <w:pStyle w:val="Subsection"/>
      </w:pPr>
      <w:r>
        <w:tab/>
      </w:r>
      <w:r>
        <w:tab/>
        <w:t>A fee mentioned in Schedule 1 is not payable by the liable person if another person has paid the fee.</w:t>
      </w:r>
    </w:p>
    <w:p>
      <w:pPr>
        <w:pStyle w:val="Footnotesection"/>
      </w:pPr>
      <w:r>
        <w:tab/>
        <w:t>[Regulation 21C inserted in Gazette 14 Dec 2012 p. 6241.]</w:t>
      </w:r>
    </w:p>
    <w:p>
      <w:pPr>
        <w:pStyle w:val="Heading5"/>
      </w:pPr>
      <w:bookmarkStart w:id="148" w:name="_Toc391474982"/>
      <w:bookmarkStart w:id="149" w:name="_Toc427665440"/>
      <w:bookmarkStart w:id="150" w:name="_Toc424806347"/>
      <w:r>
        <w:rPr>
          <w:rStyle w:val="CharSectno"/>
        </w:rPr>
        <w:t>21D</w:t>
      </w:r>
      <w:r>
        <w:t>.</w:t>
      </w:r>
      <w:r>
        <w:tab/>
        <w:t>Proceedings in which fee is not payable</w:t>
      </w:r>
      <w:bookmarkEnd w:id="148"/>
      <w:bookmarkEnd w:id="149"/>
      <w:bookmarkEnd w:id="150"/>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in Gazette 14 Dec 2012 p. 6241-2.]</w:t>
      </w:r>
    </w:p>
    <w:p>
      <w:pPr>
        <w:pStyle w:val="Heading3"/>
      </w:pPr>
      <w:bookmarkStart w:id="151" w:name="_Toc378249039"/>
      <w:bookmarkStart w:id="152" w:name="_Toc391474934"/>
      <w:bookmarkStart w:id="153" w:name="_Toc391474983"/>
      <w:bookmarkStart w:id="154" w:name="_Toc418158251"/>
      <w:bookmarkStart w:id="155" w:name="_Toc424805409"/>
      <w:bookmarkStart w:id="156" w:name="_Toc424805460"/>
      <w:bookmarkStart w:id="157" w:name="_Toc424805511"/>
      <w:bookmarkStart w:id="158" w:name="_Toc424806348"/>
      <w:bookmarkStart w:id="159" w:name="_Toc427665441"/>
      <w:r>
        <w:rPr>
          <w:rStyle w:val="CharDivNo"/>
        </w:rPr>
        <w:t>Division 6</w:t>
      </w:r>
      <w:r>
        <w:t> — </w:t>
      </w:r>
      <w:r>
        <w:rPr>
          <w:rStyle w:val="CharDivText"/>
        </w:rPr>
        <w:t>Payment of fees</w:t>
      </w:r>
      <w:bookmarkEnd w:id="151"/>
      <w:bookmarkEnd w:id="152"/>
      <w:bookmarkEnd w:id="153"/>
      <w:bookmarkEnd w:id="154"/>
      <w:bookmarkEnd w:id="155"/>
      <w:bookmarkEnd w:id="156"/>
      <w:bookmarkEnd w:id="157"/>
      <w:bookmarkEnd w:id="158"/>
      <w:bookmarkEnd w:id="159"/>
    </w:p>
    <w:p>
      <w:pPr>
        <w:pStyle w:val="Footnoteheading"/>
      </w:pPr>
      <w:r>
        <w:tab/>
        <w:t>[Heading inserted in Gazette 14 Dec 2012 p. 6242.]</w:t>
      </w:r>
    </w:p>
    <w:p>
      <w:pPr>
        <w:pStyle w:val="Heading5"/>
      </w:pPr>
      <w:bookmarkStart w:id="160" w:name="_Toc391474984"/>
      <w:bookmarkStart w:id="161" w:name="_Toc427665442"/>
      <w:bookmarkStart w:id="162" w:name="_Toc424806349"/>
      <w:r>
        <w:rPr>
          <w:rStyle w:val="CharSectno"/>
        </w:rPr>
        <w:t>21E</w:t>
      </w:r>
      <w:r>
        <w:t>.</w:t>
      </w:r>
      <w:r>
        <w:tab/>
        <w:t>When fee must be paid</w:t>
      </w:r>
      <w:bookmarkEnd w:id="160"/>
      <w:bookmarkEnd w:id="161"/>
      <w:bookmarkEnd w:id="162"/>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in Gazette 14 Dec 2012 p. 6242-3.]</w:t>
      </w:r>
    </w:p>
    <w:p>
      <w:pPr>
        <w:pStyle w:val="Heading5"/>
      </w:pPr>
      <w:bookmarkStart w:id="163" w:name="_Toc391474985"/>
      <w:bookmarkStart w:id="164" w:name="_Toc427665443"/>
      <w:bookmarkStart w:id="165" w:name="_Toc424806350"/>
      <w:r>
        <w:rPr>
          <w:rStyle w:val="CharSectno"/>
        </w:rPr>
        <w:t>21F</w:t>
      </w:r>
      <w:r>
        <w:t>.</w:t>
      </w:r>
      <w:r>
        <w:tab/>
        <w:t>Deferral of payment of fees</w:t>
      </w:r>
      <w:bookmarkEnd w:id="163"/>
      <w:bookmarkEnd w:id="164"/>
      <w:bookmarkEnd w:id="165"/>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in Gazette 14 Dec 2012 p. 6243-4.]</w:t>
      </w:r>
    </w:p>
    <w:p>
      <w:pPr>
        <w:pStyle w:val="Heading5"/>
      </w:pPr>
      <w:bookmarkStart w:id="166" w:name="_Toc391474986"/>
      <w:bookmarkStart w:id="167" w:name="_Toc427665444"/>
      <w:bookmarkStart w:id="168" w:name="_Toc424806351"/>
      <w:r>
        <w:rPr>
          <w:rStyle w:val="CharSectno"/>
        </w:rPr>
        <w:t>21G</w:t>
      </w:r>
      <w:r>
        <w:t>.</w:t>
      </w:r>
      <w:r>
        <w:tab/>
        <w:t>What happens if fee is not paid</w:t>
      </w:r>
      <w:bookmarkEnd w:id="166"/>
      <w:bookmarkEnd w:id="167"/>
      <w:bookmarkEnd w:id="168"/>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in Gazette 14 Dec 2012 p. 6244-5.]</w:t>
      </w:r>
    </w:p>
    <w:p>
      <w:pPr>
        <w:pStyle w:val="Heading3"/>
      </w:pPr>
      <w:bookmarkStart w:id="169" w:name="_Toc378249043"/>
      <w:bookmarkStart w:id="170" w:name="_Toc391474938"/>
      <w:bookmarkStart w:id="171" w:name="_Toc391474987"/>
      <w:bookmarkStart w:id="172" w:name="_Toc418158255"/>
      <w:bookmarkStart w:id="173" w:name="_Toc424805413"/>
      <w:bookmarkStart w:id="174" w:name="_Toc424805464"/>
      <w:bookmarkStart w:id="175" w:name="_Toc424805515"/>
      <w:bookmarkStart w:id="176" w:name="_Toc424806352"/>
      <w:bookmarkStart w:id="177" w:name="_Toc427665445"/>
      <w:r>
        <w:rPr>
          <w:rStyle w:val="CharDivNo"/>
        </w:rPr>
        <w:t>Division 7</w:t>
      </w:r>
      <w:r>
        <w:t> — </w:t>
      </w:r>
      <w:r>
        <w:rPr>
          <w:rStyle w:val="CharDivText"/>
        </w:rPr>
        <w:t>Miscellaneous</w:t>
      </w:r>
      <w:bookmarkEnd w:id="169"/>
      <w:bookmarkEnd w:id="170"/>
      <w:bookmarkEnd w:id="171"/>
      <w:bookmarkEnd w:id="172"/>
      <w:bookmarkEnd w:id="173"/>
      <w:bookmarkEnd w:id="174"/>
      <w:bookmarkEnd w:id="175"/>
      <w:bookmarkEnd w:id="176"/>
      <w:bookmarkEnd w:id="177"/>
    </w:p>
    <w:p>
      <w:pPr>
        <w:pStyle w:val="Footnoteheading"/>
      </w:pPr>
      <w:r>
        <w:tab/>
        <w:t>[Heading inserted in Gazette 14 Dec 2012 p. 6245.]</w:t>
      </w:r>
    </w:p>
    <w:p>
      <w:pPr>
        <w:pStyle w:val="Heading5"/>
      </w:pPr>
      <w:bookmarkStart w:id="178" w:name="_Toc391474988"/>
      <w:bookmarkStart w:id="179" w:name="_Toc427665446"/>
      <w:bookmarkStart w:id="180" w:name="_Toc424806353"/>
      <w:r>
        <w:rPr>
          <w:rStyle w:val="CharSectno"/>
        </w:rPr>
        <w:t>21H</w:t>
      </w:r>
      <w:r>
        <w:t>.</w:t>
      </w:r>
      <w:r>
        <w:tab/>
        <w:t>Refund of fee</w:t>
      </w:r>
      <w:bookmarkEnd w:id="178"/>
      <w:bookmarkEnd w:id="179"/>
      <w:bookmarkEnd w:id="180"/>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in Gazette 14 Dec 2012 p. 6245-7.]</w:t>
      </w:r>
    </w:p>
    <w:p>
      <w:pPr>
        <w:pStyle w:val="Heading5"/>
      </w:pPr>
      <w:bookmarkStart w:id="181" w:name="_Toc391474989"/>
      <w:bookmarkStart w:id="182" w:name="_Toc427665447"/>
      <w:bookmarkStart w:id="183" w:name="_Toc424806354"/>
      <w:r>
        <w:rPr>
          <w:rStyle w:val="CharSectno"/>
        </w:rPr>
        <w:t>21I</w:t>
      </w:r>
      <w:r>
        <w:t>.</w:t>
      </w:r>
      <w:r>
        <w:tab/>
        <w:t>Biennial increase in fees</w:t>
      </w:r>
      <w:bookmarkEnd w:id="181"/>
      <w:bookmarkEnd w:id="182"/>
      <w:bookmarkEnd w:id="183"/>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2 year period beginning on 1 July 2012 or on each second 1 July following that day.</w:t>
      </w:r>
    </w:p>
    <w:p>
      <w:pPr>
        <w:pStyle w:val="Subsection"/>
      </w:pPr>
      <w:r>
        <w:tab/>
        <w:t>(2)</w:t>
      </w:r>
      <w:r>
        <w:tab/>
        <w:t>The amount of each fee mentioned in Schedule 1 is increased on 1 July 2016, and on each second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in Gazette 14 Dec 2012 p. 6247-9; amended in Gazette 10 Jul 2015 p. 2780.]</w:t>
      </w:r>
    </w:p>
    <w:p>
      <w:pPr>
        <w:pStyle w:val="Heading5"/>
      </w:pPr>
      <w:bookmarkStart w:id="184" w:name="_Toc391474990"/>
      <w:bookmarkStart w:id="185" w:name="_Toc427665448"/>
      <w:bookmarkStart w:id="186" w:name="_Toc424806355"/>
      <w:r>
        <w:rPr>
          <w:rStyle w:val="CharSectno"/>
        </w:rPr>
        <w:t>21J</w:t>
      </w:r>
      <w:r>
        <w:t>.</w:t>
      </w:r>
      <w:r>
        <w:tab/>
        <w:t>Recovery of fees due</w:t>
      </w:r>
      <w:bookmarkEnd w:id="184"/>
      <w:bookmarkEnd w:id="185"/>
      <w:bookmarkEnd w:id="186"/>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in Gazette 14 Dec 2012 p. 6249.]</w:t>
      </w:r>
    </w:p>
    <w:p>
      <w:pPr>
        <w:pStyle w:val="Heading2"/>
        <w:rPr>
          <w:snapToGrid/>
        </w:rPr>
      </w:pPr>
      <w:bookmarkStart w:id="187" w:name="_Toc378249047"/>
      <w:bookmarkStart w:id="188" w:name="_Toc391474942"/>
      <w:bookmarkStart w:id="189" w:name="_Toc391474991"/>
      <w:bookmarkStart w:id="190" w:name="_Toc418158259"/>
      <w:bookmarkStart w:id="191" w:name="_Toc424805417"/>
      <w:bookmarkStart w:id="192" w:name="_Toc424805468"/>
      <w:bookmarkStart w:id="193" w:name="_Toc424805519"/>
      <w:bookmarkStart w:id="194" w:name="_Toc424806356"/>
      <w:bookmarkStart w:id="195" w:name="_Toc427665449"/>
      <w:r>
        <w:rPr>
          <w:rStyle w:val="CharPartNo"/>
        </w:rPr>
        <w:t>Part 4</w:t>
      </w:r>
      <w:r>
        <w:rPr>
          <w:rStyle w:val="CharDivNo"/>
        </w:rPr>
        <w:t> </w:t>
      </w:r>
      <w:r>
        <w:t>—</w:t>
      </w:r>
      <w:r>
        <w:rPr>
          <w:rStyle w:val="CharDivText"/>
        </w:rPr>
        <w:t> </w:t>
      </w:r>
      <w:r>
        <w:rPr>
          <w:rStyle w:val="CharPartText"/>
        </w:rPr>
        <w:t>Review</w:t>
      </w:r>
      <w:bookmarkEnd w:id="187"/>
      <w:bookmarkEnd w:id="188"/>
      <w:bookmarkEnd w:id="189"/>
      <w:bookmarkEnd w:id="190"/>
      <w:bookmarkEnd w:id="191"/>
      <w:bookmarkEnd w:id="192"/>
      <w:bookmarkEnd w:id="193"/>
      <w:bookmarkEnd w:id="194"/>
      <w:bookmarkEnd w:id="195"/>
    </w:p>
    <w:p>
      <w:pPr>
        <w:pStyle w:val="Footnoteheading"/>
      </w:pPr>
      <w:r>
        <w:tab/>
        <w:t>[Heading inserted in Gazette 13 May 2011 p. 1746.]</w:t>
      </w:r>
    </w:p>
    <w:p>
      <w:pPr>
        <w:pStyle w:val="Heading5"/>
      </w:pPr>
      <w:bookmarkStart w:id="196" w:name="_Toc391474992"/>
      <w:bookmarkStart w:id="197" w:name="_Toc427665450"/>
      <w:bookmarkStart w:id="198" w:name="_Toc424806357"/>
      <w:r>
        <w:rPr>
          <w:rStyle w:val="CharSectno"/>
        </w:rPr>
        <w:t>21</w:t>
      </w:r>
      <w:r>
        <w:t>.</w:t>
      </w:r>
      <w:r>
        <w:tab/>
        <w:t>Review of decisions under these regulations</w:t>
      </w:r>
      <w:bookmarkEnd w:id="196"/>
      <w:bookmarkEnd w:id="197"/>
      <w:bookmarkEnd w:id="198"/>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199" w:name="_Toc378249049"/>
      <w:bookmarkStart w:id="200" w:name="_Toc391474944"/>
      <w:bookmarkStart w:id="201" w:name="_Toc391474993"/>
      <w:bookmarkStart w:id="202" w:name="_Toc418158261"/>
      <w:bookmarkStart w:id="203" w:name="_Toc424805419"/>
      <w:bookmarkStart w:id="204" w:name="_Toc424805470"/>
      <w:bookmarkStart w:id="205" w:name="_Toc424805521"/>
      <w:bookmarkStart w:id="206" w:name="_Toc424806358"/>
      <w:bookmarkStart w:id="207" w:name="_Toc427665451"/>
      <w:r>
        <w:rPr>
          <w:rStyle w:val="CharPartNo"/>
        </w:rPr>
        <w:t>Part 5</w:t>
      </w:r>
      <w:r>
        <w:rPr>
          <w:rStyle w:val="CharDivNo"/>
        </w:rPr>
        <w:t> </w:t>
      </w:r>
      <w:r>
        <w:t>—</w:t>
      </w:r>
      <w:r>
        <w:rPr>
          <w:rStyle w:val="CharDivText"/>
        </w:rPr>
        <w:t> </w:t>
      </w:r>
      <w:r>
        <w:rPr>
          <w:rStyle w:val="CharPartText"/>
        </w:rPr>
        <w:t>Transitional provisions</w:t>
      </w:r>
      <w:bookmarkEnd w:id="199"/>
      <w:bookmarkEnd w:id="200"/>
      <w:bookmarkEnd w:id="201"/>
      <w:bookmarkEnd w:id="202"/>
      <w:bookmarkEnd w:id="203"/>
      <w:bookmarkEnd w:id="204"/>
      <w:bookmarkEnd w:id="205"/>
      <w:bookmarkEnd w:id="206"/>
      <w:bookmarkEnd w:id="207"/>
    </w:p>
    <w:p>
      <w:pPr>
        <w:pStyle w:val="Footnoteheading"/>
      </w:pPr>
      <w:r>
        <w:tab/>
        <w:t>[Heading inserted in Gazette 13 May 2011 p. 1746.]</w:t>
      </w:r>
    </w:p>
    <w:p>
      <w:pPr>
        <w:pStyle w:val="Heading5"/>
      </w:pPr>
      <w:bookmarkStart w:id="208" w:name="_Toc427665452"/>
      <w:bookmarkStart w:id="209" w:name="_Toc424806359"/>
      <w:bookmarkStart w:id="210" w:name="_Toc391474994"/>
      <w:r>
        <w:rPr>
          <w:rStyle w:val="CharSectno"/>
        </w:rPr>
        <w:t>22A</w:t>
      </w:r>
      <w:r>
        <w:t>.</w:t>
      </w:r>
      <w:r>
        <w:tab/>
        <w:t>Terms used</w:t>
      </w:r>
      <w:bookmarkEnd w:id="208"/>
      <w:bookmarkEnd w:id="209"/>
    </w:p>
    <w:p>
      <w:pPr>
        <w:pStyle w:val="Subsection"/>
      </w:pPr>
      <w:r>
        <w:tab/>
      </w:r>
      <w:r>
        <w:tab/>
        <w:t>A term has the same meaning in this Part as it has in regulation 18 unless the contrary intention appears.</w:t>
      </w:r>
    </w:p>
    <w:p>
      <w:pPr>
        <w:pStyle w:val="Footnotesection"/>
      </w:pPr>
      <w:r>
        <w:tab/>
        <w:t>[Regulation 22A inserted in Gazette 10 Jul 2015 p. 2780.]</w:t>
      </w:r>
    </w:p>
    <w:p>
      <w:pPr>
        <w:pStyle w:val="Heading5"/>
      </w:pPr>
      <w:bookmarkStart w:id="211" w:name="_Toc427665453"/>
      <w:bookmarkStart w:id="212" w:name="_Toc424806360"/>
      <w:r>
        <w:rPr>
          <w:rStyle w:val="CharSectno"/>
        </w:rPr>
        <w:t>22</w:t>
      </w:r>
      <w:r>
        <w:t>.</w:t>
      </w:r>
      <w:r>
        <w:tab/>
      </w:r>
      <w:r>
        <w:rPr>
          <w:i/>
        </w:rPr>
        <w:t>Family Court Amendment Regulations 2011</w:t>
      </w:r>
      <w:r>
        <w:t>, transitional provisions for</w:t>
      </w:r>
      <w:bookmarkEnd w:id="210"/>
      <w:bookmarkEnd w:id="211"/>
      <w:bookmarkEnd w:id="212"/>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 amended in Gazette 10 Jul 2015 p. 2781.]</w:t>
      </w:r>
    </w:p>
    <w:p>
      <w:pPr>
        <w:pStyle w:val="Heading5"/>
      </w:pPr>
      <w:bookmarkStart w:id="213" w:name="_Toc391474995"/>
      <w:bookmarkStart w:id="214" w:name="_Toc427665454"/>
      <w:bookmarkStart w:id="215" w:name="_Toc424806361"/>
      <w:r>
        <w:rPr>
          <w:rStyle w:val="CharSectno"/>
        </w:rPr>
        <w:t>23</w:t>
      </w:r>
      <w:r>
        <w:t>.</w:t>
      </w:r>
      <w:r>
        <w:tab/>
      </w:r>
      <w:r>
        <w:rPr>
          <w:i/>
        </w:rPr>
        <w:t>Family Court Amendment Regulations 2012</w:t>
      </w:r>
      <w:r>
        <w:t>, transitional provisions for</w:t>
      </w:r>
      <w:bookmarkEnd w:id="213"/>
      <w:bookmarkEnd w:id="214"/>
      <w:bookmarkEnd w:id="215"/>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in Gazette 14 Dec 2012 p. 6249-50.]</w:t>
      </w:r>
    </w:p>
    <w:p>
      <w:pPr>
        <w:pStyle w:val="Heading5"/>
      </w:pPr>
      <w:bookmarkStart w:id="216" w:name="_Toc427665455"/>
      <w:bookmarkStart w:id="217" w:name="_Toc424806362"/>
      <w:r>
        <w:rPr>
          <w:rStyle w:val="CharSClsNo"/>
        </w:rPr>
        <w:t>24.</w:t>
      </w:r>
      <w:r>
        <w:rPr>
          <w:rStyle w:val="CharSClsNo"/>
        </w:rPr>
        <w:tab/>
      </w:r>
      <w:r>
        <w:t xml:space="preserve">Transitional provisions relating to the </w:t>
      </w:r>
      <w:r>
        <w:rPr>
          <w:i/>
        </w:rPr>
        <w:t xml:space="preserve">Family Court Amendment Regulations (No. </w:t>
      </w:r>
      <w:del w:id="218" w:author="Master Repository Process" w:date="2021-08-01T17:05:00Z">
        <w:r>
          <w:rPr>
            <w:i/>
          </w:rPr>
          <w:delText>2) </w:delText>
        </w:r>
      </w:del>
      <w:ins w:id="219" w:author="Master Repository Process" w:date="2021-08-01T17:05:00Z">
        <w:r>
          <w:rPr>
            <w:i/>
          </w:rPr>
          <w:t xml:space="preserve">3) </w:t>
        </w:r>
      </w:ins>
      <w:r>
        <w:rPr>
          <w:i/>
        </w:rPr>
        <w:t>2015</w:t>
      </w:r>
      <w:bookmarkEnd w:id="216"/>
      <w:bookmarkEnd w:id="217"/>
    </w:p>
    <w:p>
      <w:pPr>
        <w:pStyle w:val="Subsection"/>
      </w:pPr>
      <w:r>
        <w:tab/>
        <w:t>(1)</w:t>
      </w:r>
      <w:r>
        <w:tab/>
        <w:t>In this regulation —</w:t>
      </w:r>
      <w:del w:id="220" w:author="Master Repository Process" w:date="2021-08-01T17:05:00Z">
        <w:r>
          <w:delText xml:space="preserve"> </w:delText>
        </w:r>
      </w:del>
    </w:p>
    <w:p>
      <w:pPr>
        <w:pStyle w:val="Defstart"/>
      </w:pPr>
      <w:r>
        <w:tab/>
      </w:r>
      <w:r>
        <w:rPr>
          <w:rStyle w:val="CharDefText"/>
        </w:rPr>
        <w:t>commencement day</w:t>
      </w:r>
      <w:r>
        <w:rPr>
          <w:b/>
        </w:rPr>
        <w:t xml:space="preserve"> </w:t>
      </w:r>
      <w:r>
        <w:t xml:space="preserve">means the day on which the </w:t>
      </w:r>
      <w:r>
        <w:rPr>
          <w:i/>
        </w:rPr>
        <w:t>Family Court Amendment Regulations (No</w:t>
      </w:r>
      <w:del w:id="221" w:author="Master Repository Process" w:date="2021-08-01T17:05:00Z">
        <w:r>
          <w:rPr>
            <w:i/>
          </w:rPr>
          <w:delText xml:space="preserve"> 2</w:delText>
        </w:r>
      </w:del>
      <w:ins w:id="222" w:author="Master Repository Process" w:date="2021-08-01T17:05:00Z">
        <w:r>
          <w:rPr>
            <w:i/>
          </w:rPr>
          <w:t>. 3</w:t>
        </w:r>
      </w:ins>
      <w:r>
        <w:rPr>
          <w:i/>
        </w:rPr>
        <w:t>) 2015</w:t>
      </w:r>
      <w:r>
        <w:t xml:space="preserve"> regulation </w:t>
      </w:r>
      <w:del w:id="223" w:author="Master Repository Process" w:date="2021-08-01T17:05:00Z">
        <w:r>
          <w:delText>10</w:delText>
        </w:r>
      </w:del>
      <w:ins w:id="224" w:author="Master Repository Process" w:date="2021-08-01T17:05:00Z">
        <w:r>
          <w:t>6</w:t>
        </w:r>
      </w:ins>
      <w:r>
        <w:t xml:space="preserve"> comes into operation</w:t>
      </w:r>
      <w:del w:id="225" w:author="Master Repository Process" w:date="2021-08-01T17:05:00Z">
        <w:r>
          <w:delText xml:space="preserve">. </w:delText>
        </w:r>
      </w:del>
      <w:ins w:id="226" w:author="Master Repository Process" w:date="2021-08-01T17:05:00Z">
        <w:r>
          <w:t>;</w:t>
        </w:r>
      </w:ins>
    </w:p>
    <w:p>
      <w:pPr>
        <w:pStyle w:val="Defstart"/>
        <w:rPr>
          <w:ins w:id="227" w:author="Master Repository Process" w:date="2021-08-01T17:05:00Z"/>
        </w:rPr>
      </w:pPr>
      <w:r>
        <w:tab/>
      </w:r>
      <w:del w:id="228" w:author="Master Repository Process" w:date="2021-08-01T17:05:00Z">
        <w:r>
          <w:delText>(2)</w:delText>
        </w:r>
        <w:r>
          <w:tab/>
          <w:delText>These</w:delText>
        </w:r>
      </w:del>
      <w:ins w:id="229" w:author="Master Repository Process" w:date="2021-08-01T17:05:00Z">
        <w:r>
          <w:rPr>
            <w:rStyle w:val="CharDefText"/>
          </w:rPr>
          <w:t>current fees</w:t>
        </w:r>
        <w:r>
          <w:t xml:space="preserve"> means the fees payable under these</w:t>
        </w:r>
      </w:ins>
      <w:r>
        <w:t xml:space="preserve"> regulations</w:t>
      </w:r>
      <w:del w:id="230" w:author="Master Repository Process" w:date="2021-08-01T17:05:00Z">
        <w:r>
          <w:delText>, as in force</w:delText>
        </w:r>
      </w:del>
      <w:ins w:id="231" w:author="Master Repository Process" w:date="2021-08-01T17:05:00Z">
        <w:r>
          <w:t xml:space="preserve"> on commencement day;</w:t>
        </w:r>
      </w:ins>
    </w:p>
    <w:p>
      <w:pPr>
        <w:pStyle w:val="Defstart"/>
        <w:rPr>
          <w:ins w:id="232" w:author="Master Repository Process" w:date="2021-08-01T17:05:00Z"/>
        </w:rPr>
      </w:pPr>
      <w:ins w:id="233" w:author="Master Repository Process" w:date="2021-08-01T17:05:00Z">
        <w:r>
          <w:tab/>
        </w:r>
        <w:r>
          <w:rPr>
            <w:rStyle w:val="CharDefText"/>
          </w:rPr>
          <w:t>refund period</w:t>
        </w:r>
        <w:r>
          <w:rPr>
            <w:b/>
          </w:rPr>
          <w:t xml:space="preserve"> </w:t>
        </w:r>
        <w:r>
          <w:t xml:space="preserve">means the period — </w:t>
        </w:r>
      </w:ins>
    </w:p>
    <w:p>
      <w:pPr>
        <w:pStyle w:val="Defpara"/>
        <w:rPr>
          <w:ins w:id="234" w:author="Master Repository Process" w:date="2021-08-01T17:05:00Z"/>
        </w:rPr>
      </w:pPr>
      <w:ins w:id="235" w:author="Master Repository Process" w:date="2021-08-01T17:05:00Z">
        <w:r>
          <w:tab/>
          <w:t>(a)</w:t>
        </w:r>
        <w:r>
          <w:tab/>
          <w:t xml:space="preserve">beginning at the time when the </w:t>
        </w:r>
        <w:r>
          <w:rPr>
            <w:i/>
          </w:rPr>
          <w:t xml:space="preserve">Family Law (Fees) Amendment (2015 Measures No. 1) Regulation 2015 </w:t>
        </w:r>
        <w:r>
          <w:t>(Commonwealth) was disallowed by the Commonwealth Senate; and</w:t>
        </w:r>
      </w:ins>
    </w:p>
    <w:p>
      <w:pPr>
        <w:pStyle w:val="Defpara"/>
        <w:rPr>
          <w:ins w:id="236" w:author="Master Repository Process" w:date="2021-08-01T17:05:00Z"/>
        </w:rPr>
      </w:pPr>
      <w:ins w:id="237" w:author="Master Repository Process" w:date="2021-08-01T17:05:00Z">
        <w:r>
          <w:tab/>
          <w:t>(b)</w:t>
        </w:r>
        <w:r>
          <w:tab/>
          <w:t>ending</w:t>
        </w:r>
      </w:ins>
      <w:r>
        <w:t xml:space="preserve"> immediately before commencement day</w:t>
      </w:r>
      <w:del w:id="238" w:author="Master Repository Process" w:date="2021-08-01T17:05:00Z">
        <w:r>
          <w:delText>, continue</w:delText>
        </w:r>
      </w:del>
      <w:ins w:id="239" w:author="Master Repository Process" w:date="2021-08-01T17:05:00Z">
        <w:r>
          <w:t>.</w:t>
        </w:r>
      </w:ins>
    </w:p>
    <w:p>
      <w:pPr>
        <w:pStyle w:val="Subsection"/>
        <w:rPr>
          <w:ins w:id="240" w:author="Master Repository Process" w:date="2021-08-01T17:05:00Z"/>
        </w:rPr>
      </w:pPr>
      <w:ins w:id="241" w:author="Master Repository Process" w:date="2021-08-01T17:05:00Z">
        <w:r>
          <w:tab/>
          <w:t>(2)</w:t>
        </w:r>
        <w:r>
          <w:tab/>
          <w:t>A person who paid a fee under these regulations during the refund period is entitled</w:t>
        </w:r>
      </w:ins>
      <w:r>
        <w:t xml:space="preserve"> to </w:t>
      </w:r>
      <w:del w:id="242" w:author="Master Repository Process" w:date="2021-08-01T17:05:00Z">
        <w:r>
          <w:delText>apply in relation</w:delText>
        </w:r>
      </w:del>
      <w:ins w:id="243" w:author="Master Repository Process" w:date="2021-08-01T17:05:00Z">
        <w:r>
          <w:t>a refund.</w:t>
        </w:r>
      </w:ins>
    </w:p>
    <w:p>
      <w:pPr>
        <w:pStyle w:val="Subsection"/>
        <w:rPr>
          <w:ins w:id="244" w:author="Master Repository Process" w:date="2021-08-01T17:05:00Z"/>
        </w:rPr>
      </w:pPr>
      <w:ins w:id="245" w:author="Master Repository Process" w:date="2021-08-01T17:05:00Z">
        <w:r>
          <w:tab/>
          <w:t>(3)</w:t>
        </w:r>
        <w:r>
          <w:tab/>
          <w:t>The amount</w:t>
        </w:r>
      </w:ins>
      <w:r>
        <w:t xml:space="preserve"> to </w:t>
      </w:r>
      <w:del w:id="246" w:author="Master Repository Process" w:date="2021-08-01T17:05:00Z">
        <w:r>
          <w:delText xml:space="preserve">the </w:delText>
        </w:r>
      </w:del>
      <w:ins w:id="247" w:author="Master Repository Process" w:date="2021-08-01T17:05:00Z">
        <w:r>
          <w:t xml:space="preserve">be refunded is the difference between — </w:t>
        </w:r>
      </w:ins>
    </w:p>
    <w:p>
      <w:pPr>
        <w:pStyle w:val="Indenta"/>
        <w:rPr>
          <w:ins w:id="248" w:author="Master Repository Process" w:date="2021-08-01T17:05:00Z"/>
        </w:rPr>
      </w:pPr>
      <w:ins w:id="249" w:author="Master Repository Process" w:date="2021-08-01T17:05:00Z">
        <w:r>
          <w:tab/>
          <w:t>(a)</w:t>
        </w:r>
        <w:r>
          <w:tab/>
          <w:t>the amount paid by the person; and</w:t>
        </w:r>
      </w:ins>
    </w:p>
    <w:p>
      <w:pPr>
        <w:pStyle w:val="Indenta"/>
        <w:rPr>
          <w:ins w:id="250" w:author="Master Repository Process" w:date="2021-08-01T17:05:00Z"/>
        </w:rPr>
      </w:pPr>
      <w:ins w:id="251" w:author="Master Repository Process" w:date="2021-08-01T17:05:00Z">
        <w:r>
          <w:tab/>
          <w:t>(b)</w:t>
        </w:r>
        <w:r>
          <w:tab/>
          <w:t>the amount that the person would have been required to pay had the current fees been the fees payable during the refund period.</w:t>
        </w:r>
      </w:ins>
    </w:p>
    <w:p>
      <w:pPr>
        <w:pStyle w:val="Subsection"/>
      </w:pPr>
      <w:ins w:id="252" w:author="Master Repository Process" w:date="2021-08-01T17:05:00Z">
        <w:r>
          <w:tab/>
          <w:t>(4)</w:t>
        </w:r>
        <w:r>
          <w:tab/>
          <w:t xml:space="preserve">The </w:t>
        </w:r>
      </w:ins>
      <w:r>
        <w:t xml:space="preserve">liability of a person to pay </w:t>
      </w:r>
      <w:del w:id="253" w:author="Master Repository Process" w:date="2021-08-01T17:05:00Z">
        <w:r>
          <w:delText xml:space="preserve">any of the following fees — </w:delText>
        </w:r>
      </w:del>
      <w:ins w:id="254" w:author="Master Repository Process" w:date="2021-08-01T17:05:00Z">
        <w:r>
          <w:t>a fee that arose during the refund period is to be taken to be the same as it would have been had the current fees been the fees payable when the liability arose.</w:t>
        </w:r>
      </w:ins>
    </w:p>
    <w:p>
      <w:pPr>
        <w:pStyle w:val="Indenta"/>
        <w:rPr>
          <w:del w:id="255" w:author="Master Repository Process" w:date="2021-08-01T17:05:00Z"/>
        </w:rPr>
      </w:pPr>
      <w:del w:id="256" w:author="Master Repository Process" w:date="2021-08-01T17:05:00Z">
        <w:r>
          <w:tab/>
          <w:delText>(a)</w:delText>
        </w:r>
        <w:r>
          <w:tab/>
          <w:delText>a filing fee for filing a document before commencement day;</w:delText>
        </w:r>
      </w:del>
    </w:p>
    <w:p>
      <w:pPr>
        <w:pStyle w:val="Indenta"/>
        <w:rPr>
          <w:del w:id="257" w:author="Master Repository Process" w:date="2021-08-01T17:05:00Z"/>
        </w:rPr>
      </w:pPr>
      <w:del w:id="258" w:author="Master Repository Process" w:date="2021-08-01T17:05:00Z">
        <w:r>
          <w:tab/>
          <w:delText>(b)</w:delText>
        </w:r>
        <w:r>
          <w:tab/>
          <w:delText>a setting down fee for a hearing if the hearing day is fixed before commencement day;</w:delText>
        </w:r>
      </w:del>
    </w:p>
    <w:p>
      <w:pPr>
        <w:pStyle w:val="Indenta"/>
        <w:rPr>
          <w:del w:id="259" w:author="Master Repository Process" w:date="2021-08-01T17:05:00Z"/>
        </w:rPr>
      </w:pPr>
      <w:del w:id="260" w:author="Master Repository Process" w:date="2021-08-01T17:05:00Z">
        <w:r>
          <w:tab/>
          <w:delText>(c)</w:delText>
        </w:r>
        <w:r>
          <w:tab/>
          <w:delText>a hearing fee for a day, or a part of a day, if the day (or part of the day) is fixed before commencement day;</w:delText>
        </w:r>
      </w:del>
    </w:p>
    <w:p>
      <w:pPr>
        <w:pStyle w:val="Indenta"/>
        <w:rPr>
          <w:del w:id="261" w:author="Master Repository Process" w:date="2021-08-01T17:05:00Z"/>
        </w:rPr>
      </w:pPr>
      <w:del w:id="262" w:author="Master Repository Process" w:date="2021-08-01T17:05:00Z">
        <w:r>
          <w:tab/>
          <w:delText>(d)</w:delText>
        </w:r>
        <w:r>
          <w:tab/>
          <w:delText>a conciliation conference fee for a conciliation conference the date for which is fixed before commencement day;</w:delText>
        </w:r>
      </w:del>
    </w:p>
    <w:p>
      <w:pPr>
        <w:pStyle w:val="Indenta"/>
        <w:rPr>
          <w:del w:id="263" w:author="Master Repository Process" w:date="2021-08-01T17:05:00Z"/>
        </w:rPr>
      </w:pPr>
      <w:del w:id="264" w:author="Master Repository Process" w:date="2021-08-01T17:05:00Z">
        <w:r>
          <w:tab/>
          <w:delText>(e)</w:delText>
        </w:r>
        <w:r>
          <w:tab/>
          <w:delText>any other fee under these regulations for a service that is provided in relation to a proceeding before commencement day.</w:delText>
        </w:r>
      </w:del>
    </w:p>
    <w:p>
      <w:pPr>
        <w:pStyle w:val="Subsection"/>
        <w:rPr>
          <w:ins w:id="265" w:author="Master Repository Process" w:date="2021-08-01T17:05:00Z"/>
        </w:rPr>
      </w:pPr>
      <w:ins w:id="266" w:author="Master Repository Process" w:date="2021-08-01T17:05:00Z">
        <w:r>
          <w:tab/>
          <w:t>(5)</w:t>
        </w:r>
        <w:r>
          <w:tab/>
          <w:t xml:space="preserve">This regulation applies despite the amendments effected by the </w:t>
        </w:r>
        <w:r>
          <w:rPr>
            <w:i/>
          </w:rPr>
          <w:t>Family Court Amendment Regulations (No. 2) 2015</w:t>
        </w:r>
        <w:r>
          <w:t>.</w:t>
        </w:r>
      </w:ins>
    </w:p>
    <w:p>
      <w:pPr>
        <w:pStyle w:val="Footnotesection"/>
      </w:pPr>
      <w:r>
        <w:tab/>
        <w:t xml:space="preserve">[Regulation 24 inserted in Gazette </w:t>
      </w:r>
      <w:del w:id="267" w:author="Master Repository Process" w:date="2021-08-01T17:05:00Z">
        <w:r>
          <w:delText>10 Jul</w:delText>
        </w:r>
      </w:del>
      <w:ins w:id="268" w:author="Master Repository Process" w:date="2021-08-01T17:05:00Z">
        <w:r>
          <w:t>18 Aug</w:t>
        </w:r>
      </w:ins>
      <w:r>
        <w:t> 2015 p. </w:t>
      </w:r>
      <w:del w:id="269" w:author="Master Repository Process" w:date="2021-08-01T17:05:00Z">
        <w:r>
          <w:delText>2781</w:delText>
        </w:r>
        <w:r>
          <w:noBreakHyphen/>
          <w:delText>2</w:delText>
        </w:r>
      </w:del>
      <w:ins w:id="270" w:author="Master Repository Process" w:date="2021-08-01T17:05:00Z">
        <w:r>
          <w:t>3300</w:t>
        </w:r>
      </w:ins>
      <w: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71" w:name="_Toc427665456"/>
      <w:bookmarkStart w:id="272" w:name="_Toc424805424"/>
      <w:bookmarkStart w:id="273" w:name="_Toc424805475"/>
      <w:bookmarkStart w:id="274" w:name="_Toc424805526"/>
      <w:bookmarkStart w:id="275" w:name="_Toc424806363"/>
      <w:bookmarkStart w:id="276" w:name="_Toc378249052"/>
      <w:bookmarkStart w:id="277" w:name="_Toc391474947"/>
      <w:bookmarkStart w:id="278" w:name="_Toc391474996"/>
      <w:bookmarkStart w:id="279" w:name="_Toc418158264"/>
      <w:r>
        <w:rPr>
          <w:rStyle w:val="CharSchNo"/>
        </w:rPr>
        <w:t>Schedule 1</w:t>
      </w:r>
      <w:r>
        <w:rPr>
          <w:rStyle w:val="CharSDivNo"/>
        </w:rPr>
        <w:t> </w:t>
      </w:r>
      <w:r>
        <w:t>—</w:t>
      </w:r>
      <w:r>
        <w:rPr>
          <w:rStyle w:val="CharSDivText"/>
        </w:rPr>
        <w:t> </w:t>
      </w:r>
      <w:r>
        <w:t>Fees</w:t>
      </w:r>
      <w:bookmarkEnd w:id="271"/>
    </w:p>
    <w:p>
      <w:pPr>
        <w:pStyle w:val="yShoulderClause"/>
      </w:pPr>
      <w:r>
        <w:t>[</w:t>
      </w:r>
      <w:del w:id="280" w:author="Master Repository Process" w:date="2021-08-01T17:05:00Z">
        <w:r>
          <w:delText>Part </w:delText>
        </w:r>
      </w:del>
      <w:ins w:id="281" w:author="Master Repository Process" w:date="2021-08-01T17:05:00Z">
        <w:r>
          <w:t xml:space="preserve">Pt. </w:t>
        </w:r>
      </w:ins>
      <w:r>
        <w:t>3]</w:t>
      </w:r>
    </w:p>
    <w:p>
      <w:pPr>
        <w:pStyle w:val="yFootnoteheading"/>
        <w:spacing w:after="120"/>
      </w:pPr>
      <w:r>
        <w:tab/>
        <w:t xml:space="preserve">[Heading inserted in Gazette </w:t>
      </w:r>
      <w:del w:id="282" w:author="Master Repository Process" w:date="2021-08-01T17:05:00Z">
        <w:r>
          <w:delText>10 Jul</w:delText>
        </w:r>
      </w:del>
      <w:ins w:id="283" w:author="Master Repository Process" w:date="2021-08-01T17:05:00Z">
        <w:r>
          <w:t>18 Aug</w:t>
        </w:r>
      </w:ins>
      <w:r>
        <w:t> 2015 p. </w:t>
      </w:r>
      <w:del w:id="284" w:author="Master Repository Process" w:date="2021-08-01T17:05:00Z">
        <w:r>
          <w:delText>2782</w:delText>
        </w:r>
      </w:del>
      <w:ins w:id="285" w:author="Master Repository Process" w:date="2021-08-01T17:05:00Z">
        <w:r>
          <w:t>3300</w:t>
        </w:r>
      </w:ins>
      <w:r>
        <w:t>.]</w:t>
      </w:r>
    </w:p>
    <w:tbl>
      <w:tblPr>
        <w:tblW w:w="68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358"/>
        <w:gridCol w:w="772"/>
      </w:tblGrid>
      <w:tr>
        <w:trPr>
          <w:cantSplit/>
          <w:tblHeader/>
        </w:trPr>
        <w:tc>
          <w:tcPr>
            <w:tcW w:w="713" w:type="dxa"/>
          </w:tcPr>
          <w:p>
            <w:pPr>
              <w:pStyle w:val="yTableNAm"/>
            </w:pPr>
            <w:r>
              <w:rPr>
                <w:b/>
              </w:rPr>
              <w:t>Item</w:t>
            </w:r>
          </w:p>
        </w:tc>
        <w:tc>
          <w:tcPr>
            <w:tcW w:w="5358" w:type="dxa"/>
          </w:tcPr>
          <w:p>
            <w:pPr>
              <w:pStyle w:val="yTableNAm"/>
            </w:pPr>
            <w:r>
              <w:rPr>
                <w:b/>
              </w:rPr>
              <w:t>Document or action</w:t>
            </w:r>
          </w:p>
        </w:tc>
        <w:tc>
          <w:tcPr>
            <w:tcW w:w="772" w:type="dxa"/>
          </w:tcPr>
          <w:p>
            <w:pPr>
              <w:pStyle w:val="yTableNAm"/>
            </w:pPr>
            <w:r>
              <w:rPr>
                <w:b/>
              </w:rPr>
              <w:t>Fee</w:t>
            </w:r>
          </w:p>
        </w:tc>
      </w:tr>
      <w:tr>
        <w:trPr>
          <w:cantSplit/>
        </w:trPr>
        <w:tc>
          <w:tcPr>
            <w:tcW w:w="713" w:type="dxa"/>
          </w:tcPr>
          <w:p>
            <w:pPr>
              <w:pStyle w:val="yTableNAm"/>
            </w:pPr>
            <w:r>
              <w:t>1.</w:t>
            </w:r>
          </w:p>
        </w:tc>
        <w:tc>
          <w:tcPr>
            <w:tcW w:w="5358" w:type="dxa"/>
          </w:tcPr>
          <w:p>
            <w:pPr>
              <w:pStyle w:val="yTableNAm"/>
            </w:pPr>
            <w:r>
              <w:t>Filing an application for final orders in eligible financial or parenting proceedings</w:t>
            </w:r>
          </w:p>
        </w:tc>
        <w:tc>
          <w:tcPr>
            <w:tcW w:w="772" w:type="dxa"/>
          </w:tcPr>
          <w:p>
            <w:pPr>
              <w:pStyle w:val="yTableNAm"/>
              <w:rPr>
                <w:vertAlign w:val="superscript"/>
              </w:rPr>
            </w:pPr>
            <w:r>
              <w:br/>
              <w:t>$</w:t>
            </w:r>
            <w:del w:id="286" w:author="Master Repository Process" w:date="2021-08-01T17:05:00Z">
              <w:r>
                <w:delText>355</w:delText>
              </w:r>
            </w:del>
            <w:ins w:id="287" w:author="Master Repository Process" w:date="2021-08-01T17:05:00Z">
              <w:r>
                <w:t>320</w:t>
              </w:r>
            </w:ins>
          </w:p>
        </w:tc>
      </w:tr>
      <w:tr>
        <w:trPr>
          <w:cantSplit/>
        </w:trPr>
        <w:tc>
          <w:tcPr>
            <w:tcW w:w="713" w:type="dxa"/>
          </w:tcPr>
          <w:p>
            <w:pPr>
              <w:pStyle w:val="yTableNAm"/>
            </w:pPr>
            <w:r>
              <w:t>2.</w:t>
            </w:r>
          </w:p>
        </w:tc>
        <w:tc>
          <w:tcPr>
            <w:tcW w:w="5358" w:type="dxa"/>
          </w:tcPr>
          <w:p>
            <w:pPr>
              <w:pStyle w:val="yTableNAm"/>
            </w:pPr>
            <w:r>
              <w:t>Setting</w:t>
            </w:r>
            <w:r>
              <w:noBreakHyphen/>
              <w:t xml:space="preserve">down for hearing in eligible financial or parenting proceedings, if defended, for final orders — </w:t>
            </w:r>
          </w:p>
          <w:p>
            <w:pPr>
              <w:pStyle w:val="yTableNAm"/>
              <w:tabs>
                <w:tab w:val="clear" w:pos="567"/>
                <w:tab w:val="left" w:pos="455"/>
                <w:tab w:val="left" w:pos="1022"/>
              </w:tabs>
              <w:ind w:left="1022" w:hanging="1022"/>
            </w:pPr>
            <w:r>
              <w:tab/>
              <w:t>(a)</w:t>
            </w:r>
            <w:r>
              <w:tab/>
              <w:t>for a hearing before a judge</w:t>
            </w:r>
          </w:p>
          <w:p>
            <w:pPr>
              <w:pStyle w:val="yTableNAm"/>
              <w:tabs>
                <w:tab w:val="clear" w:pos="567"/>
                <w:tab w:val="left" w:pos="455"/>
                <w:tab w:val="left" w:pos="1022"/>
              </w:tabs>
              <w:ind w:left="1022" w:hanging="1022"/>
            </w:pPr>
            <w:r>
              <w:tab/>
              <w:t>(b)</w:t>
            </w:r>
            <w:r>
              <w:tab/>
              <w:t>for a hearing before a magistrate</w:t>
            </w:r>
          </w:p>
        </w:tc>
        <w:tc>
          <w:tcPr>
            <w:tcW w:w="772" w:type="dxa"/>
          </w:tcPr>
          <w:p>
            <w:pPr>
              <w:pStyle w:val="yTableNAm"/>
            </w:pPr>
            <w:r>
              <w:br/>
            </w:r>
          </w:p>
          <w:p>
            <w:pPr>
              <w:pStyle w:val="yTableNAm"/>
            </w:pPr>
            <w:r>
              <w:t>$</w:t>
            </w:r>
            <w:del w:id="288" w:author="Master Repository Process" w:date="2021-08-01T17:05:00Z">
              <w:r>
                <w:delText>890</w:delText>
              </w:r>
            </w:del>
            <w:ins w:id="289" w:author="Master Repository Process" w:date="2021-08-01T17:05:00Z">
              <w:r>
                <w:t>805</w:t>
              </w:r>
            </w:ins>
          </w:p>
          <w:p>
            <w:pPr>
              <w:pStyle w:val="yTableNAm"/>
            </w:pPr>
            <w:r>
              <w:t>$</w:t>
            </w:r>
            <w:del w:id="290" w:author="Master Repository Process" w:date="2021-08-01T17:05:00Z">
              <w:r>
                <w:delText>655</w:delText>
              </w:r>
            </w:del>
            <w:ins w:id="291" w:author="Master Repository Process" w:date="2021-08-01T17:05:00Z">
              <w:r>
                <w:t>590</w:t>
              </w:r>
            </w:ins>
          </w:p>
        </w:tc>
      </w:tr>
      <w:tr>
        <w:trPr>
          <w:cantSplit/>
        </w:trPr>
        <w:tc>
          <w:tcPr>
            <w:tcW w:w="713" w:type="dxa"/>
          </w:tcPr>
          <w:p>
            <w:pPr>
              <w:pStyle w:val="yTableNAm"/>
            </w:pPr>
            <w:r>
              <w:t>3.</w:t>
            </w:r>
          </w:p>
        </w:tc>
        <w:tc>
          <w:tcPr>
            <w:tcW w:w="5358" w:type="dxa"/>
          </w:tcPr>
          <w:p>
            <w:pPr>
              <w:pStyle w:val="yTableNAm"/>
            </w:pPr>
            <w:r>
              <w:t xml:space="preserve">Hearing in eligible financial or parenting proceedings, if defended, for final orders — for each hearing day, or part of a hearing day, excluding the first hearing day — </w:t>
            </w:r>
          </w:p>
          <w:p>
            <w:pPr>
              <w:pStyle w:val="yTableNAm"/>
              <w:tabs>
                <w:tab w:val="clear" w:pos="567"/>
                <w:tab w:val="left" w:pos="455"/>
                <w:tab w:val="left" w:pos="1022"/>
              </w:tabs>
              <w:ind w:left="1022" w:hanging="1022"/>
            </w:pPr>
            <w:r>
              <w:tab/>
              <w:t>(a)</w:t>
            </w:r>
            <w:r>
              <w:tab/>
              <w:t>for a hearing before a judge</w:t>
            </w:r>
          </w:p>
          <w:p>
            <w:pPr>
              <w:pStyle w:val="yTableNAm"/>
              <w:tabs>
                <w:tab w:val="clear" w:pos="567"/>
                <w:tab w:val="left" w:pos="455"/>
                <w:tab w:val="left" w:pos="1022"/>
              </w:tabs>
              <w:ind w:left="1022" w:hanging="1022"/>
            </w:pPr>
            <w:r>
              <w:tab/>
              <w:t>(b)</w:t>
            </w:r>
            <w:r>
              <w:tab/>
              <w:t>for a hearing before a magistrate</w:t>
            </w:r>
          </w:p>
        </w:tc>
        <w:tc>
          <w:tcPr>
            <w:tcW w:w="772" w:type="dxa"/>
          </w:tcPr>
          <w:p>
            <w:pPr>
              <w:pStyle w:val="yTableNAm"/>
            </w:pPr>
            <w:r>
              <w:br/>
            </w:r>
            <w:r>
              <w:br/>
            </w:r>
          </w:p>
          <w:p>
            <w:pPr>
              <w:pStyle w:val="yTableNAm"/>
              <w:rPr>
                <w:del w:id="292" w:author="Master Repository Process" w:date="2021-08-01T17:05:00Z"/>
              </w:rPr>
            </w:pPr>
            <w:del w:id="293" w:author="Master Repository Process" w:date="2021-08-01T17:05:00Z">
              <w:r>
                <w:delText>$890</w:delText>
              </w:r>
            </w:del>
          </w:p>
          <w:p>
            <w:pPr>
              <w:pStyle w:val="yTableNAm"/>
              <w:spacing w:before="0"/>
              <w:rPr>
                <w:ins w:id="294" w:author="Master Repository Process" w:date="2021-08-01T17:05:00Z"/>
              </w:rPr>
            </w:pPr>
            <w:del w:id="295" w:author="Master Repository Process" w:date="2021-08-01T17:05:00Z">
              <w:r>
                <w:delText>$655</w:delText>
              </w:r>
            </w:del>
          </w:p>
          <w:p>
            <w:pPr>
              <w:pStyle w:val="yTableNAm"/>
              <w:rPr>
                <w:ins w:id="296" w:author="Master Repository Process" w:date="2021-08-01T17:05:00Z"/>
              </w:rPr>
            </w:pPr>
            <w:ins w:id="297" w:author="Master Repository Process" w:date="2021-08-01T17:05:00Z">
              <w:r>
                <w:t>$805</w:t>
              </w:r>
            </w:ins>
          </w:p>
          <w:p>
            <w:pPr>
              <w:pStyle w:val="yTableNAm"/>
            </w:pPr>
            <w:ins w:id="298" w:author="Master Repository Process" w:date="2021-08-01T17:05:00Z">
              <w:r>
                <w:t>$590</w:t>
              </w:r>
            </w:ins>
          </w:p>
        </w:tc>
      </w:tr>
      <w:tr>
        <w:trPr>
          <w:cantSplit/>
        </w:trPr>
        <w:tc>
          <w:tcPr>
            <w:tcW w:w="713" w:type="dxa"/>
          </w:tcPr>
          <w:p>
            <w:pPr>
              <w:pStyle w:val="yTableNAm"/>
            </w:pPr>
            <w:r>
              <w:t>4.</w:t>
            </w:r>
          </w:p>
        </w:tc>
        <w:tc>
          <w:tcPr>
            <w:tcW w:w="5358" w:type="dxa"/>
          </w:tcPr>
          <w:p>
            <w:pPr>
              <w:pStyle w:val="yTableNAm"/>
            </w:pPr>
            <w:r>
              <w:t>Filing a response to an application for final orders in eligible financial or parenting proceedings</w:t>
            </w:r>
          </w:p>
        </w:tc>
        <w:tc>
          <w:tcPr>
            <w:tcW w:w="772" w:type="dxa"/>
          </w:tcPr>
          <w:p>
            <w:pPr>
              <w:pStyle w:val="yTableNAm"/>
            </w:pPr>
            <w:r>
              <w:br/>
              <w:t>$</w:t>
            </w:r>
            <w:del w:id="299" w:author="Master Repository Process" w:date="2021-08-01T17:05:00Z">
              <w:r>
                <w:delText>355</w:delText>
              </w:r>
            </w:del>
            <w:ins w:id="300" w:author="Master Repository Process" w:date="2021-08-01T17:05:00Z">
              <w:r>
                <w:t>320</w:t>
              </w:r>
            </w:ins>
          </w:p>
        </w:tc>
      </w:tr>
      <w:tr>
        <w:trPr>
          <w:cantSplit/>
        </w:trPr>
        <w:tc>
          <w:tcPr>
            <w:tcW w:w="713" w:type="dxa"/>
          </w:tcPr>
          <w:p>
            <w:pPr>
              <w:pStyle w:val="yTableNAm"/>
            </w:pPr>
            <w:r>
              <w:t>5.</w:t>
            </w:r>
          </w:p>
        </w:tc>
        <w:tc>
          <w:tcPr>
            <w:tcW w:w="5358" w:type="dxa"/>
          </w:tcPr>
          <w:p>
            <w:pPr>
              <w:pStyle w:val="yTableNAm"/>
            </w:pPr>
            <w:r>
              <w:t>Setting</w:t>
            </w:r>
            <w:r>
              <w:noBreakHyphen/>
              <w:t>down for hearing in an appeal under section 211 from a decree of a Magistrates Court, unless the fee mentioned in item 12 has been paid</w:t>
            </w:r>
          </w:p>
        </w:tc>
        <w:tc>
          <w:tcPr>
            <w:tcW w:w="772" w:type="dxa"/>
          </w:tcPr>
          <w:p>
            <w:pPr>
              <w:pStyle w:val="yTableNAm"/>
            </w:pPr>
            <w:r>
              <w:br/>
            </w:r>
            <w:r>
              <w:br/>
              <w:t>$</w:t>
            </w:r>
            <w:del w:id="301" w:author="Master Repository Process" w:date="2021-08-01T17:05:00Z">
              <w:r>
                <w:delText>890</w:delText>
              </w:r>
            </w:del>
            <w:ins w:id="302" w:author="Master Repository Process" w:date="2021-08-01T17:05:00Z">
              <w:r>
                <w:t>805</w:t>
              </w:r>
            </w:ins>
          </w:p>
        </w:tc>
      </w:tr>
      <w:tr>
        <w:trPr>
          <w:cantSplit/>
        </w:trPr>
        <w:tc>
          <w:tcPr>
            <w:tcW w:w="713" w:type="dxa"/>
          </w:tcPr>
          <w:p>
            <w:pPr>
              <w:pStyle w:val="yTableNAm"/>
            </w:pPr>
            <w:r>
              <w:t>6.</w:t>
            </w:r>
          </w:p>
        </w:tc>
        <w:tc>
          <w:tcPr>
            <w:tcW w:w="5358" w:type="dxa"/>
          </w:tcPr>
          <w:p>
            <w:pPr>
              <w:pStyle w:val="yTableNAm"/>
            </w:pPr>
            <w:r>
              <w:t>Hearing in an appeal under section 211 from a decree of a Magistrates Court — for each hearing day, or part of a hearing day, excluding the first hearing day</w:t>
            </w:r>
          </w:p>
        </w:tc>
        <w:tc>
          <w:tcPr>
            <w:tcW w:w="772" w:type="dxa"/>
          </w:tcPr>
          <w:p>
            <w:pPr>
              <w:pStyle w:val="yTableNAm"/>
            </w:pPr>
            <w:r>
              <w:br/>
            </w:r>
            <w:r>
              <w:br/>
              <w:t>$</w:t>
            </w:r>
            <w:del w:id="303" w:author="Master Repository Process" w:date="2021-08-01T17:05:00Z">
              <w:r>
                <w:delText>890</w:delText>
              </w:r>
            </w:del>
            <w:ins w:id="304" w:author="Master Repository Process" w:date="2021-08-01T17:05:00Z">
              <w:r>
                <w:t>805</w:t>
              </w:r>
            </w:ins>
          </w:p>
        </w:tc>
      </w:tr>
      <w:tr>
        <w:trPr>
          <w:cantSplit/>
        </w:trPr>
        <w:tc>
          <w:tcPr>
            <w:tcW w:w="713" w:type="dxa"/>
          </w:tcPr>
          <w:p>
            <w:pPr>
              <w:pStyle w:val="yTableNAm"/>
            </w:pPr>
            <w:r>
              <w:t>7.</w:t>
            </w:r>
          </w:p>
        </w:tc>
        <w:tc>
          <w:tcPr>
            <w:tcW w:w="5358" w:type="dxa"/>
          </w:tcPr>
          <w:p>
            <w:pPr>
              <w:pStyle w:val="yTableNAm"/>
            </w:pPr>
            <w:r>
              <w:t>Filing an application for a consent order</w:t>
            </w:r>
          </w:p>
        </w:tc>
        <w:tc>
          <w:tcPr>
            <w:tcW w:w="772" w:type="dxa"/>
          </w:tcPr>
          <w:p>
            <w:pPr>
              <w:pStyle w:val="yTableNAm"/>
            </w:pPr>
            <w:r>
              <w:t>$</w:t>
            </w:r>
            <w:del w:id="305" w:author="Master Repository Process" w:date="2021-08-01T17:05:00Z">
              <w:r>
                <w:delText>240</w:delText>
              </w:r>
            </w:del>
            <w:ins w:id="306" w:author="Master Repository Process" w:date="2021-08-01T17:05:00Z">
              <w:r>
                <w:t>155</w:t>
              </w:r>
            </w:ins>
          </w:p>
        </w:tc>
      </w:tr>
      <w:tr>
        <w:trPr>
          <w:cantSplit/>
        </w:trPr>
        <w:tc>
          <w:tcPr>
            <w:tcW w:w="713" w:type="dxa"/>
          </w:tcPr>
          <w:p>
            <w:pPr>
              <w:pStyle w:val="yTableNAm"/>
            </w:pPr>
            <w:r>
              <w:t>8.</w:t>
            </w:r>
          </w:p>
        </w:tc>
        <w:tc>
          <w:tcPr>
            <w:tcW w:w="5358" w:type="dxa"/>
          </w:tcPr>
          <w:p>
            <w:pPr>
              <w:pStyle w:val="yTableNAm"/>
            </w:pPr>
            <w:r>
              <w:t>Filing an interim order application</w:t>
            </w:r>
          </w:p>
        </w:tc>
        <w:tc>
          <w:tcPr>
            <w:tcW w:w="772" w:type="dxa"/>
          </w:tcPr>
          <w:p>
            <w:pPr>
              <w:pStyle w:val="yTableNAm"/>
            </w:pPr>
            <w:r>
              <w:t>$</w:t>
            </w:r>
            <w:del w:id="307" w:author="Master Repository Process" w:date="2021-08-01T17:05:00Z">
              <w:r>
                <w:delText>125</w:delText>
              </w:r>
            </w:del>
            <w:ins w:id="308" w:author="Master Repository Process" w:date="2021-08-01T17:05:00Z">
              <w:r>
                <w:t>110</w:t>
              </w:r>
            </w:ins>
          </w:p>
        </w:tc>
      </w:tr>
      <w:tr>
        <w:trPr>
          <w:cantSplit/>
        </w:trPr>
        <w:tc>
          <w:tcPr>
            <w:tcW w:w="713" w:type="dxa"/>
          </w:tcPr>
          <w:p>
            <w:pPr>
              <w:pStyle w:val="yTableNAm"/>
            </w:pPr>
            <w:r>
              <w:t>9.</w:t>
            </w:r>
          </w:p>
        </w:tc>
        <w:tc>
          <w:tcPr>
            <w:tcW w:w="5358" w:type="dxa"/>
          </w:tcPr>
          <w:p>
            <w:pPr>
              <w:pStyle w:val="yTableNAm"/>
            </w:pPr>
            <w:r>
              <w:t>Filing an application for both a final order under Part 5 and a final order under Part 5A Division 2 or Division 3 of the Act (other than for an order for the maintenance of a party to a de facto relationship)</w:t>
            </w:r>
          </w:p>
        </w:tc>
        <w:tc>
          <w:tcPr>
            <w:tcW w:w="772" w:type="dxa"/>
          </w:tcPr>
          <w:p>
            <w:pPr>
              <w:pStyle w:val="yTableNAm"/>
            </w:pPr>
            <w:r>
              <w:br/>
            </w:r>
            <w:r>
              <w:br/>
            </w:r>
            <w:r>
              <w:br/>
              <w:t>$</w:t>
            </w:r>
            <w:del w:id="309" w:author="Master Repository Process" w:date="2021-08-01T17:05:00Z">
              <w:r>
                <w:delText>590</w:delText>
              </w:r>
            </w:del>
            <w:ins w:id="310" w:author="Master Repository Process" w:date="2021-08-01T17:05:00Z">
              <w:r>
                <w:t>530</w:t>
              </w:r>
            </w:ins>
          </w:p>
        </w:tc>
      </w:tr>
      <w:tr>
        <w:trPr>
          <w:cantSplit/>
        </w:trPr>
        <w:tc>
          <w:tcPr>
            <w:tcW w:w="713" w:type="dxa"/>
          </w:tcPr>
          <w:p>
            <w:pPr>
              <w:pStyle w:val="yTableNAm"/>
            </w:pPr>
            <w:r>
              <w:t>10.</w:t>
            </w:r>
          </w:p>
        </w:tc>
        <w:tc>
          <w:tcPr>
            <w:tcW w:w="5358" w:type="dxa"/>
          </w:tcPr>
          <w:p>
            <w:pPr>
              <w:pStyle w:val="yTableNAm"/>
            </w:pPr>
            <w:r>
              <w:t xml:space="preserve">For issuing a subpoena </w:t>
            </w:r>
          </w:p>
        </w:tc>
        <w:tc>
          <w:tcPr>
            <w:tcW w:w="772" w:type="dxa"/>
          </w:tcPr>
          <w:p>
            <w:pPr>
              <w:pStyle w:val="yTableNAm"/>
            </w:pPr>
            <w:r>
              <w:t>$</w:t>
            </w:r>
            <w:del w:id="311" w:author="Master Repository Process" w:date="2021-08-01T17:05:00Z">
              <w:r>
                <w:delText>125</w:delText>
              </w:r>
            </w:del>
            <w:ins w:id="312" w:author="Master Repository Process" w:date="2021-08-01T17:05:00Z">
              <w:r>
                <w:t>55</w:t>
              </w:r>
            </w:ins>
          </w:p>
        </w:tc>
      </w:tr>
      <w:tr>
        <w:trPr>
          <w:cantSplit/>
        </w:trPr>
        <w:tc>
          <w:tcPr>
            <w:tcW w:w="713" w:type="dxa"/>
          </w:tcPr>
          <w:p>
            <w:pPr>
              <w:pStyle w:val="yTableNAm"/>
            </w:pPr>
            <w:r>
              <w:t>11.</w:t>
            </w:r>
          </w:p>
        </w:tc>
        <w:tc>
          <w:tcPr>
            <w:tcW w:w="5358" w:type="dxa"/>
          </w:tcPr>
          <w:p>
            <w:pPr>
              <w:pStyle w:val="yTableNAm"/>
            </w:pPr>
            <w:r>
              <w:t xml:space="preserve">For listing a conciliation conference </w:t>
            </w:r>
          </w:p>
        </w:tc>
        <w:tc>
          <w:tcPr>
            <w:tcW w:w="772" w:type="dxa"/>
          </w:tcPr>
          <w:p>
            <w:pPr>
              <w:pStyle w:val="yTableNAm"/>
            </w:pPr>
            <w:r>
              <w:t>$</w:t>
            </w:r>
            <w:del w:id="313" w:author="Master Repository Process" w:date="2021-08-01T17:05:00Z">
              <w:r>
                <w:delText>415</w:delText>
              </w:r>
            </w:del>
            <w:ins w:id="314" w:author="Master Repository Process" w:date="2021-08-01T17:05:00Z">
              <w:r>
                <w:t>370</w:t>
              </w:r>
            </w:ins>
          </w:p>
        </w:tc>
      </w:tr>
      <w:tr>
        <w:trPr>
          <w:cantSplit/>
        </w:trPr>
        <w:tc>
          <w:tcPr>
            <w:tcW w:w="713" w:type="dxa"/>
          </w:tcPr>
          <w:p>
            <w:pPr>
              <w:pStyle w:val="yTableNAm"/>
            </w:pPr>
            <w:r>
              <w:t>12.</w:t>
            </w:r>
          </w:p>
        </w:tc>
        <w:tc>
          <w:tcPr>
            <w:tcW w:w="5358" w:type="dxa"/>
          </w:tcPr>
          <w:p>
            <w:pPr>
              <w:pStyle w:val="yTableNAm"/>
            </w:pPr>
            <w:r>
              <w:t>Filing an application for leave to appeal under section 211 from an interlocutory order of a Magistrates Court</w:t>
            </w:r>
          </w:p>
        </w:tc>
        <w:tc>
          <w:tcPr>
            <w:tcW w:w="772" w:type="dxa"/>
          </w:tcPr>
          <w:p>
            <w:pPr>
              <w:pStyle w:val="yTableNAm"/>
            </w:pPr>
            <w:r>
              <w:br/>
              <w:t>$</w:t>
            </w:r>
            <w:del w:id="315" w:author="Master Repository Process" w:date="2021-08-01T17:05:00Z">
              <w:r>
                <w:delText>890</w:delText>
              </w:r>
            </w:del>
            <w:ins w:id="316" w:author="Master Repository Process" w:date="2021-08-01T17:05:00Z">
              <w:r>
                <w:t>805</w:t>
              </w:r>
            </w:ins>
          </w:p>
        </w:tc>
      </w:tr>
      <w:tr>
        <w:trPr>
          <w:cantSplit/>
          <w:del w:id="317" w:author="Master Repository Process" w:date="2021-08-01T17:05:00Z"/>
        </w:trPr>
        <w:tc>
          <w:tcPr>
            <w:tcW w:w="855" w:type="dxa"/>
          </w:tcPr>
          <w:p>
            <w:pPr>
              <w:pStyle w:val="yTableNAm"/>
              <w:rPr>
                <w:del w:id="318" w:author="Master Repository Process" w:date="2021-08-01T17:05:00Z"/>
              </w:rPr>
            </w:pPr>
            <w:del w:id="319" w:author="Master Repository Process" w:date="2021-08-01T17:05:00Z">
              <w:r>
                <w:delText>13.</w:delText>
              </w:r>
            </w:del>
          </w:p>
        </w:tc>
        <w:tc>
          <w:tcPr>
            <w:tcW w:w="5358" w:type="dxa"/>
          </w:tcPr>
          <w:p>
            <w:pPr>
              <w:pStyle w:val="yTableNAm"/>
              <w:rPr>
                <w:del w:id="320" w:author="Master Repository Process" w:date="2021-08-01T17:05:00Z"/>
              </w:rPr>
            </w:pPr>
            <w:del w:id="321" w:author="Master Repository Process" w:date="2021-08-01T17:05:00Z">
              <w:r>
                <w:delText xml:space="preserve">Filing an amendment of — </w:delText>
              </w:r>
            </w:del>
          </w:p>
          <w:p>
            <w:pPr>
              <w:pStyle w:val="yTableNAm"/>
              <w:tabs>
                <w:tab w:val="clear" w:pos="567"/>
                <w:tab w:val="left" w:pos="413"/>
                <w:tab w:val="left" w:pos="843"/>
              </w:tabs>
              <w:ind w:left="857" w:hanging="857"/>
              <w:rPr>
                <w:del w:id="322" w:author="Master Repository Process" w:date="2021-08-01T17:05:00Z"/>
              </w:rPr>
            </w:pPr>
            <w:del w:id="323" w:author="Master Repository Process" w:date="2021-08-01T17:05:00Z">
              <w:r>
                <w:tab/>
                <w:delText>(a)</w:delText>
              </w:r>
              <w:r>
                <w:tab/>
                <w:delText>an application mentioned in item 1, 7, 8, 9 or 12</w:delText>
              </w:r>
            </w:del>
          </w:p>
          <w:p>
            <w:pPr>
              <w:pStyle w:val="yTableNAm"/>
              <w:tabs>
                <w:tab w:val="clear" w:pos="567"/>
                <w:tab w:val="left" w:pos="413"/>
                <w:tab w:val="left" w:pos="843"/>
              </w:tabs>
              <w:ind w:left="857" w:hanging="857"/>
              <w:rPr>
                <w:del w:id="324" w:author="Master Repository Process" w:date="2021-08-01T17:05:00Z"/>
              </w:rPr>
            </w:pPr>
            <w:del w:id="325" w:author="Master Repository Process" w:date="2021-08-01T17:05:00Z">
              <w:r>
                <w:tab/>
                <w:delText>(b)</w:delText>
              </w:r>
              <w:r>
                <w:tab/>
                <w:delText xml:space="preserve">a response mentioned in item 4 </w:delText>
              </w:r>
            </w:del>
          </w:p>
          <w:p>
            <w:pPr>
              <w:pStyle w:val="yTableNAm"/>
              <w:tabs>
                <w:tab w:val="clear" w:pos="567"/>
                <w:tab w:val="left" w:pos="413"/>
                <w:tab w:val="left" w:pos="843"/>
              </w:tabs>
              <w:ind w:left="857" w:hanging="857"/>
              <w:rPr>
                <w:del w:id="326" w:author="Master Repository Process" w:date="2021-08-01T17:05:00Z"/>
              </w:rPr>
            </w:pPr>
            <w:del w:id="327" w:author="Master Repository Process" w:date="2021-08-01T17:05:00Z">
              <w:r>
                <w:tab/>
                <w:delText>(c)</w:delText>
              </w:r>
              <w:r>
                <w:tab/>
                <w:delText xml:space="preserve">a subpoena </w:delText>
              </w:r>
            </w:del>
          </w:p>
        </w:tc>
        <w:tc>
          <w:tcPr>
            <w:tcW w:w="855" w:type="dxa"/>
          </w:tcPr>
          <w:p>
            <w:pPr>
              <w:pStyle w:val="yTableNAm"/>
              <w:rPr>
                <w:del w:id="328" w:author="Master Repository Process" w:date="2021-08-01T17:05:00Z"/>
              </w:rPr>
            </w:pPr>
          </w:p>
          <w:p>
            <w:pPr>
              <w:pStyle w:val="yTableNAm"/>
              <w:rPr>
                <w:del w:id="329" w:author="Master Repository Process" w:date="2021-08-01T17:05:00Z"/>
              </w:rPr>
            </w:pPr>
            <w:del w:id="330" w:author="Master Repository Process" w:date="2021-08-01T17:05:00Z">
              <w:r>
                <w:delText>$125</w:delText>
              </w:r>
            </w:del>
          </w:p>
          <w:p>
            <w:pPr>
              <w:pStyle w:val="yTableNAm"/>
              <w:rPr>
                <w:del w:id="331" w:author="Master Repository Process" w:date="2021-08-01T17:05:00Z"/>
              </w:rPr>
            </w:pPr>
            <w:del w:id="332" w:author="Master Repository Process" w:date="2021-08-01T17:05:00Z">
              <w:r>
                <w:delText>$125</w:delText>
              </w:r>
            </w:del>
          </w:p>
          <w:p>
            <w:pPr>
              <w:pStyle w:val="yTableNAm"/>
              <w:rPr>
                <w:del w:id="333" w:author="Master Repository Process" w:date="2021-08-01T17:05:00Z"/>
              </w:rPr>
            </w:pPr>
            <w:del w:id="334" w:author="Master Repository Process" w:date="2021-08-01T17:05:00Z">
              <w:r>
                <w:delText>$125</w:delText>
              </w:r>
            </w:del>
          </w:p>
        </w:tc>
      </w:tr>
    </w:tbl>
    <w:p>
      <w:pPr>
        <w:pStyle w:val="yFootnotesection"/>
      </w:pPr>
      <w:r>
        <w:tab/>
        <w:t xml:space="preserve">[Schedule 1 inserted in Gazette </w:t>
      </w:r>
      <w:del w:id="335" w:author="Master Repository Process" w:date="2021-08-01T17:05:00Z">
        <w:r>
          <w:delText>10 Jul</w:delText>
        </w:r>
      </w:del>
      <w:ins w:id="336" w:author="Master Repository Process" w:date="2021-08-01T17:05:00Z">
        <w:r>
          <w:t>18 Aug</w:t>
        </w:r>
      </w:ins>
      <w:r>
        <w:t> 2015 p. </w:t>
      </w:r>
      <w:del w:id="337" w:author="Master Repository Process" w:date="2021-08-01T17:05:00Z">
        <w:r>
          <w:delText>2782</w:delText>
        </w:r>
        <w:r>
          <w:noBreakHyphen/>
          <w:delText>3</w:delText>
        </w:r>
      </w:del>
      <w:ins w:id="338" w:author="Master Repository Process" w:date="2021-08-01T17:05:00Z">
        <w:r>
          <w:t>3300</w:t>
        </w:r>
        <w:r>
          <w:noBreakHyphen/>
          <w:t>1</w:t>
        </w:r>
      </w:ins>
      <w:r>
        <w:t>.]</w:t>
      </w:r>
    </w:p>
    <w:bookmarkEnd w:id="272"/>
    <w:bookmarkEnd w:id="273"/>
    <w:bookmarkEnd w:id="274"/>
    <w:bookmarkEnd w:id="275"/>
    <w:bookmarkEnd w:id="276"/>
    <w:bookmarkEnd w:id="277"/>
    <w:bookmarkEnd w:id="278"/>
    <w:bookmarkEnd w:id="279"/>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40" w:name="_Toc378249053"/>
      <w:bookmarkStart w:id="341" w:name="_Toc391474948"/>
      <w:bookmarkStart w:id="342" w:name="_Toc391474997"/>
      <w:bookmarkStart w:id="343" w:name="_Toc418158265"/>
      <w:bookmarkStart w:id="344" w:name="_Toc424805425"/>
      <w:bookmarkStart w:id="345" w:name="_Toc424805476"/>
      <w:bookmarkStart w:id="346" w:name="_Toc424805527"/>
      <w:bookmarkStart w:id="347" w:name="_Toc424806364"/>
      <w:bookmarkStart w:id="348" w:name="_Toc427665457"/>
      <w:r>
        <w:t>Notes</w:t>
      </w:r>
      <w:bookmarkEnd w:id="340"/>
      <w:bookmarkEnd w:id="341"/>
      <w:bookmarkEnd w:id="342"/>
      <w:bookmarkEnd w:id="343"/>
      <w:bookmarkEnd w:id="344"/>
      <w:bookmarkEnd w:id="345"/>
      <w:bookmarkEnd w:id="346"/>
      <w:bookmarkEnd w:id="347"/>
      <w:bookmarkEnd w:id="348"/>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Regulations 1998</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349" w:name="_Toc391474998"/>
      <w:bookmarkStart w:id="350" w:name="_Toc427665458"/>
      <w:bookmarkStart w:id="351" w:name="_Toc424806365"/>
      <w:r>
        <w:rPr>
          <w:snapToGrid w:val="0"/>
        </w:rPr>
        <w:t>Compilation table</w:t>
      </w:r>
      <w:bookmarkEnd w:id="349"/>
      <w:bookmarkEnd w:id="350"/>
      <w:bookmarkEnd w:id="3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c>
          <w:tcPr>
            <w:tcW w:w="3118" w:type="dxa"/>
            <w:shd w:val="clear" w:color="auto" w:fill="auto"/>
          </w:tcPr>
          <w:p>
            <w:pPr>
              <w:pStyle w:val="nTable"/>
              <w:spacing w:after="40"/>
              <w:rPr>
                <w:i/>
              </w:rPr>
            </w:pPr>
            <w:r>
              <w:rPr>
                <w:i/>
              </w:rPr>
              <w:t>Family Court Amendment Regulations (No. 2) 2015</w:t>
            </w:r>
          </w:p>
        </w:tc>
        <w:tc>
          <w:tcPr>
            <w:tcW w:w="1276" w:type="dxa"/>
            <w:shd w:val="clear" w:color="auto" w:fill="auto"/>
          </w:tcPr>
          <w:p>
            <w:pPr>
              <w:pStyle w:val="nTable"/>
              <w:spacing w:after="40"/>
            </w:pPr>
            <w:r>
              <w:t>10 Jul 2015 p. 2779</w:t>
            </w:r>
            <w:r>
              <w:noBreakHyphen/>
              <w:t>83</w:t>
            </w:r>
          </w:p>
        </w:tc>
        <w:tc>
          <w:tcPr>
            <w:tcW w:w="2693" w:type="dxa"/>
            <w:shd w:val="clear" w:color="auto" w:fill="auto"/>
          </w:tcPr>
          <w:p>
            <w:pPr>
              <w:pStyle w:val="nTable"/>
              <w:spacing w:after="40"/>
            </w:pPr>
            <w:r>
              <w:t>r. 1 and 2: 10 Jul 2015 (see r. 2(a));</w:t>
            </w:r>
            <w:r>
              <w:br/>
              <w:t>Regulations other than r. 1 and 2: 13 Jul 2015 (see r. 2(b)(ii) and Cwlth Select Legislative Instrument No. 114 registered on 12 Jul 2015)</w:t>
            </w:r>
          </w:p>
        </w:tc>
      </w:tr>
      <w:tr>
        <w:trPr>
          <w:ins w:id="352" w:author="Master Repository Process" w:date="2021-08-01T17:05:00Z"/>
        </w:trPr>
        <w:tc>
          <w:tcPr>
            <w:tcW w:w="3118" w:type="dxa"/>
            <w:tcBorders>
              <w:bottom w:val="single" w:sz="4" w:space="0" w:color="auto"/>
            </w:tcBorders>
            <w:shd w:val="clear" w:color="auto" w:fill="auto"/>
          </w:tcPr>
          <w:p>
            <w:pPr>
              <w:pStyle w:val="nTable"/>
              <w:spacing w:after="40"/>
              <w:rPr>
                <w:ins w:id="353" w:author="Master Repository Process" w:date="2021-08-01T17:05:00Z"/>
                <w:i/>
              </w:rPr>
            </w:pPr>
            <w:ins w:id="354" w:author="Master Repository Process" w:date="2021-08-01T17:05:00Z">
              <w:r>
                <w:rPr>
                  <w:i/>
                </w:rPr>
                <w:t>Family Court Amendment Regulations (No. 3) 2015</w:t>
              </w:r>
            </w:ins>
          </w:p>
        </w:tc>
        <w:tc>
          <w:tcPr>
            <w:tcW w:w="1276" w:type="dxa"/>
            <w:tcBorders>
              <w:bottom w:val="single" w:sz="4" w:space="0" w:color="auto"/>
            </w:tcBorders>
            <w:shd w:val="clear" w:color="auto" w:fill="auto"/>
          </w:tcPr>
          <w:p>
            <w:pPr>
              <w:pStyle w:val="nTable"/>
              <w:spacing w:after="40"/>
              <w:rPr>
                <w:ins w:id="355" w:author="Master Repository Process" w:date="2021-08-01T17:05:00Z"/>
              </w:rPr>
            </w:pPr>
            <w:ins w:id="356" w:author="Master Repository Process" w:date="2021-08-01T17:05:00Z">
              <w:r>
                <w:t>18 Aug 2015 p. 3299</w:t>
              </w:r>
              <w:r>
                <w:noBreakHyphen/>
                <w:t>301</w:t>
              </w:r>
            </w:ins>
          </w:p>
        </w:tc>
        <w:tc>
          <w:tcPr>
            <w:tcW w:w="2693" w:type="dxa"/>
            <w:tcBorders>
              <w:bottom w:val="single" w:sz="4" w:space="0" w:color="auto"/>
            </w:tcBorders>
            <w:shd w:val="clear" w:color="auto" w:fill="auto"/>
          </w:tcPr>
          <w:p>
            <w:pPr>
              <w:pStyle w:val="nTable"/>
              <w:spacing w:after="40"/>
              <w:rPr>
                <w:ins w:id="357" w:author="Master Repository Process" w:date="2021-08-01T17:05:00Z"/>
              </w:rPr>
            </w:pPr>
            <w:ins w:id="358" w:author="Master Repository Process" w:date="2021-08-01T17:05:00Z">
              <w:r>
                <w:t>r. 1 and 2: 18 Aug 2015 (see r. 2(a));</w:t>
              </w:r>
              <w:r>
                <w:br/>
                <w:t>Regulations other than r. 1 and 2: 19 Aug 2015 (see r. 2(b))</w:t>
              </w:r>
            </w:ins>
          </w:p>
        </w:tc>
      </w:tr>
    </w:tbl>
    <w:p>
      <w:pPr>
        <w:pStyle w:val="nSubsection"/>
      </w:pPr>
      <w:r>
        <w:rPr>
          <w:vertAlign w:val="superscript"/>
        </w:rPr>
        <w:t>2</w:t>
      </w:r>
      <w:r>
        <w:tab/>
        <w:t xml:space="preserve">Deleted by the </w:t>
      </w:r>
      <w:r>
        <w:rPr>
          <w:i/>
        </w:rPr>
        <w:t>Supreme Court Amendment Rules (No. 5) 2001</w:t>
      </w:r>
      <w:r>
        <w:t>.</w:t>
      </w:r>
    </w:p>
    <w:p>
      <w:pPr>
        <w:pStyle w:val="nSubsection"/>
        <w:spacing w:after="80"/>
      </w:pPr>
      <w:r>
        <w:rPr>
          <w:vertAlign w:val="superscript"/>
        </w:rPr>
        <w:t>3</w:t>
      </w:r>
      <w:r>
        <w:tab/>
        <w:t xml:space="preserve">The </w:t>
      </w:r>
      <w:r>
        <w:rPr>
          <w:i/>
        </w:rPr>
        <w:t>Family Court Amendment Regulations 2015</w:t>
      </w:r>
      <w:r>
        <w:t xml:space="preserve"> were repealed before the provisions of those regulations that were to amend the </w:t>
      </w:r>
      <w:r>
        <w:rPr>
          <w:i/>
        </w:rPr>
        <w:t>Family Court Regulations 1998</w:t>
      </w:r>
      <w:r>
        <w:t xml:space="preserve"> came into operation.  See the </w:t>
      </w:r>
      <w:r>
        <w:rPr>
          <w:i/>
        </w:rPr>
        <w:t>Family Court Amendment Repeal Regulations 2015</w:t>
      </w:r>
      <w:r>
        <w:t xml:space="preserve"> in </w:t>
      </w:r>
      <w:r>
        <w:rPr>
          <w:i/>
        </w:rPr>
        <w:t>Gazette</w:t>
      </w:r>
      <w:r>
        <w:t xml:space="preserve"> 30 June 2015 p. 2340.</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9" w:name="Schedule"/>
    <w:bookmarkEnd w:id="3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9" w:name="Compilation"/>
    <w:bookmarkEnd w:id="3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0" w:name="Coversheet"/>
    <w:bookmarkEnd w:id="3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3514"/>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5103514" w:val="UpdateStyles,UsedStyles"/>
    <w:docVar w:name="WAFER_20151105103514_GUID" w:val="1224ac20-661e-4c83-b109-9cc7c09f37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46BC93E-5D60-4AAC-8F84-7BBA771E9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5832</Words>
  <Characters>27064</Characters>
  <Application>Microsoft Office Word</Application>
  <DocSecurity>0</DocSecurity>
  <Lines>820</Lines>
  <Paragraphs>506</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02-e0-01 - 02-f0-02</dc:title>
  <dc:subject/>
  <dc:creator/>
  <cp:keywords/>
  <dc:description/>
  <cp:lastModifiedBy>Master Repository Process</cp:lastModifiedBy>
  <cp:revision>2</cp:revision>
  <cp:lastPrinted>2015-07-13T06:43:00Z</cp:lastPrinted>
  <dcterms:created xsi:type="dcterms:W3CDTF">2021-08-01T09:05:00Z</dcterms:created>
  <dcterms:modified xsi:type="dcterms:W3CDTF">2021-08-01T09:06:00Z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No">
    <vt:lpwstr>2</vt:lpwstr>
  </property>
  <property fmtid="{D5CDD505-2E9C-101B-9397-08002B2CF9AE}" pid="6" name="ReprintedAsAt">
    <vt:filetime>2012-03-01T16:00:00Z</vt:filetime>
  </property>
  <property fmtid="{D5CDD505-2E9C-101B-9397-08002B2CF9AE}" pid="7" name="CommencementDate">
    <vt:lpwstr>20150819</vt:lpwstr>
  </property>
  <property fmtid="{D5CDD505-2E9C-101B-9397-08002B2CF9AE}" pid="8" name="FromSuffix">
    <vt:lpwstr>02-e0-01</vt:lpwstr>
  </property>
  <property fmtid="{D5CDD505-2E9C-101B-9397-08002B2CF9AE}" pid="9" name="FromAsAtDate">
    <vt:lpwstr>13 Jul 2015</vt:lpwstr>
  </property>
  <property fmtid="{D5CDD505-2E9C-101B-9397-08002B2CF9AE}" pid="10" name="ToSuffix">
    <vt:lpwstr>02-f0-02</vt:lpwstr>
  </property>
  <property fmtid="{D5CDD505-2E9C-101B-9397-08002B2CF9AE}" pid="11" name="ToAsAtDate">
    <vt:lpwstr>19 Aug 2015</vt:lpwstr>
  </property>
</Properties>
</file>