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03 Oct 2015</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2:38:00Z"/>
        </w:trPr>
        <w:tc>
          <w:tcPr>
            <w:tcW w:w="2434" w:type="dxa"/>
            <w:vMerge w:val="restart"/>
          </w:tcPr>
          <w:p>
            <w:pPr>
              <w:rPr>
                <w:del w:id="2" w:author="Master Repository Process" w:date="2021-08-01T12:38:00Z"/>
              </w:rPr>
            </w:pPr>
          </w:p>
        </w:tc>
        <w:tc>
          <w:tcPr>
            <w:tcW w:w="2434" w:type="dxa"/>
            <w:vMerge w:val="restart"/>
          </w:tcPr>
          <w:p>
            <w:pPr>
              <w:jc w:val="center"/>
              <w:rPr>
                <w:del w:id="3" w:author="Master Repository Process" w:date="2021-08-01T12:38:00Z"/>
              </w:rPr>
            </w:pPr>
            <w:del w:id="4" w:author="Master Repository Process" w:date="2021-08-01T12: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2:38:00Z"/>
              </w:rPr>
            </w:pPr>
            <w:del w:id="6" w:author="Master Repository Process" w:date="2021-08-01T12:3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2:38:00Z"/>
        </w:trPr>
        <w:tc>
          <w:tcPr>
            <w:tcW w:w="2434" w:type="dxa"/>
            <w:vMerge/>
          </w:tcPr>
          <w:p>
            <w:pPr>
              <w:rPr>
                <w:del w:id="8" w:author="Master Repository Process" w:date="2021-08-01T12:38:00Z"/>
              </w:rPr>
            </w:pPr>
          </w:p>
        </w:tc>
        <w:tc>
          <w:tcPr>
            <w:tcW w:w="2434" w:type="dxa"/>
            <w:vMerge/>
          </w:tcPr>
          <w:p>
            <w:pPr>
              <w:jc w:val="center"/>
              <w:rPr>
                <w:del w:id="9" w:author="Master Repository Process" w:date="2021-08-01T12:38:00Z"/>
              </w:rPr>
            </w:pPr>
          </w:p>
        </w:tc>
        <w:tc>
          <w:tcPr>
            <w:tcW w:w="2434" w:type="dxa"/>
          </w:tcPr>
          <w:p>
            <w:pPr>
              <w:keepNext/>
              <w:rPr>
                <w:del w:id="10" w:author="Master Repository Process" w:date="2021-08-01T12:38:00Z"/>
                <w:b/>
                <w:sz w:val="22"/>
              </w:rPr>
            </w:pPr>
            <w:del w:id="11" w:author="Master Repository Process" w:date="2021-08-01T12:38:00Z">
              <w:r>
                <w:rPr>
                  <w:b/>
                  <w:sz w:val="22"/>
                </w:rPr>
                <w:delText>at 7 March 2014</w:delText>
              </w:r>
            </w:del>
          </w:p>
        </w:tc>
      </w:tr>
    </w:tbl>
    <w:p>
      <w:pPr>
        <w:pStyle w:val="WA"/>
        <w:spacing w:before="12"/>
      </w:pPr>
      <w:r>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12" w:name="_Toc431540033"/>
      <w:bookmarkStart w:id="13" w:name="_Toc382832462"/>
      <w:bookmarkStart w:id="14" w:name="_Toc416782018"/>
      <w:bookmarkStart w:id="15" w:name="_Toc416782147"/>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431540034"/>
      <w:bookmarkStart w:id="18" w:name="_Toc382832463"/>
      <w:bookmarkStart w:id="19" w:name="_Toc416782148"/>
      <w:r>
        <w:rPr>
          <w:rStyle w:val="CharSectno"/>
        </w:rPr>
        <w:t>1</w:t>
      </w:r>
      <w:r>
        <w:t>.</w:t>
      </w:r>
      <w:r>
        <w:tab/>
        <w:t>Citation</w:t>
      </w:r>
      <w:bookmarkEnd w:id="17"/>
      <w:bookmarkEnd w:id="18"/>
      <w:bookmarkEnd w:id="19"/>
    </w:p>
    <w:p>
      <w:pPr>
        <w:pStyle w:val="Subsection"/>
      </w:pPr>
      <w:r>
        <w:tab/>
      </w:r>
      <w:r>
        <w:tab/>
        <w:t xml:space="preserve">These regulations are the </w:t>
      </w:r>
      <w:r>
        <w:rPr>
          <w:i/>
        </w:rPr>
        <w:t>Electricity Industry (Independent Market Operator) Regulations 2004</w:t>
      </w:r>
      <w:r>
        <w:rPr>
          <w:spacing w:val="-2"/>
          <w:vertAlign w:val="superscript"/>
        </w:rPr>
        <w:t> 1</w:t>
      </w:r>
      <w:r>
        <w:t>.</w:t>
      </w:r>
    </w:p>
    <w:p>
      <w:pPr>
        <w:pStyle w:val="Heading5"/>
        <w:rPr>
          <w:spacing w:val="-2"/>
        </w:rPr>
      </w:pPr>
      <w:bookmarkStart w:id="20" w:name="_Toc431540035"/>
      <w:bookmarkStart w:id="21" w:name="_Toc382832464"/>
      <w:bookmarkStart w:id="22" w:name="_Toc416782149"/>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vertAlign w:val="superscript"/>
        </w:rPr>
        <w:t> 1</w:t>
      </w:r>
      <w:r>
        <w:rPr>
          <w:spacing w:val="-2"/>
        </w:rPr>
        <w:t>.</w:t>
      </w:r>
    </w:p>
    <w:p>
      <w:pPr>
        <w:pStyle w:val="Subsection"/>
      </w:pPr>
      <w:r>
        <w:tab/>
        <w:t>(2)</w:t>
      </w:r>
      <w:r>
        <w:tab/>
        <w:t>The day fixed under subregulation (1) is not to be later than 1 January 2005.</w:t>
      </w:r>
    </w:p>
    <w:p>
      <w:pPr>
        <w:pStyle w:val="Heading5"/>
      </w:pPr>
      <w:bookmarkStart w:id="23" w:name="_Toc431540036"/>
      <w:bookmarkStart w:id="24" w:name="_Toc382832465"/>
      <w:bookmarkStart w:id="25" w:name="_Toc416782150"/>
      <w:r>
        <w:rPr>
          <w:rStyle w:val="CharSectno"/>
        </w:rPr>
        <w:t>3</w:t>
      </w:r>
      <w:r>
        <w:t>.</w:t>
      </w:r>
      <w:r>
        <w:tab/>
        <w:t>Terms used</w:t>
      </w:r>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lastRenderedPageBreak/>
        <w:tab/>
      </w:r>
      <w:r>
        <w:rPr>
          <w:rStyle w:val="CharDefText"/>
        </w:rPr>
        <w:t>function</w:t>
      </w:r>
      <w:r>
        <w:t>, except in regulations 21(1) and</w:t>
      </w:r>
      <w:del w:id="26" w:author="Master Repository Process" w:date="2021-08-01T12:38:00Z">
        <w:r>
          <w:delText> </w:delText>
        </w:r>
      </w:del>
      <w:ins w:id="27" w:author="Master Repository Process" w:date="2021-08-01T12:38:00Z">
        <w:r>
          <w:t xml:space="preserve"> (2B) to </w:t>
        </w:r>
      </w:ins>
      <w:r>
        <w:t>(2)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w:t>
      </w:r>
      <w:ins w:id="28" w:author="Master Repository Process" w:date="2021-08-01T12:38:00Z">
        <w:r>
          <w:rPr>
            <w:szCs w:val="24"/>
          </w:rPr>
          <w:t>; 2 Oct 2015 p. 3927</w:t>
        </w:r>
      </w:ins>
      <w:r>
        <w:rPr>
          <w:szCs w:val="24"/>
        </w:rPr>
        <w:t>.]</w:t>
      </w:r>
    </w:p>
    <w:p>
      <w:pPr>
        <w:pStyle w:val="Heading2"/>
      </w:pPr>
      <w:bookmarkStart w:id="29" w:name="_Toc431540037"/>
      <w:bookmarkStart w:id="30" w:name="_Toc382832466"/>
      <w:bookmarkStart w:id="31" w:name="_Toc416782022"/>
      <w:bookmarkStart w:id="32" w:name="_Toc416782151"/>
      <w:r>
        <w:rPr>
          <w:rStyle w:val="CharPartNo"/>
        </w:rPr>
        <w:t>Part 2</w:t>
      </w:r>
      <w:r>
        <w:t> — </w:t>
      </w:r>
      <w:r>
        <w:rPr>
          <w:rStyle w:val="CharPartText"/>
        </w:rPr>
        <w:t>Independent Market Operator</w:t>
      </w:r>
      <w:bookmarkEnd w:id="29"/>
      <w:bookmarkEnd w:id="30"/>
      <w:bookmarkEnd w:id="31"/>
      <w:bookmarkEnd w:id="32"/>
    </w:p>
    <w:p>
      <w:pPr>
        <w:pStyle w:val="Heading3"/>
      </w:pPr>
      <w:bookmarkStart w:id="33" w:name="_Toc431540038"/>
      <w:bookmarkStart w:id="34" w:name="_Toc382832467"/>
      <w:bookmarkStart w:id="35" w:name="_Toc416782023"/>
      <w:bookmarkStart w:id="36" w:name="_Toc416782152"/>
      <w:r>
        <w:rPr>
          <w:rStyle w:val="CharDivNo"/>
        </w:rPr>
        <w:t>Division 1</w:t>
      </w:r>
      <w:r>
        <w:t> — </w:t>
      </w:r>
      <w:r>
        <w:rPr>
          <w:rStyle w:val="CharDivText"/>
        </w:rPr>
        <w:t>Establishment of Independent Market Operator</w:t>
      </w:r>
      <w:bookmarkEnd w:id="33"/>
      <w:bookmarkEnd w:id="34"/>
      <w:bookmarkEnd w:id="35"/>
      <w:bookmarkEnd w:id="36"/>
    </w:p>
    <w:p>
      <w:pPr>
        <w:pStyle w:val="Heading5"/>
      </w:pPr>
      <w:bookmarkStart w:id="37" w:name="_Toc431540039"/>
      <w:bookmarkStart w:id="38" w:name="_Toc382832468"/>
      <w:bookmarkStart w:id="39" w:name="_Toc416782153"/>
      <w:r>
        <w:rPr>
          <w:rStyle w:val="CharSectno"/>
        </w:rPr>
        <w:t>4</w:t>
      </w:r>
      <w:r>
        <w:t>.</w:t>
      </w:r>
      <w:r>
        <w:tab/>
        <w:t>Independent Market Operator established</w:t>
      </w:r>
      <w:bookmarkEnd w:id="37"/>
      <w:bookmarkEnd w:id="38"/>
      <w:bookmarkEnd w:id="3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40" w:name="_Toc431540040"/>
      <w:bookmarkStart w:id="41" w:name="_Toc382832469"/>
      <w:bookmarkStart w:id="42" w:name="_Toc416782154"/>
      <w:r>
        <w:rPr>
          <w:rStyle w:val="CharSectno"/>
        </w:rPr>
        <w:t>5</w:t>
      </w:r>
      <w:r>
        <w:t>.</w:t>
      </w:r>
      <w:r>
        <w:tab/>
        <w:t>IMO not agent of Crown</w:t>
      </w:r>
      <w:bookmarkEnd w:id="40"/>
      <w:bookmarkEnd w:id="41"/>
      <w:bookmarkEnd w:id="42"/>
    </w:p>
    <w:p>
      <w:pPr>
        <w:pStyle w:val="Subsection"/>
      </w:pPr>
      <w:r>
        <w:tab/>
      </w:r>
      <w:r>
        <w:tab/>
        <w:t>The IMO is not an agent of the Crown and does not have the status, immunities and privileges of the Crown.</w:t>
      </w:r>
    </w:p>
    <w:p>
      <w:pPr>
        <w:pStyle w:val="Heading5"/>
      </w:pPr>
      <w:bookmarkStart w:id="43" w:name="_Toc431540041"/>
      <w:bookmarkStart w:id="44" w:name="_Toc382832470"/>
      <w:bookmarkStart w:id="45" w:name="_Toc416782155"/>
      <w:r>
        <w:rPr>
          <w:rStyle w:val="CharSectno"/>
        </w:rPr>
        <w:t>6</w:t>
      </w:r>
      <w:r>
        <w:t>.</w:t>
      </w:r>
      <w:r>
        <w:tab/>
        <w:t>IMO and officers not part of Public Service</w:t>
      </w:r>
      <w:bookmarkEnd w:id="43"/>
      <w:bookmarkEnd w:id="44"/>
      <w:bookmarkEnd w:id="45"/>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46" w:name="_Toc431540042"/>
      <w:bookmarkStart w:id="47" w:name="_Toc382832471"/>
      <w:bookmarkStart w:id="48" w:name="_Toc416782027"/>
      <w:bookmarkStart w:id="49" w:name="_Toc416782156"/>
      <w:r>
        <w:rPr>
          <w:rStyle w:val="CharDivNo"/>
        </w:rPr>
        <w:t>Division 2</w:t>
      </w:r>
      <w:r>
        <w:t> — </w:t>
      </w:r>
      <w:r>
        <w:rPr>
          <w:rStyle w:val="CharDivText"/>
        </w:rPr>
        <w:t>Board of directors</w:t>
      </w:r>
      <w:bookmarkEnd w:id="46"/>
      <w:bookmarkEnd w:id="47"/>
      <w:bookmarkEnd w:id="48"/>
      <w:bookmarkEnd w:id="49"/>
    </w:p>
    <w:p>
      <w:pPr>
        <w:pStyle w:val="Heading5"/>
      </w:pPr>
      <w:bookmarkStart w:id="50" w:name="_Toc431540043"/>
      <w:bookmarkStart w:id="51" w:name="_Toc382832472"/>
      <w:bookmarkStart w:id="52" w:name="_Toc416782157"/>
      <w:r>
        <w:rPr>
          <w:rStyle w:val="CharSectno"/>
        </w:rPr>
        <w:t>7</w:t>
      </w:r>
      <w:r>
        <w:t>.</w:t>
      </w:r>
      <w:r>
        <w:tab/>
        <w:t>Board of directors</w:t>
      </w:r>
      <w:bookmarkEnd w:id="50"/>
      <w:bookmarkEnd w:id="51"/>
      <w:bookmarkEnd w:id="52"/>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53" w:name="_Toc431540044"/>
      <w:bookmarkStart w:id="54" w:name="_Toc382832473"/>
      <w:bookmarkStart w:id="55" w:name="_Toc416782158"/>
      <w:r>
        <w:rPr>
          <w:rStyle w:val="CharSectno"/>
        </w:rPr>
        <w:t>8</w:t>
      </w:r>
      <w:r>
        <w:t>.</w:t>
      </w:r>
      <w:r>
        <w:tab/>
        <w:t>Role of board</w:t>
      </w:r>
      <w:bookmarkEnd w:id="53"/>
      <w:bookmarkEnd w:id="54"/>
      <w:bookmarkEnd w:id="55"/>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56" w:name="_Toc431540045"/>
      <w:bookmarkStart w:id="57" w:name="_Toc382832474"/>
      <w:bookmarkStart w:id="58" w:name="_Toc416782159"/>
      <w:r>
        <w:rPr>
          <w:rStyle w:val="CharSectno"/>
        </w:rPr>
        <w:t>9</w:t>
      </w:r>
      <w:r>
        <w:t>.</w:t>
      </w:r>
      <w:r>
        <w:tab/>
        <w:t>Remuneration</w:t>
      </w:r>
      <w:bookmarkEnd w:id="56"/>
      <w:bookmarkEnd w:id="57"/>
      <w:bookmarkEnd w:id="58"/>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59" w:name="_Toc431540046"/>
      <w:bookmarkStart w:id="60" w:name="_Toc382832475"/>
      <w:bookmarkStart w:id="61" w:name="_Toc416782160"/>
      <w:r>
        <w:rPr>
          <w:rStyle w:val="CharSectno"/>
        </w:rPr>
        <w:t>10</w:t>
      </w:r>
      <w:r>
        <w:t>.</w:t>
      </w:r>
      <w:r>
        <w:tab/>
        <w:t>Conflict of duties</w:t>
      </w:r>
      <w:bookmarkEnd w:id="59"/>
      <w:bookmarkEnd w:id="60"/>
      <w:bookmarkEnd w:id="61"/>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62" w:name="_Toc431540047"/>
      <w:bookmarkStart w:id="63" w:name="_Toc382832476"/>
      <w:bookmarkStart w:id="64" w:name="_Toc416782161"/>
      <w:r>
        <w:rPr>
          <w:rStyle w:val="CharSectno"/>
        </w:rPr>
        <w:t>11</w:t>
      </w:r>
      <w:r>
        <w:t>.</w:t>
      </w:r>
      <w:r>
        <w:tab/>
        <w:t>Provisions about constitution and proceedings of board</w:t>
      </w:r>
      <w:bookmarkEnd w:id="62"/>
      <w:bookmarkEnd w:id="63"/>
      <w:bookmarkEnd w:id="64"/>
    </w:p>
    <w:p>
      <w:pPr>
        <w:pStyle w:val="Subsection"/>
      </w:pPr>
      <w:r>
        <w:tab/>
      </w:r>
      <w:r>
        <w:tab/>
        <w:t>Schedule 1 has effect with respect to the directors and the board.</w:t>
      </w:r>
    </w:p>
    <w:p>
      <w:pPr>
        <w:pStyle w:val="Heading5"/>
      </w:pPr>
      <w:bookmarkStart w:id="65" w:name="_Toc431540048"/>
      <w:bookmarkStart w:id="66" w:name="_Toc382832477"/>
      <w:bookmarkStart w:id="67" w:name="_Toc416782162"/>
      <w:r>
        <w:rPr>
          <w:rStyle w:val="CharSectno"/>
        </w:rPr>
        <w:t>12</w:t>
      </w:r>
      <w:r>
        <w:t>.</w:t>
      </w:r>
      <w:r>
        <w:tab/>
        <w:t>Duties of, and relating to, directors</w:t>
      </w:r>
      <w:bookmarkEnd w:id="65"/>
      <w:bookmarkEnd w:id="66"/>
      <w:bookmarkEnd w:id="67"/>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PermNoteHeading"/>
        <w:rPr>
          <w:ins w:id="68" w:author="Master Repository Process" w:date="2021-08-01T12:38:00Z"/>
        </w:rPr>
      </w:pPr>
      <w:ins w:id="69" w:author="Master Repository Process" w:date="2021-08-01T12:38:00Z">
        <w:r>
          <w:tab/>
        </w:r>
      </w:ins>
      <w:r>
        <w:t>Note</w:t>
      </w:r>
      <w:del w:id="70" w:author="Master Repository Process" w:date="2021-08-01T12:38:00Z">
        <w:r>
          <w:delText>:</w:delText>
        </w:r>
      </w:del>
      <w:ins w:id="71" w:author="Master Repository Process" w:date="2021-08-01T12:38:00Z">
        <w:r>
          <w:t xml:space="preserve"> for this regulation:</w:t>
        </w:r>
      </w:ins>
    </w:p>
    <w:p>
      <w:pPr>
        <w:pStyle w:val="PermNoteText"/>
      </w:pPr>
      <w:ins w:id="72" w:author="Master Repository Process" w:date="2021-08-01T12:38:00Z">
        <w:r>
          <w:tab/>
        </w:r>
      </w:ins>
      <w:r>
        <w:tab/>
        <w:t xml:space="preserve">Other duties of directors are set out in the </w:t>
      </w:r>
      <w:r>
        <w:rPr>
          <w:i/>
        </w:rPr>
        <w:t>Statutory Corporations (Liability of Directors) Act 1996</w:t>
      </w:r>
      <w:r>
        <w:t xml:space="preserve"> section 5 and Part 3.</w:t>
      </w:r>
    </w:p>
    <w:p>
      <w:pPr>
        <w:pStyle w:val="Heading3"/>
      </w:pPr>
      <w:bookmarkStart w:id="73" w:name="_Toc431540049"/>
      <w:bookmarkStart w:id="74" w:name="_Toc382832478"/>
      <w:bookmarkStart w:id="75" w:name="_Toc416782034"/>
      <w:bookmarkStart w:id="76" w:name="_Toc416782163"/>
      <w:r>
        <w:rPr>
          <w:rStyle w:val="CharDivNo"/>
        </w:rPr>
        <w:t>Division 3</w:t>
      </w:r>
      <w:r>
        <w:t> — </w:t>
      </w:r>
      <w:r>
        <w:rPr>
          <w:rStyle w:val="CharDivText"/>
        </w:rPr>
        <w:t>Staff</w:t>
      </w:r>
      <w:bookmarkEnd w:id="73"/>
      <w:bookmarkEnd w:id="74"/>
      <w:bookmarkEnd w:id="75"/>
      <w:bookmarkEnd w:id="76"/>
    </w:p>
    <w:p>
      <w:pPr>
        <w:pStyle w:val="Heading5"/>
      </w:pPr>
      <w:bookmarkStart w:id="77" w:name="_Toc431540050"/>
      <w:bookmarkStart w:id="78" w:name="_Toc382832479"/>
      <w:bookmarkStart w:id="79" w:name="_Toc416782164"/>
      <w:r>
        <w:rPr>
          <w:rStyle w:val="CharSectno"/>
        </w:rPr>
        <w:t>13</w:t>
      </w:r>
      <w:r>
        <w:t>.</w:t>
      </w:r>
      <w:r>
        <w:tab/>
        <w:t>Chief executive officer</w:t>
      </w:r>
      <w:bookmarkEnd w:id="77"/>
      <w:bookmarkEnd w:id="78"/>
      <w:bookmarkEnd w:id="79"/>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80" w:name="_Toc431540051"/>
      <w:bookmarkStart w:id="81" w:name="_Toc382832480"/>
      <w:bookmarkStart w:id="82" w:name="_Toc416782165"/>
      <w:r>
        <w:rPr>
          <w:rStyle w:val="CharSectno"/>
        </w:rPr>
        <w:t>14</w:t>
      </w:r>
      <w:r>
        <w:t>.</w:t>
      </w:r>
      <w:r>
        <w:tab/>
        <w:t>Other staff</w:t>
      </w:r>
      <w:bookmarkEnd w:id="80"/>
      <w:bookmarkEnd w:id="81"/>
      <w:bookmarkEnd w:id="82"/>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83" w:name="_Toc431540052"/>
      <w:bookmarkStart w:id="84" w:name="_Toc382832481"/>
      <w:bookmarkStart w:id="85" w:name="_Toc416782166"/>
      <w:r>
        <w:rPr>
          <w:rStyle w:val="CharSectno"/>
        </w:rPr>
        <w:t>15</w:t>
      </w:r>
      <w:r>
        <w:t>.</w:t>
      </w:r>
      <w:r>
        <w:tab/>
      </w:r>
      <w:r>
        <w:rPr>
          <w:snapToGrid w:val="0"/>
        </w:rPr>
        <w:t>Minimum standards for staff management</w:t>
      </w:r>
      <w:bookmarkEnd w:id="83"/>
      <w:bookmarkEnd w:id="84"/>
      <w:bookmarkEnd w:id="85"/>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86" w:name="_Toc431540053"/>
      <w:bookmarkStart w:id="87" w:name="_Toc382832482"/>
      <w:bookmarkStart w:id="88" w:name="_Toc416782167"/>
      <w:r>
        <w:rPr>
          <w:rStyle w:val="CharSectno"/>
        </w:rPr>
        <w:t>16</w:t>
      </w:r>
      <w:r>
        <w:t>.</w:t>
      </w:r>
      <w:r>
        <w:tab/>
      </w:r>
      <w:r>
        <w:rPr>
          <w:snapToGrid w:val="0"/>
        </w:rPr>
        <w:t>Reports to Public Sector Commissioner on minimum standards</w:t>
      </w:r>
      <w:bookmarkEnd w:id="86"/>
      <w:bookmarkEnd w:id="87"/>
      <w:bookmarkEnd w:id="8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89" w:name="_Toc431540054"/>
      <w:bookmarkStart w:id="90" w:name="_Toc382832483"/>
      <w:bookmarkStart w:id="91" w:name="_Toc416782168"/>
      <w:r>
        <w:rPr>
          <w:rStyle w:val="CharSectno"/>
        </w:rPr>
        <w:t>17</w:t>
      </w:r>
      <w:r>
        <w:t>.</w:t>
      </w:r>
      <w:r>
        <w:tab/>
      </w:r>
      <w:r>
        <w:rPr>
          <w:snapToGrid w:val="0"/>
        </w:rPr>
        <w:t>Superannuation</w:t>
      </w:r>
      <w:bookmarkEnd w:id="89"/>
      <w:bookmarkEnd w:id="90"/>
      <w:bookmarkEnd w:id="91"/>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92" w:name="_Toc431540055"/>
      <w:bookmarkStart w:id="93" w:name="_Toc382832484"/>
      <w:bookmarkStart w:id="94" w:name="_Toc416782169"/>
      <w:r>
        <w:rPr>
          <w:rStyle w:val="CharSectno"/>
        </w:rPr>
        <w:t>18</w:t>
      </w:r>
      <w:r>
        <w:t>.</w:t>
      </w:r>
      <w:r>
        <w:tab/>
        <w:t>Codes of conduct</w:t>
      </w:r>
      <w:bookmarkEnd w:id="92"/>
      <w:bookmarkEnd w:id="93"/>
      <w:bookmarkEnd w:id="94"/>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95" w:name="_Toc431540056"/>
      <w:bookmarkStart w:id="96" w:name="_Toc382832485"/>
      <w:bookmarkStart w:id="97" w:name="_Toc416782170"/>
      <w:r>
        <w:rPr>
          <w:rStyle w:val="CharSectno"/>
        </w:rPr>
        <w:t>19</w:t>
      </w:r>
      <w:r>
        <w:t>.</w:t>
      </w:r>
      <w:r>
        <w:tab/>
      </w:r>
      <w:r>
        <w:rPr>
          <w:snapToGrid w:val="0"/>
        </w:rPr>
        <w:t>Reports to Public Sector Commissioner on code of conduct</w:t>
      </w:r>
      <w:bookmarkEnd w:id="95"/>
      <w:bookmarkEnd w:id="96"/>
      <w:bookmarkEnd w:id="9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98" w:name="_Toc431540057"/>
      <w:bookmarkStart w:id="99" w:name="_Toc382832486"/>
      <w:bookmarkStart w:id="100" w:name="_Toc416782171"/>
      <w:r>
        <w:rPr>
          <w:rStyle w:val="CharSectno"/>
        </w:rPr>
        <w:t>20</w:t>
      </w:r>
      <w:r>
        <w:t>.</w:t>
      </w:r>
      <w:r>
        <w:tab/>
      </w:r>
      <w:r>
        <w:rPr>
          <w:snapToGrid w:val="0"/>
        </w:rPr>
        <w:t>Reports to Minister</w:t>
      </w:r>
      <w:bookmarkEnd w:id="98"/>
      <w:bookmarkEnd w:id="99"/>
      <w:bookmarkEnd w:id="100"/>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101" w:name="_Toc431540058"/>
      <w:bookmarkStart w:id="102" w:name="_Toc382832487"/>
      <w:bookmarkStart w:id="103" w:name="_Toc416782043"/>
      <w:bookmarkStart w:id="104" w:name="_Toc416782172"/>
      <w:r>
        <w:rPr>
          <w:rStyle w:val="CharPartNo"/>
        </w:rPr>
        <w:t>Part 3</w:t>
      </w:r>
      <w:r>
        <w:rPr>
          <w:rStyle w:val="CharDivNo"/>
        </w:rPr>
        <w:t> </w:t>
      </w:r>
      <w:r>
        <w:t>—</w:t>
      </w:r>
      <w:r>
        <w:rPr>
          <w:rStyle w:val="CharDivText"/>
        </w:rPr>
        <w:t> </w:t>
      </w:r>
      <w:r>
        <w:rPr>
          <w:rStyle w:val="CharPartText"/>
        </w:rPr>
        <w:t>Functions and powers</w:t>
      </w:r>
      <w:bookmarkEnd w:id="101"/>
      <w:bookmarkEnd w:id="102"/>
      <w:bookmarkEnd w:id="103"/>
      <w:bookmarkEnd w:id="104"/>
    </w:p>
    <w:p>
      <w:pPr>
        <w:pStyle w:val="Heading5"/>
      </w:pPr>
      <w:bookmarkStart w:id="105" w:name="_Toc431540059"/>
      <w:bookmarkStart w:id="106" w:name="_Toc382832488"/>
      <w:bookmarkStart w:id="107" w:name="_Toc416782173"/>
      <w:r>
        <w:rPr>
          <w:rStyle w:val="CharSectno"/>
        </w:rPr>
        <w:t>21</w:t>
      </w:r>
      <w:r>
        <w:t>.</w:t>
      </w:r>
      <w:r>
        <w:tab/>
        <w:t>Functions</w:t>
      </w:r>
      <w:bookmarkEnd w:id="105"/>
      <w:bookmarkEnd w:id="106"/>
      <w:bookmarkEnd w:id="107"/>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rPr>
          <w:ins w:id="108" w:author="Master Repository Process" w:date="2021-08-01T12:38:00Z"/>
        </w:rPr>
      </w:pPr>
      <w:ins w:id="109" w:author="Master Repository Process" w:date="2021-08-01T12:38:00Z">
        <w:r>
          <w:tab/>
          <w:t>(2A)</w:t>
        </w:r>
        <w:r>
          <w:tab/>
          <w:t>It is a function of the IMO to assist in the transfer or proposed transfer of a function of the IMO.</w:t>
        </w:r>
      </w:ins>
    </w:p>
    <w:p>
      <w:pPr>
        <w:pStyle w:val="Subsection"/>
        <w:rPr>
          <w:ins w:id="110" w:author="Master Repository Process" w:date="2021-08-01T12:38:00Z"/>
        </w:rPr>
      </w:pPr>
      <w:ins w:id="111" w:author="Master Repository Process" w:date="2021-08-01T12:38:00Z">
        <w:r>
          <w:tab/>
          <w:t>(2B)</w:t>
        </w:r>
        <w:r>
          <w:tab/>
          <w:t>If it is proposed to transfer a function of the IMO, the Minister must, by instrument in writing given to the IMO, identify the function and the person upon whom the function is proposed to be conferred.</w:t>
        </w:r>
      </w:ins>
    </w:p>
    <w:p>
      <w:pPr>
        <w:pStyle w:val="Subsection"/>
        <w:rPr>
          <w:ins w:id="112" w:author="Master Repository Process" w:date="2021-08-01T12:38:00Z"/>
        </w:rPr>
      </w:pPr>
      <w:ins w:id="113" w:author="Master Repository Process" w:date="2021-08-01T12:38:00Z">
        <w:r>
          <w:tab/>
          <w:t>(2C)</w:t>
        </w:r>
        <w:r>
          <w:tab/>
          <w:t xml:space="preserve">A reference to the transfer of a function of the IMO is a reference to a function being conferred on another person under the </w:t>
        </w:r>
        <w:r>
          <w:rPr>
            <w:i/>
          </w:rPr>
          <w:t>Electricity Industry Act 2004</w:t>
        </w:r>
        <w:r>
          <w:t xml:space="preserve"> or the </w:t>
        </w:r>
        <w:r>
          <w:rPr>
            <w:i/>
          </w:rPr>
          <w:t>Gas Services Information Act 2012</w:t>
        </w:r>
        <w:r>
          <w:t xml:space="preserve"> and ceasing to be a function of the IMO.</w:t>
        </w:r>
      </w:ins>
    </w:p>
    <w:p>
      <w:pPr>
        <w:pStyle w:val="Subsection"/>
        <w:rPr>
          <w:ins w:id="114" w:author="Master Repository Process" w:date="2021-08-01T12:38:00Z"/>
        </w:rPr>
      </w:pPr>
      <w:ins w:id="115" w:author="Master Repository Process" w:date="2021-08-01T12:38:00Z">
        <w:r>
          <w:tab/>
          <w:t>(2D)</w:t>
        </w:r>
        <w:r>
          <w:tab/>
          <w:t xml:space="preserve">Without limiting the generality of subregulation (2A), assisting in the transfer or proposed transfer of a function includes — </w:t>
        </w:r>
      </w:ins>
    </w:p>
    <w:p>
      <w:pPr>
        <w:pStyle w:val="Indenta"/>
        <w:rPr>
          <w:ins w:id="116" w:author="Master Repository Process" w:date="2021-08-01T12:38:00Z"/>
        </w:rPr>
      </w:pPr>
      <w:ins w:id="117" w:author="Master Repository Process" w:date="2021-08-01T12:38:00Z">
        <w:r>
          <w:tab/>
          <w:t>(a)</w:t>
        </w:r>
        <w:r>
          <w:tab/>
          <w:t>assisting with activities relating to a due diligence process in relation to the IMO undertaken by a person upon whom a function has been or is proposed to be conferred, for the purposes of the transfer or proposed transfer of the function; and</w:t>
        </w:r>
      </w:ins>
    </w:p>
    <w:p>
      <w:pPr>
        <w:pStyle w:val="Indenta"/>
        <w:rPr>
          <w:ins w:id="118" w:author="Master Repository Process" w:date="2021-08-01T12:38:00Z"/>
        </w:rPr>
      </w:pPr>
      <w:ins w:id="119" w:author="Master Repository Process" w:date="2021-08-01T12:38:00Z">
        <w:r>
          <w:tab/>
          <w:t>(b)</w:t>
        </w:r>
        <w:r>
          <w:tab/>
          <w:t>allowing access to information held by the IMO for the purposes of the transfer or proposed transfer of the function; and</w:t>
        </w:r>
      </w:ins>
    </w:p>
    <w:p>
      <w:pPr>
        <w:pStyle w:val="Indenta"/>
        <w:rPr>
          <w:ins w:id="120" w:author="Master Repository Process" w:date="2021-08-01T12:38:00Z"/>
        </w:rPr>
      </w:pPr>
      <w:ins w:id="121" w:author="Master Repository Process" w:date="2021-08-01T12:38:00Z">
        <w:r>
          <w:tab/>
          <w:t>(c)</w:t>
        </w:r>
        <w:r>
          <w:tab/>
          <w:t>assisting in the transfer of information, assets, rights, liabilities, members of staff and contracts and other arrangements of the IMO for the purposes of the transfer of the function.</w:t>
        </w:r>
      </w:ins>
    </w:p>
    <w:p>
      <w:pPr>
        <w:pStyle w:val="Subsection"/>
        <w:rPr>
          <w:ins w:id="122" w:author="Master Repository Process" w:date="2021-08-01T12:38:00Z"/>
        </w:rPr>
      </w:pPr>
      <w:ins w:id="123" w:author="Master Repository Process" w:date="2021-08-01T12:38:00Z">
        <w:r>
          <w:tab/>
          <w:t>(2E)</w:t>
        </w:r>
        <w:r>
          <w:tab/>
          <w:t xml:space="preserve">A due diligence process includes the following activities — </w:t>
        </w:r>
      </w:ins>
    </w:p>
    <w:p>
      <w:pPr>
        <w:pStyle w:val="Indenta"/>
        <w:rPr>
          <w:ins w:id="124" w:author="Master Repository Process" w:date="2021-08-01T12:38:00Z"/>
        </w:rPr>
      </w:pPr>
      <w:ins w:id="125" w:author="Master Repository Process" w:date="2021-08-01T12:38:00Z">
        <w:r>
          <w:tab/>
          <w:t>(a)</w:t>
        </w:r>
        <w:r>
          <w:tab/>
          <w:t xml:space="preserve">the examination and review of, and reporting on, information held by the IMO relating to — </w:t>
        </w:r>
      </w:ins>
    </w:p>
    <w:p>
      <w:pPr>
        <w:pStyle w:val="Indenti"/>
        <w:rPr>
          <w:ins w:id="126" w:author="Master Repository Process" w:date="2021-08-01T12:38:00Z"/>
        </w:rPr>
      </w:pPr>
      <w:ins w:id="127" w:author="Master Repository Process" w:date="2021-08-01T12:38:00Z">
        <w:r>
          <w:tab/>
          <w:t>(i)</w:t>
        </w:r>
        <w:r>
          <w:tab/>
          <w:t>the financial position of the IMO;</w:t>
        </w:r>
      </w:ins>
    </w:p>
    <w:p>
      <w:pPr>
        <w:pStyle w:val="Indenti"/>
        <w:rPr>
          <w:ins w:id="128" w:author="Master Repository Process" w:date="2021-08-01T12:38:00Z"/>
        </w:rPr>
      </w:pPr>
      <w:ins w:id="129" w:author="Master Repository Process" w:date="2021-08-01T12:38:00Z">
        <w:r>
          <w:tab/>
          <w:t>(ii)</w:t>
        </w:r>
        <w:r>
          <w:tab/>
          <w:t>the assets, rights, liabilities and contracts and other arrangements of the IMO;</w:t>
        </w:r>
      </w:ins>
    </w:p>
    <w:p>
      <w:pPr>
        <w:pStyle w:val="Indenti"/>
        <w:rPr>
          <w:ins w:id="130" w:author="Master Repository Process" w:date="2021-08-01T12:38:00Z"/>
        </w:rPr>
      </w:pPr>
      <w:ins w:id="131" w:author="Master Repository Process" w:date="2021-08-01T12:38:00Z">
        <w:r>
          <w:tab/>
          <w:t>(iii)</w:t>
        </w:r>
        <w:r>
          <w:tab/>
          <w:t>the terms and conditions on which members of staff of the IMO are employed;</w:t>
        </w:r>
      </w:ins>
    </w:p>
    <w:p>
      <w:pPr>
        <w:pStyle w:val="Indenta"/>
        <w:rPr>
          <w:ins w:id="132" w:author="Master Repository Process" w:date="2021-08-01T12:38:00Z"/>
        </w:rPr>
      </w:pPr>
      <w:ins w:id="133" w:author="Master Repository Process" w:date="2021-08-01T12:38:00Z">
        <w:r>
          <w:tab/>
          <w:t>(b)</w:t>
        </w:r>
        <w:r>
          <w:tab/>
          <w:t>the identification and description of, and reporting on, systems, assets, rights, liabilities, members of staff and contracts and other arrangements of the IMO;</w:t>
        </w:r>
      </w:ins>
    </w:p>
    <w:p>
      <w:pPr>
        <w:pStyle w:val="Indenta"/>
        <w:rPr>
          <w:ins w:id="134" w:author="Master Repository Process" w:date="2021-08-01T12:38:00Z"/>
        </w:rPr>
      </w:pPr>
      <w:ins w:id="135" w:author="Master Repository Process" w:date="2021-08-01T12:38:00Z">
        <w:r>
          <w:tab/>
          <w:t>(c)</w:t>
        </w:r>
        <w:r>
          <w:tab/>
          <w:t>the examination and review of, and reporting on, contracts and other arrangements of the IMO.</w:t>
        </w:r>
      </w:ins>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 14 Jun 2013 p. 2234</w:t>
      </w:r>
      <w:ins w:id="136" w:author="Master Repository Process" w:date="2021-08-01T12:38:00Z">
        <w:r>
          <w:t xml:space="preserve">; </w:t>
        </w:r>
        <w:r>
          <w:rPr>
            <w:szCs w:val="24"/>
          </w:rPr>
          <w:t>2 Oct 2015 p. 39</w:t>
        </w:r>
        <w:r>
          <w:t>27</w:t>
        </w:r>
        <w:r>
          <w:noBreakHyphen/>
          <w:t>8</w:t>
        </w:r>
      </w:ins>
      <w:r>
        <w:t>.]</w:t>
      </w:r>
    </w:p>
    <w:p>
      <w:pPr>
        <w:pStyle w:val="Heading5"/>
      </w:pPr>
      <w:bookmarkStart w:id="137" w:name="_Toc431540060"/>
      <w:bookmarkStart w:id="138" w:name="_Toc382832489"/>
      <w:bookmarkStart w:id="139" w:name="_Toc416782174"/>
      <w:r>
        <w:rPr>
          <w:rStyle w:val="CharSectno"/>
        </w:rPr>
        <w:t>22</w:t>
      </w:r>
      <w:r>
        <w:t>.</w:t>
      </w:r>
      <w:r>
        <w:tab/>
        <w:t>IMO to endeavour to ensure that revenue sufficient to meet costs</w:t>
      </w:r>
      <w:bookmarkEnd w:id="137"/>
      <w:bookmarkEnd w:id="138"/>
      <w:bookmarkEnd w:id="139"/>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140" w:name="_Toc431540061"/>
      <w:bookmarkStart w:id="141" w:name="_Toc382832490"/>
      <w:bookmarkStart w:id="142" w:name="_Toc416782175"/>
      <w:r>
        <w:rPr>
          <w:rStyle w:val="CharSectno"/>
        </w:rPr>
        <w:t>23</w:t>
      </w:r>
      <w:r>
        <w:t>.</w:t>
      </w:r>
      <w:r>
        <w:tab/>
        <w:t>Powers</w:t>
      </w:r>
      <w:bookmarkEnd w:id="140"/>
      <w:bookmarkEnd w:id="141"/>
      <w:bookmarkEnd w:id="142"/>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and</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 and</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143" w:name="_Toc431540062"/>
      <w:bookmarkStart w:id="144" w:name="_Toc382832491"/>
      <w:bookmarkStart w:id="145" w:name="_Toc416782176"/>
      <w:r>
        <w:rPr>
          <w:rStyle w:val="CharSectno"/>
        </w:rPr>
        <w:t>24</w:t>
      </w:r>
      <w:r>
        <w:t>.</w:t>
      </w:r>
      <w:r>
        <w:tab/>
      </w:r>
      <w:r>
        <w:rPr>
          <w:snapToGrid w:val="0"/>
        </w:rPr>
        <w:t>Minister to be consulted on major initiatives</w:t>
      </w:r>
      <w:bookmarkEnd w:id="143"/>
      <w:bookmarkEnd w:id="144"/>
      <w:bookmarkEnd w:id="145"/>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146" w:name="_Toc431540063"/>
      <w:bookmarkStart w:id="147" w:name="_Toc382832492"/>
      <w:bookmarkStart w:id="148" w:name="_Toc416782177"/>
      <w:r>
        <w:rPr>
          <w:rStyle w:val="CharSectno"/>
        </w:rPr>
        <w:t>25</w:t>
      </w:r>
      <w:r>
        <w:t>.</w:t>
      </w:r>
      <w:r>
        <w:tab/>
      </w:r>
      <w:r>
        <w:rPr>
          <w:snapToGrid w:val="0"/>
        </w:rPr>
        <w:t>Delegation</w:t>
      </w:r>
      <w:bookmarkEnd w:id="146"/>
      <w:bookmarkEnd w:id="147"/>
      <w:bookmarkEnd w:id="148"/>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 or</w:t>
      </w:r>
    </w:p>
    <w:p>
      <w:pPr>
        <w:pStyle w:val="Indenta"/>
      </w:pPr>
      <w:r>
        <w:tab/>
        <w:t>(b)</w:t>
      </w:r>
      <w:r>
        <w:tab/>
        <w:t>the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149" w:name="_Toc431540064"/>
      <w:bookmarkStart w:id="150" w:name="_Toc382832493"/>
      <w:bookmarkStart w:id="151" w:name="_Toc416782178"/>
      <w:r>
        <w:rPr>
          <w:rStyle w:val="CharSectno"/>
        </w:rPr>
        <w:t>26</w:t>
      </w:r>
      <w:r>
        <w:t>.</w:t>
      </w:r>
      <w:r>
        <w:tab/>
      </w:r>
      <w:r>
        <w:rPr>
          <w:snapToGrid w:val="0"/>
        </w:rPr>
        <w:t>Person dealing with IMO may make assumptions</w:t>
      </w:r>
      <w:bookmarkEnd w:id="149"/>
      <w:bookmarkEnd w:id="150"/>
      <w:bookmarkEnd w:id="151"/>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152" w:name="_Toc431540065"/>
      <w:bookmarkStart w:id="153" w:name="_Toc382832494"/>
      <w:bookmarkStart w:id="154" w:name="_Toc416782179"/>
      <w:r>
        <w:rPr>
          <w:rStyle w:val="CharSectno"/>
        </w:rPr>
        <w:t>27</w:t>
      </w:r>
      <w:r>
        <w:t>.</w:t>
      </w:r>
      <w:r>
        <w:tab/>
      </w:r>
      <w:r>
        <w:rPr>
          <w:snapToGrid w:val="0"/>
        </w:rPr>
        <w:t>Third party may make assumptions</w:t>
      </w:r>
      <w:bookmarkEnd w:id="152"/>
      <w:bookmarkEnd w:id="153"/>
      <w:bookmarkEnd w:id="154"/>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155" w:name="_Toc431540066"/>
      <w:bookmarkStart w:id="156" w:name="_Toc382832495"/>
      <w:bookmarkStart w:id="157" w:name="_Toc416782180"/>
      <w:r>
        <w:rPr>
          <w:rStyle w:val="CharSectno"/>
        </w:rPr>
        <w:t>28</w:t>
      </w:r>
      <w:r>
        <w:t>.</w:t>
      </w:r>
      <w:r>
        <w:tab/>
      </w:r>
      <w:r>
        <w:rPr>
          <w:snapToGrid w:val="0"/>
        </w:rPr>
        <w:t>Assumptions that may be made</w:t>
      </w:r>
      <w:bookmarkEnd w:id="155"/>
      <w:bookmarkEnd w:id="156"/>
      <w:bookmarkEnd w:id="157"/>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 and</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 and</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 and</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158" w:name="_Toc431540067"/>
      <w:bookmarkStart w:id="159" w:name="_Toc382832496"/>
      <w:bookmarkStart w:id="160" w:name="_Toc416782181"/>
      <w:r>
        <w:rPr>
          <w:rStyle w:val="CharSectno"/>
        </w:rPr>
        <w:t>29</w:t>
      </w:r>
      <w:r>
        <w:t>.</w:t>
      </w:r>
      <w:r>
        <w:tab/>
      </w:r>
      <w:r>
        <w:rPr>
          <w:snapToGrid w:val="0"/>
        </w:rPr>
        <w:t>Exception to regulations 26 and 27</w:t>
      </w:r>
      <w:bookmarkEnd w:id="158"/>
      <w:bookmarkEnd w:id="159"/>
      <w:bookmarkEnd w:id="160"/>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161" w:name="_Toc431540068"/>
      <w:bookmarkStart w:id="162" w:name="_Toc382832497"/>
      <w:bookmarkStart w:id="163" w:name="_Toc416782053"/>
      <w:bookmarkStart w:id="164" w:name="_Toc416782182"/>
      <w:r>
        <w:rPr>
          <w:rStyle w:val="CharPartNo"/>
        </w:rPr>
        <w:t>Part 4</w:t>
      </w:r>
      <w:r>
        <w:t> — </w:t>
      </w:r>
      <w:r>
        <w:rPr>
          <w:rStyle w:val="CharPartText"/>
        </w:rPr>
        <w:t>Accountability</w:t>
      </w:r>
      <w:bookmarkEnd w:id="161"/>
      <w:bookmarkEnd w:id="162"/>
      <w:bookmarkEnd w:id="163"/>
      <w:bookmarkEnd w:id="164"/>
    </w:p>
    <w:p>
      <w:pPr>
        <w:pStyle w:val="Heading5"/>
        <w:spacing w:before="180"/>
      </w:pPr>
      <w:bookmarkStart w:id="165" w:name="_Toc431540069"/>
      <w:bookmarkStart w:id="166" w:name="_Toc382832498"/>
      <w:bookmarkStart w:id="167" w:name="_Toc416782183"/>
      <w:r>
        <w:rPr>
          <w:rStyle w:val="CharSectno"/>
        </w:rPr>
        <w:t>30</w:t>
      </w:r>
      <w:r>
        <w:t>.</w:t>
      </w:r>
      <w:r>
        <w:tab/>
        <w:t>Draft operational plan to be submitted to Minister</w:t>
      </w:r>
      <w:bookmarkEnd w:id="165"/>
      <w:bookmarkEnd w:id="166"/>
      <w:bookmarkEnd w:id="167"/>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168" w:name="_Toc431540070"/>
      <w:bookmarkStart w:id="169" w:name="_Toc382832499"/>
      <w:bookmarkStart w:id="170" w:name="_Toc416782184"/>
      <w:r>
        <w:rPr>
          <w:rStyle w:val="CharSectno"/>
        </w:rPr>
        <w:t>31</w:t>
      </w:r>
      <w:r>
        <w:t>.</w:t>
      </w:r>
      <w:r>
        <w:tab/>
        <w:t>Content of operational plan</w:t>
      </w:r>
      <w:bookmarkEnd w:id="168"/>
      <w:bookmarkEnd w:id="169"/>
      <w:bookmarkEnd w:id="170"/>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171" w:name="_Toc431540071"/>
      <w:bookmarkStart w:id="172" w:name="_Toc382832500"/>
      <w:bookmarkStart w:id="173" w:name="_Toc416782185"/>
      <w:r>
        <w:rPr>
          <w:rStyle w:val="CharSectno"/>
        </w:rPr>
        <w:t>32</w:t>
      </w:r>
      <w:r>
        <w:t>.</w:t>
      </w:r>
      <w:r>
        <w:tab/>
        <w:t>Minister’s powers in relation to draft operational plan</w:t>
      </w:r>
      <w:bookmarkEnd w:id="171"/>
      <w:bookmarkEnd w:id="172"/>
      <w:bookmarkEnd w:id="173"/>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174" w:name="_Toc431540072"/>
      <w:bookmarkStart w:id="175" w:name="_Toc382832501"/>
      <w:bookmarkStart w:id="176" w:name="_Toc416782186"/>
      <w:r>
        <w:rPr>
          <w:rStyle w:val="CharSectno"/>
        </w:rPr>
        <w:t>33</w:t>
      </w:r>
      <w:r>
        <w:t>.</w:t>
      </w:r>
      <w:r>
        <w:tab/>
        <w:t>Modifications of operational plan</w:t>
      </w:r>
      <w:bookmarkEnd w:id="174"/>
      <w:bookmarkEnd w:id="175"/>
      <w:bookmarkEnd w:id="176"/>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177" w:name="_Toc431540073"/>
      <w:bookmarkStart w:id="178" w:name="_Toc382832502"/>
      <w:bookmarkStart w:id="179" w:name="_Toc416782187"/>
      <w:r>
        <w:rPr>
          <w:rStyle w:val="CharSectno"/>
        </w:rPr>
        <w:t>34</w:t>
      </w:r>
      <w:r>
        <w:t>.</w:t>
      </w:r>
      <w:r>
        <w:tab/>
        <w:t>Duty to observe operational plan</w:t>
      </w:r>
      <w:bookmarkEnd w:id="177"/>
      <w:bookmarkEnd w:id="178"/>
      <w:bookmarkEnd w:id="179"/>
    </w:p>
    <w:p>
      <w:pPr>
        <w:pStyle w:val="Subsection"/>
      </w:pPr>
      <w:r>
        <w:tab/>
      </w:r>
      <w:r>
        <w:tab/>
        <w:t>The IMO is to perform its functions in accordance with its operational plan as existing from time to time.</w:t>
      </w:r>
    </w:p>
    <w:p>
      <w:pPr>
        <w:pStyle w:val="Heading5"/>
        <w:spacing w:before="180"/>
      </w:pPr>
      <w:bookmarkStart w:id="180" w:name="_Toc431540074"/>
      <w:bookmarkStart w:id="181" w:name="_Toc382832503"/>
      <w:bookmarkStart w:id="182" w:name="_Toc416782188"/>
      <w:r>
        <w:rPr>
          <w:rStyle w:val="CharSectno"/>
        </w:rPr>
        <w:t>35</w:t>
      </w:r>
      <w:r>
        <w:t>.</w:t>
      </w:r>
      <w:r>
        <w:tab/>
        <w:t>Annual report</w:t>
      </w:r>
      <w:bookmarkEnd w:id="180"/>
      <w:bookmarkEnd w:id="181"/>
      <w:bookmarkEnd w:id="18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183" w:name="_Toc431540075"/>
      <w:bookmarkStart w:id="184" w:name="_Toc382832504"/>
      <w:bookmarkStart w:id="185" w:name="_Toc416782189"/>
      <w:r>
        <w:rPr>
          <w:rStyle w:val="CharSectno"/>
        </w:rPr>
        <w:t>36</w:t>
      </w:r>
      <w:r>
        <w:t>.</w:t>
      </w:r>
      <w:r>
        <w:tab/>
      </w:r>
      <w:r>
        <w:rPr>
          <w:snapToGrid w:val="0"/>
        </w:rPr>
        <w:t>Contents of annual report</w:t>
      </w:r>
      <w:bookmarkEnd w:id="183"/>
      <w:bookmarkEnd w:id="184"/>
      <w:bookmarkEnd w:id="185"/>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 and</w:t>
      </w:r>
    </w:p>
    <w:p>
      <w:pPr>
        <w:pStyle w:val="Indenta"/>
        <w:rPr>
          <w:snapToGrid w:val="0"/>
        </w:rPr>
      </w:pPr>
      <w:r>
        <w:rPr>
          <w:snapToGrid w:val="0"/>
        </w:rPr>
        <w:tab/>
        <w:t>(b)</w:t>
      </w:r>
      <w:r>
        <w:rPr>
          <w:snapToGrid w:val="0"/>
        </w:rPr>
        <w:tab/>
        <w:t>include a comparison of the performance of the IMO with any relevant operational plan; and</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186" w:name="_Toc431540076"/>
      <w:bookmarkStart w:id="187" w:name="_Toc382832505"/>
      <w:bookmarkStart w:id="188" w:name="_Toc416782190"/>
      <w:r>
        <w:rPr>
          <w:rStyle w:val="CharSectno"/>
        </w:rPr>
        <w:t>37</w:t>
      </w:r>
      <w:r>
        <w:t>.</w:t>
      </w:r>
      <w:r>
        <w:tab/>
      </w:r>
      <w:r>
        <w:rPr>
          <w:snapToGrid w:val="0"/>
        </w:rPr>
        <w:t>Deletion of commercially sensitive matters from reports</w:t>
      </w:r>
      <w:bookmarkEnd w:id="186"/>
      <w:bookmarkEnd w:id="187"/>
      <w:bookmarkEnd w:id="188"/>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189" w:name="_Toc431540077"/>
      <w:bookmarkStart w:id="190" w:name="_Toc382832506"/>
      <w:bookmarkStart w:id="191" w:name="_Toc416782191"/>
      <w:r>
        <w:rPr>
          <w:rStyle w:val="CharSectno"/>
        </w:rPr>
        <w:t>38</w:t>
      </w:r>
      <w:r>
        <w:t>.</w:t>
      </w:r>
      <w:r>
        <w:tab/>
      </w:r>
      <w:r>
        <w:rPr>
          <w:snapToGrid w:val="0"/>
        </w:rPr>
        <w:t>Directions to IMO</w:t>
      </w:r>
      <w:bookmarkEnd w:id="189"/>
      <w:bookmarkEnd w:id="190"/>
      <w:bookmarkEnd w:id="191"/>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192" w:name="_Toc431540078"/>
      <w:bookmarkStart w:id="193" w:name="_Toc382832507"/>
      <w:bookmarkStart w:id="194" w:name="_Toc416782192"/>
      <w:r>
        <w:rPr>
          <w:rStyle w:val="CharSectno"/>
        </w:rPr>
        <w:t>39</w:t>
      </w:r>
      <w:r>
        <w:t>.</w:t>
      </w:r>
      <w:r>
        <w:tab/>
        <w:t>M</w:t>
      </w:r>
      <w:r>
        <w:rPr>
          <w:snapToGrid w:val="0"/>
        </w:rPr>
        <w:t>inister may give directions</w:t>
      </w:r>
      <w:bookmarkEnd w:id="192"/>
      <w:bookmarkEnd w:id="193"/>
      <w:bookmarkEnd w:id="194"/>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95" w:name="_Toc431540079"/>
      <w:bookmarkStart w:id="196" w:name="_Toc382832508"/>
      <w:bookmarkStart w:id="197" w:name="_Toc416782193"/>
      <w:r>
        <w:rPr>
          <w:rStyle w:val="CharSectno"/>
        </w:rPr>
        <w:t>40</w:t>
      </w:r>
      <w:r>
        <w:t>.</w:t>
      </w:r>
      <w:r>
        <w:tab/>
      </w:r>
      <w:r>
        <w:rPr>
          <w:snapToGrid w:val="0"/>
        </w:rPr>
        <w:t>When directions take effect</w:t>
      </w:r>
      <w:bookmarkEnd w:id="195"/>
      <w:bookmarkEnd w:id="196"/>
      <w:bookmarkEnd w:id="19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198" w:name="_Toc431540080"/>
      <w:bookmarkStart w:id="199" w:name="_Toc382832509"/>
      <w:bookmarkStart w:id="200" w:name="_Toc416782194"/>
      <w:r>
        <w:rPr>
          <w:rStyle w:val="CharSectno"/>
        </w:rPr>
        <w:t>41</w:t>
      </w:r>
      <w:r>
        <w:t>.</w:t>
      </w:r>
      <w:r>
        <w:tab/>
        <w:t>Consultation</w:t>
      </w:r>
      <w:bookmarkEnd w:id="198"/>
      <w:bookmarkEnd w:id="199"/>
      <w:bookmarkEnd w:id="200"/>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01" w:name="_Toc431540081"/>
      <w:bookmarkStart w:id="202" w:name="_Toc382832510"/>
      <w:bookmarkStart w:id="203" w:name="_Toc416782195"/>
      <w:r>
        <w:rPr>
          <w:rStyle w:val="CharSectno"/>
        </w:rPr>
        <w:t>42</w:t>
      </w:r>
      <w:r>
        <w:t>.</w:t>
      </w:r>
      <w:r>
        <w:tab/>
      </w:r>
      <w:r>
        <w:rPr>
          <w:snapToGrid w:val="0"/>
        </w:rPr>
        <w:t>Minister to have access to information</w:t>
      </w:r>
      <w:bookmarkEnd w:id="201"/>
      <w:bookmarkEnd w:id="202"/>
      <w:bookmarkEnd w:id="203"/>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204" w:name="_Toc431540082"/>
      <w:bookmarkStart w:id="205" w:name="_Toc382832511"/>
      <w:bookmarkStart w:id="206" w:name="_Toc416782196"/>
      <w:r>
        <w:rPr>
          <w:rStyle w:val="CharSectno"/>
        </w:rPr>
        <w:t>43</w:t>
      </w:r>
      <w:r>
        <w:t>.</w:t>
      </w:r>
      <w:r>
        <w:tab/>
        <w:t>Provision of information in compiled form</w:t>
      </w:r>
      <w:bookmarkEnd w:id="204"/>
      <w:bookmarkEnd w:id="205"/>
      <w:bookmarkEnd w:id="206"/>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207" w:name="_Toc431540083"/>
      <w:bookmarkStart w:id="208" w:name="_Toc382832512"/>
      <w:bookmarkStart w:id="209" w:name="_Toc416782197"/>
      <w:r>
        <w:rPr>
          <w:rStyle w:val="CharSectno"/>
        </w:rPr>
        <w:t>44</w:t>
      </w:r>
      <w:r>
        <w:t>.</w:t>
      </w:r>
      <w:r>
        <w:tab/>
        <w:t>Minister to be kept informed</w:t>
      </w:r>
      <w:bookmarkEnd w:id="207"/>
      <w:bookmarkEnd w:id="208"/>
      <w:bookmarkEnd w:id="209"/>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10" w:name="_Toc431540084"/>
      <w:bookmarkStart w:id="211" w:name="_Toc382832513"/>
      <w:bookmarkStart w:id="212" w:name="_Toc416782198"/>
      <w:r>
        <w:rPr>
          <w:rStyle w:val="CharSectno"/>
        </w:rPr>
        <w:t>45</w:t>
      </w:r>
      <w:r>
        <w:t>.</w:t>
      </w:r>
      <w:r>
        <w:tab/>
        <w:t>Notice of financial difficulty</w:t>
      </w:r>
      <w:bookmarkEnd w:id="210"/>
      <w:bookmarkEnd w:id="211"/>
      <w:bookmarkEnd w:id="21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13" w:name="_Toc431540085"/>
      <w:bookmarkStart w:id="214" w:name="_Toc382832514"/>
      <w:bookmarkStart w:id="215" w:name="_Toc416782070"/>
      <w:bookmarkStart w:id="216" w:name="_Toc416782199"/>
      <w:r>
        <w:rPr>
          <w:rStyle w:val="CharPartNo"/>
        </w:rPr>
        <w:t>Part 5</w:t>
      </w:r>
      <w:r>
        <w:rPr>
          <w:rStyle w:val="CharDivNo"/>
        </w:rPr>
        <w:t> </w:t>
      </w:r>
      <w:r>
        <w:t>—</w:t>
      </w:r>
      <w:r>
        <w:rPr>
          <w:rStyle w:val="CharDivText"/>
        </w:rPr>
        <w:t> </w:t>
      </w:r>
      <w:r>
        <w:rPr>
          <w:rStyle w:val="CharPartText"/>
        </w:rPr>
        <w:t>Financial provisions</w:t>
      </w:r>
      <w:bookmarkEnd w:id="213"/>
      <w:bookmarkEnd w:id="214"/>
      <w:bookmarkEnd w:id="215"/>
      <w:bookmarkEnd w:id="216"/>
    </w:p>
    <w:p>
      <w:pPr>
        <w:pStyle w:val="Heading5"/>
      </w:pPr>
      <w:bookmarkStart w:id="217" w:name="_Toc431540086"/>
      <w:bookmarkStart w:id="218" w:name="_Toc382832515"/>
      <w:bookmarkStart w:id="219" w:name="_Toc416782200"/>
      <w:r>
        <w:rPr>
          <w:rStyle w:val="CharSectno"/>
        </w:rPr>
        <w:t>46</w:t>
      </w:r>
      <w:r>
        <w:t>.</w:t>
      </w:r>
      <w:r>
        <w:tab/>
        <w:t>Bank account</w:t>
      </w:r>
      <w:bookmarkEnd w:id="217"/>
      <w:bookmarkEnd w:id="218"/>
      <w:bookmarkEnd w:id="219"/>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220" w:name="_Toc431540087"/>
      <w:bookmarkStart w:id="221" w:name="_Toc382832516"/>
      <w:bookmarkStart w:id="222" w:name="_Toc416782201"/>
      <w:r>
        <w:rPr>
          <w:rStyle w:val="CharSectno"/>
        </w:rPr>
        <w:t>47</w:t>
      </w:r>
      <w:r>
        <w:t>.</w:t>
      </w:r>
      <w:r>
        <w:tab/>
        <w:t>Investment</w:t>
      </w:r>
      <w:bookmarkEnd w:id="220"/>
      <w:bookmarkEnd w:id="221"/>
      <w:bookmarkEnd w:id="222"/>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223" w:name="_Toc431540088"/>
      <w:bookmarkStart w:id="224" w:name="_Toc382832517"/>
      <w:bookmarkStart w:id="225" w:name="_Toc416782202"/>
      <w:r>
        <w:rPr>
          <w:rStyle w:val="CharSectno"/>
        </w:rPr>
        <w:t>48</w:t>
      </w:r>
      <w:r>
        <w:t>.</w:t>
      </w:r>
      <w:r>
        <w:tab/>
      </w:r>
      <w:r>
        <w:rPr>
          <w:snapToGrid w:val="0"/>
        </w:rPr>
        <w:t>Borrowing</w:t>
      </w:r>
      <w:bookmarkEnd w:id="223"/>
      <w:bookmarkEnd w:id="224"/>
      <w:bookmarkEnd w:id="225"/>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226" w:name="_Toc431540089"/>
      <w:bookmarkStart w:id="227" w:name="_Toc382832518"/>
      <w:bookmarkStart w:id="228" w:name="_Toc416782203"/>
      <w:r>
        <w:rPr>
          <w:rStyle w:val="CharSectno"/>
        </w:rPr>
        <w:t>49</w:t>
      </w:r>
      <w:r>
        <w:t>.</w:t>
      </w:r>
      <w:r>
        <w:tab/>
        <w:t>Borrowing restrictions</w:t>
      </w:r>
      <w:bookmarkEnd w:id="226"/>
      <w:bookmarkEnd w:id="227"/>
      <w:bookmarkEnd w:id="228"/>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229" w:name="_Toc431540090"/>
      <w:bookmarkStart w:id="230" w:name="_Toc382832519"/>
      <w:bookmarkStart w:id="231" w:name="_Toc416782204"/>
      <w:r>
        <w:rPr>
          <w:rStyle w:val="CharSectno"/>
        </w:rPr>
        <w:t>50</w:t>
      </w:r>
      <w:r>
        <w:t>.</w:t>
      </w:r>
      <w:r>
        <w:tab/>
      </w:r>
      <w:r>
        <w:rPr>
          <w:snapToGrid w:val="0"/>
        </w:rPr>
        <w:t>Financial administration and audit</w:t>
      </w:r>
      <w:bookmarkEnd w:id="229"/>
      <w:bookmarkEnd w:id="230"/>
      <w:bookmarkEnd w:id="231"/>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232" w:name="_Toc431540091"/>
      <w:bookmarkStart w:id="233" w:name="_Toc382832520"/>
      <w:bookmarkStart w:id="234" w:name="_Toc416782076"/>
      <w:bookmarkStart w:id="235" w:name="_Toc416782205"/>
      <w:r>
        <w:rPr>
          <w:rStyle w:val="CharPartNo"/>
        </w:rPr>
        <w:t>Part 6</w:t>
      </w:r>
      <w:r>
        <w:rPr>
          <w:rStyle w:val="CharDivNo"/>
        </w:rPr>
        <w:t> </w:t>
      </w:r>
      <w:r>
        <w:t>—</w:t>
      </w:r>
      <w:r>
        <w:rPr>
          <w:rStyle w:val="CharDivText"/>
        </w:rPr>
        <w:t> </w:t>
      </w:r>
      <w:r>
        <w:rPr>
          <w:rStyle w:val="CharPartText"/>
        </w:rPr>
        <w:t>Miscellaneous</w:t>
      </w:r>
      <w:bookmarkEnd w:id="232"/>
      <w:bookmarkEnd w:id="233"/>
      <w:bookmarkEnd w:id="234"/>
      <w:bookmarkEnd w:id="235"/>
    </w:p>
    <w:p>
      <w:pPr>
        <w:pStyle w:val="Heading5"/>
      </w:pPr>
      <w:bookmarkStart w:id="236" w:name="_Toc431540092"/>
      <w:bookmarkStart w:id="237" w:name="_Toc382832521"/>
      <w:bookmarkStart w:id="238" w:name="_Toc416782206"/>
      <w:r>
        <w:rPr>
          <w:rStyle w:val="CharSectno"/>
        </w:rPr>
        <w:t>51</w:t>
      </w:r>
      <w:r>
        <w:t>.</w:t>
      </w:r>
      <w:r>
        <w:tab/>
        <w:t>Supplementary provision for laying document before Parliament</w:t>
      </w:r>
      <w:bookmarkEnd w:id="236"/>
      <w:bookmarkEnd w:id="237"/>
      <w:bookmarkEnd w:id="23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239" w:name="_Toc431540093"/>
      <w:bookmarkStart w:id="240" w:name="_Toc382832522"/>
      <w:bookmarkStart w:id="241" w:name="_Toc416782207"/>
      <w:r>
        <w:rPr>
          <w:rStyle w:val="CharSectno"/>
        </w:rPr>
        <w:t>52</w:t>
      </w:r>
      <w:r>
        <w:t>.</w:t>
      </w:r>
      <w:r>
        <w:tab/>
        <w:t>Execution of documents</w:t>
      </w:r>
      <w:bookmarkEnd w:id="239"/>
      <w:bookmarkEnd w:id="240"/>
      <w:bookmarkEnd w:id="241"/>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242" w:name="_Toc431540094"/>
      <w:bookmarkStart w:id="243" w:name="_Toc382832523"/>
      <w:bookmarkStart w:id="244" w:name="_Toc416782208"/>
      <w:r>
        <w:rPr>
          <w:rStyle w:val="CharSectno"/>
        </w:rPr>
        <w:t>53</w:t>
      </w:r>
      <w:r>
        <w:t>.</w:t>
      </w:r>
      <w:r>
        <w:tab/>
      </w:r>
      <w:r>
        <w:rPr>
          <w:snapToGrid w:val="0"/>
        </w:rPr>
        <w:t>Contract formalities</w:t>
      </w:r>
      <w:bookmarkEnd w:id="242"/>
      <w:bookmarkEnd w:id="243"/>
      <w:bookmarkEnd w:id="244"/>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245" w:name="_Toc431540095"/>
      <w:bookmarkStart w:id="246" w:name="_Toc382832524"/>
      <w:bookmarkStart w:id="247" w:name="_Toc416782209"/>
      <w:r>
        <w:rPr>
          <w:rStyle w:val="CharSectno"/>
        </w:rPr>
        <w:t>54</w:t>
      </w:r>
      <w:r>
        <w:t>.</w:t>
      </w:r>
      <w:r>
        <w:tab/>
      </w:r>
      <w:r>
        <w:rPr>
          <w:snapToGrid w:val="0"/>
        </w:rPr>
        <w:t>Delegation by Treasurer</w:t>
      </w:r>
      <w:bookmarkEnd w:id="245"/>
      <w:bookmarkEnd w:id="246"/>
      <w:bookmarkEnd w:id="247"/>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248" w:name="_Toc431540096"/>
      <w:bookmarkStart w:id="249" w:name="_Toc382832525"/>
      <w:bookmarkStart w:id="250" w:name="_Toc416782210"/>
      <w:r>
        <w:rPr>
          <w:rStyle w:val="CharSectno"/>
        </w:rPr>
        <w:t>55</w:t>
      </w:r>
      <w:r>
        <w:t>.</w:t>
      </w:r>
      <w:r>
        <w:tab/>
        <w:t xml:space="preserve">Relationship to </w:t>
      </w:r>
      <w:r>
        <w:rPr>
          <w:i/>
        </w:rPr>
        <w:t>Gas Services Information Act 2012</w:t>
      </w:r>
      <w:bookmarkEnd w:id="248"/>
      <w:bookmarkEnd w:id="249"/>
      <w:bookmarkEnd w:id="250"/>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1" w:name="_Toc431540097"/>
      <w:bookmarkStart w:id="252" w:name="_Toc382832526"/>
      <w:bookmarkStart w:id="253" w:name="_Toc416782082"/>
      <w:bookmarkStart w:id="254" w:name="_Toc416782211"/>
      <w:r>
        <w:rPr>
          <w:rStyle w:val="CharSchNo"/>
        </w:rPr>
        <w:t>Schedule 1</w:t>
      </w:r>
      <w:r>
        <w:t xml:space="preserve"> — </w:t>
      </w:r>
      <w:r>
        <w:rPr>
          <w:rStyle w:val="CharSchText"/>
        </w:rPr>
        <w:t>Provisions about the constitution and proceedings of the board</w:t>
      </w:r>
      <w:bookmarkEnd w:id="251"/>
      <w:bookmarkEnd w:id="252"/>
      <w:bookmarkEnd w:id="253"/>
      <w:bookmarkEnd w:id="254"/>
    </w:p>
    <w:p>
      <w:pPr>
        <w:pStyle w:val="yShoulderClause"/>
      </w:pPr>
      <w:r>
        <w:t>[r. 11]</w:t>
      </w:r>
    </w:p>
    <w:p>
      <w:pPr>
        <w:pStyle w:val="yHeading5"/>
      </w:pPr>
      <w:bookmarkStart w:id="255" w:name="_Toc431540098"/>
      <w:bookmarkStart w:id="256" w:name="_Toc382832527"/>
      <w:bookmarkStart w:id="257" w:name="_Toc416782212"/>
      <w:r>
        <w:rPr>
          <w:rStyle w:val="CharSClsNo"/>
        </w:rPr>
        <w:t>1</w:t>
      </w:r>
      <w:r>
        <w:t>.</w:t>
      </w:r>
      <w:r>
        <w:tab/>
        <w:t>Term of office</w:t>
      </w:r>
      <w:bookmarkEnd w:id="255"/>
      <w:bookmarkEnd w:id="256"/>
      <w:bookmarkEnd w:id="257"/>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258" w:name="_Toc431540099"/>
      <w:bookmarkStart w:id="259" w:name="_Toc382832528"/>
      <w:bookmarkStart w:id="260" w:name="_Toc416782213"/>
      <w:r>
        <w:rPr>
          <w:rStyle w:val="CharSClsNo"/>
        </w:rPr>
        <w:t>2</w:t>
      </w:r>
      <w:r>
        <w:t>.</w:t>
      </w:r>
      <w:r>
        <w:tab/>
        <w:t>Resignation and removal</w:t>
      </w:r>
      <w:bookmarkEnd w:id="258"/>
      <w:bookmarkEnd w:id="259"/>
      <w:bookmarkEnd w:id="260"/>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261" w:name="_Toc431540100"/>
      <w:bookmarkStart w:id="262" w:name="_Toc382832529"/>
      <w:bookmarkStart w:id="263" w:name="_Toc416782214"/>
      <w:r>
        <w:rPr>
          <w:rStyle w:val="CharSClsNo"/>
        </w:rPr>
        <w:t>3</w:t>
      </w:r>
      <w:r>
        <w:t>.</w:t>
      </w:r>
      <w:r>
        <w:tab/>
        <w:t>Chairperson and deputy chairperson</w:t>
      </w:r>
      <w:bookmarkEnd w:id="261"/>
      <w:bookmarkEnd w:id="262"/>
      <w:bookmarkEnd w:id="263"/>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264" w:name="_Toc431540101"/>
      <w:bookmarkStart w:id="265" w:name="_Toc382832530"/>
      <w:bookmarkStart w:id="266" w:name="_Toc416782215"/>
      <w:r>
        <w:rPr>
          <w:rStyle w:val="CharSClsNo"/>
        </w:rPr>
        <w:t>4</w:t>
      </w:r>
      <w:r>
        <w:t>.</w:t>
      </w:r>
      <w:r>
        <w:tab/>
        <w:t>Alternate directors</w:t>
      </w:r>
      <w:bookmarkEnd w:id="264"/>
      <w:bookmarkEnd w:id="265"/>
      <w:bookmarkEnd w:id="266"/>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267" w:name="_Toc431540102"/>
      <w:bookmarkStart w:id="268" w:name="_Toc382832531"/>
      <w:bookmarkStart w:id="269" w:name="_Toc416782216"/>
      <w:r>
        <w:rPr>
          <w:rStyle w:val="CharSClsNo"/>
        </w:rPr>
        <w:t>5</w:t>
      </w:r>
      <w:r>
        <w:t>.</w:t>
      </w:r>
      <w:r>
        <w:tab/>
        <w:t>Meetings</w:t>
      </w:r>
      <w:bookmarkEnd w:id="267"/>
      <w:bookmarkEnd w:id="268"/>
      <w:bookmarkEnd w:id="269"/>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270" w:name="_Toc431540103"/>
      <w:bookmarkStart w:id="271" w:name="_Toc382832532"/>
      <w:bookmarkStart w:id="272" w:name="_Toc416782217"/>
      <w:r>
        <w:rPr>
          <w:rStyle w:val="CharSClsNo"/>
        </w:rPr>
        <w:t>6</w:t>
      </w:r>
      <w:r>
        <w:t>.</w:t>
      </w:r>
      <w:r>
        <w:tab/>
        <w:t>Telephone and video meetings</w:t>
      </w:r>
      <w:bookmarkEnd w:id="270"/>
      <w:bookmarkEnd w:id="271"/>
      <w:bookmarkEnd w:id="272"/>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273" w:name="_Toc431540104"/>
      <w:bookmarkStart w:id="274" w:name="_Toc382832533"/>
      <w:bookmarkStart w:id="275" w:name="_Toc416782218"/>
      <w:r>
        <w:rPr>
          <w:rStyle w:val="CharSClsNo"/>
        </w:rPr>
        <w:t>7</w:t>
      </w:r>
      <w:r>
        <w:t>.</w:t>
      </w:r>
      <w:r>
        <w:tab/>
        <w:t>Resolution may be passed without meeting</w:t>
      </w:r>
      <w:bookmarkEnd w:id="273"/>
      <w:bookmarkEnd w:id="274"/>
      <w:bookmarkEnd w:id="275"/>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 and</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276" w:name="_Toc431540105"/>
      <w:bookmarkStart w:id="277" w:name="_Toc382832534"/>
      <w:bookmarkStart w:id="278" w:name="_Toc416782219"/>
      <w:r>
        <w:rPr>
          <w:rStyle w:val="CharSClsNo"/>
        </w:rPr>
        <w:t>8</w:t>
      </w:r>
      <w:r>
        <w:t>.</w:t>
      </w:r>
      <w:r>
        <w:tab/>
        <w:t>Minutes and records</w:t>
      </w:r>
      <w:bookmarkEnd w:id="276"/>
      <w:bookmarkEnd w:id="277"/>
      <w:bookmarkEnd w:id="278"/>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279" w:name="_Toc431540106"/>
      <w:bookmarkStart w:id="280" w:name="_Toc382832535"/>
      <w:bookmarkStart w:id="281" w:name="_Toc416782220"/>
      <w:r>
        <w:rPr>
          <w:rStyle w:val="CharSClsNo"/>
        </w:rPr>
        <w:t>9</w:t>
      </w:r>
      <w:r>
        <w:t>.</w:t>
      </w:r>
      <w:r>
        <w:tab/>
        <w:t>Leave of absence</w:t>
      </w:r>
      <w:bookmarkEnd w:id="279"/>
      <w:bookmarkEnd w:id="280"/>
      <w:bookmarkEnd w:id="281"/>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282" w:name="_Toc431540107"/>
      <w:bookmarkStart w:id="283" w:name="_Toc382832536"/>
      <w:bookmarkStart w:id="284" w:name="_Toc416782221"/>
      <w:r>
        <w:rPr>
          <w:rStyle w:val="CharSClsNo"/>
        </w:rPr>
        <w:t>10</w:t>
      </w:r>
      <w:r>
        <w:t>.</w:t>
      </w:r>
      <w:r>
        <w:tab/>
        <w:t>Board to determine own procedures</w:t>
      </w:r>
      <w:bookmarkEnd w:id="282"/>
      <w:bookmarkEnd w:id="283"/>
      <w:bookmarkEnd w:id="284"/>
    </w:p>
    <w:p>
      <w:pPr>
        <w:pStyle w:val="ySubsection"/>
      </w:pPr>
      <w:r>
        <w:tab/>
      </w:r>
      <w:r>
        <w:tab/>
        <w:t>Subject to these regulations, the board may determine its own procedures.</w:t>
      </w:r>
    </w:p>
    <w:p>
      <w:pPr>
        <w:pStyle w:val="yScheduleHeading"/>
      </w:pPr>
      <w:bookmarkStart w:id="285" w:name="_Toc431540108"/>
      <w:bookmarkStart w:id="286" w:name="_Toc382832537"/>
      <w:bookmarkStart w:id="287" w:name="_Toc416782093"/>
      <w:bookmarkStart w:id="288" w:name="_Toc416782222"/>
      <w:r>
        <w:rPr>
          <w:rStyle w:val="CharSchNo"/>
        </w:rPr>
        <w:t>Schedule 2</w:t>
      </w:r>
      <w:r>
        <w:t> — </w:t>
      </w:r>
      <w:r>
        <w:rPr>
          <w:rStyle w:val="CharSchText"/>
        </w:rPr>
        <w:t>Provisions about duties of directors and related provisions</w:t>
      </w:r>
      <w:bookmarkEnd w:id="285"/>
      <w:bookmarkEnd w:id="286"/>
      <w:bookmarkEnd w:id="287"/>
      <w:bookmarkEnd w:id="288"/>
    </w:p>
    <w:p>
      <w:pPr>
        <w:pStyle w:val="yShoulderClause"/>
      </w:pPr>
      <w:r>
        <w:t>[r. 12]</w:t>
      </w:r>
    </w:p>
    <w:p>
      <w:pPr>
        <w:pStyle w:val="yHeading5"/>
      </w:pPr>
      <w:bookmarkStart w:id="289" w:name="_Toc431540109"/>
      <w:bookmarkStart w:id="290" w:name="_Toc382832538"/>
      <w:bookmarkStart w:id="291" w:name="_Toc416782223"/>
      <w:r>
        <w:rPr>
          <w:rStyle w:val="CharSClsNo"/>
        </w:rPr>
        <w:t>1</w:t>
      </w:r>
      <w:r>
        <w:t>.</w:t>
      </w:r>
      <w:r>
        <w:tab/>
        <w:t>Interpretation</w:t>
      </w:r>
      <w:bookmarkEnd w:id="289"/>
      <w:bookmarkEnd w:id="290"/>
      <w:bookmarkEnd w:id="291"/>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292" w:name="_Toc431540110"/>
      <w:bookmarkStart w:id="293" w:name="_Toc382832539"/>
      <w:bookmarkStart w:id="294" w:name="_Toc416782224"/>
      <w:r>
        <w:rPr>
          <w:rStyle w:val="CharSClsNo"/>
        </w:rPr>
        <w:t>2</w:t>
      </w:r>
      <w:r>
        <w:t>.</w:t>
      </w:r>
      <w:r>
        <w:tab/>
        <w:t>Disclosure of interest in contracts</w:t>
      </w:r>
      <w:bookmarkEnd w:id="292"/>
      <w:bookmarkEnd w:id="293"/>
      <w:bookmarkEnd w:id="294"/>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295" w:name="_Toc431540111"/>
      <w:bookmarkStart w:id="296" w:name="_Toc382832540"/>
      <w:bookmarkStart w:id="297" w:name="_Toc416782225"/>
      <w:r>
        <w:rPr>
          <w:rStyle w:val="CharSClsNo"/>
        </w:rPr>
        <w:t>3</w:t>
      </w:r>
      <w:r>
        <w:t>.</w:t>
      </w:r>
      <w:r>
        <w:tab/>
        <w:t>Voting by interested directors</w:t>
      </w:r>
      <w:bookmarkEnd w:id="295"/>
      <w:bookmarkEnd w:id="296"/>
      <w:bookmarkEnd w:id="297"/>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298" w:name="_Toc431540112"/>
      <w:bookmarkStart w:id="299" w:name="_Toc382832541"/>
      <w:bookmarkStart w:id="300" w:name="_Toc416782226"/>
      <w:r>
        <w:rPr>
          <w:rStyle w:val="CharSClsNo"/>
        </w:rPr>
        <w:t>4</w:t>
      </w:r>
      <w:r>
        <w:t>.</w:t>
      </w:r>
      <w:r>
        <w:tab/>
        <w:t>Prohibition on loans to directors and related persons</w:t>
      </w:r>
      <w:bookmarkEnd w:id="298"/>
      <w:bookmarkEnd w:id="299"/>
      <w:bookmarkEnd w:id="300"/>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01" w:name="_Toc431540113"/>
      <w:bookmarkStart w:id="302" w:name="_Toc382832542"/>
      <w:bookmarkStart w:id="303" w:name="_Toc416782227"/>
      <w:r>
        <w:rPr>
          <w:rStyle w:val="CharSClsNo"/>
        </w:rPr>
        <w:t>5</w:t>
      </w:r>
      <w:r>
        <w:rPr>
          <w:rStyle w:val="CharSectno"/>
        </w:rPr>
        <w:t>.</w:t>
      </w:r>
      <w:r>
        <w:rPr>
          <w:rStyle w:val="CharSectno"/>
        </w:rPr>
        <w:tab/>
      </w:r>
      <w:r>
        <w:t>Directors and auditors not to be indemnified for certain matters</w:t>
      </w:r>
      <w:bookmarkEnd w:id="301"/>
      <w:bookmarkEnd w:id="302"/>
      <w:bookmarkEnd w:id="303"/>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04" w:name="_Toc431540114"/>
      <w:bookmarkStart w:id="305" w:name="_Toc382832543"/>
      <w:bookmarkStart w:id="306" w:name="_Toc416782228"/>
      <w:r>
        <w:rPr>
          <w:rStyle w:val="CharSClsNo"/>
        </w:rPr>
        <w:t>6</w:t>
      </w:r>
      <w:r>
        <w:rPr>
          <w:rStyle w:val="CharSectno"/>
        </w:rPr>
        <w:t>.</w:t>
      </w:r>
      <w:r>
        <w:rPr>
          <w:rStyle w:val="CharSectno"/>
        </w:rPr>
        <w:tab/>
      </w:r>
      <w:r>
        <w:t>False or misleading information</w:t>
      </w:r>
      <w:bookmarkEnd w:id="304"/>
      <w:bookmarkEnd w:id="305"/>
      <w:bookmarkEnd w:id="306"/>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8" w:name="_Toc431540115"/>
      <w:bookmarkStart w:id="309" w:name="_Toc382832544"/>
      <w:bookmarkStart w:id="310" w:name="_Toc416782100"/>
      <w:bookmarkStart w:id="311" w:name="_Toc416782229"/>
      <w:r>
        <w:rPr>
          <w:rStyle w:val="CharSchNo"/>
        </w:rPr>
        <w:t>Schedule 3</w:t>
      </w:r>
      <w:r>
        <w:t> — </w:t>
      </w:r>
      <w:r>
        <w:rPr>
          <w:rStyle w:val="CharSchText"/>
        </w:rPr>
        <w:t>Financial administration and audit</w:t>
      </w:r>
      <w:bookmarkEnd w:id="308"/>
      <w:bookmarkEnd w:id="309"/>
      <w:bookmarkEnd w:id="310"/>
      <w:bookmarkEnd w:id="311"/>
    </w:p>
    <w:p>
      <w:pPr>
        <w:pStyle w:val="yShoulderClause"/>
      </w:pPr>
      <w:r>
        <w:t>[r. 50]</w:t>
      </w:r>
    </w:p>
    <w:p>
      <w:pPr>
        <w:pStyle w:val="yHeading3"/>
      </w:pPr>
      <w:bookmarkStart w:id="312" w:name="_Toc431540116"/>
      <w:bookmarkStart w:id="313" w:name="_Toc382832545"/>
      <w:bookmarkStart w:id="314" w:name="_Toc416782101"/>
      <w:bookmarkStart w:id="315" w:name="_Toc416782230"/>
      <w:r>
        <w:rPr>
          <w:rStyle w:val="CharSDivNo"/>
        </w:rPr>
        <w:t>Division 1</w:t>
      </w:r>
      <w:r>
        <w:rPr>
          <w:b w:val="0"/>
        </w:rPr>
        <w:t> — </w:t>
      </w:r>
      <w:r>
        <w:rPr>
          <w:rStyle w:val="CharSDivText"/>
        </w:rPr>
        <w:t>Preliminary</w:t>
      </w:r>
      <w:bookmarkEnd w:id="312"/>
      <w:bookmarkEnd w:id="313"/>
      <w:bookmarkEnd w:id="314"/>
      <w:bookmarkEnd w:id="315"/>
    </w:p>
    <w:p>
      <w:pPr>
        <w:pStyle w:val="yHeading5"/>
      </w:pPr>
      <w:bookmarkStart w:id="316" w:name="_Toc431540117"/>
      <w:bookmarkStart w:id="317" w:name="_Toc382832546"/>
      <w:bookmarkStart w:id="318" w:name="_Toc416782231"/>
      <w:r>
        <w:rPr>
          <w:rStyle w:val="CharSClsNo"/>
        </w:rPr>
        <w:t>1</w:t>
      </w:r>
      <w:r>
        <w:t>.</w:t>
      </w:r>
      <w:r>
        <w:tab/>
        <w:t>Terms used</w:t>
      </w:r>
      <w:bookmarkEnd w:id="316"/>
      <w:bookmarkEnd w:id="317"/>
      <w:bookmarkEnd w:id="318"/>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319" w:name="_Toc431540118"/>
      <w:bookmarkStart w:id="320" w:name="_Toc382832547"/>
      <w:bookmarkStart w:id="321" w:name="_Toc416782103"/>
      <w:bookmarkStart w:id="322" w:name="_Toc416782232"/>
      <w:r>
        <w:rPr>
          <w:rStyle w:val="CharSDivNo"/>
        </w:rPr>
        <w:t>Division 2</w:t>
      </w:r>
      <w:r>
        <w:rPr>
          <w:b w:val="0"/>
        </w:rPr>
        <w:t> — </w:t>
      </w:r>
      <w:r>
        <w:rPr>
          <w:rStyle w:val="CharSDivText"/>
        </w:rPr>
        <w:t>Financial records</w:t>
      </w:r>
      <w:bookmarkEnd w:id="319"/>
      <w:bookmarkEnd w:id="320"/>
      <w:bookmarkEnd w:id="321"/>
      <w:bookmarkEnd w:id="322"/>
    </w:p>
    <w:p>
      <w:pPr>
        <w:pStyle w:val="yHeading5"/>
        <w:rPr>
          <w:i/>
        </w:rPr>
      </w:pPr>
      <w:bookmarkStart w:id="323" w:name="_Toc431540119"/>
      <w:bookmarkStart w:id="324" w:name="_Toc382832548"/>
      <w:bookmarkStart w:id="325" w:name="_Toc416782233"/>
      <w:r>
        <w:rPr>
          <w:rStyle w:val="CharSClsNo"/>
        </w:rPr>
        <w:t>2</w:t>
      </w:r>
      <w:r>
        <w:t>.</w:t>
      </w:r>
      <w:r>
        <w:tab/>
        <w:t>Obligation to keep financial records</w:t>
      </w:r>
      <w:r>
        <w:br/>
      </w:r>
      <w:r>
        <w:rPr>
          <w:i/>
        </w:rPr>
        <w:t>(cf. s. 286 Corporations Act)</w:t>
      </w:r>
      <w:bookmarkEnd w:id="323"/>
      <w:bookmarkEnd w:id="324"/>
      <w:bookmarkEnd w:id="325"/>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326" w:name="_Toc431540120"/>
      <w:bookmarkStart w:id="327" w:name="_Toc382832549"/>
      <w:bookmarkStart w:id="328" w:name="_Toc416782234"/>
      <w:r>
        <w:rPr>
          <w:rStyle w:val="CharSClsNo"/>
        </w:rPr>
        <w:t>3</w:t>
      </w:r>
      <w:r>
        <w:t>.</w:t>
      </w:r>
      <w:r>
        <w:tab/>
        <w:t>Physical format</w:t>
      </w:r>
      <w:r>
        <w:br/>
      </w:r>
      <w:r>
        <w:rPr>
          <w:i/>
        </w:rPr>
        <w:t>(cf. s. 288 Corporations Act)</w:t>
      </w:r>
      <w:bookmarkEnd w:id="326"/>
      <w:bookmarkEnd w:id="327"/>
      <w:bookmarkEnd w:id="32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29" w:name="_Toc431540121"/>
      <w:bookmarkStart w:id="330" w:name="_Toc382832550"/>
      <w:bookmarkStart w:id="331" w:name="_Toc416782235"/>
      <w:r>
        <w:rPr>
          <w:rStyle w:val="CharSClsNo"/>
        </w:rPr>
        <w:t>4</w:t>
      </w:r>
      <w:r>
        <w:t>.</w:t>
      </w:r>
      <w:r>
        <w:tab/>
        <w:t>Place where records are kept</w:t>
      </w:r>
      <w:r>
        <w:br/>
      </w:r>
      <w:r>
        <w:rPr>
          <w:i/>
        </w:rPr>
        <w:t>(cf. s. 289 Corporations Act)</w:t>
      </w:r>
      <w:bookmarkEnd w:id="329"/>
      <w:bookmarkEnd w:id="330"/>
      <w:bookmarkEnd w:id="331"/>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332" w:name="_Toc431540122"/>
      <w:bookmarkStart w:id="333" w:name="_Toc382832551"/>
      <w:bookmarkStart w:id="334" w:name="_Toc416782236"/>
      <w:r>
        <w:rPr>
          <w:rStyle w:val="CharSClsNo"/>
        </w:rPr>
        <w:t>5</w:t>
      </w:r>
      <w:r>
        <w:t>.</w:t>
      </w:r>
      <w:r>
        <w:tab/>
        <w:t>Director access</w:t>
      </w:r>
      <w:r>
        <w:br/>
      </w:r>
      <w:r>
        <w:rPr>
          <w:i/>
        </w:rPr>
        <w:t>(cf. s. 290 Corporations Act)</w:t>
      </w:r>
      <w:bookmarkEnd w:id="332"/>
      <w:bookmarkEnd w:id="333"/>
      <w:bookmarkEnd w:id="33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35" w:name="_Toc431540123"/>
      <w:bookmarkStart w:id="336" w:name="_Toc382832552"/>
      <w:bookmarkStart w:id="337" w:name="_Toc416782108"/>
      <w:bookmarkStart w:id="338" w:name="_Toc416782237"/>
      <w:r>
        <w:rPr>
          <w:rStyle w:val="CharSDivNo"/>
        </w:rPr>
        <w:t>Division 3</w:t>
      </w:r>
      <w:r>
        <w:rPr>
          <w:b w:val="0"/>
        </w:rPr>
        <w:t> — </w:t>
      </w:r>
      <w:r>
        <w:rPr>
          <w:rStyle w:val="CharSDivText"/>
        </w:rPr>
        <w:t>Financial reporting</w:t>
      </w:r>
      <w:bookmarkEnd w:id="335"/>
      <w:bookmarkEnd w:id="336"/>
      <w:bookmarkEnd w:id="337"/>
      <w:bookmarkEnd w:id="338"/>
    </w:p>
    <w:p>
      <w:pPr>
        <w:pStyle w:val="yHeading4"/>
        <w:spacing w:before="200"/>
      </w:pPr>
      <w:bookmarkStart w:id="339" w:name="_Toc431540124"/>
      <w:bookmarkStart w:id="340" w:name="_Toc382832553"/>
      <w:bookmarkStart w:id="341" w:name="_Toc416782109"/>
      <w:bookmarkStart w:id="342" w:name="_Toc416782238"/>
      <w:r>
        <w:t>Subdivision 1</w:t>
      </w:r>
      <w:r>
        <w:rPr>
          <w:b w:val="0"/>
        </w:rPr>
        <w:t> — </w:t>
      </w:r>
      <w:r>
        <w:t>Annual financial reports and directors’ reports</w:t>
      </w:r>
      <w:bookmarkEnd w:id="339"/>
      <w:bookmarkEnd w:id="340"/>
      <w:bookmarkEnd w:id="341"/>
      <w:bookmarkEnd w:id="342"/>
    </w:p>
    <w:p>
      <w:pPr>
        <w:pStyle w:val="yHeading5"/>
        <w:spacing w:before="180"/>
      </w:pPr>
      <w:bookmarkStart w:id="343" w:name="_Toc431540125"/>
      <w:bookmarkStart w:id="344" w:name="_Toc382832554"/>
      <w:bookmarkStart w:id="345" w:name="_Toc416782239"/>
      <w:r>
        <w:rPr>
          <w:rStyle w:val="CharSClsNo"/>
        </w:rPr>
        <w:t>6</w:t>
      </w:r>
      <w:r>
        <w:t>.</w:t>
      </w:r>
      <w:r>
        <w:tab/>
        <w:t>Preparation of annual financial reports and directors’ reports</w:t>
      </w:r>
      <w:r>
        <w:br/>
      </w:r>
      <w:r>
        <w:rPr>
          <w:i/>
        </w:rPr>
        <w:t>(cf. s. 292 Corporations Act)</w:t>
      </w:r>
      <w:bookmarkEnd w:id="343"/>
      <w:bookmarkEnd w:id="344"/>
      <w:bookmarkEnd w:id="345"/>
    </w:p>
    <w:p>
      <w:pPr>
        <w:pStyle w:val="ySubsection"/>
      </w:pPr>
      <w:r>
        <w:tab/>
      </w:r>
      <w:r>
        <w:tab/>
        <w:t>A financial report and a directors’ report must be prepared for each financial year by the IMO before 30 September.</w:t>
      </w:r>
    </w:p>
    <w:p>
      <w:pPr>
        <w:pStyle w:val="yHeading5"/>
        <w:spacing w:before="180"/>
      </w:pPr>
      <w:bookmarkStart w:id="346" w:name="_Toc431540126"/>
      <w:bookmarkStart w:id="347" w:name="_Toc382832555"/>
      <w:bookmarkStart w:id="348" w:name="_Toc416782240"/>
      <w:r>
        <w:rPr>
          <w:rStyle w:val="CharSClsNo"/>
        </w:rPr>
        <w:t>7</w:t>
      </w:r>
      <w:r>
        <w:t>.</w:t>
      </w:r>
      <w:r>
        <w:tab/>
        <w:t>Contents of annual financial report</w:t>
      </w:r>
      <w:r>
        <w:br/>
      </w:r>
      <w:r>
        <w:rPr>
          <w:i/>
        </w:rPr>
        <w:t>(cf. s. 295 Corporations Act)</w:t>
      </w:r>
      <w:bookmarkEnd w:id="346"/>
      <w:bookmarkEnd w:id="347"/>
      <w:bookmarkEnd w:id="348"/>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49" w:name="_Toc431540127"/>
      <w:bookmarkStart w:id="350" w:name="_Toc382832556"/>
      <w:bookmarkStart w:id="351" w:name="_Toc416782241"/>
      <w:r>
        <w:rPr>
          <w:rStyle w:val="CharSClsNo"/>
        </w:rPr>
        <w:t>8</w:t>
      </w:r>
      <w:r>
        <w:t>.</w:t>
      </w:r>
      <w:r>
        <w:tab/>
        <w:t>Compliance with accounting standards and regulations</w:t>
      </w:r>
      <w:r>
        <w:br/>
      </w:r>
      <w:r>
        <w:rPr>
          <w:i/>
        </w:rPr>
        <w:t>(cf. s. 296 Corporations Act)</w:t>
      </w:r>
      <w:bookmarkEnd w:id="349"/>
      <w:bookmarkEnd w:id="350"/>
      <w:bookmarkEnd w:id="35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52" w:name="_Toc431540128"/>
      <w:bookmarkStart w:id="353" w:name="_Toc382832557"/>
      <w:bookmarkStart w:id="354" w:name="_Toc416782242"/>
      <w:r>
        <w:rPr>
          <w:rStyle w:val="CharSClsNo"/>
        </w:rPr>
        <w:t>9</w:t>
      </w:r>
      <w:r>
        <w:t>.</w:t>
      </w:r>
      <w:r>
        <w:tab/>
        <w:t>True and fair view</w:t>
      </w:r>
      <w:r>
        <w:br/>
      </w:r>
      <w:r>
        <w:rPr>
          <w:i/>
        </w:rPr>
        <w:t>(cf. s. 297 Corporations Act)</w:t>
      </w:r>
      <w:bookmarkEnd w:id="352"/>
      <w:bookmarkEnd w:id="353"/>
      <w:bookmarkEnd w:id="354"/>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355" w:name="_Toc431540129"/>
      <w:bookmarkStart w:id="356" w:name="_Toc382832558"/>
      <w:bookmarkStart w:id="357" w:name="_Toc416782243"/>
      <w:r>
        <w:rPr>
          <w:rStyle w:val="CharSClsNo"/>
        </w:rPr>
        <w:t>10</w:t>
      </w:r>
      <w:r>
        <w:t>.</w:t>
      </w:r>
      <w:r>
        <w:tab/>
        <w:t>Annual directors’ report</w:t>
      </w:r>
      <w:r>
        <w:br/>
      </w:r>
      <w:r>
        <w:rPr>
          <w:i/>
        </w:rPr>
        <w:t>(cf. s. 298 Corporations Act)</w:t>
      </w:r>
      <w:bookmarkEnd w:id="355"/>
      <w:bookmarkEnd w:id="356"/>
      <w:bookmarkEnd w:id="357"/>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358" w:name="_Toc431540130"/>
      <w:bookmarkStart w:id="359" w:name="_Toc382832559"/>
      <w:bookmarkStart w:id="360" w:name="_Toc416782244"/>
      <w:r>
        <w:rPr>
          <w:rStyle w:val="CharSClsNo"/>
        </w:rPr>
        <w:t>11</w:t>
      </w:r>
      <w:r>
        <w:t>.</w:t>
      </w:r>
      <w:r>
        <w:tab/>
        <w:t>Annual directors’ report — general information</w:t>
      </w:r>
      <w:r>
        <w:br/>
      </w:r>
      <w:r>
        <w:rPr>
          <w:i/>
        </w:rPr>
        <w:t>(cf. s. 299 Corporations Act)</w:t>
      </w:r>
      <w:bookmarkEnd w:id="358"/>
      <w:bookmarkEnd w:id="359"/>
      <w:bookmarkEnd w:id="360"/>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 and</w:t>
      </w:r>
    </w:p>
    <w:p>
      <w:pPr>
        <w:pStyle w:val="yIndenta"/>
      </w:pPr>
      <w:r>
        <w:tab/>
        <w:t>(b)</w:t>
      </w:r>
      <w:r>
        <w:tab/>
        <w:t>give details of any significant changes in the IMO’s state of affairs during the year; and</w:t>
      </w:r>
    </w:p>
    <w:p>
      <w:pPr>
        <w:pStyle w:val="yIndenta"/>
      </w:pPr>
      <w:r>
        <w:tab/>
        <w:t>(c)</w:t>
      </w:r>
      <w:r>
        <w:tab/>
        <w:t>state the IMO’s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 or</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r>
      <w:r>
        <w:tab/>
        <w:t>and</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361" w:name="_Toc431540131"/>
      <w:bookmarkStart w:id="362" w:name="_Toc382832560"/>
      <w:bookmarkStart w:id="363" w:name="_Toc416782245"/>
      <w:r>
        <w:rPr>
          <w:rStyle w:val="CharSClsNo"/>
        </w:rPr>
        <w:t>12</w:t>
      </w:r>
      <w:r>
        <w:t>.</w:t>
      </w:r>
      <w:r>
        <w:tab/>
        <w:t>Annual directors’ report — specific information</w:t>
      </w:r>
      <w:r>
        <w:br/>
      </w:r>
      <w:r>
        <w:rPr>
          <w:i/>
        </w:rPr>
        <w:t>(cf. s. 300 Corporations Act)</w:t>
      </w:r>
      <w:bookmarkEnd w:id="361"/>
      <w:bookmarkEnd w:id="362"/>
      <w:bookmarkEnd w:id="363"/>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364" w:name="_Toc431540132"/>
      <w:bookmarkStart w:id="365" w:name="_Toc382832561"/>
      <w:bookmarkStart w:id="366" w:name="_Toc416782246"/>
      <w:r>
        <w:rPr>
          <w:rStyle w:val="CharSClsNo"/>
        </w:rPr>
        <w:t>13</w:t>
      </w:r>
      <w:r>
        <w:t>.</w:t>
      </w:r>
      <w:r>
        <w:tab/>
        <w:t>Annual directors’ report — other specific information</w:t>
      </w:r>
      <w:r>
        <w:br/>
      </w:r>
      <w:r>
        <w:rPr>
          <w:i/>
        </w:rPr>
        <w:t>(cf. s. 300A Corporations Act)</w:t>
      </w:r>
      <w:bookmarkEnd w:id="364"/>
      <w:bookmarkEnd w:id="365"/>
      <w:bookmarkEnd w:id="36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 and</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367" w:name="_Toc431540133"/>
      <w:bookmarkStart w:id="368" w:name="_Toc382832562"/>
      <w:bookmarkStart w:id="369" w:name="_Toc416782247"/>
      <w:r>
        <w:rPr>
          <w:rStyle w:val="CharSClsNo"/>
        </w:rPr>
        <w:t>14</w:t>
      </w:r>
      <w:r>
        <w:t>.</w:t>
      </w:r>
      <w:r>
        <w:tab/>
        <w:t>Audit of annual financial report</w:t>
      </w:r>
      <w:r>
        <w:br/>
      </w:r>
      <w:r>
        <w:rPr>
          <w:i/>
        </w:rPr>
        <w:t>(cf. s. 301 Corporations Act)</w:t>
      </w:r>
      <w:bookmarkEnd w:id="367"/>
      <w:bookmarkEnd w:id="368"/>
      <w:bookmarkEnd w:id="369"/>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370" w:name="_Toc431540134"/>
      <w:bookmarkStart w:id="371" w:name="_Toc382832563"/>
      <w:bookmarkStart w:id="372" w:name="_Toc416782119"/>
      <w:bookmarkStart w:id="373" w:name="_Toc416782248"/>
      <w:r>
        <w:t>Subdivision 2</w:t>
      </w:r>
      <w:r>
        <w:rPr>
          <w:b w:val="0"/>
        </w:rPr>
        <w:t> — </w:t>
      </w:r>
      <w:r>
        <w:t>Audit and auditor’s report</w:t>
      </w:r>
      <w:bookmarkEnd w:id="370"/>
      <w:bookmarkEnd w:id="371"/>
      <w:bookmarkEnd w:id="372"/>
      <w:bookmarkEnd w:id="373"/>
    </w:p>
    <w:p>
      <w:pPr>
        <w:pStyle w:val="yHeading5"/>
      </w:pPr>
      <w:bookmarkStart w:id="374" w:name="_Toc431540135"/>
      <w:bookmarkStart w:id="375" w:name="_Toc382832564"/>
      <w:bookmarkStart w:id="376" w:name="_Toc416782249"/>
      <w:r>
        <w:rPr>
          <w:rStyle w:val="CharSClsNo"/>
        </w:rPr>
        <w:t>15</w:t>
      </w:r>
      <w:r>
        <w:t>.</w:t>
      </w:r>
      <w:r>
        <w:tab/>
        <w:t>Audit opinion</w:t>
      </w:r>
      <w:r>
        <w:br/>
      </w:r>
      <w:r>
        <w:rPr>
          <w:i/>
        </w:rPr>
        <w:t>(cf. s. 307 Corporations Act)</w:t>
      </w:r>
      <w:bookmarkEnd w:id="374"/>
      <w:bookmarkEnd w:id="375"/>
      <w:bookmarkEnd w:id="37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377" w:name="_Toc431540136"/>
      <w:bookmarkStart w:id="378" w:name="_Toc382832565"/>
      <w:bookmarkStart w:id="379" w:name="_Toc416782250"/>
      <w:r>
        <w:rPr>
          <w:rStyle w:val="CharSClsNo"/>
        </w:rPr>
        <w:t>16</w:t>
      </w:r>
      <w:r>
        <w:t>.</w:t>
      </w:r>
      <w:r>
        <w:tab/>
        <w:t>Auditor General’s report on annual financial report</w:t>
      </w:r>
      <w:r>
        <w:br/>
      </w:r>
      <w:r>
        <w:rPr>
          <w:i/>
        </w:rPr>
        <w:t>(cf. s. 308 Corporations Act)</w:t>
      </w:r>
      <w:bookmarkEnd w:id="377"/>
      <w:bookmarkEnd w:id="378"/>
      <w:bookmarkEnd w:id="379"/>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380" w:name="_Toc431540137"/>
      <w:bookmarkStart w:id="381" w:name="_Toc382832566"/>
      <w:bookmarkStart w:id="382" w:name="_Toc416782251"/>
      <w:r>
        <w:rPr>
          <w:rStyle w:val="CharSClsNo"/>
        </w:rPr>
        <w:t>17</w:t>
      </w:r>
      <w:r>
        <w:t>.</w:t>
      </w:r>
      <w:r>
        <w:tab/>
        <w:t>Auditor General’s power to obtain information</w:t>
      </w:r>
      <w:r>
        <w:br/>
      </w:r>
      <w:r>
        <w:rPr>
          <w:i/>
        </w:rPr>
        <w:t>(cf. s. 310 Corporations Act)</w:t>
      </w:r>
      <w:bookmarkEnd w:id="380"/>
      <w:bookmarkEnd w:id="381"/>
      <w:bookmarkEnd w:id="382"/>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383" w:name="_Toc431540138"/>
      <w:bookmarkStart w:id="384" w:name="_Toc382832567"/>
      <w:bookmarkStart w:id="385" w:name="_Toc416782252"/>
      <w:r>
        <w:rPr>
          <w:rStyle w:val="CharSClsNo"/>
        </w:rPr>
        <w:t>18</w:t>
      </w:r>
      <w:r>
        <w:t>.</w:t>
      </w:r>
      <w:r>
        <w:tab/>
        <w:t>Assisting Auditor General</w:t>
      </w:r>
      <w:r>
        <w:br/>
      </w:r>
      <w:r>
        <w:rPr>
          <w:i/>
        </w:rPr>
        <w:t>(cf. s. 312 Corporations Act)</w:t>
      </w:r>
      <w:bookmarkEnd w:id="383"/>
      <w:bookmarkEnd w:id="384"/>
      <w:bookmarkEnd w:id="385"/>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386" w:name="_Toc431540139"/>
      <w:bookmarkStart w:id="387" w:name="_Toc382832568"/>
      <w:bookmarkStart w:id="388" w:name="_Toc416782124"/>
      <w:bookmarkStart w:id="389" w:name="_Toc416782253"/>
      <w:r>
        <w:t>Subdivision 3</w:t>
      </w:r>
      <w:r>
        <w:rPr>
          <w:b w:val="0"/>
        </w:rPr>
        <w:t> — </w:t>
      </w:r>
      <w:r>
        <w:t>Special provisions about consolidated financial statements</w:t>
      </w:r>
      <w:bookmarkEnd w:id="386"/>
      <w:bookmarkEnd w:id="387"/>
      <w:bookmarkEnd w:id="388"/>
      <w:bookmarkEnd w:id="389"/>
    </w:p>
    <w:p>
      <w:pPr>
        <w:pStyle w:val="yHeading5"/>
        <w:spacing w:before="180"/>
      </w:pPr>
      <w:bookmarkStart w:id="390" w:name="_Toc431540140"/>
      <w:bookmarkStart w:id="391" w:name="_Toc382832569"/>
      <w:bookmarkStart w:id="392" w:name="_Toc416782254"/>
      <w:r>
        <w:rPr>
          <w:rStyle w:val="CharSClsNo"/>
        </w:rPr>
        <w:t>19</w:t>
      </w:r>
      <w:r>
        <w:t>.</w:t>
      </w:r>
      <w:r>
        <w:tab/>
        <w:t>Directors and officers of controlled entity to give information</w:t>
      </w:r>
      <w:r>
        <w:br/>
      </w:r>
      <w:r>
        <w:rPr>
          <w:i/>
        </w:rPr>
        <w:t>(cf. s. 323 Corporations Act)</w:t>
      </w:r>
      <w:bookmarkEnd w:id="390"/>
      <w:bookmarkEnd w:id="391"/>
      <w:bookmarkEnd w:id="392"/>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393" w:name="_Toc431540141"/>
      <w:bookmarkStart w:id="394" w:name="_Toc382832570"/>
      <w:bookmarkStart w:id="395" w:name="_Toc416782255"/>
      <w:r>
        <w:rPr>
          <w:rStyle w:val="CharSClsNo"/>
        </w:rPr>
        <w:t>20</w:t>
      </w:r>
      <w:r>
        <w:t>.</w:t>
      </w:r>
      <w:r>
        <w:tab/>
        <w:t>Auditor General’s power to obtain information from controlled entity</w:t>
      </w:r>
      <w:r>
        <w:br/>
      </w:r>
      <w:r>
        <w:rPr>
          <w:i/>
        </w:rPr>
        <w:t>(cf. s. 323A Corporations Act)</w:t>
      </w:r>
      <w:bookmarkEnd w:id="393"/>
      <w:bookmarkEnd w:id="394"/>
      <w:bookmarkEnd w:id="39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396" w:name="_Toc431540142"/>
      <w:bookmarkStart w:id="397" w:name="_Toc382832571"/>
      <w:bookmarkStart w:id="398" w:name="_Toc416782256"/>
      <w:r>
        <w:rPr>
          <w:rStyle w:val="CharSClsNo"/>
        </w:rPr>
        <w:t>21</w:t>
      </w:r>
      <w:r>
        <w:t>.</w:t>
      </w:r>
      <w:r>
        <w:tab/>
        <w:t>Controlled entity to assist Auditor General</w:t>
      </w:r>
      <w:r>
        <w:br/>
      </w:r>
      <w:r>
        <w:rPr>
          <w:i/>
        </w:rPr>
        <w:t>(cf. s. 323B Corporations Act)</w:t>
      </w:r>
      <w:bookmarkEnd w:id="396"/>
      <w:bookmarkEnd w:id="397"/>
      <w:bookmarkEnd w:id="398"/>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399" w:name="_Toc431540143"/>
      <w:bookmarkStart w:id="400" w:name="_Toc382832572"/>
      <w:bookmarkStart w:id="401" w:name="_Toc416782257"/>
      <w:r>
        <w:rPr>
          <w:rStyle w:val="CharSClsNo"/>
        </w:rPr>
        <w:t>22</w:t>
      </w:r>
      <w:r>
        <w:t>.</w:t>
      </w:r>
      <w:r>
        <w:tab/>
        <w:t>Application of subdivision to entity that has ceased to be controlled</w:t>
      </w:r>
      <w:r>
        <w:br/>
      </w:r>
      <w:r>
        <w:rPr>
          <w:i/>
        </w:rPr>
        <w:t>(cf. s. 323C Corporations Act)</w:t>
      </w:r>
      <w:bookmarkEnd w:id="399"/>
      <w:bookmarkEnd w:id="400"/>
      <w:bookmarkEnd w:id="401"/>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02" w:name="_Toc431540144"/>
      <w:bookmarkStart w:id="403" w:name="_Toc382832573"/>
      <w:bookmarkStart w:id="404" w:name="_Toc416782129"/>
      <w:bookmarkStart w:id="405" w:name="_Toc416782258"/>
      <w:r>
        <w:t>Subdivision 4 — Financial years of the IMO and the entities it controls</w:t>
      </w:r>
      <w:bookmarkEnd w:id="402"/>
      <w:bookmarkEnd w:id="403"/>
      <w:bookmarkEnd w:id="404"/>
      <w:bookmarkEnd w:id="405"/>
    </w:p>
    <w:p>
      <w:pPr>
        <w:pStyle w:val="yHeading5"/>
      </w:pPr>
      <w:bookmarkStart w:id="406" w:name="_Toc431540145"/>
      <w:bookmarkStart w:id="407" w:name="_Toc382832574"/>
      <w:bookmarkStart w:id="408" w:name="_Toc416782259"/>
      <w:r>
        <w:rPr>
          <w:rStyle w:val="CharSClsNo"/>
        </w:rPr>
        <w:t>23</w:t>
      </w:r>
      <w:r>
        <w:t>.</w:t>
      </w:r>
      <w:r>
        <w:tab/>
        <w:t>Financial years</w:t>
      </w:r>
      <w:r>
        <w:br/>
      </w:r>
      <w:r>
        <w:rPr>
          <w:i/>
        </w:rPr>
        <w:t>(cf. s. 323D Corporations Act)</w:t>
      </w:r>
      <w:bookmarkEnd w:id="406"/>
      <w:bookmarkEnd w:id="407"/>
      <w:bookmarkEnd w:id="408"/>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09" w:name="_Toc431540146"/>
      <w:bookmarkStart w:id="410" w:name="_Toc382832575"/>
      <w:bookmarkStart w:id="411" w:name="_Toc416782131"/>
      <w:bookmarkStart w:id="412" w:name="_Toc416782260"/>
      <w:r>
        <w:rPr>
          <w:rStyle w:val="CharSDivNo"/>
        </w:rPr>
        <w:t>Division 4</w:t>
      </w:r>
      <w:r>
        <w:rPr>
          <w:b w:val="0"/>
        </w:rPr>
        <w:t> — </w:t>
      </w:r>
      <w:r>
        <w:rPr>
          <w:rStyle w:val="CharSDivText"/>
        </w:rPr>
        <w:t>Accounting standards</w:t>
      </w:r>
      <w:bookmarkEnd w:id="409"/>
      <w:bookmarkEnd w:id="410"/>
      <w:bookmarkEnd w:id="411"/>
      <w:bookmarkEnd w:id="412"/>
    </w:p>
    <w:p>
      <w:pPr>
        <w:pStyle w:val="yHeading5"/>
      </w:pPr>
      <w:bookmarkStart w:id="413" w:name="_Toc431540147"/>
      <w:bookmarkStart w:id="414" w:name="_Toc382832576"/>
      <w:bookmarkStart w:id="415" w:name="_Toc416782261"/>
      <w:r>
        <w:rPr>
          <w:rStyle w:val="CharSClsNo"/>
        </w:rPr>
        <w:t>24</w:t>
      </w:r>
      <w:r>
        <w:t>.</w:t>
      </w:r>
      <w:r>
        <w:tab/>
        <w:t>Accounting standards</w:t>
      </w:r>
      <w:r>
        <w:br/>
      </w:r>
      <w:r>
        <w:rPr>
          <w:i/>
        </w:rPr>
        <w:t>(cf. s. 334 Corporations Act)</w:t>
      </w:r>
      <w:bookmarkEnd w:id="413"/>
      <w:bookmarkEnd w:id="414"/>
      <w:bookmarkEnd w:id="41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416" w:name="_Toc431540148"/>
      <w:bookmarkStart w:id="417" w:name="_Toc382832577"/>
      <w:bookmarkStart w:id="418" w:name="_Toc416782262"/>
      <w:r>
        <w:rPr>
          <w:rStyle w:val="CharSClsNo"/>
        </w:rPr>
        <w:t>25</w:t>
      </w:r>
      <w:r>
        <w:t>.</w:t>
      </w:r>
      <w:r>
        <w:tab/>
        <w:t xml:space="preserve">Equity accounting </w:t>
      </w:r>
      <w:r>
        <w:br/>
      </w:r>
      <w:r>
        <w:rPr>
          <w:i/>
        </w:rPr>
        <w:t>(cf. s. 335 Corporations Act)</w:t>
      </w:r>
      <w:bookmarkEnd w:id="416"/>
      <w:bookmarkEnd w:id="417"/>
      <w:bookmarkEnd w:id="418"/>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19" w:name="_Toc431540149"/>
      <w:bookmarkStart w:id="420" w:name="_Toc382832578"/>
      <w:bookmarkStart w:id="421" w:name="_Toc416782263"/>
      <w:r>
        <w:rPr>
          <w:rStyle w:val="CharSClsNo"/>
        </w:rPr>
        <w:t>26</w:t>
      </w:r>
      <w:r>
        <w:t>.</w:t>
      </w:r>
      <w:r>
        <w:tab/>
        <w:t>Interpretation of accounting standards</w:t>
      </w:r>
      <w:r>
        <w:br/>
      </w:r>
      <w:r>
        <w:rPr>
          <w:i/>
        </w:rPr>
        <w:t>(cf. s. 337 Corporations Act)</w:t>
      </w:r>
      <w:bookmarkEnd w:id="419"/>
      <w:bookmarkEnd w:id="420"/>
      <w:bookmarkEnd w:id="42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22" w:name="_Toc431540150"/>
      <w:bookmarkStart w:id="423" w:name="_Toc382832579"/>
      <w:bookmarkStart w:id="424" w:name="_Toc416782264"/>
      <w:r>
        <w:rPr>
          <w:rStyle w:val="CharSClsNo"/>
        </w:rPr>
        <w:t>27</w:t>
      </w:r>
      <w:r>
        <w:t>.</w:t>
      </w:r>
      <w:r>
        <w:tab/>
        <w:t>Evidence of text of accounting standard</w:t>
      </w:r>
      <w:r>
        <w:br/>
      </w:r>
      <w:r>
        <w:rPr>
          <w:i/>
        </w:rPr>
        <w:t>(cf. s. 339 Corporations Act)</w:t>
      </w:r>
      <w:bookmarkEnd w:id="422"/>
      <w:bookmarkEnd w:id="423"/>
      <w:bookmarkEnd w:id="42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425" w:name="_Toc431540151"/>
      <w:bookmarkStart w:id="426" w:name="_Toc382832580"/>
      <w:bookmarkStart w:id="427" w:name="_Toc416782136"/>
      <w:bookmarkStart w:id="428" w:name="_Toc416782265"/>
      <w:r>
        <w:rPr>
          <w:rStyle w:val="CharSDivNo"/>
        </w:rPr>
        <w:t>Division 5</w:t>
      </w:r>
      <w:r>
        <w:rPr>
          <w:b w:val="0"/>
        </w:rPr>
        <w:t> — </w:t>
      </w:r>
      <w:r>
        <w:rPr>
          <w:rStyle w:val="CharSDivText"/>
        </w:rPr>
        <w:t>Extensions</w:t>
      </w:r>
      <w:bookmarkEnd w:id="425"/>
      <w:bookmarkEnd w:id="426"/>
      <w:bookmarkEnd w:id="427"/>
      <w:bookmarkEnd w:id="428"/>
    </w:p>
    <w:p>
      <w:pPr>
        <w:pStyle w:val="yHeading5"/>
      </w:pPr>
      <w:bookmarkStart w:id="429" w:name="_Toc431540152"/>
      <w:bookmarkStart w:id="430" w:name="_Toc382832581"/>
      <w:bookmarkStart w:id="431" w:name="_Toc416782266"/>
      <w:r>
        <w:rPr>
          <w:rStyle w:val="CharSClsNo"/>
        </w:rPr>
        <w:t>28</w:t>
      </w:r>
      <w:r>
        <w:t>.</w:t>
      </w:r>
      <w:r>
        <w:tab/>
        <w:t>Extension of time</w:t>
      </w:r>
      <w:bookmarkEnd w:id="429"/>
      <w:bookmarkEnd w:id="430"/>
      <w:bookmarkEnd w:id="43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432" w:name="_Toc431540153"/>
      <w:bookmarkStart w:id="433" w:name="_Toc382832582"/>
      <w:bookmarkStart w:id="434" w:name="_Toc416782138"/>
      <w:bookmarkStart w:id="435" w:name="_Toc416782267"/>
      <w:r>
        <w:rPr>
          <w:rStyle w:val="CharSDivNo"/>
        </w:rPr>
        <w:t>Division 6</w:t>
      </w:r>
      <w:r>
        <w:rPr>
          <w:b w:val="0"/>
        </w:rPr>
        <w:t> — </w:t>
      </w:r>
      <w:r>
        <w:rPr>
          <w:rStyle w:val="CharSDivText"/>
        </w:rPr>
        <w:t>Sanctions for contraventions of this Schedule</w:t>
      </w:r>
      <w:bookmarkEnd w:id="432"/>
      <w:bookmarkEnd w:id="433"/>
      <w:bookmarkEnd w:id="434"/>
      <w:bookmarkEnd w:id="435"/>
    </w:p>
    <w:p>
      <w:pPr>
        <w:pStyle w:val="yHeading5"/>
      </w:pPr>
      <w:bookmarkStart w:id="436" w:name="_Toc431540154"/>
      <w:bookmarkStart w:id="437" w:name="_Toc382832583"/>
      <w:bookmarkStart w:id="438" w:name="_Toc416782268"/>
      <w:r>
        <w:rPr>
          <w:rStyle w:val="CharSClsNo"/>
        </w:rPr>
        <w:t>29</w:t>
      </w:r>
      <w:r>
        <w:t>.</w:t>
      </w:r>
      <w:r>
        <w:tab/>
        <w:t>Contravention of Divisions 2 and 3</w:t>
      </w:r>
      <w:r>
        <w:br/>
      </w:r>
      <w:r>
        <w:rPr>
          <w:i/>
        </w:rPr>
        <w:t>(cf. s. 344 Corporations Act)</w:t>
      </w:r>
      <w:bookmarkEnd w:id="436"/>
      <w:bookmarkEnd w:id="437"/>
      <w:bookmarkEnd w:id="438"/>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439" w:name="_Toc431540155"/>
      <w:bookmarkStart w:id="440" w:name="_Toc382832584"/>
      <w:bookmarkStart w:id="441" w:name="_Toc416782140"/>
      <w:bookmarkStart w:id="442" w:name="_Toc416782269"/>
      <w:r>
        <w:rPr>
          <w:rStyle w:val="CharSDivNo"/>
        </w:rPr>
        <w:t>Division 7</w:t>
      </w:r>
      <w:r>
        <w:rPr>
          <w:b w:val="0"/>
        </w:rPr>
        <w:t> — </w:t>
      </w:r>
      <w:r>
        <w:rPr>
          <w:rStyle w:val="CharSDivText"/>
        </w:rPr>
        <w:t>Miscellaneous</w:t>
      </w:r>
      <w:bookmarkEnd w:id="439"/>
      <w:bookmarkEnd w:id="440"/>
      <w:bookmarkEnd w:id="441"/>
      <w:bookmarkEnd w:id="442"/>
    </w:p>
    <w:p>
      <w:pPr>
        <w:pStyle w:val="yHeading5"/>
      </w:pPr>
      <w:bookmarkStart w:id="443" w:name="_Toc431540156"/>
      <w:bookmarkStart w:id="444" w:name="_Toc382832585"/>
      <w:bookmarkStart w:id="445" w:name="_Toc416782270"/>
      <w:r>
        <w:rPr>
          <w:rStyle w:val="CharSClsNo"/>
        </w:rPr>
        <w:t>30</w:t>
      </w:r>
      <w:r>
        <w:t>.</w:t>
      </w:r>
      <w:r>
        <w:tab/>
        <w:t>Deadline for reporting to the Minister</w:t>
      </w:r>
      <w:r>
        <w:br/>
      </w:r>
      <w:r>
        <w:rPr>
          <w:i/>
        </w:rPr>
        <w:t>(cf. s. 315 Corporations Act)</w:t>
      </w:r>
      <w:bookmarkEnd w:id="443"/>
      <w:bookmarkEnd w:id="444"/>
      <w:bookmarkEnd w:id="44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446" w:name="_Toc431540157"/>
      <w:bookmarkStart w:id="447" w:name="_Toc382832586"/>
      <w:bookmarkStart w:id="448" w:name="_Toc416782271"/>
      <w:r>
        <w:rPr>
          <w:rStyle w:val="CharSClsNo"/>
        </w:rPr>
        <w:t>31</w:t>
      </w:r>
      <w:r>
        <w:t>.</w:t>
      </w:r>
      <w:r>
        <w:tab/>
        <w:t>Annual financial reporting to Minister</w:t>
      </w:r>
      <w:r>
        <w:br/>
      </w:r>
      <w:r>
        <w:rPr>
          <w:i/>
        </w:rPr>
        <w:t>(cf. s. 314 Corporations Act)</w:t>
      </w:r>
      <w:bookmarkEnd w:id="446"/>
      <w:bookmarkEnd w:id="447"/>
      <w:bookmarkEnd w:id="448"/>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449" w:name="_Toc431540158"/>
      <w:bookmarkStart w:id="450" w:name="_Toc382832587"/>
      <w:bookmarkStart w:id="451" w:name="_Toc416782272"/>
      <w:r>
        <w:rPr>
          <w:rStyle w:val="CharSClsNo"/>
        </w:rPr>
        <w:t>32</w:t>
      </w:r>
      <w:r>
        <w:t>.</w:t>
      </w:r>
      <w:r>
        <w:tab/>
        <w:t>Audit</w:t>
      </w:r>
      <w:bookmarkEnd w:id="449"/>
      <w:bookmarkEnd w:id="450"/>
      <w:bookmarkEnd w:id="451"/>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452" w:name="_Toc431540159"/>
      <w:bookmarkStart w:id="453" w:name="_Toc382832588"/>
      <w:bookmarkStart w:id="454" w:name="_Toc416782273"/>
      <w:r>
        <w:rPr>
          <w:rStyle w:val="CharSClsNo"/>
        </w:rPr>
        <w:t>33</w:t>
      </w:r>
      <w:r>
        <w:t>.</w:t>
      </w:r>
      <w:r>
        <w:tab/>
        <w:t>Powers and duties of Auditor General</w:t>
      </w:r>
      <w:bookmarkEnd w:id="452"/>
      <w:bookmarkEnd w:id="453"/>
      <w:bookmarkEnd w:id="454"/>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rPr>
          <w:del w:id="455" w:author="Master Repository Process" w:date="2021-08-01T12:38:00Z"/>
        </w:rPr>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56" w:name="_Toc431540160"/>
      <w:bookmarkStart w:id="457" w:name="_Toc382832589"/>
      <w:bookmarkStart w:id="458" w:name="_Toc416782145"/>
      <w:bookmarkStart w:id="459" w:name="_Toc416782274"/>
      <w:r>
        <w:t>Notes</w:t>
      </w:r>
      <w:bookmarkEnd w:id="456"/>
      <w:bookmarkEnd w:id="457"/>
      <w:bookmarkEnd w:id="458"/>
      <w:bookmarkEnd w:id="459"/>
    </w:p>
    <w:p>
      <w:pPr>
        <w:pStyle w:val="nSubsection"/>
        <w:rPr>
          <w:snapToGrid w:val="0"/>
        </w:rPr>
      </w:pPr>
      <w:r>
        <w:rPr>
          <w:snapToGrid w:val="0"/>
          <w:vertAlign w:val="superscript"/>
        </w:rPr>
        <w:t>1</w:t>
      </w:r>
      <w:r>
        <w:rPr>
          <w:snapToGrid w:val="0"/>
        </w:rPr>
        <w:tab/>
        <w:t xml:space="preserve">This </w:t>
      </w:r>
      <w:del w:id="460" w:author="Master Repository Process" w:date="2021-08-01T12:38:00Z">
        <w:r>
          <w:rPr>
            <w:snapToGrid w:val="0"/>
          </w:rPr>
          <w:delText xml:space="preserve">reprint </w:delText>
        </w:r>
      </w:del>
      <w:r>
        <w:rPr>
          <w:snapToGrid w:val="0"/>
        </w:rPr>
        <w:t>is a compilation</w:t>
      </w:r>
      <w:del w:id="461" w:author="Master Repository Process" w:date="2021-08-01T12:38:00Z">
        <w:r>
          <w:rPr>
            <w:snapToGrid w:val="0"/>
          </w:rPr>
          <w:delText xml:space="preserve"> as at 7 March 2014</w:delText>
        </w:r>
      </w:del>
      <w:r>
        <w:rPr>
          <w:snapToGrid w:val="0"/>
        </w:rPr>
        <w:t xml:space="preserve"> of the </w:t>
      </w:r>
      <w:r>
        <w:rPr>
          <w:i/>
          <w:noProof/>
          <w:snapToGrid w:val="0"/>
        </w:rPr>
        <w:t>Electricity Industry (Independent Market Operator) Regulations 2004</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62" w:name="_Toc431540161"/>
      <w:bookmarkStart w:id="463" w:name="_Toc382832590"/>
      <w:bookmarkStart w:id="464" w:name="_Toc416782275"/>
      <w:r>
        <w:t>Compilation table</w:t>
      </w:r>
      <w:bookmarkEnd w:id="462"/>
      <w:bookmarkEnd w:id="463"/>
      <w:bookmarkEnd w:id="464"/>
    </w:p>
    <w:p>
      <w:pPr>
        <w:pStyle w:val="BlankOpen"/>
        <w:rPr>
          <w:ins w:id="465" w:author="Master Repository Process" w:date="2021-08-01T12:38: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noProof/>
                <w:snapToGrid w:val="0"/>
              </w:rPr>
              <w:t>Electricity Industry (Independent Market Operator) Regulations 2004</w:t>
            </w:r>
          </w:p>
        </w:tc>
        <w:tc>
          <w:tcPr>
            <w:tcW w:w="1276" w:type="dxa"/>
            <w:tcBorders>
              <w:top w:val="single" w:sz="8" w:space="0" w:color="auto"/>
            </w:tcBorders>
          </w:tcPr>
          <w:p>
            <w:pPr>
              <w:pStyle w:val="nTable"/>
              <w:spacing w:after="40"/>
            </w:pPr>
            <w:r>
              <w:t>30 Sep 2004 p. 4207</w:t>
            </w:r>
            <w:r>
              <w:noBreakHyphen/>
              <w:t>69</w:t>
            </w:r>
          </w:p>
        </w:tc>
        <w:tc>
          <w:tcPr>
            <w:tcW w:w="2693" w:type="dxa"/>
            <w:tcBorders>
              <w:top w:val="single" w:sz="8" w:space="0" w:color="auto"/>
            </w:tcBorders>
          </w:tcPr>
          <w:p>
            <w:pPr>
              <w:pStyle w:val="nTable"/>
              <w:spacing w:after="40"/>
              <w:rPr>
                <w:rFonts w:ascii="Times" w:hAnsi="Times"/>
              </w:rPr>
            </w:pPr>
            <w:r>
              <w:rPr>
                <w:rFonts w:ascii="Times" w:hAnsi="Times"/>
              </w:rPr>
              <w:t xml:space="preserve">1 Dec 2004 (see r. 2 and </w:t>
            </w:r>
            <w:r>
              <w:rPr>
                <w:rFonts w:ascii="Times" w:hAnsi="Times"/>
                <w:i/>
              </w:rPr>
              <w:t>Gazette</w:t>
            </w:r>
            <w:r>
              <w:rPr>
                <w:rFonts w:ascii="Times" w:hAnsi="Times"/>
              </w:rPr>
              <w:t xml:space="preserve"> 30 Nov 2004 p. 5515)</w:t>
            </w:r>
          </w:p>
        </w:tc>
      </w:tr>
      <w:tr>
        <w:tc>
          <w:tcPr>
            <w:tcW w:w="3118" w:type="dxa"/>
          </w:tcPr>
          <w:p>
            <w:pPr>
              <w:pStyle w:val="nTable"/>
              <w:spacing w:after="40"/>
              <w:rPr>
                <w:i/>
                <w:noProof/>
                <w:snapToGrid w:val="0"/>
              </w:rPr>
            </w:pPr>
            <w:r>
              <w:rPr>
                <w:i/>
                <w:noProof/>
                <w:snapToGrid w:val="0"/>
              </w:rPr>
              <w:t>Electricity Industry (Independent Market Operator) Amendment Regulations 2008</w:t>
            </w:r>
          </w:p>
        </w:tc>
        <w:tc>
          <w:tcPr>
            <w:tcW w:w="1276" w:type="dxa"/>
          </w:tcPr>
          <w:p>
            <w:pPr>
              <w:pStyle w:val="nTable"/>
              <w:spacing w:after="40"/>
            </w:pPr>
            <w:r>
              <w:t>27 Jun 2008 p. 3125-8</w:t>
            </w:r>
          </w:p>
        </w:tc>
        <w:tc>
          <w:tcPr>
            <w:tcW w:w="2693" w:type="dxa"/>
          </w:tcPr>
          <w:p>
            <w:pPr>
              <w:pStyle w:val="nTable"/>
              <w:spacing w:after="40"/>
              <w:rPr>
                <w:rFonts w:ascii="Times" w:hAnsi="Times"/>
              </w:rPr>
            </w:pPr>
            <w:r>
              <w:rPr>
                <w:rFonts w:ascii="Times" w:hAnsi="Times"/>
                <w:snapToGrid w:val="0"/>
              </w:rPr>
              <w:t>r. 1 and 2: 27 Jun 2008 (see r. 2(a));</w:t>
            </w:r>
            <w:r>
              <w:rPr>
                <w:rFonts w:ascii="Times" w:hAnsi="Times"/>
                <w:snapToGrid w:val="0"/>
              </w:rPr>
              <w:br/>
              <w:t>Regulations other than r. 1 and 2: 28 Jun 2008 (see r. 2(b))</w:t>
            </w:r>
          </w:p>
        </w:tc>
      </w:tr>
      <w:tr>
        <w:tc>
          <w:tcPr>
            <w:tcW w:w="3118" w:type="dxa"/>
          </w:tcPr>
          <w:p>
            <w:pPr>
              <w:pStyle w:val="nTable"/>
              <w:spacing w:after="40"/>
            </w:pPr>
            <w:r>
              <w:rPr>
                <w:i/>
              </w:rPr>
              <w:t>Public Sector Reform (Consequential Amendments) Regulations 2011</w:t>
            </w:r>
            <w:r>
              <w:t xml:space="preserve"> Pt. 3</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c>
          <w:tcPr>
            <w:tcW w:w="3118" w:type="dxa"/>
          </w:tcPr>
          <w:p>
            <w:pPr>
              <w:pStyle w:val="nTable"/>
              <w:spacing w:after="40"/>
              <w:rPr>
                <w:i/>
              </w:rPr>
            </w:pPr>
            <w:r>
              <w:rPr>
                <w:i/>
              </w:rPr>
              <w:t>Electricity Industry (Independent Market Operator) Amendment Regulations 2012</w:t>
            </w:r>
          </w:p>
        </w:tc>
        <w:tc>
          <w:tcPr>
            <w:tcW w:w="1276" w:type="dxa"/>
          </w:tcPr>
          <w:p>
            <w:pPr>
              <w:pStyle w:val="nTable"/>
              <w:spacing w:after="40"/>
            </w:pPr>
            <w:r>
              <w:t>29 Jun 2012 p. 2936-8</w:t>
            </w:r>
          </w:p>
        </w:tc>
        <w:tc>
          <w:tcPr>
            <w:tcW w:w="2693" w:type="dxa"/>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 xml:space="preserve">Regulations other than r. 1 and 2: 30 Jun 2012 (see r. 2(b) and </w:t>
            </w:r>
            <w:r>
              <w:rPr>
                <w:rFonts w:ascii="Times" w:hAnsi="Times"/>
                <w:i/>
                <w:snapToGrid w:val="0"/>
              </w:rPr>
              <w:t>Gazette</w:t>
            </w:r>
            <w:r>
              <w:rPr>
                <w:rFonts w:ascii="Times" w:hAnsi="Times"/>
                <w:snapToGrid w:val="0"/>
              </w:rPr>
              <w:t xml:space="preserve"> 29 Jun 2012 p. 2929)</w:t>
            </w:r>
          </w:p>
        </w:tc>
      </w:tr>
      <w:tr>
        <w:tc>
          <w:tcPr>
            <w:tcW w:w="3118" w:type="dxa"/>
          </w:tcPr>
          <w:p>
            <w:pPr>
              <w:pStyle w:val="nTable"/>
              <w:spacing w:after="40"/>
            </w:pPr>
            <w:r>
              <w:rPr>
                <w:i/>
              </w:rPr>
              <w:t>Electricity Industry (Independent Market Operator) Amendment Regulations 2013</w:t>
            </w:r>
          </w:p>
        </w:tc>
        <w:tc>
          <w:tcPr>
            <w:tcW w:w="1276" w:type="dxa"/>
          </w:tcPr>
          <w:p>
            <w:pPr>
              <w:pStyle w:val="nTable"/>
              <w:spacing w:after="40"/>
            </w:pPr>
            <w:r>
              <w:t>14 Jun 2013 p. 2233-5</w:t>
            </w:r>
          </w:p>
        </w:tc>
        <w:tc>
          <w:tcPr>
            <w:tcW w:w="2693" w:type="dxa"/>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2 and 4-7: 15 Jun 2013 (see r. 2(c));</w:t>
            </w:r>
            <w:r>
              <w:rPr>
                <w:rFonts w:ascii="Times" w:hAnsi="Times"/>
                <w:snapToGrid w:val="0"/>
              </w:rPr>
              <w:br/>
              <w:t xml:space="preserve">Regulations 4-7: 29 Jun 2013 (see r. 2(b) and </w:t>
            </w:r>
            <w:r>
              <w:rPr>
                <w:rFonts w:ascii="Times" w:hAnsi="Times"/>
                <w:i/>
                <w:snapToGrid w:val="0"/>
              </w:rPr>
              <w:t>Gazette</w:t>
            </w:r>
            <w:r>
              <w:rPr>
                <w:rFonts w:ascii="Times" w:hAnsi="Times"/>
                <w:snapToGrid w:val="0"/>
              </w:rPr>
              <w:t xml:space="preserve"> 28 Jun 2013 p. 2933)</w:t>
            </w:r>
          </w:p>
        </w:tc>
      </w:tr>
      <w:tr>
        <w:tc>
          <w:tcPr>
            <w:tcW w:w="7087" w:type="dxa"/>
            <w:gridSpan w:val="3"/>
            <w:shd w:val="clear" w:color="auto" w:fill="auto"/>
          </w:tcPr>
          <w:p>
            <w:pPr>
              <w:pStyle w:val="nTable"/>
              <w:spacing w:after="40"/>
              <w:rPr>
                <w:rFonts w:ascii="Times" w:hAnsi="Times"/>
                <w:i/>
                <w:snapToGrid w:val="0"/>
              </w:rPr>
            </w:pPr>
            <w:r>
              <w:rPr>
                <w:rFonts w:ascii="Times" w:hAnsi="Times"/>
                <w:b/>
                <w:snapToGrid w:val="0"/>
              </w:rPr>
              <w:t xml:space="preserve">Reprint 1: The </w:t>
            </w:r>
            <w:r>
              <w:rPr>
                <w:b/>
                <w:i/>
                <w:noProof/>
                <w:snapToGrid w:val="0"/>
              </w:rPr>
              <w:t>Electricity Industry (Independent Market Operator) Regulations 2004</w:t>
            </w:r>
            <w:r>
              <w:rPr>
                <w:rFonts w:ascii="Times" w:hAnsi="Times"/>
                <w:snapToGrid w:val="0"/>
              </w:rPr>
              <w:t xml:space="preserve"> </w:t>
            </w:r>
            <w:r>
              <w:rPr>
                <w:rFonts w:ascii="Times" w:hAnsi="Times"/>
                <w:b/>
                <w:snapToGrid w:val="0"/>
              </w:rPr>
              <w:t>as at 7 Mar 2014</w:t>
            </w:r>
            <w:r>
              <w:rPr>
                <w:rFonts w:ascii="Times" w:hAnsi="Times"/>
                <w:snapToGrid w:val="0"/>
              </w:rPr>
              <w:t xml:space="preserve"> (includes amendments listed above)</w:t>
            </w:r>
          </w:p>
        </w:tc>
      </w:tr>
      <w:tr>
        <w:trPr>
          <w:ins w:id="466" w:author="Master Repository Process" w:date="2021-08-01T12:38:00Z"/>
        </w:trPr>
        <w:tc>
          <w:tcPr>
            <w:tcW w:w="3118" w:type="dxa"/>
            <w:tcBorders>
              <w:bottom w:val="single" w:sz="4" w:space="0" w:color="auto"/>
            </w:tcBorders>
          </w:tcPr>
          <w:p>
            <w:pPr>
              <w:pStyle w:val="nTable"/>
              <w:spacing w:after="40"/>
              <w:rPr>
                <w:ins w:id="467" w:author="Master Repository Process" w:date="2021-08-01T12:38:00Z"/>
                <w:i/>
              </w:rPr>
            </w:pPr>
            <w:ins w:id="468" w:author="Master Repository Process" w:date="2021-08-01T12:38:00Z">
              <w:r>
                <w:rPr>
                  <w:i/>
                </w:rPr>
                <w:t>Electricity Industry (Independent Market Operator) Amendment Regulations 2015</w:t>
              </w:r>
            </w:ins>
          </w:p>
        </w:tc>
        <w:tc>
          <w:tcPr>
            <w:tcW w:w="1276" w:type="dxa"/>
            <w:tcBorders>
              <w:bottom w:val="single" w:sz="4" w:space="0" w:color="auto"/>
            </w:tcBorders>
          </w:tcPr>
          <w:p>
            <w:pPr>
              <w:pStyle w:val="nTable"/>
              <w:spacing w:after="40"/>
              <w:rPr>
                <w:ins w:id="469" w:author="Master Repository Process" w:date="2021-08-01T12:38:00Z"/>
              </w:rPr>
            </w:pPr>
            <w:ins w:id="470" w:author="Master Repository Process" w:date="2021-08-01T12:38:00Z">
              <w:r>
                <w:t>2 Oct 2015 p. 3927-8</w:t>
              </w:r>
            </w:ins>
          </w:p>
        </w:tc>
        <w:tc>
          <w:tcPr>
            <w:tcW w:w="2693" w:type="dxa"/>
            <w:tcBorders>
              <w:bottom w:val="single" w:sz="4" w:space="0" w:color="auto"/>
            </w:tcBorders>
          </w:tcPr>
          <w:p>
            <w:pPr>
              <w:pStyle w:val="nTable"/>
              <w:spacing w:after="40"/>
              <w:rPr>
                <w:ins w:id="471" w:author="Master Repository Process" w:date="2021-08-01T12:38:00Z"/>
                <w:rFonts w:ascii="Times" w:hAnsi="Times"/>
                <w:snapToGrid w:val="0"/>
              </w:rPr>
            </w:pPr>
            <w:ins w:id="472" w:author="Master Repository Process" w:date="2021-08-01T12:38:00Z">
              <w:r>
                <w:rPr>
                  <w:rFonts w:ascii="Times" w:hAnsi="Times"/>
                  <w:snapToGrid w:val="0"/>
                </w:rPr>
                <w:t>r. 1 and 2: 2 Oct 2015 (see r. 2(a));</w:t>
              </w:r>
              <w:r>
                <w:rPr>
                  <w:rFonts w:ascii="Times" w:hAnsi="Times"/>
                  <w:snapToGrid w:val="0"/>
                </w:rPr>
                <w:br/>
                <w:t>Regulations other than r. 1 and 2: 3 Oct 2015 (see r. 2(b))</w:t>
              </w:r>
            </w:ins>
          </w:p>
        </w:tc>
      </w:tr>
    </w:tbl>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w:t>
      </w:r>
      <w:ins w:id="473" w:author="Master Repository Process" w:date="2021-08-01T12:38:00Z">
        <w:r>
          <w:rPr>
            <w:snapToGrid w:val="0"/>
          </w:rPr>
          <w:t xml:space="preserve">the regulations </w:t>
        </w:r>
      </w:ins>
      <w:r>
        <w:rPr>
          <w:snapToGrid w:val="0"/>
        </w:rPr>
        <w:t>it</w:t>
      </w:r>
      <w:ins w:id="474" w:author="Master Repository Process" w:date="2021-08-01T12:38:00Z">
        <w:r>
          <w:rPr>
            <w:snapToGrid w:val="0"/>
          </w:rPr>
          <w:t xml:space="preserve"> sought to amend</w:t>
        </w:r>
      </w:ins>
      <w:r>
        <w:rPr>
          <w:snapToGrid w:val="0"/>
        </w:rPr>
        <w:t xml:space="preserve"> was deleted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directors and related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directors and related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19661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0726"/>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722" w:val="RemoveTocBookmarks,RemoveLanguageTags,RemoveTrackChanges,RunningHeaders"/>
    <w:docVar w:name="WAFER_20140317150722_GUID" w:val="05304501-ac30-4c86-b658-b011f3da38cf"/>
    <w:docVar w:name="WAFER_20150413121030" w:val="ResetPageSize,UpdateArrangement,UpdateNTable"/>
    <w:docVar w:name="WAFER_20150413121030_GUID" w:val="833008e1-a1a3-414f-bf08-4d047e689b48"/>
    <w:docVar w:name="WAFER_20151001160921" w:val="RemoveTocBookmarks,RemoveUnusedBookmarks,RemoveLanguageTags,UsedStyles,ResetPageSize"/>
    <w:docVar w:name="WAFER_20151001160921_GUID" w:val="663563dc-2a4a-4de3-8524-c2acde33db4d"/>
    <w:docVar w:name="WAFER_20151125093613" w:val="UpdateStyles"/>
    <w:docVar w:name="WAFER_20151125093613_GUID" w:val="b0dba2d0-9cdb-4147-b8de-dac0dcdd3eab"/>
    <w:docVar w:name="WAFER_20151126130726" w:val="UsedStyles"/>
    <w:docVar w:name="WAFER_20151126130726_GUID" w:val="7e27f054-4681-49f3-b324-26b2a8ceb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0B57106-8EDF-4217-81CD-08C7719B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13307</Words>
  <Characters>63878</Characters>
  <Application>Microsoft Office Word</Application>
  <DocSecurity>0</DocSecurity>
  <Lines>1681</Lines>
  <Paragraphs>1002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01-a0-03 - 01-b0-02</dc:title>
  <dc:subject/>
  <dc:creator/>
  <cp:keywords/>
  <dc:description/>
  <cp:lastModifiedBy>Master Repository Process</cp:lastModifiedBy>
  <cp:revision>2</cp:revision>
  <cp:lastPrinted>2014-02-27T03:31:00Z</cp:lastPrinted>
  <dcterms:created xsi:type="dcterms:W3CDTF">2021-08-01T04:37:00Z</dcterms:created>
  <dcterms:modified xsi:type="dcterms:W3CDTF">2021-08-01T04:38:00Z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OwlsUID">
    <vt:i4>34954</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2014-03-06T16:00:00Z</vt:filetime>
  </property>
  <property fmtid="{D5CDD505-2E9C-101B-9397-08002B2CF9AE}" pid="7" name="CommencementDate">
    <vt:lpwstr>20151003</vt:lpwstr>
  </property>
  <property fmtid="{D5CDD505-2E9C-101B-9397-08002B2CF9AE}" pid="8" name="FromSuffix">
    <vt:lpwstr>01-a0-03</vt:lpwstr>
  </property>
  <property fmtid="{D5CDD505-2E9C-101B-9397-08002B2CF9AE}" pid="9" name="FromAsAtDate">
    <vt:lpwstr>07 Mar 2014</vt:lpwstr>
  </property>
  <property fmtid="{D5CDD505-2E9C-101B-9397-08002B2CF9AE}" pid="10" name="ToSuffix">
    <vt:lpwstr>01-b0-02</vt:lpwstr>
  </property>
  <property fmtid="{D5CDD505-2E9C-101B-9397-08002B2CF9AE}" pid="11" name="ToAsAtDate">
    <vt:lpwstr>03 Oct 2015</vt:lpwstr>
  </property>
</Properties>
</file>