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06-n0-00</w:t>
      </w:r>
      <w:r>
        <w:fldChar w:fldCharType="end"/>
      </w:r>
      <w:r>
        <w:t>] and [</w:t>
      </w:r>
      <w:r>
        <w:fldChar w:fldCharType="begin"/>
      </w:r>
      <w:r>
        <w:instrText xml:space="preserve"> DocProperty ToAsAtDate</w:instrText>
      </w:r>
      <w:r>
        <w:fldChar w:fldCharType="separate"/>
      </w:r>
      <w:r>
        <w:t>23 Oct 2015</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9T01:24:00Z"/>
        </w:trPr>
        <w:tc>
          <w:tcPr>
            <w:tcW w:w="2434" w:type="dxa"/>
            <w:vMerge w:val="restart"/>
          </w:tcPr>
          <w:p>
            <w:pPr>
              <w:rPr>
                <w:ins w:id="2" w:author="svcMRProcess" w:date="2018-09-09T01:24:00Z"/>
              </w:rPr>
            </w:pPr>
          </w:p>
        </w:tc>
        <w:tc>
          <w:tcPr>
            <w:tcW w:w="2434" w:type="dxa"/>
            <w:vMerge w:val="restart"/>
          </w:tcPr>
          <w:p>
            <w:pPr>
              <w:jc w:val="center"/>
              <w:rPr>
                <w:ins w:id="3" w:author="svcMRProcess" w:date="2018-09-09T01:24:00Z"/>
              </w:rPr>
            </w:pPr>
            <w:ins w:id="4" w:author="svcMRProcess" w:date="2018-09-09T01: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9T01:24:00Z"/>
              </w:rPr>
            </w:pPr>
            <w:ins w:id="6" w:author="svcMRProcess" w:date="2018-09-09T01:24:00Z">
              <w:r>
                <w:rPr>
                  <w:b/>
                  <w:sz w:val="22"/>
                </w:rPr>
                <w:t xml:space="preserve">Reprinted under the </w:t>
              </w:r>
              <w:r>
                <w:rPr>
                  <w:b/>
                  <w:i/>
                  <w:sz w:val="22"/>
                </w:rPr>
                <w:t>Reprints Act 1984</w:t>
              </w:r>
              <w:r>
                <w:rPr>
                  <w:b/>
                  <w:sz w:val="22"/>
                </w:rPr>
                <w:t xml:space="preserve"> as</w:t>
              </w:r>
            </w:ins>
          </w:p>
        </w:tc>
      </w:tr>
      <w:tr>
        <w:trPr>
          <w:cantSplit/>
          <w:ins w:id="7" w:author="svcMRProcess" w:date="2018-09-09T01:24:00Z"/>
        </w:trPr>
        <w:tc>
          <w:tcPr>
            <w:tcW w:w="2434" w:type="dxa"/>
            <w:vMerge/>
          </w:tcPr>
          <w:p>
            <w:pPr>
              <w:rPr>
                <w:ins w:id="8" w:author="svcMRProcess" w:date="2018-09-09T01:24:00Z"/>
              </w:rPr>
            </w:pPr>
          </w:p>
        </w:tc>
        <w:tc>
          <w:tcPr>
            <w:tcW w:w="2434" w:type="dxa"/>
            <w:vMerge/>
          </w:tcPr>
          <w:p>
            <w:pPr>
              <w:jc w:val="center"/>
              <w:rPr>
                <w:ins w:id="9" w:author="svcMRProcess" w:date="2018-09-09T01:24:00Z"/>
              </w:rPr>
            </w:pPr>
          </w:p>
        </w:tc>
        <w:tc>
          <w:tcPr>
            <w:tcW w:w="2434" w:type="dxa"/>
          </w:tcPr>
          <w:p>
            <w:pPr>
              <w:keepNext/>
              <w:rPr>
                <w:ins w:id="10" w:author="svcMRProcess" w:date="2018-09-09T01:24:00Z"/>
                <w:b/>
                <w:sz w:val="22"/>
              </w:rPr>
            </w:pPr>
            <w:ins w:id="11" w:author="svcMRProcess" w:date="2018-09-09T01:24:00Z">
              <w:r>
                <w:rPr>
                  <w:b/>
                  <w:sz w:val="22"/>
                </w:rPr>
                <w:t>at 23 October 2015</w:t>
              </w:r>
            </w:ins>
          </w:p>
        </w:tc>
      </w:tr>
    </w:tbl>
    <w:p>
      <w:pPr>
        <w:pStyle w:val="WA"/>
        <w:spacing w:before="12"/>
      </w:pPr>
      <w:r>
        <w:t>Western Australia</w:t>
      </w:r>
    </w:p>
    <w:p>
      <w:pPr>
        <w:pStyle w:val="NameofActReg"/>
        <w:spacing w:before="680" w:after="800"/>
      </w:pPr>
      <w:r>
        <w:t>Spent Convictions Act 1988</w:t>
      </w:r>
    </w:p>
    <w:p>
      <w:pPr>
        <w:pStyle w:val="LongTitle"/>
        <w:rPr>
          <w:snapToGrid w:val="0"/>
        </w:rPr>
      </w:pPr>
      <w:r>
        <w:rPr>
          <w:snapToGrid w:val="0"/>
        </w:rPr>
        <w:t>A</w:t>
      </w:r>
      <w:bookmarkStart w:id="12" w:name="_GoBack"/>
      <w:bookmarkEnd w:id="12"/>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3" w:name="_Toc426969240"/>
      <w:bookmarkStart w:id="14" w:name="_Toc430944590"/>
      <w:bookmarkStart w:id="15" w:name="_Toc434404267"/>
      <w:bookmarkStart w:id="16" w:name="_Toc402970297"/>
      <w:bookmarkStart w:id="17" w:name="_Toc406080762"/>
      <w:bookmarkStart w:id="18" w:name="_Toc406080824"/>
      <w:bookmarkStart w:id="19" w:name="_Toc413144379"/>
      <w:bookmarkStart w:id="20" w:name="_Toc413144440"/>
      <w:bookmarkStart w:id="21" w:name="_Toc413403141"/>
      <w:bookmarkStart w:id="22" w:name="_Toc413404578"/>
      <w:bookmarkStart w:id="23" w:name="_Toc423333684"/>
      <w:bookmarkStart w:id="24" w:name="_Toc423594231"/>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34404268"/>
      <w:bookmarkStart w:id="26" w:name="_Toc406080825"/>
      <w:bookmarkStart w:id="27" w:name="_Toc423594232"/>
      <w:r>
        <w:rPr>
          <w:rStyle w:val="CharSectno"/>
        </w:rPr>
        <w:t>1</w:t>
      </w:r>
      <w:r>
        <w:rPr>
          <w:snapToGrid w:val="0"/>
        </w:rPr>
        <w:t>.</w:t>
      </w:r>
      <w:r>
        <w:rPr>
          <w:snapToGrid w:val="0"/>
        </w:rPr>
        <w:tab/>
        <w:t>Short title</w:t>
      </w:r>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28" w:name="_Toc434404269"/>
      <w:bookmarkStart w:id="29" w:name="_Toc406080826"/>
      <w:bookmarkStart w:id="30" w:name="_Toc423594233"/>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434404270"/>
      <w:bookmarkStart w:id="32" w:name="_Toc406080827"/>
      <w:bookmarkStart w:id="33" w:name="_Toc423594234"/>
      <w:r>
        <w:rPr>
          <w:rStyle w:val="CharSectno"/>
        </w:rPr>
        <w:t>3</w:t>
      </w:r>
      <w:r>
        <w:rPr>
          <w:snapToGrid w:val="0"/>
        </w:rPr>
        <w:t>.</w:t>
      </w:r>
      <w:r>
        <w:rPr>
          <w:snapToGrid w:val="0"/>
        </w:rPr>
        <w:tab/>
        <w:t>Terms used</w:t>
      </w:r>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240"/>
        <w:rPr>
          <w:snapToGrid w:val="0"/>
        </w:rPr>
      </w:pPr>
      <w:bookmarkStart w:id="34" w:name="_Toc434404271"/>
      <w:bookmarkStart w:id="35" w:name="_Toc406080828"/>
      <w:bookmarkStart w:id="36" w:name="_Toc423594235"/>
      <w:r>
        <w:rPr>
          <w:rStyle w:val="CharSectno"/>
        </w:rPr>
        <w:t>4</w:t>
      </w:r>
      <w:r>
        <w:rPr>
          <w:snapToGrid w:val="0"/>
        </w:rPr>
        <w:t>.</w:t>
      </w:r>
      <w:r>
        <w:rPr>
          <w:snapToGrid w:val="0"/>
        </w:rPr>
        <w:tab/>
        <w:t>Convictions to which Act does not apply</w:t>
      </w:r>
      <w:bookmarkEnd w:id="34"/>
      <w:bookmarkEnd w:id="35"/>
      <w:bookmarkEnd w:id="36"/>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240"/>
        <w:rPr>
          <w:snapToGrid w:val="0"/>
        </w:rPr>
      </w:pPr>
      <w:bookmarkStart w:id="37" w:name="_Toc434404272"/>
      <w:bookmarkStart w:id="38" w:name="_Toc406080829"/>
      <w:bookmarkStart w:id="39" w:name="_Toc423594236"/>
      <w:r>
        <w:rPr>
          <w:rStyle w:val="CharSectno"/>
        </w:rPr>
        <w:t>5</w:t>
      </w:r>
      <w:r>
        <w:rPr>
          <w:snapToGrid w:val="0"/>
        </w:rPr>
        <w:t>.</w:t>
      </w:r>
      <w:r>
        <w:rPr>
          <w:snapToGrid w:val="0"/>
        </w:rPr>
        <w:tab/>
        <w:t>Act binds Crown</w:t>
      </w:r>
      <w:bookmarkEnd w:id="37"/>
      <w:bookmarkEnd w:id="38"/>
      <w:bookmarkEnd w:id="39"/>
    </w:p>
    <w:p>
      <w:pPr>
        <w:pStyle w:val="Subsection"/>
        <w:spacing w:before="100"/>
        <w:rPr>
          <w:snapToGrid w:val="0"/>
        </w:rPr>
      </w:pPr>
      <w:r>
        <w:rPr>
          <w:snapToGrid w:val="0"/>
        </w:rPr>
        <w:tab/>
      </w:r>
      <w:r>
        <w:rPr>
          <w:snapToGrid w:val="0"/>
        </w:rPr>
        <w:tab/>
        <w:t>This Act binds the Crown.</w:t>
      </w:r>
    </w:p>
    <w:p>
      <w:pPr>
        <w:pStyle w:val="Heading2"/>
      </w:pPr>
      <w:bookmarkStart w:id="40" w:name="_Toc426969246"/>
      <w:bookmarkStart w:id="41" w:name="_Toc430944596"/>
      <w:bookmarkStart w:id="42" w:name="_Toc434404273"/>
      <w:bookmarkStart w:id="43" w:name="_Toc402970303"/>
      <w:bookmarkStart w:id="44" w:name="_Toc406080768"/>
      <w:bookmarkStart w:id="45" w:name="_Toc406080830"/>
      <w:bookmarkStart w:id="46" w:name="_Toc413144385"/>
      <w:bookmarkStart w:id="47" w:name="_Toc413144446"/>
      <w:bookmarkStart w:id="48" w:name="_Toc413403147"/>
      <w:bookmarkStart w:id="49" w:name="_Toc413404584"/>
      <w:bookmarkStart w:id="50" w:name="_Toc423333690"/>
      <w:bookmarkStart w:id="51" w:name="_Toc423594237"/>
      <w:r>
        <w:rPr>
          <w:rStyle w:val="CharPartNo"/>
        </w:rPr>
        <w:t>Part 2</w:t>
      </w:r>
      <w:r>
        <w:rPr>
          <w:rStyle w:val="CharDivNo"/>
        </w:rPr>
        <w:t> </w:t>
      </w:r>
      <w:r>
        <w:t>—</w:t>
      </w:r>
      <w:r>
        <w:rPr>
          <w:rStyle w:val="CharDivText"/>
        </w:rPr>
        <w:t> </w:t>
      </w:r>
      <w:r>
        <w:rPr>
          <w:rStyle w:val="CharPartText"/>
        </w:rPr>
        <w:t>Requirements for convictions to become spent</w:t>
      </w:r>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34404274"/>
      <w:bookmarkStart w:id="53" w:name="_Toc406080831"/>
      <w:bookmarkStart w:id="54" w:name="_Toc423594238"/>
      <w:r>
        <w:rPr>
          <w:rStyle w:val="CharSectno"/>
        </w:rPr>
        <w:t>6</w:t>
      </w:r>
      <w:r>
        <w:rPr>
          <w:snapToGrid w:val="0"/>
        </w:rPr>
        <w:t>.</w:t>
      </w:r>
      <w:r>
        <w:rPr>
          <w:snapToGrid w:val="0"/>
        </w:rPr>
        <w:tab/>
        <w:t>Serious convictions</w:t>
      </w:r>
      <w:bookmarkEnd w:id="52"/>
      <w:bookmarkEnd w:id="53"/>
      <w:bookmarkEnd w:id="5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55" w:name="_Toc434404275"/>
      <w:bookmarkStart w:id="56" w:name="_Toc406080832"/>
      <w:bookmarkStart w:id="57" w:name="_Toc423594239"/>
      <w:r>
        <w:rPr>
          <w:rStyle w:val="CharSectno"/>
        </w:rPr>
        <w:t>7</w:t>
      </w:r>
      <w:r>
        <w:rPr>
          <w:snapToGrid w:val="0"/>
        </w:rPr>
        <w:t>.</w:t>
      </w:r>
      <w:r>
        <w:rPr>
          <w:snapToGrid w:val="0"/>
        </w:rPr>
        <w:tab/>
        <w:t>Lesser convictions</w:t>
      </w:r>
      <w:bookmarkEnd w:id="55"/>
      <w:bookmarkEnd w:id="56"/>
      <w:bookmarkEnd w:id="57"/>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58" w:name="_Toc434404276"/>
      <w:bookmarkStart w:id="59" w:name="_Toc406080833"/>
      <w:bookmarkStart w:id="60" w:name="_Toc423594240"/>
      <w:r>
        <w:rPr>
          <w:rStyle w:val="CharSectno"/>
        </w:rPr>
        <w:t>8</w:t>
      </w:r>
      <w:r>
        <w:rPr>
          <w:snapToGrid w:val="0"/>
        </w:rPr>
        <w:t>.</w:t>
      </w:r>
      <w:r>
        <w:rPr>
          <w:snapToGrid w:val="0"/>
        </w:rPr>
        <w:tab/>
        <w:t>Convictions in other jurisdictions (Sch. 2)</w:t>
      </w:r>
      <w:bookmarkEnd w:id="58"/>
      <w:bookmarkEnd w:id="59"/>
      <w:bookmarkEnd w:id="6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61" w:name="_Toc434404277"/>
      <w:bookmarkStart w:id="62" w:name="_Toc406080834"/>
      <w:bookmarkStart w:id="63" w:name="_Toc423594241"/>
      <w:r>
        <w:rPr>
          <w:rStyle w:val="CharSectno"/>
        </w:rPr>
        <w:t>9</w:t>
      </w:r>
      <w:r>
        <w:rPr>
          <w:snapToGrid w:val="0"/>
        </w:rPr>
        <w:t>.</w:t>
      </w:r>
      <w:r>
        <w:rPr>
          <w:snapToGrid w:val="0"/>
        </w:rPr>
        <w:tab/>
        <w:t>Term used: serious conviction</w:t>
      </w:r>
      <w:bookmarkEnd w:id="61"/>
      <w:bookmarkEnd w:id="62"/>
      <w:bookmarkEnd w:id="63"/>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64" w:name="_Toc434404278"/>
      <w:bookmarkStart w:id="65" w:name="_Toc406080835"/>
      <w:bookmarkStart w:id="66" w:name="_Toc423594242"/>
      <w:r>
        <w:rPr>
          <w:rStyle w:val="CharSectno"/>
        </w:rPr>
        <w:t>10</w:t>
      </w:r>
      <w:r>
        <w:rPr>
          <w:snapToGrid w:val="0"/>
        </w:rPr>
        <w:t>.</w:t>
      </w:r>
      <w:r>
        <w:rPr>
          <w:snapToGrid w:val="0"/>
        </w:rPr>
        <w:tab/>
        <w:t>Term used: lesser conviction</w:t>
      </w:r>
      <w:bookmarkEnd w:id="64"/>
      <w:bookmarkEnd w:id="65"/>
      <w:bookmarkEnd w:id="66"/>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67" w:name="_Toc434404279"/>
      <w:bookmarkStart w:id="68" w:name="_Toc406080836"/>
      <w:bookmarkStart w:id="69" w:name="_Toc423594243"/>
      <w:r>
        <w:rPr>
          <w:rStyle w:val="CharSectno"/>
        </w:rPr>
        <w:t>11</w:t>
      </w:r>
      <w:r>
        <w:rPr>
          <w:snapToGrid w:val="0"/>
        </w:rPr>
        <w:t>.</w:t>
      </w:r>
      <w:r>
        <w:rPr>
          <w:snapToGrid w:val="0"/>
        </w:rPr>
        <w:tab/>
        <w:t>P</w:t>
      </w:r>
      <w:r>
        <w:t>rescribed period, defined</w:t>
      </w:r>
      <w:bookmarkEnd w:id="67"/>
      <w:bookmarkEnd w:id="68"/>
      <w:bookmarkEnd w:id="69"/>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by No. 45 of 2010 s. 10; No. 45 of 2011 s. 13; No. 56 of 2011 s. 13.]</w:t>
      </w:r>
    </w:p>
    <w:p>
      <w:pPr>
        <w:pStyle w:val="Heading2"/>
      </w:pPr>
      <w:bookmarkStart w:id="70" w:name="_Toc426969253"/>
      <w:bookmarkStart w:id="71" w:name="_Toc430944603"/>
      <w:bookmarkStart w:id="72" w:name="_Toc434404280"/>
      <w:bookmarkStart w:id="73" w:name="_Toc402970310"/>
      <w:bookmarkStart w:id="74" w:name="_Toc406080775"/>
      <w:bookmarkStart w:id="75" w:name="_Toc406080837"/>
      <w:bookmarkStart w:id="76" w:name="_Toc413144392"/>
      <w:bookmarkStart w:id="77" w:name="_Toc413144453"/>
      <w:bookmarkStart w:id="78" w:name="_Toc413403154"/>
      <w:bookmarkStart w:id="79" w:name="_Toc413404591"/>
      <w:bookmarkStart w:id="80" w:name="_Toc423333697"/>
      <w:bookmarkStart w:id="81" w:name="_Toc423594244"/>
      <w:r>
        <w:rPr>
          <w:rStyle w:val="CharPartNo"/>
        </w:rPr>
        <w:t>Part 3</w:t>
      </w:r>
      <w:r>
        <w:t> — </w:t>
      </w:r>
      <w:r>
        <w:rPr>
          <w:rStyle w:val="CharPartText"/>
        </w:rPr>
        <w:t>Effect of a conviction becoming spent</w:t>
      </w:r>
      <w:bookmarkEnd w:id="70"/>
      <w:bookmarkEnd w:id="71"/>
      <w:bookmarkEnd w:id="72"/>
      <w:bookmarkEnd w:id="73"/>
      <w:bookmarkEnd w:id="74"/>
      <w:bookmarkEnd w:id="75"/>
      <w:bookmarkEnd w:id="76"/>
      <w:bookmarkEnd w:id="77"/>
      <w:bookmarkEnd w:id="78"/>
      <w:bookmarkEnd w:id="79"/>
      <w:bookmarkEnd w:id="80"/>
      <w:bookmarkEnd w:id="81"/>
    </w:p>
    <w:p>
      <w:pPr>
        <w:pStyle w:val="Heading3"/>
        <w:spacing w:before="260"/>
      </w:pPr>
      <w:bookmarkStart w:id="82" w:name="_Toc426969254"/>
      <w:bookmarkStart w:id="83" w:name="_Toc430944604"/>
      <w:bookmarkStart w:id="84" w:name="_Toc434404281"/>
      <w:bookmarkStart w:id="85" w:name="_Toc402970311"/>
      <w:bookmarkStart w:id="86" w:name="_Toc406080776"/>
      <w:bookmarkStart w:id="87" w:name="_Toc406080838"/>
      <w:bookmarkStart w:id="88" w:name="_Toc413144393"/>
      <w:bookmarkStart w:id="89" w:name="_Toc413144454"/>
      <w:bookmarkStart w:id="90" w:name="_Toc413403155"/>
      <w:bookmarkStart w:id="91" w:name="_Toc413404592"/>
      <w:bookmarkStart w:id="92" w:name="_Toc423333698"/>
      <w:bookmarkStart w:id="93" w:name="_Toc423594245"/>
      <w:r>
        <w:rPr>
          <w:rStyle w:val="CharDivNo"/>
        </w:rPr>
        <w:t>Division 1</w:t>
      </w:r>
      <w:r>
        <w:rPr>
          <w:snapToGrid w:val="0"/>
        </w:rPr>
        <w:t> — </w:t>
      </w:r>
      <w:r>
        <w:rPr>
          <w:rStyle w:val="CharDivText"/>
        </w:rPr>
        <w:t>Application</w:t>
      </w:r>
      <w:bookmarkEnd w:id="82"/>
      <w:bookmarkEnd w:id="83"/>
      <w:bookmarkEnd w:id="84"/>
      <w:bookmarkEnd w:id="85"/>
      <w:bookmarkEnd w:id="86"/>
      <w:bookmarkEnd w:id="87"/>
      <w:bookmarkEnd w:id="88"/>
      <w:bookmarkEnd w:id="89"/>
      <w:bookmarkEnd w:id="90"/>
      <w:bookmarkEnd w:id="91"/>
      <w:bookmarkEnd w:id="92"/>
      <w:bookmarkEnd w:id="93"/>
    </w:p>
    <w:p>
      <w:pPr>
        <w:pStyle w:val="Heading5"/>
        <w:spacing w:before="240"/>
        <w:rPr>
          <w:snapToGrid w:val="0"/>
        </w:rPr>
      </w:pPr>
      <w:bookmarkStart w:id="94" w:name="_Toc434404282"/>
      <w:bookmarkStart w:id="95" w:name="_Toc406080839"/>
      <w:bookmarkStart w:id="96" w:name="_Toc423594246"/>
      <w:r>
        <w:rPr>
          <w:rStyle w:val="CharSectno"/>
        </w:rPr>
        <w:t>12</w:t>
      </w:r>
      <w:r>
        <w:rPr>
          <w:snapToGrid w:val="0"/>
        </w:rPr>
        <w:t>.</w:t>
      </w:r>
      <w:r>
        <w:rPr>
          <w:snapToGrid w:val="0"/>
        </w:rPr>
        <w:tab/>
        <w:t>Application of Part 3</w:t>
      </w:r>
      <w:bookmarkEnd w:id="94"/>
      <w:bookmarkEnd w:id="95"/>
      <w:bookmarkEnd w:id="9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97" w:name="_Toc434404283"/>
      <w:bookmarkStart w:id="98" w:name="_Toc406080840"/>
      <w:bookmarkStart w:id="99" w:name="_Toc423594247"/>
      <w:r>
        <w:rPr>
          <w:rStyle w:val="CharSectno"/>
        </w:rPr>
        <w:t>13</w:t>
      </w:r>
      <w:r>
        <w:rPr>
          <w:snapToGrid w:val="0"/>
        </w:rPr>
        <w:t>.</w:t>
      </w:r>
      <w:r>
        <w:rPr>
          <w:snapToGrid w:val="0"/>
        </w:rPr>
        <w:tab/>
        <w:t>Effect of Part 3 on other laws</w:t>
      </w:r>
      <w:bookmarkEnd w:id="97"/>
      <w:bookmarkEnd w:id="98"/>
      <w:bookmarkEnd w:id="99"/>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100" w:name="_Toc426969257"/>
      <w:bookmarkStart w:id="101" w:name="_Toc430944607"/>
      <w:bookmarkStart w:id="102" w:name="_Toc434404284"/>
      <w:bookmarkStart w:id="103" w:name="_Toc402970314"/>
      <w:bookmarkStart w:id="104" w:name="_Toc406080779"/>
      <w:bookmarkStart w:id="105" w:name="_Toc406080841"/>
      <w:bookmarkStart w:id="106" w:name="_Toc413144396"/>
      <w:bookmarkStart w:id="107" w:name="_Toc413144457"/>
      <w:bookmarkStart w:id="108" w:name="_Toc413403158"/>
      <w:bookmarkStart w:id="109" w:name="_Toc413404595"/>
      <w:bookmarkStart w:id="110" w:name="_Toc423333701"/>
      <w:bookmarkStart w:id="111" w:name="_Toc423594248"/>
      <w:r>
        <w:rPr>
          <w:rStyle w:val="CharDivNo"/>
        </w:rPr>
        <w:t>Division 2</w:t>
      </w:r>
      <w:r>
        <w:rPr>
          <w:snapToGrid w:val="0"/>
        </w:rPr>
        <w:t> — </w:t>
      </w:r>
      <w:r>
        <w:rPr>
          <w:rStyle w:val="CharDivText"/>
        </w:rPr>
        <w:t>Exceptions</w:t>
      </w:r>
      <w:bookmarkEnd w:id="100"/>
      <w:bookmarkEnd w:id="101"/>
      <w:bookmarkEnd w:id="102"/>
      <w:bookmarkEnd w:id="103"/>
      <w:bookmarkEnd w:id="104"/>
      <w:bookmarkEnd w:id="105"/>
      <w:bookmarkEnd w:id="106"/>
      <w:bookmarkEnd w:id="107"/>
      <w:bookmarkEnd w:id="108"/>
      <w:bookmarkEnd w:id="109"/>
      <w:bookmarkEnd w:id="110"/>
      <w:bookmarkEnd w:id="111"/>
    </w:p>
    <w:p>
      <w:pPr>
        <w:pStyle w:val="Heading5"/>
        <w:spacing w:before="160"/>
        <w:rPr>
          <w:snapToGrid w:val="0"/>
        </w:rPr>
      </w:pPr>
      <w:bookmarkStart w:id="112" w:name="_Toc434404285"/>
      <w:bookmarkStart w:id="113" w:name="_Toc406080842"/>
      <w:bookmarkStart w:id="114" w:name="_Toc423594249"/>
      <w:r>
        <w:rPr>
          <w:rStyle w:val="CharSectno"/>
        </w:rPr>
        <w:t>14</w:t>
      </w:r>
      <w:r>
        <w:t>.</w:t>
      </w:r>
      <w:r>
        <w:rPr>
          <w:snapToGrid w:val="0"/>
        </w:rPr>
        <w:tab/>
        <w:t>Div. 4 does not affect certain matters</w:t>
      </w:r>
      <w:bookmarkEnd w:id="112"/>
      <w:bookmarkEnd w:id="113"/>
      <w:bookmarkEnd w:id="114"/>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115" w:name="_Toc434404286"/>
      <w:bookmarkStart w:id="116" w:name="_Toc406080843"/>
      <w:bookmarkStart w:id="117" w:name="_Toc423594250"/>
      <w:r>
        <w:rPr>
          <w:rStyle w:val="CharSectno"/>
        </w:rPr>
        <w:t>15</w:t>
      </w:r>
      <w:r>
        <w:rPr>
          <w:snapToGrid w:val="0"/>
        </w:rPr>
        <w:t>.</w:t>
      </w:r>
      <w:r>
        <w:rPr>
          <w:snapToGrid w:val="0"/>
        </w:rPr>
        <w:tab/>
        <w:t>Bail decisions not affected by s. 25, 26 or 27</w:t>
      </w:r>
      <w:bookmarkEnd w:id="115"/>
      <w:bookmarkEnd w:id="116"/>
      <w:bookmarkEnd w:id="11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118" w:name="_Toc434404287"/>
      <w:bookmarkStart w:id="119" w:name="_Toc406080844"/>
      <w:bookmarkStart w:id="120" w:name="_Toc423594251"/>
      <w:r>
        <w:rPr>
          <w:rStyle w:val="CharSectno"/>
        </w:rPr>
        <w:t>16</w:t>
      </w:r>
      <w:r>
        <w:rPr>
          <w:snapToGrid w:val="0"/>
        </w:rPr>
        <w:t>.</w:t>
      </w:r>
      <w:r>
        <w:rPr>
          <w:snapToGrid w:val="0"/>
        </w:rPr>
        <w:tab/>
        <w:t>Further exceptions to Part 3</w:t>
      </w:r>
      <w:bookmarkEnd w:id="118"/>
      <w:bookmarkEnd w:id="119"/>
      <w:bookmarkEnd w:id="120"/>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121" w:name="_Toc426969261"/>
      <w:bookmarkStart w:id="122" w:name="_Toc430944611"/>
      <w:bookmarkStart w:id="123" w:name="_Toc434404288"/>
      <w:bookmarkStart w:id="124" w:name="_Toc402970318"/>
      <w:bookmarkStart w:id="125" w:name="_Toc406080783"/>
      <w:bookmarkStart w:id="126" w:name="_Toc406080845"/>
      <w:bookmarkStart w:id="127" w:name="_Toc413144400"/>
      <w:bookmarkStart w:id="128" w:name="_Toc413144461"/>
      <w:bookmarkStart w:id="129" w:name="_Toc413403162"/>
      <w:bookmarkStart w:id="130" w:name="_Toc413404599"/>
      <w:bookmarkStart w:id="131" w:name="_Toc423333705"/>
      <w:bookmarkStart w:id="132" w:name="_Toc423594252"/>
      <w:r>
        <w:rPr>
          <w:rStyle w:val="CharDivNo"/>
        </w:rPr>
        <w:t>Division 3</w:t>
      </w:r>
      <w:r>
        <w:rPr>
          <w:snapToGrid w:val="0"/>
        </w:rPr>
        <w:t> — </w:t>
      </w:r>
      <w:r>
        <w:rPr>
          <w:rStyle w:val="CharDivText"/>
        </w:rPr>
        <w:t>Discrimination on ground of spent conviction</w:t>
      </w:r>
      <w:bookmarkEnd w:id="121"/>
      <w:bookmarkEnd w:id="122"/>
      <w:bookmarkEnd w:id="123"/>
      <w:bookmarkEnd w:id="124"/>
      <w:bookmarkEnd w:id="125"/>
      <w:bookmarkEnd w:id="126"/>
      <w:bookmarkEnd w:id="127"/>
      <w:bookmarkEnd w:id="128"/>
      <w:bookmarkEnd w:id="129"/>
      <w:bookmarkEnd w:id="130"/>
      <w:bookmarkEnd w:id="131"/>
      <w:bookmarkEnd w:id="132"/>
    </w:p>
    <w:p>
      <w:pPr>
        <w:pStyle w:val="Heading5"/>
        <w:spacing w:before="180"/>
        <w:rPr>
          <w:snapToGrid w:val="0"/>
        </w:rPr>
      </w:pPr>
      <w:bookmarkStart w:id="133" w:name="_Toc434404289"/>
      <w:bookmarkStart w:id="134" w:name="_Toc406080846"/>
      <w:bookmarkStart w:id="135" w:name="_Toc423594253"/>
      <w:r>
        <w:rPr>
          <w:rStyle w:val="CharSectno"/>
        </w:rPr>
        <w:t>17</w:t>
      </w:r>
      <w:r>
        <w:rPr>
          <w:snapToGrid w:val="0"/>
        </w:rPr>
        <w:t>.</w:t>
      </w:r>
      <w:r>
        <w:rPr>
          <w:snapToGrid w:val="0"/>
        </w:rPr>
        <w:tab/>
        <w:t>Terms used</w:t>
      </w:r>
      <w:bookmarkEnd w:id="133"/>
      <w:bookmarkEnd w:id="134"/>
      <w:bookmarkEnd w:id="135"/>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36" w:name="_Toc434404290"/>
      <w:bookmarkStart w:id="137" w:name="_Toc406080847"/>
      <w:bookmarkStart w:id="138" w:name="_Toc423594254"/>
      <w:r>
        <w:rPr>
          <w:rStyle w:val="CharSectno"/>
        </w:rPr>
        <w:t>18</w:t>
      </w:r>
      <w:r>
        <w:rPr>
          <w:snapToGrid w:val="0"/>
        </w:rPr>
        <w:t>.</w:t>
      </w:r>
      <w:r>
        <w:rPr>
          <w:snapToGrid w:val="0"/>
        </w:rPr>
        <w:tab/>
        <w:t>Job applicants and employees, discrimination against</w:t>
      </w:r>
      <w:bookmarkEnd w:id="136"/>
      <w:bookmarkEnd w:id="137"/>
      <w:bookmarkEnd w:id="138"/>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39" w:name="_Toc434404291"/>
      <w:bookmarkStart w:id="140" w:name="_Toc406080848"/>
      <w:bookmarkStart w:id="141" w:name="_Toc423594255"/>
      <w:r>
        <w:rPr>
          <w:rStyle w:val="CharSectno"/>
        </w:rPr>
        <w:t>19</w:t>
      </w:r>
      <w:r>
        <w:rPr>
          <w:snapToGrid w:val="0"/>
        </w:rPr>
        <w:t>.</w:t>
      </w:r>
      <w:r>
        <w:rPr>
          <w:snapToGrid w:val="0"/>
        </w:rPr>
        <w:tab/>
        <w:t>Commission agents, discrimination against</w:t>
      </w:r>
      <w:bookmarkEnd w:id="139"/>
      <w:bookmarkEnd w:id="140"/>
      <w:bookmarkEnd w:id="141"/>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42" w:name="_Toc434404292"/>
      <w:bookmarkStart w:id="143" w:name="_Toc406080849"/>
      <w:bookmarkStart w:id="144" w:name="_Toc423594256"/>
      <w:r>
        <w:rPr>
          <w:rStyle w:val="CharSectno"/>
        </w:rPr>
        <w:t>20</w:t>
      </w:r>
      <w:r>
        <w:rPr>
          <w:snapToGrid w:val="0"/>
        </w:rPr>
        <w:t>.</w:t>
      </w:r>
      <w:r>
        <w:rPr>
          <w:snapToGrid w:val="0"/>
        </w:rPr>
        <w:tab/>
        <w:t>Contract workers, discrimination against</w:t>
      </w:r>
      <w:bookmarkEnd w:id="142"/>
      <w:bookmarkEnd w:id="143"/>
      <w:bookmarkEnd w:id="144"/>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45" w:name="_Toc434404293"/>
      <w:bookmarkStart w:id="146" w:name="_Toc406080850"/>
      <w:bookmarkStart w:id="147" w:name="_Toc423594257"/>
      <w:r>
        <w:rPr>
          <w:rStyle w:val="CharSectno"/>
        </w:rPr>
        <w:t>21</w:t>
      </w:r>
      <w:r>
        <w:rPr>
          <w:snapToGrid w:val="0"/>
        </w:rPr>
        <w:t>.</w:t>
      </w:r>
      <w:r>
        <w:rPr>
          <w:snapToGrid w:val="0"/>
        </w:rPr>
        <w:tab/>
        <w:t>Organisations of workers and employers, discrimination by</w:t>
      </w:r>
      <w:bookmarkEnd w:id="145"/>
      <w:bookmarkEnd w:id="146"/>
      <w:bookmarkEnd w:id="147"/>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48" w:name="_Toc434404294"/>
      <w:bookmarkStart w:id="149" w:name="_Toc406080851"/>
      <w:bookmarkStart w:id="150" w:name="_Toc423594258"/>
      <w:r>
        <w:rPr>
          <w:rStyle w:val="CharSectno"/>
        </w:rPr>
        <w:t>22</w:t>
      </w:r>
      <w:r>
        <w:rPr>
          <w:snapToGrid w:val="0"/>
        </w:rPr>
        <w:t>.</w:t>
      </w:r>
      <w:r>
        <w:rPr>
          <w:snapToGrid w:val="0"/>
        </w:rPr>
        <w:tab/>
        <w:t xml:space="preserve">Authorities that confer </w:t>
      </w:r>
      <w:ins w:id="151" w:author="svcMRProcess" w:date="2018-09-09T01:24:00Z">
        <w:r>
          <w:rPr>
            <w:snapToGrid w:val="0"/>
          </w:rPr>
          <w:t xml:space="preserve">authorisations and </w:t>
        </w:r>
      </w:ins>
      <w:r>
        <w:rPr>
          <w:snapToGrid w:val="0"/>
        </w:rPr>
        <w:t>qualifications</w:t>
      </w:r>
      <w:del w:id="152" w:author="svcMRProcess" w:date="2018-09-09T01:24:00Z">
        <w:r>
          <w:rPr>
            <w:snapToGrid w:val="0"/>
          </w:rPr>
          <w:delText xml:space="preserve"> etc.,</w:delText>
        </w:r>
      </w:del>
      <w:ins w:id="153" w:author="svcMRProcess" w:date="2018-09-09T01:24:00Z">
        <w:r>
          <w:rPr>
            <w:snapToGrid w:val="0"/>
          </w:rPr>
          <w:t>,</w:t>
        </w:r>
      </w:ins>
      <w:r>
        <w:rPr>
          <w:snapToGrid w:val="0"/>
        </w:rPr>
        <w:t xml:space="preserve"> discrimination by</w:t>
      </w:r>
      <w:bookmarkEnd w:id="148"/>
      <w:bookmarkEnd w:id="149"/>
      <w:bookmarkEnd w:id="150"/>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54" w:name="_Toc434404295"/>
      <w:bookmarkStart w:id="155" w:name="_Toc406080852"/>
      <w:bookmarkStart w:id="156" w:name="_Toc423594259"/>
      <w:r>
        <w:rPr>
          <w:rStyle w:val="CharSectno"/>
        </w:rPr>
        <w:t>23</w:t>
      </w:r>
      <w:r>
        <w:rPr>
          <w:snapToGrid w:val="0"/>
        </w:rPr>
        <w:t>.</w:t>
      </w:r>
      <w:r>
        <w:rPr>
          <w:snapToGrid w:val="0"/>
        </w:rPr>
        <w:tab/>
        <w:t>Employment agencies, discrimination by</w:t>
      </w:r>
      <w:bookmarkEnd w:id="154"/>
      <w:bookmarkEnd w:id="155"/>
      <w:bookmarkEnd w:id="156"/>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57" w:name="_Toc434404296"/>
      <w:bookmarkStart w:id="158" w:name="_Toc406080853"/>
      <w:bookmarkStart w:id="159" w:name="_Toc423594260"/>
      <w:r>
        <w:rPr>
          <w:rStyle w:val="CharSectno"/>
        </w:rPr>
        <w:t>24</w:t>
      </w:r>
      <w:r>
        <w:rPr>
          <w:snapToGrid w:val="0"/>
        </w:rPr>
        <w:t>.</w:t>
      </w:r>
      <w:r>
        <w:rPr>
          <w:snapToGrid w:val="0"/>
        </w:rPr>
        <w:tab/>
        <w:t>Enforcement of this Division</w:t>
      </w:r>
      <w:bookmarkEnd w:id="157"/>
      <w:bookmarkEnd w:id="158"/>
      <w:bookmarkEnd w:id="15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60" w:name="_Toc426969270"/>
      <w:bookmarkStart w:id="161" w:name="_Toc430944620"/>
      <w:bookmarkStart w:id="162" w:name="_Toc434404297"/>
      <w:bookmarkStart w:id="163" w:name="_Toc402970327"/>
      <w:bookmarkStart w:id="164" w:name="_Toc406080792"/>
      <w:bookmarkStart w:id="165" w:name="_Toc406080854"/>
      <w:bookmarkStart w:id="166" w:name="_Toc413144409"/>
      <w:bookmarkStart w:id="167" w:name="_Toc413144470"/>
      <w:bookmarkStart w:id="168" w:name="_Toc413403171"/>
      <w:bookmarkStart w:id="169" w:name="_Toc413404608"/>
      <w:bookmarkStart w:id="170" w:name="_Toc423333714"/>
      <w:bookmarkStart w:id="171" w:name="_Toc423594261"/>
      <w:r>
        <w:rPr>
          <w:rStyle w:val="CharDivNo"/>
        </w:rPr>
        <w:t>Division 4</w:t>
      </w:r>
      <w:r>
        <w:rPr>
          <w:snapToGrid w:val="0"/>
        </w:rPr>
        <w:t> — </w:t>
      </w:r>
      <w:r>
        <w:rPr>
          <w:rStyle w:val="CharDivText"/>
        </w:rPr>
        <w:t>Other effects</w:t>
      </w:r>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434404298"/>
      <w:bookmarkStart w:id="173" w:name="_Toc406080855"/>
      <w:bookmarkStart w:id="174" w:name="_Toc423594262"/>
      <w:r>
        <w:rPr>
          <w:rStyle w:val="CharSectno"/>
        </w:rPr>
        <w:t>25</w:t>
      </w:r>
      <w:r>
        <w:rPr>
          <w:snapToGrid w:val="0"/>
        </w:rPr>
        <w:t>.</w:t>
      </w:r>
      <w:r>
        <w:rPr>
          <w:snapToGrid w:val="0"/>
        </w:rPr>
        <w:tab/>
        <w:t>Interpretation of written laws</w:t>
      </w:r>
      <w:bookmarkEnd w:id="172"/>
      <w:bookmarkEnd w:id="173"/>
      <w:bookmarkEnd w:id="174"/>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75" w:name="_Toc434404299"/>
      <w:bookmarkStart w:id="176" w:name="_Toc406080856"/>
      <w:bookmarkStart w:id="177" w:name="_Toc423594263"/>
      <w:r>
        <w:rPr>
          <w:rStyle w:val="CharSectno"/>
        </w:rPr>
        <w:t>26</w:t>
      </w:r>
      <w:r>
        <w:rPr>
          <w:snapToGrid w:val="0"/>
        </w:rPr>
        <w:t>.</w:t>
      </w:r>
      <w:r>
        <w:rPr>
          <w:snapToGrid w:val="0"/>
        </w:rPr>
        <w:tab/>
        <w:t>Assessment of character under written law</w:t>
      </w:r>
      <w:bookmarkEnd w:id="175"/>
      <w:bookmarkEnd w:id="176"/>
      <w:bookmarkEnd w:id="177"/>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78" w:name="_Toc434404300"/>
      <w:bookmarkStart w:id="179" w:name="_Toc406080857"/>
      <w:bookmarkStart w:id="180" w:name="_Toc423594264"/>
      <w:r>
        <w:rPr>
          <w:rStyle w:val="CharSectno"/>
        </w:rPr>
        <w:t>27</w:t>
      </w:r>
      <w:r>
        <w:rPr>
          <w:snapToGrid w:val="0"/>
        </w:rPr>
        <w:t>.</w:t>
      </w:r>
      <w:r>
        <w:rPr>
          <w:snapToGrid w:val="0"/>
        </w:rPr>
        <w:tab/>
        <w:t>Disclosure or acknowledgment of spent convictions</w:t>
      </w:r>
      <w:bookmarkEnd w:id="178"/>
      <w:bookmarkEnd w:id="179"/>
      <w:bookmarkEnd w:id="18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81" w:name="_Toc434404301"/>
      <w:bookmarkStart w:id="182" w:name="_Toc406080858"/>
      <w:bookmarkStart w:id="183" w:name="_Toc423594265"/>
      <w:r>
        <w:rPr>
          <w:rStyle w:val="CharSectno"/>
        </w:rPr>
        <w:t>28</w:t>
      </w:r>
      <w:r>
        <w:rPr>
          <w:snapToGrid w:val="0"/>
        </w:rPr>
        <w:t>.</w:t>
      </w:r>
      <w:r>
        <w:rPr>
          <w:snapToGrid w:val="0"/>
        </w:rPr>
        <w:tab/>
        <w:t>Unlawful access to criminal records</w:t>
      </w:r>
      <w:bookmarkEnd w:id="181"/>
      <w:bookmarkEnd w:id="182"/>
      <w:bookmarkEnd w:id="183"/>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84" w:name="_Toc426969275"/>
      <w:bookmarkStart w:id="185" w:name="_Toc430944625"/>
      <w:bookmarkStart w:id="186" w:name="_Toc434404302"/>
      <w:bookmarkStart w:id="187" w:name="_Toc402970332"/>
      <w:bookmarkStart w:id="188" w:name="_Toc406080797"/>
      <w:bookmarkStart w:id="189" w:name="_Toc406080859"/>
      <w:bookmarkStart w:id="190" w:name="_Toc413144414"/>
      <w:bookmarkStart w:id="191" w:name="_Toc413144475"/>
      <w:bookmarkStart w:id="192" w:name="_Toc413403176"/>
      <w:bookmarkStart w:id="193" w:name="_Toc413404613"/>
      <w:bookmarkStart w:id="194" w:name="_Toc423333719"/>
      <w:bookmarkStart w:id="195" w:name="_Toc423594266"/>
      <w:r>
        <w:rPr>
          <w:rStyle w:val="CharPartNo"/>
        </w:rPr>
        <w:t>Part 4</w:t>
      </w:r>
      <w:r>
        <w:rPr>
          <w:rStyle w:val="CharDivNo"/>
        </w:rPr>
        <w:t> </w:t>
      </w:r>
      <w:r>
        <w:t>—</w:t>
      </w:r>
      <w:r>
        <w:rPr>
          <w:rStyle w:val="CharDivText"/>
        </w:rPr>
        <w:t> </w:t>
      </w:r>
      <w:r>
        <w:rPr>
          <w:rStyle w:val="CharPartText"/>
        </w:rPr>
        <w:t>Miscellaneous</w:t>
      </w:r>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34404303"/>
      <w:bookmarkStart w:id="197" w:name="_Toc406080860"/>
      <w:bookmarkStart w:id="198" w:name="_Toc423594267"/>
      <w:r>
        <w:rPr>
          <w:rStyle w:val="CharSectno"/>
        </w:rPr>
        <w:t>29</w:t>
      </w:r>
      <w:r>
        <w:rPr>
          <w:snapToGrid w:val="0"/>
        </w:rPr>
        <w:t>.</w:t>
      </w:r>
      <w:r>
        <w:rPr>
          <w:snapToGrid w:val="0"/>
        </w:rPr>
        <w:tab/>
      </w:r>
      <w:r>
        <w:rPr>
          <w:i/>
          <w:snapToGrid w:val="0"/>
        </w:rPr>
        <w:t>Equal Opportunity Act 1984</w:t>
      </w:r>
      <w:r>
        <w:rPr>
          <w:snapToGrid w:val="0"/>
        </w:rPr>
        <w:t>, application of</w:t>
      </w:r>
      <w:bookmarkEnd w:id="196"/>
      <w:bookmarkEnd w:id="197"/>
      <w:bookmarkEnd w:id="19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99" w:name="_Toc434404304"/>
      <w:bookmarkStart w:id="200" w:name="_Toc406080861"/>
      <w:bookmarkStart w:id="201" w:name="_Toc423594268"/>
      <w:r>
        <w:rPr>
          <w:rStyle w:val="CharSectno"/>
        </w:rPr>
        <w:t>30</w:t>
      </w:r>
      <w:r>
        <w:rPr>
          <w:snapToGrid w:val="0"/>
        </w:rPr>
        <w:t>.</w:t>
      </w:r>
      <w:r>
        <w:rPr>
          <w:snapToGrid w:val="0"/>
        </w:rPr>
        <w:tab/>
        <w:t xml:space="preserve">Spent conviction not revived after parole </w:t>
      </w:r>
      <w:del w:id="202" w:author="svcMRProcess" w:date="2018-09-09T01:24:00Z">
        <w:r>
          <w:rPr>
            <w:snapToGrid w:val="0"/>
          </w:rPr>
          <w:delText>etc.</w:delText>
        </w:r>
      </w:del>
      <w:ins w:id="203" w:author="svcMRProcess" w:date="2018-09-09T01:24:00Z">
        <w:r>
          <w:rPr>
            <w:snapToGrid w:val="0"/>
          </w:rPr>
          <w:t>or early release</w:t>
        </w:r>
      </w:ins>
      <w:r>
        <w:rPr>
          <w:snapToGrid w:val="0"/>
        </w:rPr>
        <w:t xml:space="preserve"> cancelled</w:t>
      </w:r>
      <w:bookmarkEnd w:id="199"/>
      <w:bookmarkEnd w:id="200"/>
      <w:bookmarkEnd w:id="201"/>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204" w:name="_Toc434404305"/>
      <w:bookmarkStart w:id="205" w:name="_Toc406080862"/>
      <w:bookmarkStart w:id="206" w:name="_Toc423594269"/>
      <w:r>
        <w:rPr>
          <w:rStyle w:val="CharSectno"/>
        </w:rPr>
        <w:t>31</w:t>
      </w:r>
      <w:r>
        <w:rPr>
          <w:snapToGrid w:val="0"/>
        </w:rPr>
        <w:t>.</w:t>
      </w:r>
      <w:r>
        <w:rPr>
          <w:snapToGrid w:val="0"/>
        </w:rPr>
        <w:tab/>
        <w:t>Prerogative of mercy not affected</w:t>
      </w:r>
      <w:bookmarkEnd w:id="204"/>
      <w:bookmarkEnd w:id="205"/>
      <w:bookmarkEnd w:id="206"/>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207" w:name="_Toc434404306"/>
      <w:bookmarkStart w:id="208" w:name="_Toc406080863"/>
      <w:bookmarkStart w:id="209" w:name="_Toc423594270"/>
      <w:r>
        <w:rPr>
          <w:rStyle w:val="CharSectno"/>
        </w:rPr>
        <w:t>32</w:t>
      </w:r>
      <w:r>
        <w:rPr>
          <w:snapToGrid w:val="0"/>
        </w:rPr>
        <w:t>.</w:t>
      </w:r>
      <w:r>
        <w:rPr>
          <w:snapToGrid w:val="0"/>
        </w:rPr>
        <w:tab/>
        <w:t>Act applies to convictions incurred before commencement</w:t>
      </w:r>
      <w:bookmarkEnd w:id="207"/>
      <w:bookmarkEnd w:id="208"/>
      <w:bookmarkEnd w:id="209"/>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210" w:name="_Toc434404307"/>
      <w:bookmarkStart w:id="211" w:name="_Toc406080864"/>
      <w:bookmarkStart w:id="212" w:name="_Toc423594271"/>
      <w:r>
        <w:rPr>
          <w:rStyle w:val="CharSectno"/>
        </w:rPr>
        <w:t>33</w:t>
      </w:r>
      <w:r>
        <w:rPr>
          <w:snapToGrid w:val="0"/>
        </w:rPr>
        <w:t>.</w:t>
      </w:r>
      <w:r>
        <w:rPr>
          <w:snapToGrid w:val="0"/>
        </w:rPr>
        <w:tab/>
        <w:t>Regulations</w:t>
      </w:r>
      <w:bookmarkEnd w:id="210"/>
      <w:bookmarkEnd w:id="211"/>
      <w:bookmarkEnd w:id="21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13" w:name="_Toc426969281"/>
      <w:bookmarkStart w:id="214" w:name="_Toc430944631"/>
      <w:bookmarkStart w:id="215" w:name="_Toc434404308"/>
      <w:bookmarkStart w:id="216" w:name="_Toc402970338"/>
      <w:bookmarkStart w:id="217" w:name="_Toc406080803"/>
      <w:bookmarkStart w:id="218" w:name="_Toc406080865"/>
      <w:bookmarkStart w:id="219" w:name="_Toc413144420"/>
      <w:bookmarkStart w:id="220" w:name="_Toc413144481"/>
      <w:bookmarkStart w:id="221" w:name="_Toc413403182"/>
      <w:bookmarkStart w:id="222" w:name="_Toc413404619"/>
      <w:bookmarkStart w:id="223" w:name="_Toc423333725"/>
      <w:bookmarkStart w:id="224" w:name="_Toc423594272"/>
      <w:r>
        <w:rPr>
          <w:rStyle w:val="CharSchNo"/>
        </w:rPr>
        <w:t>Schedule 1</w:t>
      </w:r>
      <w:r>
        <w:t> — </w:t>
      </w:r>
      <w:r>
        <w:rPr>
          <w:rStyle w:val="CharSchText"/>
        </w:rPr>
        <w:t>Provisions relating to application under section 6(1)</w:t>
      </w:r>
      <w:bookmarkEnd w:id="213"/>
      <w:bookmarkEnd w:id="214"/>
      <w:bookmarkEnd w:id="215"/>
      <w:bookmarkEnd w:id="216"/>
      <w:bookmarkEnd w:id="217"/>
      <w:bookmarkEnd w:id="218"/>
      <w:bookmarkEnd w:id="219"/>
      <w:bookmarkEnd w:id="220"/>
      <w:bookmarkEnd w:id="221"/>
      <w:bookmarkEnd w:id="222"/>
      <w:bookmarkEnd w:id="223"/>
      <w:bookmarkEnd w:id="224"/>
    </w:p>
    <w:p>
      <w:pPr>
        <w:pStyle w:val="yShoulderClause"/>
        <w:rPr>
          <w:snapToGrid w:val="0"/>
        </w:rPr>
      </w:pPr>
      <w:r>
        <w:rPr>
          <w:snapToGrid w:val="0"/>
        </w:rPr>
        <w:t>[s. 6(3)]</w:t>
      </w:r>
    </w:p>
    <w:p>
      <w:pPr>
        <w:pStyle w:val="yFootnoteheading"/>
      </w:pPr>
      <w:r>
        <w:tab/>
        <w:t>[Heading amended by No. 19 of 2010 s. 4.]</w:t>
      </w:r>
    </w:p>
    <w:p>
      <w:pPr>
        <w:pStyle w:val="yHeading5"/>
      </w:pPr>
      <w:bookmarkStart w:id="225" w:name="_Toc406080866"/>
      <w:bookmarkStart w:id="226" w:name="_Toc423594273"/>
      <w:bookmarkStart w:id="227" w:name="_Toc434404309"/>
      <w:r>
        <w:rPr>
          <w:rStyle w:val="CharSClsNo"/>
        </w:rPr>
        <w:t>1</w:t>
      </w:r>
      <w:r>
        <w:t>.</w:t>
      </w:r>
      <w:r>
        <w:tab/>
        <w:t>Application under s. 6(1</w:t>
      </w:r>
      <w:del w:id="228" w:author="svcMRProcess" w:date="2018-09-09T01:24:00Z">
        <w:r>
          <w:delText>), content of etc.</w:delText>
        </w:r>
      </w:del>
      <w:bookmarkEnd w:id="225"/>
      <w:bookmarkEnd w:id="226"/>
      <w:ins w:id="229" w:author="svcMRProcess" w:date="2018-09-09T01:24:00Z">
        <w:r>
          <w:t>)</w:t>
        </w:r>
      </w:ins>
      <w:bookmarkEnd w:id="227"/>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230" w:name="_Toc434404310"/>
      <w:bookmarkStart w:id="231" w:name="_Toc406080867"/>
      <w:bookmarkStart w:id="232" w:name="_Toc423594274"/>
      <w:r>
        <w:rPr>
          <w:rStyle w:val="CharSClsNo"/>
        </w:rPr>
        <w:t>2</w:t>
      </w:r>
      <w:r>
        <w:rPr>
          <w:snapToGrid w:val="0"/>
        </w:rPr>
        <w:t xml:space="preserve">. </w:t>
      </w:r>
      <w:r>
        <w:rPr>
          <w:snapToGrid w:val="0"/>
        </w:rPr>
        <w:tab/>
        <w:t>Parties to application</w:t>
      </w:r>
      <w:bookmarkEnd w:id="230"/>
      <w:bookmarkEnd w:id="231"/>
      <w:bookmarkEnd w:id="232"/>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233" w:name="_Toc434404311"/>
      <w:bookmarkStart w:id="234" w:name="_Toc406080868"/>
      <w:bookmarkStart w:id="235" w:name="_Toc423594275"/>
      <w:r>
        <w:rPr>
          <w:rStyle w:val="CharSClsNo"/>
        </w:rPr>
        <w:t>3</w:t>
      </w:r>
      <w:r>
        <w:rPr>
          <w:snapToGrid w:val="0"/>
        </w:rPr>
        <w:t xml:space="preserve">. </w:t>
      </w:r>
      <w:r>
        <w:rPr>
          <w:snapToGrid w:val="0"/>
        </w:rPr>
        <w:tab/>
        <w:t>Hearing of application</w:t>
      </w:r>
      <w:bookmarkEnd w:id="233"/>
      <w:bookmarkEnd w:id="234"/>
      <w:bookmarkEnd w:id="235"/>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236" w:name="_Toc434404312"/>
      <w:bookmarkStart w:id="237" w:name="_Toc406080869"/>
      <w:bookmarkStart w:id="238" w:name="_Toc423594276"/>
      <w:r>
        <w:rPr>
          <w:rStyle w:val="CharSClsNo"/>
        </w:rPr>
        <w:t>4</w:t>
      </w:r>
      <w:r>
        <w:rPr>
          <w:snapToGrid w:val="0"/>
        </w:rPr>
        <w:t xml:space="preserve">. </w:t>
      </w:r>
      <w:r>
        <w:rPr>
          <w:snapToGrid w:val="0"/>
        </w:rPr>
        <w:tab/>
        <w:t>Rules of evidence not to apply</w:t>
      </w:r>
      <w:bookmarkEnd w:id="236"/>
      <w:bookmarkEnd w:id="237"/>
      <w:bookmarkEnd w:id="238"/>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239" w:name="_Toc434404313"/>
      <w:bookmarkStart w:id="240" w:name="_Toc406080870"/>
      <w:bookmarkStart w:id="241" w:name="_Toc423594277"/>
      <w:r>
        <w:rPr>
          <w:rStyle w:val="CharSClsNo"/>
        </w:rPr>
        <w:t>5</w:t>
      </w:r>
      <w:r>
        <w:rPr>
          <w:snapToGrid w:val="0"/>
        </w:rPr>
        <w:t xml:space="preserve">. </w:t>
      </w:r>
      <w:r>
        <w:rPr>
          <w:snapToGrid w:val="0"/>
        </w:rPr>
        <w:tab/>
        <w:t>Powers of judge and officers</w:t>
      </w:r>
      <w:bookmarkEnd w:id="239"/>
      <w:bookmarkEnd w:id="240"/>
      <w:bookmarkEnd w:id="241"/>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242" w:name="_Toc434404314"/>
      <w:bookmarkStart w:id="243" w:name="_Toc406080871"/>
      <w:bookmarkStart w:id="244" w:name="_Toc423594278"/>
      <w:r>
        <w:rPr>
          <w:rStyle w:val="CharSClsNo"/>
        </w:rPr>
        <w:t>6</w:t>
      </w:r>
      <w:r>
        <w:rPr>
          <w:snapToGrid w:val="0"/>
        </w:rPr>
        <w:t xml:space="preserve">. </w:t>
      </w:r>
      <w:r>
        <w:rPr>
          <w:snapToGrid w:val="0"/>
        </w:rPr>
        <w:tab/>
        <w:t>Witnesses</w:t>
      </w:r>
      <w:bookmarkEnd w:id="242"/>
      <w:bookmarkEnd w:id="243"/>
      <w:bookmarkEnd w:id="244"/>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245" w:name="_Toc434404315"/>
      <w:bookmarkStart w:id="246" w:name="_Toc406080872"/>
      <w:bookmarkStart w:id="247" w:name="_Toc423594279"/>
      <w:r>
        <w:rPr>
          <w:rStyle w:val="CharSClsNo"/>
        </w:rPr>
        <w:t>7</w:t>
      </w:r>
      <w:r>
        <w:rPr>
          <w:snapToGrid w:val="0"/>
        </w:rPr>
        <w:t xml:space="preserve">. </w:t>
      </w:r>
      <w:r>
        <w:rPr>
          <w:snapToGrid w:val="0"/>
        </w:rPr>
        <w:tab/>
        <w:t>Alternatives to holding hearing</w:t>
      </w:r>
      <w:bookmarkEnd w:id="245"/>
      <w:bookmarkEnd w:id="246"/>
      <w:bookmarkEnd w:id="24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248" w:name="_Toc434404316"/>
      <w:bookmarkStart w:id="249" w:name="_Toc406080873"/>
      <w:bookmarkStart w:id="250" w:name="_Toc423594280"/>
      <w:r>
        <w:rPr>
          <w:rStyle w:val="CharSClsNo"/>
        </w:rPr>
        <w:t>8</w:t>
      </w:r>
      <w:r>
        <w:rPr>
          <w:snapToGrid w:val="0"/>
        </w:rPr>
        <w:t xml:space="preserve">. </w:t>
      </w:r>
      <w:r>
        <w:rPr>
          <w:snapToGrid w:val="0"/>
        </w:rPr>
        <w:tab/>
        <w:t>Costs</w:t>
      </w:r>
      <w:bookmarkEnd w:id="248"/>
      <w:bookmarkEnd w:id="249"/>
      <w:bookmarkEnd w:id="25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251" w:name="_Toc434404317"/>
      <w:bookmarkStart w:id="252" w:name="_Toc406080874"/>
      <w:bookmarkStart w:id="253" w:name="_Toc423594281"/>
      <w:r>
        <w:rPr>
          <w:rStyle w:val="CharSClsNo"/>
        </w:rPr>
        <w:t>9</w:t>
      </w:r>
      <w:r>
        <w:rPr>
          <w:snapToGrid w:val="0"/>
        </w:rPr>
        <w:t xml:space="preserve">. </w:t>
      </w:r>
      <w:r>
        <w:rPr>
          <w:snapToGrid w:val="0"/>
        </w:rPr>
        <w:tab/>
        <w:t>Court order to be sent to applicant and police</w:t>
      </w:r>
      <w:bookmarkEnd w:id="251"/>
      <w:bookmarkEnd w:id="252"/>
      <w:bookmarkEnd w:id="253"/>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254" w:name="_Toc426969291"/>
      <w:bookmarkStart w:id="255" w:name="_Toc430944641"/>
      <w:bookmarkStart w:id="256" w:name="_Toc434404318"/>
      <w:bookmarkStart w:id="257" w:name="_Toc402970348"/>
      <w:bookmarkStart w:id="258" w:name="_Toc406080813"/>
      <w:bookmarkStart w:id="259" w:name="_Toc406080875"/>
      <w:bookmarkStart w:id="260" w:name="_Toc413144430"/>
      <w:bookmarkStart w:id="261" w:name="_Toc413144491"/>
      <w:bookmarkStart w:id="262" w:name="_Toc413403192"/>
      <w:bookmarkStart w:id="263" w:name="_Toc413404629"/>
      <w:bookmarkStart w:id="264" w:name="_Toc423333735"/>
      <w:bookmarkStart w:id="265" w:name="_Toc423594282"/>
      <w:r>
        <w:rPr>
          <w:rStyle w:val="CharSchNo"/>
        </w:rPr>
        <w:t>Schedule 2</w:t>
      </w:r>
      <w:r>
        <w:t> — </w:t>
      </w:r>
      <w:r>
        <w:rPr>
          <w:rStyle w:val="CharSchText"/>
        </w:rPr>
        <w:t>Convictions in other jurisdictions</w:t>
      </w:r>
      <w:bookmarkEnd w:id="254"/>
      <w:bookmarkEnd w:id="255"/>
      <w:bookmarkEnd w:id="256"/>
      <w:bookmarkEnd w:id="257"/>
      <w:bookmarkEnd w:id="258"/>
      <w:bookmarkEnd w:id="259"/>
      <w:bookmarkEnd w:id="260"/>
      <w:bookmarkEnd w:id="261"/>
      <w:bookmarkEnd w:id="262"/>
      <w:bookmarkEnd w:id="263"/>
      <w:bookmarkEnd w:id="264"/>
      <w:bookmarkEnd w:id="26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266" w:name="_Toc434404319"/>
      <w:bookmarkStart w:id="267" w:name="_Toc406080876"/>
      <w:bookmarkStart w:id="268" w:name="_Toc423594283"/>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266"/>
      <w:bookmarkEnd w:id="267"/>
      <w:bookmarkEnd w:id="268"/>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269" w:name="_Toc434404320"/>
      <w:bookmarkStart w:id="270" w:name="_Toc406080877"/>
      <w:bookmarkStart w:id="271" w:name="_Toc423594284"/>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269"/>
      <w:bookmarkEnd w:id="270"/>
      <w:bookmarkEnd w:id="271"/>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272" w:name="_Toc434404321"/>
      <w:bookmarkStart w:id="273" w:name="_Toc406080878"/>
      <w:bookmarkStart w:id="274" w:name="_Toc423594285"/>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272"/>
      <w:bookmarkEnd w:id="273"/>
      <w:bookmarkEnd w:id="274"/>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275" w:name="_Toc426969295"/>
      <w:bookmarkStart w:id="276" w:name="_Toc430944645"/>
      <w:bookmarkStart w:id="277" w:name="_Toc434404322"/>
      <w:bookmarkStart w:id="278" w:name="_Toc402970352"/>
      <w:bookmarkStart w:id="279" w:name="_Toc406080817"/>
      <w:bookmarkStart w:id="280" w:name="_Toc406080879"/>
      <w:bookmarkStart w:id="281" w:name="_Toc413144434"/>
      <w:bookmarkStart w:id="282" w:name="_Toc413144495"/>
      <w:bookmarkStart w:id="283" w:name="_Toc413403196"/>
      <w:bookmarkStart w:id="284" w:name="_Toc413404633"/>
      <w:bookmarkStart w:id="285" w:name="_Toc423333739"/>
      <w:bookmarkStart w:id="286" w:name="_Toc423594286"/>
      <w:r>
        <w:rPr>
          <w:rStyle w:val="CharSchNo"/>
        </w:rPr>
        <w:t>Schedule 3</w:t>
      </w:r>
      <w:r>
        <w:t> — </w:t>
      </w:r>
      <w:r>
        <w:rPr>
          <w:rStyle w:val="CharSchText"/>
        </w:rPr>
        <w:t>Exceptions to Part 3</w:t>
      </w:r>
      <w:bookmarkEnd w:id="275"/>
      <w:bookmarkEnd w:id="276"/>
      <w:bookmarkEnd w:id="277"/>
      <w:bookmarkEnd w:id="278"/>
      <w:bookmarkEnd w:id="279"/>
      <w:bookmarkEnd w:id="280"/>
      <w:bookmarkEnd w:id="281"/>
      <w:bookmarkEnd w:id="282"/>
      <w:bookmarkEnd w:id="283"/>
      <w:bookmarkEnd w:id="284"/>
      <w:bookmarkEnd w:id="285"/>
      <w:bookmarkEnd w:id="286"/>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87" w:name="_Toc434404323"/>
      <w:bookmarkStart w:id="288" w:name="_Toc406080880"/>
      <w:bookmarkStart w:id="289" w:name="_Toc423594287"/>
      <w:r>
        <w:rPr>
          <w:rStyle w:val="CharSClsNo"/>
        </w:rPr>
        <w:t>1</w:t>
      </w:r>
      <w:r>
        <w:rPr>
          <w:snapToGrid w:val="0"/>
        </w:rPr>
        <w:t>.</w:t>
      </w:r>
      <w:r>
        <w:rPr>
          <w:snapToGrid w:val="0"/>
        </w:rPr>
        <w:tab/>
      </w:r>
      <w:r>
        <w:t>Exceptions as to all spent convictions</w:t>
      </w:r>
      <w:bookmarkEnd w:id="287"/>
      <w:bookmarkEnd w:id="288"/>
      <w:bookmarkEnd w:id="28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ins w:id="290" w:author="svcMRProcess" w:date="2018-09-09T01:24:00Z"/>
        </w:trPr>
        <w:tc>
          <w:tcPr>
            <w:tcW w:w="4618" w:type="dxa"/>
          </w:tcPr>
          <w:p>
            <w:pPr>
              <w:pStyle w:val="yTableNAm"/>
              <w:keepNext/>
              <w:spacing w:before="100"/>
              <w:ind w:left="601" w:hanging="601"/>
              <w:rPr>
                <w:ins w:id="291" w:author="svcMRProcess" w:date="2018-09-09T01:24:00Z"/>
              </w:rPr>
            </w:pPr>
            <w:ins w:id="292" w:author="svcMRProcess" w:date="2018-09-09T01:24:00Z">
              <w:r>
                <w:t>2.</w:t>
              </w:r>
              <w:r>
                <w:tab/>
                <w:t>A person —</w:t>
              </w:r>
            </w:ins>
          </w:p>
          <w:p>
            <w:pPr>
              <w:pStyle w:val="yTableNAm"/>
              <w:tabs>
                <w:tab w:val="left" w:pos="1081"/>
              </w:tabs>
              <w:spacing w:before="100"/>
              <w:ind w:left="1083" w:hanging="1083"/>
              <w:rPr>
                <w:ins w:id="293" w:author="svcMRProcess" w:date="2018-09-09T01:24:00Z"/>
              </w:rPr>
            </w:pPr>
            <w:ins w:id="294" w:author="svcMRProcess" w:date="2018-09-09T01:24:00Z">
              <w:r>
                <w:tab/>
                <w:t>(a)</w:t>
              </w:r>
              <w:r>
                <w:tab/>
                <w:t>who is placed, or who is being considered for placement, as a student or trainee; or</w:t>
              </w:r>
            </w:ins>
          </w:p>
        </w:tc>
        <w:tc>
          <w:tcPr>
            <w:tcW w:w="1477" w:type="dxa"/>
            <w:gridSpan w:val="2"/>
          </w:tcPr>
          <w:p>
            <w:pPr>
              <w:pStyle w:val="yTableNAm"/>
              <w:spacing w:before="100"/>
              <w:rPr>
                <w:ins w:id="295" w:author="svcMRProcess" w:date="2018-09-09T01:24:00Z"/>
              </w:rPr>
            </w:pPr>
            <w:ins w:id="296" w:author="svcMRProcess" w:date="2018-09-09T01:24:00Z">
              <w:r>
                <w:t>Sections 18 and 20 and Division 4</w:t>
              </w:r>
            </w:ins>
          </w:p>
        </w:tc>
      </w:tr>
      <w:tr>
        <w:trPr>
          <w:gridBefore w:val="1"/>
          <w:wBefore w:w="6" w:type="dxa"/>
          <w:cantSplit/>
        </w:trPr>
        <w:tc>
          <w:tcPr>
            <w:tcW w:w="4618" w:type="dxa"/>
          </w:tcPr>
          <w:p>
            <w:pPr>
              <w:pStyle w:val="yTableNAm"/>
              <w:keepNext/>
              <w:ind w:left="601" w:hanging="601"/>
              <w:rPr>
                <w:del w:id="297" w:author="svcMRProcess" w:date="2018-09-09T01:24:00Z"/>
              </w:rPr>
            </w:pPr>
            <w:del w:id="298" w:author="svcMRProcess" w:date="2018-09-09T01:24:00Z">
              <w:r>
                <w:delText>2.</w:delText>
              </w:r>
              <w:r>
                <w:tab/>
                <w:delText>A person —</w:delText>
              </w:r>
            </w:del>
          </w:p>
          <w:p>
            <w:pPr>
              <w:pStyle w:val="yTableNAm"/>
              <w:tabs>
                <w:tab w:val="left" w:pos="1081"/>
              </w:tabs>
              <w:ind w:left="1081" w:hanging="1081"/>
              <w:rPr>
                <w:del w:id="299" w:author="svcMRProcess" w:date="2018-09-09T01:24:00Z"/>
              </w:rPr>
            </w:pPr>
            <w:del w:id="300" w:author="svcMRProcess" w:date="2018-09-09T01:24:00Z">
              <w:r>
                <w:tab/>
                <w:delText>(a)</w:delText>
              </w:r>
              <w:r>
                <w:tab/>
                <w:delText>who is placed, or who is being considered for placement, as a student or trainee; or</w:delText>
              </w:r>
            </w:del>
          </w:p>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del w:id="301" w:author="svcMRProcess" w:date="2018-09-09T01:24:00Z">
              <w:r>
                <w:delText>Sections 18 and 20 and Division 4</w:delText>
              </w:r>
            </w:del>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rPr>
                <w:del w:id="302" w:author="svcMRProcess" w:date="2018-09-09T01:24:00Z"/>
              </w:rPr>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rPr>
                <w:del w:id="303" w:author="svcMRProcess" w:date="2018-09-09T01:24:00Z"/>
              </w:rPr>
            </w:pPr>
            <w:del w:id="304" w:author="svcMRProcess" w:date="2018-09-09T01:24:00Z">
              <w:r>
                <w:tab/>
                <w:delText>(b)</w:delText>
              </w:r>
              <w:r>
                <w:tab/>
                <w:delText>a supervisor certificate,</w:delText>
              </w:r>
            </w:del>
          </w:p>
          <w:p>
            <w:pPr>
              <w:pStyle w:val="yTableNAm"/>
              <w:ind w:left="1117" w:hanging="1117"/>
            </w:pPr>
            <w:del w:id="305" w:author="svcMRProcess" w:date="2018-09-09T01:24:00Z">
              <w:r>
                <w:tab/>
                <w:delText xml:space="preserve">under the </w:delText>
              </w:r>
              <w:r>
                <w:rPr>
                  <w:i/>
                </w:rPr>
                <w:delText>Education and Care Services National Law (Western Australia)</w:delText>
              </w:r>
              <w:r>
                <w:delText>.</w:delText>
              </w:r>
            </w:del>
          </w:p>
        </w:tc>
        <w:tc>
          <w:tcPr>
            <w:tcW w:w="1465" w:type="dxa"/>
          </w:tcPr>
          <w:p>
            <w:pPr>
              <w:pStyle w:val="yTableNAm"/>
            </w:pPr>
            <w:r>
              <w:t>Sections 18, 20 and 22 and Division 4</w:t>
            </w:r>
          </w:p>
        </w:tc>
      </w:tr>
      <w:tr>
        <w:trPr>
          <w:gridBefore w:val="1"/>
          <w:wBefore w:w="6" w:type="dxa"/>
          <w:ins w:id="306" w:author="svcMRProcess" w:date="2018-09-09T01:24:00Z"/>
        </w:trPr>
        <w:tc>
          <w:tcPr>
            <w:tcW w:w="4618" w:type="dxa"/>
          </w:tcPr>
          <w:p>
            <w:pPr>
              <w:pStyle w:val="yTableNAm"/>
              <w:ind w:left="1117" w:hanging="1117"/>
              <w:rPr>
                <w:ins w:id="307" w:author="svcMRProcess" w:date="2018-09-09T01:24:00Z"/>
              </w:rPr>
            </w:pPr>
            <w:ins w:id="308" w:author="svcMRProcess" w:date="2018-09-09T01:24:00Z">
              <w:r>
                <w:tab/>
                <w:t>(b)</w:t>
              </w:r>
              <w:r>
                <w:tab/>
                <w:t>a supervisor certificate,</w:t>
              </w:r>
            </w:ins>
          </w:p>
          <w:p>
            <w:pPr>
              <w:pStyle w:val="yTableNAm"/>
              <w:ind w:left="601" w:hanging="601"/>
              <w:rPr>
                <w:ins w:id="309" w:author="svcMRProcess" w:date="2018-09-09T01:24:00Z"/>
              </w:rPr>
            </w:pPr>
            <w:ins w:id="310" w:author="svcMRProcess" w:date="2018-09-09T01:24:00Z">
              <w:r>
                <w:tab/>
                <w:t xml:space="preserve">under the </w:t>
              </w:r>
              <w:r>
                <w:rPr>
                  <w:i/>
                </w:rPr>
                <w:t>Education and Care Services National Law (Western Australia)</w:t>
              </w:r>
              <w:r>
                <w:t>.</w:t>
              </w:r>
            </w:ins>
          </w:p>
        </w:tc>
        <w:tc>
          <w:tcPr>
            <w:tcW w:w="1477" w:type="dxa"/>
            <w:gridSpan w:val="2"/>
          </w:tcPr>
          <w:p>
            <w:pPr>
              <w:pStyle w:val="yTableNAm"/>
              <w:rPr>
                <w:ins w:id="311" w:author="svcMRProcess" w:date="2018-09-09T01:24:00Z"/>
              </w:rPr>
            </w:pP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 xml:space="preserve">Alcohol and </w:t>
            </w:r>
            <w:r>
              <w:rPr>
                <w:i/>
                <w:szCs w:val="22"/>
              </w:rPr>
              <w:t>Other Drugs</w:t>
            </w:r>
            <w:r>
              <w:rPr>
                <w:i/>
              </w:rPr>
              <w:t xml:space="preserve">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No. 35 of 2014 s. 39; No. 3 of 2015 s. 18;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w:t>
      </w:r>
    </w:p>
    <w:p>
      <w:pPr>
        <w:pStyle w:val="yHeading5"/>
        <w:rPr>
          <w:snapToGrid w:val="0"/>
        </w:rPr>
      </w:pPr>
      <w:bookmarkStart w:id="312" w:name="_Toc434404324"/>
      <w:bookmarkStart w:id="313" w:name="_Toc406080881"/>
      <w:bookmarkStart w:id="314" w:name="_Toc423594288"/>
      <w:r>
        <w:rPr>
          <w:rStyle w:val="CharSClsNo"/>
        </w:rPr>
        <w:t>2</w:t>
      </w:r>
      <w:r>
        <w:rPr>
          <w:snapToGrid w:val="0"/>
        </w:rPr>
        <w:t xml:space="preserve">. </w:t>
      </w:r>
      <w:r>
        <w:rPr>
          <w:snapToGrid w:val="0"/>
        </w:rPr>
        <w:tab/>
        <w:t>Exceptions as to spent convictions for certain offences in order to protect children</w:t>
      </w:r>
      <w:bookmarkEnd w:id="312"/>
      <w:bookmarkEnd w:id="313"/>
      <w:bookmarkEnd w:id="314"/>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pStyle w:val="CentredBaseLine"/>
        <w:jc w:val="center"/>
        <w:rPr>
          <w:ins w:id="315" w:author="svcMRProcess" w:date="2018-09-09T01:24:00Z"/>
        </w:rPr>
      </w:pPr>
      <w:ins w:id="316" w:author="svcMRProcess" w:date="2018-09-09T01:2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570"/>
        </w:tabs>
        <w:ind w:left="584" w:hanging="584"/>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18" w:name="_Toc426969298"/>
      <w:bookmarkStart w:id="319" w:name="_Toc430944648"/>
      <w:bookmarkStart w:id="320" w:name="_Toc434404325"/>
      <w:bookmarkStart w:id="321" w:name="_Toc402970355"/>
      <w:bookmarkStart w:id="322" w:name="_Toc406080820"/>
      <w:bookmarkStart w:id="323" w:name="_Toc406080882"/>
      <w:bookmarkStart w:id="324" w:name="_Toc413144437"/>
      <w:bookmarkStart w:id="325" w:name="_Toc413144498"/>
      <w:bookmarkStart w:id="326" w:name="_Toc413403199"/>
      <w:bookmarkStart w:id="327" w:name="_Toc413404636"/>
      <w:bookmarkStart w:id="328" w:name="_Toc423333742"/>
      <w:bookmarkStart w:id="329" w:name="_Toc423594289"/>
      <w:r>
        <w:t>Notes</w:t>
      </w:r>
      <w:bookmarkEnd w:id="318"/>
      <w:bookmarkEnd w:id="319"/>
      <w:bookmarkEnd w:id="320"/>
      <w:bookmarkEnd w:id="321"/>
      <w:bookmarkEnd w:id="322"/>
      <w:bookmarkEnd w:id="323"/>
      <w:bookmarkEnd w:id="324"/>
      <w:bookmarkEnd w:id="325"/>
      <w:bookmarkEnd w:id="326"/>
      <w:bookmarkEnd w:id="327"/>
      <w:bookmarkEnd w:id="328"/>
      <w:bookmarkEnd w:id="329"/>
    </w:p>
    <w:p>
      <w:pPr>
        <w:pStyle w:val="nSubsection"/>
      </w:pPr>
      <w:r>
        <w:rPr>
          <w:vertAlign w:val="superscript"/>
        </w:rPr>
        <w:t>1</w:t>
      </w:r>
      <w:r>
        <w:tab/>
        <w:t xml:space="preserve">This </w:t>
      </w:r>
      <w:ins w:id="330" w:author="svcMRProcess" w:date="2018-09-09T01:24:00Z">
        <w:r>
          <w:t xml:space="preserve">reprint </w:t>
        </w:r>
      </w:ins>
      <w:r>
        <w:t xml:space="preserve">is a compilation </w:t>
      </w:r>
      <w:ins w:id="331" w:author="svcMRProcess" w:date="2018-09-09T01:24:00Z">
        <w:r>
          <w:t xml:space="preserve">as at 23 October 2015 </w:t>
        </w:r>
      </w:ins>
      <w:r>
        <w:t xml:space="preserve">of the </w:t>
      </w:r>
      <w:r>
        <w:rPr>
          <w:i/>
        </w:rPr>
        <w:t>Spent Convictions Act</w:t>
      </w:r>
      <w:del w:id="332" w:author="svcMRProcess" w:date="2018-09-09T01:24:00Z">
        <w:r>
          <w:rPr>
            <w:i/>
            <w:noProof/>
            <w:snapToGrid w:val="0"/>
          </w:rPr>
          <w:delText xml:space="preserve"> </w:delText>
        </w:r>
      </w:del>
      <w:ins w:id="333" w:author="svcMRProcess" w:date="2018-09-09T01:24:00Z">
        <w:r>
          <w:rPr>
            <w:i/>
          </w:rPr>
          <w:t> </w:t>
        </w:r>
      </w:ins>
      <w:r>
        <w:rPr>
          <w:i/>
        </w:rPr>
        <w:t xml:space="preserve">1988 </w:t>
      </w:r>
      <w:r>
        <w:t>and includes the amendments made by the other written laws referred to in the following table</w:t>
      </w:r>
      <w:r>
        <w:rPr>
          <w:vertAlign w:val="superscript"/>
        </w:rPr>
        <w:t> </w:t>
      </w:r>
      <w:r>
        <w:rPr>
          <w:snapToGrid w:val="0"/>
          <w:vertAlign w:val="superscript"/>
        </w:rPr>
        <w:t>1a, </w:t>
      </w:r>
      <w:ins w:id="334" w:author="svcMRProcess" w:date="2018-09-09T01:24:00Z">
        <w:r>
          <w:rPr>
            <w:snapToGrid w:val="0"/>
            <w:vertAlign w:val="superscript"/>
          </w:rPr>
          <w:t xml:space="preserve">7, </w:t>
        </w:r>
      </w:ins>
      <w:r>
        <w:rPr>
          <w:snapToGrid w:val="0"/>
          <w:vertAlign w:val="superscript"/>
        </w:rPr>
        <w:t>8</w:t>
      </w:r>
      <w:del w:id="335" w:author="svcMRProcess" w:date="2018-09-09T01:24:00Z">
        <w:r>
          <w:rPr>
            <w:snapToGrid w:val="0"/>
            <w:vertAlign w:val="superscript"/>
          </w:rPr>
          <w:delText>, 9</w:delText>
        </w:r>
        <w:r>
          <w:rPr>
            <w:snapToGrid w:val="0"/>
          </w:rPr>
          <w:delText xml:space="preserve">. </w:delText>
        </w:r>
      </w:del>
      <w:ins w:id="336" w:author="svcMRProcess" w:date="2018-09-09T01:24:00Z">
        <w:r>
          <w:t>.</w:t>
        </w:r>
      </w:ins>
      <w:r>
        <w:t xml:space="preserve"> The table also contains information about any reprint.</w:t>
      </w:r>
    </w:p>
    <w:p>
      <w:pPr>
        <w:pStyle w:val="nHeading3"/>
      </w:pPr>
      <w:bookmarkStart w:id="337" w:name="_Toc434404326"/>
      <w:bookmarkStart w:id="338" w:name="_Toc406080883"/>
      <w:bookmarkStart w:id="339" w:name="_Toc423594290"/>
      <w:r>
        <w:t>Compilation table</w:t>
      </w:r>
      <w:bookmarkEnd w:id="337"/>
      <w:bookmarkEnd w:id="338"/>
      <w:bookmarkEnd w:id="339"/>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5"/>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2"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7"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2" w:type="dxa"/>
          </w:tcPr>
          <w:p>
            <w:pPr>
              <w:pStyle w:val="nTable"/>
              <w:spacing w:after="40"/>
            </w:pPr>
            <w:r>
              <w:t>8 Dec 1989 (see s. 2)</w:t>
            </w:r>
          </w:p>
        </w:tc>
      </w:tr>
      <w:tr>
        <w:trPr>
          <w:cantSplit/>
        </w:trPr>
        <w:tc>
          <w:tcPr>
            <w:tcW w:w="4536"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2"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7"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2" w:type="dxa"/>
          </w:tcPr>
          <w:p>
            <w:pPr>
              <w:pStyle w:val="nTable"/>
              <w:spacing w:after="40"/>
            </w:pPr>
            <w:r>
              <w:t xml:space="preserve">1 Jan 1995 (see s. 2 and </w:t>
            </w:r>
            <w:r>
              <w:rPr>
                <w:i/>
              </w:rPr>
              <w:t>Gazette</w:t>
            </w:r>
            <w:r>
              <w:t xml:space="preserve"> 25 Nov 1994 p. 5905)</w:t>
            </w:r>
          </w:p>
        </w:tc>
      </w:tr>
      <w:tr>
        <w:trPr>
          <w:cantSplit/>
        </w:trPr>
        <w:tc>
          <w:tcPr>
            <w:tcW w:w="4536"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2" w:type="dxa"/>
          </w:tcPr>
          <w:p>
            <w:pPr>
              <w:pStyle w:val="nTable"/>
              <w:spacing w:after="40"/>
            </w:pPr>
            <w:r>
              <w:rPr>
                <w:rFonts w:ascii="Times" w:hAnsi="Times"/>
              </w:rPr>
              <w:t>12 Jul 1994</w:t>
            </w:r>
          </w:p>
        </w:tc>
      </w:tr>
      <w:tr>
        <w:trPr>
          <w:cantSplit/>
        </w:trPr>
        <w:tc>
          <w:tcPr>
            <w:tcW w:w="2267"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2" w:type="dxa"/>
          </w:tcPr>
          <w:p>
            <w:pPr>
              <w:pStyle w:val="nTable"/>
              <w:spacing w:after="40"/>
            </w:pPr>
            <w:r>
              <w:t xml:space="preserve">13 Mar 1995 (see s. 2 and </w:t>
            </w:r>
            <w:r>
              <w:rPr>
                <w:i/>
              </w:rPr>
              <w:t>Gazette</w:t>
            </w:r>
            <w:r>
              <w:t xml:space="preserve"> 10 Mar 1995 p. 895)</w:t>
            </w:r>
          </w:p>
        </w:tc>
      </w:tr>
      <w:tr>
        <w:trPr>
          <w:cantSplit/>
        </w:trPr>
        <w:tc>
          <w:tcPr>
            <w:tcW w:w="2267"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2" w:type="dxa"/>
          </w:tcPr>
          <w:p>
            <w:pPr>
              <w:pStyle w:val="nTable"/>
              <w:spacing w:after="40"/>
            </w:pPr>
            <w:r>
              <w:t xml:space="preserve">4 Nov 1996 (see s. 2(1) and </w:t>
            </w:r>
            <w:r>
              <w:rPr>
                <w:i/>
              </w:rPr>
              <w:t>Gazette</w:t>
            </w:r>
            <w:r>
              <w:t xml:space="preserve"> 25 Oct 1996 p. 5632)</w:t>
            </w:r>
          </w:p>
        </w:tc>
      </w:tr>
      <w:tr>
        <w:trPr>
          <w:cantSplit/>
        </w:trPr>
        <w:tc>
          <w:tcPr>
            <w:tcW w:w="2267"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6"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2" w:type="dxa"/>
          </w:tcPr>
          <w:p>
            <w:pPr>
              <w:pStyle w:val="nTable"/>
              <w:spacing w:after="40"/>
              <w:rPr>
                <w:rFonts w:ascii="Times" w:hAnsi="Times"/>
              </w:rPr>
            </w:pPr>
            <w:r>
              <w:rPr>
                <w:rFonts w:ascii="Times" w:hAnsi="Times"/>
              </w:rPr>
              <w:t>27 Feb 1998</w:t>
            </w:r>
          </w:p>
        </w:tc>
      </w:tr>
      <w:tr>
        <w:trPr>
          <w:cantSplit/>
        </w:trPr>
        <w:tc>
          <w:tcPr>
            <w:tcW w:w="2267"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2" w:type="dxa"/>
          </w:tcPr>
          <w:p>
            <w:pPr>
              <w:pStyle w:val="nTable"/>
              <w:spacing w:after="40"/>
            </w:pPr>
            <w:r>
              <w:t>30 Apr 1998 (see s. 2(1))</w:t>
            </w:r>
          </w:p>
        </w:tc>
      </w:tr>
      <w:tr>
        <w:trPr>
          <w:cantSplit/>
        </w:trPr>
        <w:tc>
          <w:tcPr>
            <w:tcW w:w="4536"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2" w:type="dxa"/>
          </w:tcPr>
          <w:p>
            <w:pPr>
              <w:pStyle w:val="nTable"/>
              <w:spacing w:after="40"/>
              <w:rPr>
                <w:rFonts w:ascii="Times" w:hAnsi="Times"/>
              </w:rPr>
            </w:pPr>
            <w:r>
              <w:rPr>
                <w:rFonts w:ascii="Times" w:hAnsi="Times"/>
              </w:rPr>
              <w:t>5 May 1998</w:t>
            </w:r>
          </w:p>
        </w:tc>
      </w:tr>
      <w:tr>
        <w:trPr>
          <w:cantSplit/>
        </w:trPr>
        <w:tc>
          <w:tcPr>
            <w:tcW w:w="4536"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2" w:type="dxa"/>
          </w:tcPr>
          <w:p>
            <w:pPr>
              <w:pStyle w:val="nTable"/>
              <w:spacing w:after="40"/>
              <w:rPr>
                <w:rFonts w:ascii="Times" w:hAnsi="Times"/>
              </w:rPr>
            </w:pPr>
            <w:r>
              <w:t>9 Oct 1998</w:t>
            </w:r>
          </w:p>
        </w:tc>
      </w:tr>
      <w:tr>
        <w:trPr>
          <w:cantSplit/>
        </w:trPr>
        <w:tc>
          <w:tcPr>
            <w:tcW w:w="2267"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rPr>
          <w:cantSplit/>
        </w:trPr>
        <w:tc>
          <w:tcPr>
            <w:tcW w:w="2267"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6"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2" w:type="dxa"/>
          </w:tcPr>
          <w:p>
            <w:pPr>
              <w:pStyle w:val="nTable"/>
              <w:spacing w:after="40"/>
            </w:pPr>
            <w:r>
              <w:t>2 Jun 2000</w:t>
            </w:r>
          </w:p>
        </w:tc>
      </w:tr>
      <w:tr>
        <w:trPr>
          <w:cantSplit/>
        </w:trPr>
        <w:tc>
          <w:tcPr>
            <w:tcW w:w="4536"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2" w:type="dxa"/>
          </w:tcPr>
          <w:p>
            <w:pPr>
              <w:pStyle w:val="nTable"/>
              <w:spacing w:after="40"/>
            </w:pPr>
            <w:r>
              <w:t>28 Jul 2000</w:t>
            </w:r>
          </w:p>
        </w:tc>
      </w:tr>
      <w:tr>
        <w:trPr>
          <w:cantSplit/>
        </w:trPr>
        <w:tc>
          <w:tcPr>
            <w:tcW w:w="7088"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6"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2" w:type="dxa"/>
          </w:tcPr>
          <w:p>
            <w:pPr>
              <w:pStyle w:val="nTable"/>
              <w:spacing w:after="40"/>
            </w:pPr>
            <w:r>
              <w:t>17 Aug 2001</w:t>
            </w:r>
          </w:p>
        </w:tc>
      </w:tr>
      <w:tr>
        <w:trPr>
          <w:cantSplit/>
        </w:trPr>
        <w:tc>
          <w:tcPr>
            <w:tcW w:w="4536"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2" w:type="dxa"/>
          </w:tcPr>
          <w:p>
            <w:pPr>
              <w:pStyle w:val="nTable"/>
              <w:spacing w:after="40"/>
            </w:pPr>
            <w:r>
              <w:t>1 Feb 2002</w:t>
            </w:r>
          </w:p>
        </w:tc>
      </w:tr>
      <w:tr>
        <w:trPr>
          <w:cantSplit/>
        </w:trPr>
        <w:tc>
          <w:tcPr>
            <w:tcW w:w="2267"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2267"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2" w:type="dxa"/>
          </w:tcPr>
          <w:p>
            <w:pPr>
              <w:pStyle w:val="nTable"/>
              <w:spacing w:after="40"/>
            </w:pPr>
            <w:r>
              <w:t xml:space="preserve">31 Aug 2003 (see s. 2 and </w:t>
            </w:r>
            <w:r>
              <w:rPr>
                <w:i/>
              </w:rPr>
              <w:t>Gazette</w:t>
            </w:r>
            <w:r>
              <w:t xml:space="preserve"> 29 Aug 2003 p. 3833)</w:t>
            </w:r>
          </w:p>
        </w:tc>
      </w:tr>
      <w:tr>
        <w:trPr>
          <w:cantSplit/>
        </w:trPr>
        <w:tc>
          <w:tcPr>
            <w:tcW w:w="2267"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2" w:type="dxa"/>
          </w:tcPr>
          <w:p>
            <w:pPr>
              <w:pStyle w:val="nTable"/>
              <w:keepLines/>
              <w:spacing w:after="40"/>
            </w:pPr>
            <w:r>
              <w:t xml:space="preserve">7 Jul 2004 (see s. 2 and </w:t>
            </w:r>
            <w:r>
              <w:rPr>
                <w:i/>
              </w:rPr>
              <w:t xml:space="preserve">Gazette </w:t>
            </w:r>
            <w:r>
              <w:t>6 Jul 2004 p. 2697)</w:t>
            </w:r>
          </w:p>
        </w:tc>
      </w:tr>
      <w:tr>
        <w:trPr>
          <w:cantSplit/>
        </w:trPr>
        <w:tc>
          <w:tcPr>
            <w:tcW w:w="4536"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2" w:type="dxa"/>
          </w:tcPr>
          <w:p>
            <w:pPr>
              <w:pStyle w:val="nTable"/>
              <w:keepLines/>
              <w:spacing w:after="40"/>
            </w:pPr>
            <w:r>
              <w:t>30 Dec 2003</w:t>
            </w:r>
          </w:p>
        </w:tc>
      </w:tr>
      <w:tr>
        <w:trPr>
          <w:cantSplit/>
        </w:trPr>
        <w:tc>
          <w:tcPr>
            <w:tcW w:w="2267"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2"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6"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2" w:type="dxa"/>
          </w:tcPr>
          <w:p>
            <w:pPr>
              <w:pStyle w:val="nTable"/>
              <w:keepLines/>
              <w:spacing w:after="40"/>
              <w:rPr>
                <w:snapToGrid w:val="0"/>
              </w:rPr>
            </w:pPr>
            <w:r>
              <w:t>26 Nov 2004</w:t>
            </w:r>
          </w:p>
        </w:tc>
      </w:tr>
      <w:tr>
        <w:trPr>
          <w:cantSplit/>
        </w:trPr>
        <w:tc>
          <w:tcPr>
            <w:tcW w:w="2267"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2"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2" w:type="dxa"/>
          </w:tcPr>
          <w:p>
            <w:pPr>
              <w:pStyle w:val="nTable"/>
              <w:keepLines/>
              <w:spacing w:after="40"/>
              <w:rPr>
                <w:snapToGrid w:val="0"/>
              </w:rPr>
            </w:pPr>
            <w:r>
              <w:t>31 May 2005</w:t>
            </w:r>
          </w:p>
        </w:tc>
      </w:tr>
      <w:tr>
        <w:trPr>
          <w:cantSplit/>
        </w:trPr>
        <w:tc>
          <w:tcPr>
            <w:tcW w:w="7088"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6"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2" w:type="dxa"/>
          </w:tcPr>
          <w:p>
            <w:pPr>
              <w:pStyle w:val="nTable"/>
              <w:keepLines/>
              <w:spacing w:after="40"/>
              <w:rPr>
                <w:snapToGrid w:val="0"/>
              </w:rPr>
            </w:pPr>
            <w:r>
              <w:t>4 Nov 2005</w:t>
            </w:r>
          </w:p>
        </w:tc>
      </w:tr>
      <w:tr>
        <w:trPr>
          <w:cantSplit/>
        </w:trPr>
        <w:tc>
          <w:tcPr>
            <w:tcW w:w="2267"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2" w:type="dxa"/>
          </w:tcPr>
          <w:p>
            <w:pPr>
              <w:pStyle w:val="nTable"/>
              <w:keepLines/>
              <w:spacing w:after="40"/>
            </w:pPr>
            <w:r>
              <w:t xml:space="preserve">28 Jan 2007 (see s. 2 and </w:t>
            </w:r>
            <w:r>
              <w:rPr>
                <w:i/>
              </w:rPr>
              <w:t>Gazette</w:t>
            </w:r>
            <w:r>
              <w:t xml:space="preserve"> 29 Dec 2006 p. 5867)</w:t>
            </w:r>
          </w:p>
        </w:tc>
      </w:tr>
      <w:tr>
        <w:trPr>
          <w:cantSplit/>
        </w:trPr>
        <w:tc>
          <w:tcPr>
            <w:tcW w:w="4536"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2"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7"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2" w:type="dxa"/>
          </w:tcPr>
          <w:p>
            <w:pPr>
              <w:pStyle w:val="nTable"/>
              <w:keepNext/>
              <w:keepLines/>
              <w:spacing w:after="40"/>
            </w:pPr>
            <w:r>
              <w:t>1 Apr 2008 (see s. 2(1))</w:t>
            </w:r>
          </w:p>
        </w:tc>
      </w:tr>
      <w:tr>
        <w:trPr>
          <w:cantSplit/>
        </w:trPr>
        <w:tc>
          <w:tcPr>
            <w:tcW w:w="2267"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2"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6"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2" w:type="dxa"/>
          </w:tcPr>
          <w:p>
            <w:pPr>
              <w:pStyle w:val="nTable"/>
              <w:keepNext/>
              <w:keepLines/>
              <w:spacing w:after="40"/>
            </w:pPr>
            <w:r>
              <w:t>r. 1 and 2: 18 Aug 2009 (see r. 2(a));</w:t>
            </w:r>
            <w:r>
              <w:br/>
              <w:t>Regulations other than r. 1 and 2: 19 Aug 2009 (see</w:t>
            </w:r>
            <w:del w:id="340" w:author="svcMRProcess" w:date="2018-09-09T01:24:00Z">
              <w:r>
                <w:delText xml:space="preserve"> </w:delText>
              </w:r>
            </w:del>
            <w:ins w:id="341" w:author="svcMRProcess" w:date="2018-09-09T01:24:00Z">
              <w:r>
                <w:t> </w:t>
              </w:r>
            </w:ins>
            <w:r>
              <w:t>r. 2(b))</w:t>
            </w:r>
          </w:p>
        </w:tc>
      </w:tr>
      <w:tr>
        <w:trPr>
          <w:cantSplit/>
        </w:trPr>
        <w:tc>
          <w:tcPr>
            <w:tcW w:w="2267"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2"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6"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2" w:type="dxa"/>
          </w:tcPr>
          <w:p>
            <w:pPr>
              <w:pStyle w:val="nTable"/>
              <w:keepNext/>
              <w:keepLines/>
              <w:spacing w:after="40"/>
            </w:pPr>
            <w:r>
              <w:t>r. 1 and 2: 29 Jan 2010 (see r. 2(a));</w:t>
            </w:r>
            <w:r>
              <w:br/>
              <w:t>Regulations other than r. 1 and 2: 30 Jan 2010 (see r. 2(b))</w:t>
            </w:r>
          </w:p>
        </w:tc>
      </w:tr>
      <w:tr>
        <w:trPr>
          <w:cantSplit/>
        </w:trPr>
        <w:tc>
          <w:tcPr>
            <w:tcW w:w="2267"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2"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8"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7"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2"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7"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7"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2" w:type="dxa"/>
            <w:shd w:val="clear" w:color="auto" w:fill="auto"/>
          </w:tcPr>
          <w:p>
            <w:pPr>
              <w:pStyle w:val="nTable"/>
              <w:spacing w:after="40"/>
              <w:rPr>
                <w:snapToGrid w:val="0"/>
              </w:rPr>
            </w:pPr>
            <w:r>
              <w:rPr>
                <w:snapToGrid w:val="0"/>
              </w:rPr>
              <w:t>7 Dec 2012 (see s. 2(b) and Gazette 16 Nov 2012 p. 5637)</w:t>
            </w:r>
          </w:p>
        </w:tc>
      </w:tr>
      <w:tr>
        <w:trPr>
          <w:cantSplit/>
        </w:trPr>
        <w:tc>
          <w:tcPr>
            <w:tcW w:w="4536" w:type="dxa"/>
            <w:gridSpan w:val="3"/>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2" w:type="dxa"/>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w:t>
            </w:r>
            <w:del w:id="342" w:author="svcMRProcess" w:date="2018-09-09T01:24:00Z">
              <w:r>
                <w:rPr>
                  <w:snapToGrid w:val="0"/>
                  <w:spacing w:val="-2"/>
                </w:rPr>
                <w:delText xml:space="preserve"> </w:delText>
              </w:r>
            </w:del>
            <w:ins w:id="343" w:author="svcMRProcess" w:date="2018-09-09T01:24:00Z">
              <w:r>
                <w:rPr>
                  <w:snapToGrid w:val="0"/>
                  <w:spacing w:val="-2"/>
                </w:rPr>
                <w:t> </w:t>
              </w:r>
            </w:ins>
            <w:r>
              <w:rPr>
                <w:snapToGrid w:val="0"/>
                <w:spacing w:val="-2"/>
              </w:rPr>
              <w:t>2: 18 May 2013 (see r. 2(b))</w:t>
            </w:r>
          </w:p>
        </w:tc>
      </w:tr>
      <w:tr>
        <w:trPr>
          <w:cantSplit/>
        </w:trPr>
        <w:tc>
          <w:tcPr>
            <w:tcW w:w="2267"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5" w:type="dxa"/>
            <w:shd w:val="clear" w:color="auto" w:fill="auto"/>
          </w:tcPr>
          <w:p>
            <w:pPr>
              <w:pStyle w:val="nTable"/>
              <w:spacing w:after="40"/>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36" w:type="dxa"/>
            <w:gridSpan w:val="3"/>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552"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w:t>
            </w:r>
            <w:del w:id="344" w:author="svcMRProcess" w:date="2018-09-09T01:24:00Z">
              <w:r>
                <w:rPr>
                  <w:snapToGrid w:val="0"/>
                  <w:spacing w:val="-2"/>
                </w:rPr>
                <w:delText xml:space="preserve"> </w:delText>
              </w:r>
            </w:del>
            <w:ins w:id="345" w:author="svcMRProcess" w:date="2018-09-09T01:24:00Z">
              <w:r>
                <w:rPr>
                  <w:snapToGrid w:val="0"/>
                  <w:spacing w:val="-2"/>
                </w:rPr>
                <w:t> </w:t>
              </w:r>
            </w:ins>
            <w:r>
              <w:rPr>
                <w:snapToGrid w:val="0"/>
                <w:spacing w:val="-2"/>
              </w:rPr>
              <w:t>2: 7 Mar 2015 (see r. 2(b))</w:t>
            </w:r>
          </w:p>
        </w:tc>
      </w:tr>
      <w:tr>
        <w:trPr>
          <w:cantSplit/>
        </w:trPr>
        <w:tc>
          <w:tcPr>
            <w:tcW w:w="2267"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4" w:type="dxa"/>
            <w:shd w:val="clear" w:color="auto" w:fill="auto"/>
          </w:tcPr>
          <w:p>
            <w:pPr>
              <w:pStyle w:val="nTable"/>
              <w:spacing w:after="40"/>
              <w:rPr>
                <w:snapToGrid w:val="0"/>
              </w:rPr>
            </w:pPr>
            <w:r>
              <w:t>3 of 2015</w:t>
            </w:r>
          </w:p>
        </w:tc>
        <w:tc>
          <w:tcPr>
            <w:tcW w:w="1135"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ins w:id="346" w:author="svcMRProcess" w:date="2018-09-09T01:24:00Z"/>
        </w:trPr>
        <w:tc>
          <w:tcPr>
            <w:tcW w:w="7088" w:type="dxa"/>
            <w:gridSpan w:val="4"/>
            <w:tcBorders>
              <w:bottom w:val="single" w:sz="8" w:space="0" w:color="auto"/>
            </w:tcBorders>
            <w:shd w:val="clear" w:color="auto" w:fill="auto"/>
          </w:tcPr>
          <w:p>
            <w:pPr>
              <w:pStyle w:val="nTable"/>
              <w:spacing w:after="40"/>
              <w:rPr>
                <w:ins w:id="347" w:author="svcMRProcess" w:date="2018-09-09T01:24:00Z"/>
              </w:rPr>
            </w:pPr>
            <w:ins w:id="348" w:author="svcMRProcess" w:date="2018-09-09T01:24:00Z">
              <w:r>
                <w:rPr>
                  <w:b/>
                </w:rPr>
                <w:t xml:space="preserve">Reprint 7: The </w:t>
              </w:r>
              <w:r>
                <w:rPr>
                  <w:b/>
                  <w:i/>
                  <w:noProof/>
                </w:rPr>
                <w:t>Spent Convictions Act 1988</w:t>
              </w:r>
              <w:r>
                <w:rPr>
                  <w:b/>
                </w:rPr>
                <w:t xml:space="preserve"> as at 23 Oct 2015</w:t>
              </w:r>
              <w: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349" w:author="svcMRProcess" w:date="2018-09-09T01:24:00Z">
        <w:r>
          <w:rPr>
            <w:snapToGrid w:val="0"/>
          </w:rPr>
          <w:delText>compilation</w:delText>
        </w:r>
      </w:del>
      <w:ins w:id="350" w:author="svcMRProcess" w:date="2018-09-09T01:24:00Z">
        <w:r>
          <w:rPr>
            <w:snapToGrid w:val="0"/>
          </w:rPr>
          <w:t>reprint</w:t>
        </w:r>
      </w:ins>
      <w:r>
        <w:rPr>
          <w:snapToGrid w:val="0"/>
        </w:rPr>
        <w:t xml:space="preserve"> was prepared, provisions referred to in the following table had not come into operation and were therefore not included in this </w:t>
      </w:r>
      <w:del w:id="351" w:author="svcMRProcess" w:date="2018-09-09T01:24:00Z">
        <w:r>
          <w:rPr>
            <w:snapToGrid w:val="0"/>
          </w:rPr>
          <w:delText>compilation</w:delText>
        </w:r>
      </w:del>
      <w:ins w:id="352" w:author="svcMRProcess" w:date="2018-09-09T01:24:00Z">
        <w:r>
          <w:rPr>
            <w:snapToGrid w:val="0"/>
          </w:rPr>
          <w:t>reprint</w:t>
        </w:r>
      </w:ins>
      <w:r>
        <w:rPr>
          <w:snapToGrid w:val="0"/>
        </w:rPr>
        <w:t>.  For the text of the provisions see the endnotes referred to in the table.</w:t>
      </w:r>
    </w:p>
    <w:p>
      <w:pPr>
        <w:pStyle w:val="nHeading3"/>
      </w:pPr>
      <w:bookmarkStart w:id="353" w:name="_Toc434404327"/>
      <w:bookmarkStart w:id="354" w:name="_Toc7405065"/>
      <w:bookmarkStart w:id="355" w:name="_Toc406080884"/>
      <w:bookmarkStart w:id="356" w:name="_Toc423594291"/>
      <w:r>
        <w:t>Provisions that have not come into operation</w:t>
      </w:r>
      <w:bookmarkEnd w:id="353"/>
      <w:bookmarkEnd w:id="354"/>
      <w:bookmarkEnd w:id="355"/>
      <w:bookmarkEnd w:id="356"/>
    </w:p>
    <w:tbl>
      <w:tblPr>
        <w:tblW w:w="7088"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w:t>
            </w:r>
            <w:del w:id="357" w:author="svcMRProcess" w:date="2018-09-09T01:24:00Z">
              <w:r>
                <w:rPr>
                  <w:b/>
                  <w:snapToGrid w:val="0"/>
                  <w:lang w:val="en-US"/>
                </w:rPr>
                <w:delText> </w:delText>
              </w:r>
            </w:del>
            <w:ins w:id="358" w:author="svcMRProcess" w:date="2018-09-09T01:24:00Z">
              <w:r>
                <w:rPr>
                  <w:b/>
                  <w:snapToGrid w:val="0"/>
                </w:rPr>
                <w:t xml:space="preserve"> </w:t>
              </w:r>
            </w:ins>
            <w:r>
              <w:rPr>
                <w:b/>
                <w:snapToGrid w:val="0"/>
              </w:rPr>
              <w:t>year</w:t>
            </w:r>
          </w:p>
        </w:tc>
        <w:tc>
          <w:tcPr>
            <w:tcW w:w="1135"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rPr>
              <w:t>Mental Health Legislation Amendment Act 2014</w:t>
            </w:r>
            <w:r>
              <w:t xml:space="preserve"> Pt. 4 Div. 4 Subdiv. 22 </w:t>
            </w:r>
            <w:del w:id="359" w:author="svcMRProcess" w:date="2018-09-09T01:24:00Z">
              <w:r>
                <w:rPr>
                  <w:vertAlign w:val="superscript"/>
                </w:rPr>
                <w:delText>10</w:delText>
              </w:r>
            </w:del>
            <w:ins w:id="360" w:author="svcMRProcess" w:date="2018-09-09T01:24:00Z">
              <w:r>
                <w:rPr>
                  <w:vertAlign w:val="superscript"/>
                </w:rPr>
                <w:t>9</w:t>
              </w:r>
            </w:ins>
          </w:p>
        </w:tc>
        <w:tc>
          <w:tcPr>
            <w:tcW w:w="1134" w:type="dxa"/>
            <w:tcBorders>
              <w:top w:val="single" w:sz="8" w:space="0" w:color="auto"/>
              <w:bottom w:val="single" w:sz="8" w:space="0" w:color="auto"/>
            </w:tcBorders>
            <w:shd w:val="clear" w:color="auto" w:fill="auto"/>
          </w:tcPr>
          <w:p>
            <w:pPr>
              <w:pStyle w:val="nTable"/>
              <w:spacing w:after="40"/>
              <w:rPr>
                <w:snapToGrid w:val="0"/>
              </w:rPr>
            </w:pPr>
            <w:r>
              <w:rPr>
                <w:snapToGrid w:val="0"/>
              </w:rPr>
              <w:t>25 of 2014</w:t>
            </w:r>
          </w:p>
        </w:tc>
        <w:tc>
          <w:tcPr>
            <w:tcW w:w="1135" w:type="dxa"/>
            <w:tcBorders>
              <w:top w:val="single" w:sz="8" w:space="0" w:color="auto"/>
              <w:bottom w:val="single" w:sz="8" w:space="0" w:color="auto"/>
            </w:tcBorders>
            <w:shd w:val="clear" w:color="auto" w:fill="auto"/>
          </w:tcPr>
          <w:p>
            <w:pPr>
              <w:pStyle w:val="nTable"/>
              <w:spacing w:after="40"/>
              <w:rPr>
                <w:snapToGrid w:val="0"/>
              </w:rPr>
            </w:pPr>
            <w:r>
              <w:t>3 Nov 2014</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del w:id="361" w:author="svcMRProcess" w:date="2018-09-09T01:24:00Z">
        <w:r>
          <w:rPr>
            <w:snapToGrid w:val="0"/>
          </w:rPr>
          <w:delText xml:space="preserve"> </w:delText>
        </w:r>
      </w:del>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del w:id="362" w:author="svcMRProcess" w:date="2018-09-09T01:24:00Z">
        <w:r>
          <w:rPr>
            <w:snapToGrid w:val="0"/>
          </w:rPr>
          <w:delText>.</w:delText>
        </w:r>
      </w:del>
      <w:ins w:id="363" w:author="svcMRProcess" w:date="2018-09-09T01:24:00Z">
        <w:r>
          <w:rPr>
            <w:i/>
          </w:rPr>
          <w:t xml:space="preserve"> </w:t>
        </w:r>
        <w:r>
          <w:rPr>
            <w:snapToGrid w:val="0"/>
          </w:rPr>
          <w:t>s. 29(1).</w:t>
        </w:r>
      </w:ins>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rPr>
          <w:del w:id="364" w:author="svcMRProcess" w:date="2018-09-09T01:24:00Z"/>
        </w:rPr>
      </w:pPr>
      <w:del w:id="365" w:author="svcMRProcess" w:date="2018-09-09T01:24:00Z">
        <w:r>
          <w:rPr>
            <w:snapToGrid w:val="0"/>
            <w:vertAlign w:val="superscript"/>
          </w:rPr>
          <w:delText>7</w:delText>
        </w:r>
        <w:r>
          <w:rPr>
            <w:snapToGrid w:val="0"/>
          </w:rPr>
          <w:tab/>
          <w:delText xml:space="preserve">Repealed by the </w:delText>
        </w:r>
        <w:r>
          <w:rPr>
            <w:i/>
            <w:snapToGrid w:val="0"/>
          </w:rPr>
          <w:delText>Children and Community Services Act 2004</w:delText>
        </w:r>
        <w:r>
          <w:rPr>
            <w:snapToGrid w:val="0"/>
          </w:rPr>
          <w:delText>.</w:delText>
        </w:r>
      </w:del>
    </w:p>
    <w:p>
      <w:pPr>
        <w:pStyle w:val="nSubsection"/>
        <w:spacing w:before="120"/>
        <w:rPr>
          <w:snapToGrid w:val="0"/>
        </w:rPr>
      </w:pPr>
      <w:del w:id="366" w:author="svcMRProcess" w:date="2018-09-09T01:24:00Z">
        <w:r>
          <w:rPr>
            <w:vertAlign w:val="superscript"/>
          </w:rPr>
          <w:delText>8</w:delText>
        </w:r>
      </w:del>
      <w:ins w:id="367" w:author="svcMRProcess" w:date="2018-09-09T01:24:00Z">
        <w:r>
          <w:rPr>
            <w:vertAlign w:val="superscript"/>
          </w:rPr>
          <w:t>7</w:t>
        </w:r>
      </w:ins>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del w:id="368" w:author="svcMRProcess" w:date="2018-09-09T01:24:00Z">
        <w:r>
          <w:rPr>
            <w:snapToGrid w:val="0"/>
            <w:vertAlign w:val="superscript"/>
          </w:rPr>
          <w:delText>9</w:delText>
        </w:r>
      </w:del>
      <w:ins w:id="369" w:author="svcMRProcess" w:date="2018-09-09T01:24:00Z">
        <w:r>
          <w:rPr>
            <w:snapToGrid w:val="0"/>
            <w:vertAlign w:val="superscript"/>
          </w:rPr>
          <w:t>8</w:t>
        </w:r>
      </w:ins>
      <w:r>
        <w:rPr>
          <w:snapToGrid w:val="0"/>
        </w:rPr>
        <w:tab/>
        <w:t xml:space="preserve">The </w:t>
      </w:r>
      <w:r>
        <w:rPr>
          <w:i/>
          <w:snapToGrid w:val="0"/>
        </w:rPr>
        <w:t>Machinery of Government (Miscellaneous Amendment) Act 2006</w:t>
      </w:r>
      <w:r>
        <w:rPr>
          <w:snapToGrid w:val="0"/>
        </w:rPr>
        <w:t xml:space="preserve"> Pt. 3 Div. </w:t>
      </w:r>
      <w:del w:id="370" w:author="svcMRProcess" w:date="2018-09-09T01:24:00Z">
        <w:r>
          <w:rPr>
            <w:snapToGrid w:val="0"/>
          </w:rPr>
          <w:delText xml:space="preserve">5 </w:delText>
        </w:r>
      </w:del>
      <w:ins w:id="371" w:author="svcMRProcess" w:date="2018-09-09T01:24:00Z">
        <w:r>
          <w:rPr>
            <w:snapToGrid w:val="0"/>
          </w:rPr>
          <w:t xml:space="preserve">5 had not come into operation when it </w:t>
        </w:r>
      </w:ins>
      <w:r>
        <w:rPr>
          <w:snapToGrid w:val="0"/>
        </w:rPr>
        <w:t xml:space="preserve">was </w:t>
      </w:r>
      <w:del w:id="372" w:author="svcMRProcess" w:date="2018-09-09T01:24:00Z">
        <w:r>
          <w:rPr>
            <w:snapToGrid w:val="0"/>
          </w:rPr>
          <w:delText>repealed</w:delText>
        </w:r>
      </w:del>
      <w:ins w:id="373" w:author="svcMRProcess" w:date="2018-09-09T01:24:00Z">
        <w:r>
          <w:rPr>
            <w:snapToGrid w:val="0"/>
          </w:rPr>
          <w:t>deleted</w:t>
        </w:r>
      </w:ins>
      <w:r>
        <w:rPr>
          <w:snapToGrid w:val="0"/>
        </w:rPr>
        <w:t xml:space="preserve"> by the </w:t>
      </w:r>
      <w:r>
        <w:rPr>
          <w:i/>
          <w:snapToGrid w:val="0"/>
        </w:rPr>
        <w:t>Statutes (Repeals and Minor Amendments) Act 2011</w:t>
      </w:r>
      <w:r>
        <w:rPr>
          <w:snapToGrid w:val="0"/>
        </w:rPr>
        <w:t xml:space="preserve"> s. </w:t>
      </w:r>
      <w:del w:id="374" w:author="svcMRProcess" w:date="2018-09-09T01:24:00Z">
        <w:r>
          <w:rPr>
            <w:snapToGrid w:val="0"/>
          </w:rPr>
          <w:delText>23(4) before it purported to come into operation.</w:delText>
        </w:r>
      </w:del>
      <w:ins w:id="375" w:author="svcMRProcess" w:date="2018-09-09T01:24:00Z">
        <w:r>
          <w:rPr>
            <w:snapToGrid w:val="0"/>
          </w:rPr>
          <w:t>23(4).</w:t>
        </w:r>
      </w:ins>
    </w:p>
    <w:p>
      <w:pPr>
        <w:pStyle w:val="nSubsection"/>
        <w:rPr>
          <w:snapToGrid w:val="0"/>
        </w:rPr>
      </w:pPr>
      <w:del w:id="376" w:author="svcMRProcess" w:date="2018-09-09T01:24:00Z">
        <w:r>
          <w:rPr>
            <w:snapToGrid w:val="0"/>
            <w:vertAlign w:val="superscript"/>
          </w:rPr>
          <w:delText>10</w:delText>
        </w:r>
      </w:del>
      <w:ins w:id="377" w:author="svcMRProcess" w:date="2018-09-09T01:24:00Z">
        <w:r>
          <w:rPr>
            <w:snapToGrid w:val="0"/>
            <w:vertAlign w:val="superscript"/>
          </w:rPr>
          <w:t>9</w:t>
        </w:r>
      </w:ins>
      <w:r>
        <w:rPr>
          <w:snapToGrid w:val="0"/>
        </w:rPr>
        <w:tab/>
      </w:r>
      <w:r>
        <w:t xml:space="preserve">On the date as at which this </w:t>
      </w:r>
      <w:del w:id="378" w:author="svcMRProcess" w:date="2018-09-09T01:24:00Z">
        <w:r>
          <w:delText>compilation</w:delText>
        </w:r>
      </w:del>
      <w:ins w:id="379" w:author="svcMRProcess" w:date="2018-09-09T01:24:00Z">
        <w:r>
          <w:t>reprint</w:t>
        </w:r>
      </w:ins>
      <w:r>
        <w:t xml:space="preserve">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del w:id="380" w:author="svcMRProcess" w:date="2018-09-09T01:24:00Z"/>
          <w:rStyle w:val="CharPartText"/>
          <w:b w:val="0"/>
          <w:sz w:val="18"/>
        </w:rPr>
      </w:pPr>
      <w:bookmarkStart w:id="381" w:name="_Toc373331812"/>
      <w:bookmarkStart w:id="382" w:name="_Toc373332059"/>
      <w:bookmarkStart w:id="383" w:name="_Toc385413042"/>
      <w:bookmarkStart w:id="384" w:name="_Toc385413290"/>
      <w:bookmarkStart w:id="385" w:name="_Toc385415631"/>
      <w:bookmarkStart w:id="386" w:name="_Toc385498823"/>
      <w:bookmarkStart w:id="387" w:name="_Toc385500219"/>
      <w:bookmarkStart w:id="388" w:name="_Toc401671244"/>
      <w:bookmarkStart w:id="389" w:name="_Toc401673109"/>
      <w:bookmarkStart w:id="390" w:name="_Toc402180222"/>
      <w:del w:id="391" w:author="svcMRProcess" w:date="2018-09-09T01:24:00Z">
        <w:r>
          <w:rPr>
            <w:rStyle w:val="CharPartNo"/>
          </w:rPr>
          <w:delText>Part 4</w:delText>
        </w:r>
        <w:r>
          <w:delText> — </w:delText>
        </w:r>
        <w:r>
          <w:rPr>
            <w:rStyle w:val="CharPartText"/>
          </w:rPr>
          <w:delText>Amendments to other Acts</w:delText>
        </w:r>
        <w:bookmarkEnd w:id="381"/>
        <w:bookmarkEnd w:id="382"/>
        <w:bookmarkEnd w:id="383"/>
        <w:bookmarkEnd w:id="384"/>
        <w:bookmarkEnd w:id="385"/>
        <w:bookmarkEnd w:id="386"/>
        <w:bookmarkEnd w:id="387"/>
        <w:bookmarkEnd w:id="388"/>
        <w:bookmarkEnd w:id="389"/>
        <w:bookmarkEnd w:id="390"/>
      </w:del>
    </w:p>
    <w:p>
      <w:pPr>
        <w:pStyle w:val="nzHeading3"/>
        <w:rPr>
          <w:del w:id="392" w:author="svcMRProcess" w:date="2018-09-09T01:24:00Z"/>
          <w:rStyle w:val="CharPartText"/>
          <w:b w:val="0"/>
          <w:sz w:val="18"/>
        </w:rPr>
      </w:pPr>
      <w:bookmarkStart w:id="393" w:name="_Toc373331841"/>
      <w:bookmarkStart w:id="394" w:name="_Toc373332088"/>
      <w:bookmarkStart w:id="395" w:name="_Toc385413072"/>
      <w:bookmarkStart w:id="396" w:name="_Toc385413320"/>
      <w:bookmarkStart w:id="397" w:name="_Toc385415661"/>
      <w:bookmarkStart w:id="398" w:name="_Toc385498853"/>
      <w:bookmarkStart w:id="399" w:name="_Toc385500249"/>
      <w:bookmarkStart w:id="400" w:name="_Toc401671274"/>
      <w:bookmarkStart w:id="401" w:name="_Toc401673139"/>
      <w:bookmarkStart w:id="402" w:name="_Toc402180252"/>
      <w:del w:id="403" w:author="svcMRProcess" w:date="2018-09-09T01:24:00Z">
        <w:r>
          <w:rPr>
            <w:rStyle w:val="CharDivNo"/>
          </w:rPr>
          <w:delText>Division 4</w:delText>
        </w:r>
        <w:r>
          <w:delText> — </w:delText>
        </w:r>
        <w:r>
          <w:rPr>
            <w:rStyle w:val="CharDivText"/>
          </w:rPr>
          <w:delText>Other Acts amended</w:delText>
        </w:r>
        <w:bookmarkEnd w:id="393"/>
        <w:bookmarkEnd w:id="394"/>
        <w:bookmarkEnd w:id="395"/>
        <w:bookmarkEnd w:id="396"/>
        <w:bookmarkEnd w:id="397"/>
        <w:bookmarkEnd w:id="398"/>
        <w:bookmarkEnd w:id="399"/>
        <w:bookmarkEnd w:id="400"/>
        <w:bookmarkEnd w:id="401"/>
        <w:bookmarkEnd w:id="402"/>
      </w:del>
    </w:p>
    <w:p>
      <w:pPr>
        <w:pStyle w:val="nzHeading4"/>
      </w:pPr>
      <w:bookmarkStart w:id="404" w:name="_Toc373331917"/>
      <w:bookmarkStart w:id="405" w:name="_Toc373332164"/>
      <w:bookmarkStart w:id="406" w:name="_Toc385413148"/>
      <w:bookmarkStart w:id="407" w:name="_Toc385413396"/>
      <w:bookmarkStart w:id="408" w:name="_Toc385415737"/>
      <w:bookmarkStart w:id="409" w:name="_Toc385498929"/>
      <w:bookmarkStart w:id="410" w:name="_Toc385500325"/>
      <w:bookmarkStart w:id="411" w:name="_Toc401671350"/>
      <w:bookmarkStart w:id="412" w:name="_Toc401673215"/>
      <w:bookmarkStart w:id="413" w:name="_Toc402180328"/>
      <w:r>
        <w:t>Subdivision 22 — </w:t>
      </w:r>
      <w:r>
        <w:rPr>
          <w:i/>
        </w:rPr>
        <w:t>Spent Convictions Act 1988</w:t>
      </w:r>
      <w:r>
        <w:t xml:space="preserve"> amended</w:t>
      </w:r>
      <w:bookmarkEnd w:id="404"/>
      <w:bookmarkEnd w:id="405"/>
      <w:bookmarkEnd w:id="406"/>
      <w:bookmarkEnd w:id="407"/>
      <w:bookmarkEnd w:id="408"/>
      <w:bookmarkEnd w:id="409"/>
      <w:bookmarkEnd w:id="410"/>
      <w:bookmarkEnd w:id="411"/>
      <w:bookmarkEnd w:id="412"/>
      <w:bookmarkEnd w:id="413"/>
    </w:p>
    <w:p>
      <w:pPr>
        <w:pStyle w:val="nzHeading5"/>
      </w:pPr>
      <w:bookmarkStart w:id="414" w:name="_Toc402180329"/>
      <w:r>
        <w:rPr>
          <w:rStyle w:val="CharSectno"/>
        </w:rPr>
        <w:t>85</w:t>
      </w:r>
      <w:r>
        <w:t>.</w:t>
      </w:r>
      <w:r>
        <w:tab/>
        <w:t>Act amended</w:t>
      </w:r>
      <w:bookmarkEnd w:id="414"/>
    </w:p>
    <w:p>
      <w:pPr>
        <w:pStyle w:val="nzSubsection"/>
      </w:pPr>
      <w:r>
        <w:tab/>
      </w:r>
      <w:r>
        <w:tab/>
        <w:t xml:space="preserve">This Subdivision amends the </w:t>
      </w:r>
      <w:r>
        <w:rPr>
          <w:i/>
        </w:rPr>
        <w:t>Spent Convictions Act 1988</w:t>
      </w:r>
      <w:r>
        <w:t>.</w:t>
      </w:r>
    </w:p>
    <w:p>
      <w:pPr>
        <w:pStyle w:val="nzHeading5"/>
      </w:pPr>
      <w:bookmarkStart w:id="415" w:name="_Toc402180330"/>
      <w:r>
        <w:rPr>
          <w:rStyle w:val="CharSectno"/>
        </w:rPr>
        <w:t>86</w:t>
      </w:r>
      <w:r>
        <w:t>.</w:t>
      </w:r>
      <w:r>
        <w:tab/>
        <w:t>Schedule 3 clause 1 amended</w:t>
      </w:r>
      <w:bookmarkEnd w:id="415"/>
    </w:p>
    <w:p>
      <w:pPr>
        <w:pStyle w:val="nzSubsection"/>
      </w:pPr>
      <w:r>
        <w:tab/>
      </w:r>
      <w:r>
        <w:tab/>
        <w:t>In Schedule 3 clause 1(7) delete the Table and insert:</w:t>
      </w:r>
    </w:p>
    <w:p>
      <w:pPr>
        <w:pStyle w:val="BlankOpen"/>
        <w:tabs>
          <w:tab w:val="left" w:pos="2694"/>
        </w:tabs>
      </w:pPr>
    </w:p>
    <w:p>
      <w:pPr>
        <w:pStyle w:val="yTHeadingNAm"/>
        <w:rPr>
          <w:snapToGrid w:val="0"/>
          <w:sz w:val="20"/>
        </w:rPr>
      </w:pPr>
      <w:r>
        <w:rPr>
          <w:snapToGrid w:val="0"/>
          <w:sz w:val="2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rPr>
                <w:sz w:val="20"/>
              </w:rPr>
            </w:pPr>
            <w:r>
              <w:t>1</w:t>
            </w:r>
            <w:r>
              <w:rPr>
                <w:sz w:val="20"/>
              </w:rPr>
              <w:t>.</w:t>
            </w:r>
            <w:r>
              <w:rPr>
                <w:sz w:val="20"/>
              </w:rPr>
              <w:tab/>
              <w:t>A person who is employed in or seconded to, or who is being considered for employment in or secondment to, the Department of Health or the Mental Health Commission under any of the following —</w:t>
            </w:r>
          </w:p>
          <w:p>
            <w:pPr>
              <w:pStyle w:val="yTableNAm"/>
              <w:tabs>
                <w:tab w:val="left" w:pos="1276"/>
              </w:tabs>
              <w:rPr>
                <w:sz w:val="20"/>
              </w:rPr>
            </w:pPr>
            <w:r>
              <w:rPr>
                <w:sz w:val="20"/>
              </w:rPr>
              <w:tab/>
              <w:t>(a)</w:t>
            </w:r>
            <w:r>
              <w:rPr>
                <w:sz w:val="20"/>
              </w:rPr>
              <w:tab/>
              <w:t xml:space="preserve">the </w:t>
            </w:r>
            <w:r>
              <w:rPr>
                <w:i/>
                <w:sz w:val="20"/>
              </w:rPr>
              <w:t>Health Act 1911</w:t>
            </w:r>
            <w:r>
              <w:rPr>
                <w:sz w:val="20"/>
              </w:rPr>
              <w:t>;</w:t>
            </w:r>
          </w:p>
          <w:p>
            <w:pPr>
              <w:pStyle w:val="yTableNAm"/>
              <w:tabs>
                <w:tab w:val="left" w:pos="1276"/>
              </w:tabs>
              <w:rPr>
                <w:sz w:val="20"/>
              </w:rPr>
            </w:pPr>
            <w:r>
              <w:rPr>
                <w:sz w:val="20"/>
              </w:rPr>
              <w:tab/>
              <w:t>(b)</w:t>
            </w:r>
            <w:r>
              <w:rPr>
                <w:sz w:val="20"/>
              </w:rPr>
              <w:tab/>
              <w:t xml:space="preserve">the </w:t>
            </w:r>
            <w:r>
              <w:rPr>
                <w:i/>
                <w:sz w:val="20"/>
              </w:rPr>
              <w:t>Hospitals and Health Services Act 1927</w:t>
            </w:r>
            <w:r>
              <w:rPr>
                <w:sz w:val="20"/>
              </w:rPr>
              <w:t>;</w:t>
            </w:r>
          </w:p>
          <w:p>
            <w:pPr>
              <w:pStyle w:val="yTableNAm"/>
              <w:tabs>
                <w:tab w:val="left" w:pos="1276"/>
              </w:tabs>
              <w:rPr>
                <w:sz w:val="20"/>
              </w:rPr>
            </w:pPr>
            <w:r>
              <w:rPr>
                <w:sz w:val="20"/>
              </w:rPr>
              <w:tab/>
              <w:t>(c)</w:t>
            </w:r>
            <w:r>
              <w:rPr>
                <w:sz w:val="20"/>
              </w:rPr>
              <w:tab/>
              <w:t xml:space="preserve">the </w:t>
            </w:r>
            <w:r>
              <w:rPr>
                <w:i/>
                <w:sz w:val="20"/>
              </w:rPr>
              <w:t>Mental Health Act 2014</w:t>
            </w:r>
            <w:r>
              <w:rPr>
                <w:sz w:val="20"/>
              </w:rPr>
              <w:t>;</w:t>
            </w:r>
          </w:p>
          <w:p>
            <w:pPr>
              <w:pStyle w:val="yTableNAm"/>
              <w:tabs>
                <w:tab w:val="left" w:pos="1276"/>
              </w:tabs>
              <w:rPr>
                <w:sz w:val="20"/>
              </w:rPr>
            </w:pPr>
            <w:r>
              <w:rPr>
                <w:sz w:val="20"/>
              </w:rPr>
              <w:tab/>
              <w:t>(d)</w:t>
            </w:r>
            <w:r>
              <w:rPr>
                <w:sz w:val="20"/>
              </w:rPr>
              <w:tab/>
              <w:t xml:space="preserve">the </w:t>
            </w:r>
            <w:r>
              <w:rPr>
                <w:i/>
                <w:sz w:val="20"/>
              </w:rPr>
              <w:t>Alcohol and Drug Authority Act 1974</w:t>
            </w:r>
            <w:r>
              <w:rPr>
                <w:sz w:val="20"/>
              </w:rPr>
              <w:t>.</w:t>
            </w:r>
          </w:p>
          <w:p>
            <w:pPr>
              <w:pStyle w:val="yTableNAm"/>
              <w:ind w:left="567" w:hanging="567"/>
            </w:pPr>
            <w:r>
              <w:rPr>
                <w:sz w:val="20"/>
              </w:rPr>
              <w:t>2.</w:t>
            </w:r>
            <w:r>
              <w:rPr>
                <w:sz w:val="20"/>
              </w:rP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7" w:name="Schedule"/>
    <w:bookmarkEnd w:id="31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7" w:name="Coversheet"/>
    <w:bookmarkEnd w:id="4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215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11286</Words>
  <Characters>52709</Characters>
  <Application>Microsoft Office Word</Application>
  <DocSecurity>0</DocSecurity>
  <Lines>1647</Lines>
  <Paragraphs>876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06-n0-00 - 07-a0-01</dc:title>
  <dc:subject/>
  <dc:creator/>
  <cp:keywords/>
  <dc:description/>
  <cp:lastModifiedBy>svcMRProcess</cp:lastModifiedBy>
  <cp:revision>2</cp:revision>
  <cp:lastPrinted>2015-10-23T03:11:00Z</cp:lastPrinted>
  <dcterms:created xsi:type="dcterms:W3CDTF">2018-09-08T17:24:00Z</dcterms:created>
  <dcterms:modified xsi:type="dcterms:W3CDTF">2018-09-08T17:24:00Z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20151023</vt:lpwstr>
  </property>
  <property fmtid="{D5CDD505-2E9C-101B-9397-08002B2CF9AE}" pid="8" name="FromSuffix">
    <vt:lpwstr>06-n0-00</vt:lpwstr>
  </property>
  <property fmtid="{D5CDD505-2E9C-101B-9397-08002B2CF9AE}" pid="9" name="FromAsAtDate">
    <vt:lpwstr>01 Jul 2015</vt:lpwstr>
  </property>
  <property fmtid="{D5CDD505-2E9C-101B-9397-08002B2CF9AE}" pid="10" name="ToSuffix">
    <vt:lpwstr>07-a0-01</vt:lpwstr>
  </property>
  <property fmtid="{D5CDD505-2E9C-101B-9397-08002B2CF9AE}" pid="11" name="ToAsAtDate">
    <vt:lpwstr>23 Oct 2015</vt:lpwstr>
  </property>
</Properties>
</file>