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Dec 2015</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12 Dec 2015</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436903661"/>
      <w:bookmarkStart w:id="2" w:name="_Toc436905603"/>
      <w:bookmarkStart w:id="3" w:name="_Toc436905824"/>
      <w:bookmarkStart w:id="4" w:name="_Toc437515577"/>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r>
        <w:rPr>
          <w:rStyle w:val="CharPartText"/>
        </w:rPr>
        <w:t xml:space="preserve"> </w:t>
      </w:r>
    </w:p>
    <w:p>
      <w:pPr>
        <w:pStyle w:val="Heading5"/>
      </w:pPr>
      <w:bookmarkStart w:id="6" w:name="_Toc437515578"/>
      <w:bookmarkStart w:id="7" w:name="_Toc436905825"/>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8" w:name="_Toc437515579"/>
      <w:bookmarkStart w:id="9" w:name="_Toc436905826"/>
      <w:r>
        <w:rPr>
          <w:rStyle w:val="CharSectno"/>
        </w:rPr>
        <w:t>2</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Code 2000</w:t>
      </w:r>
      <w:r>
        <w:t xml:space="preserve"> regulation 3(1);</w:t>
      </w:r>
    </w:p>
    <w:p>
      <w:pPr>
        <w:pStyle w:val="Defstart"/>
      </w:pPr>
      <w:r>
        <w:lastRenderedPageBreak/>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rPr>
          <w:b/>
        </w:rPr>
        <w:tab/>
      </w:r>
      <w:r>
        <w:rPr>
          <w:rStyle w:val="CharDefText"/>
        </w:rPr>
        <w:t>mooring</w:t>
      </w:r>
      <w:r>
        <w:t xml:space="preserve"> means any structure or apparatus (other than a vessel’s anchor that is retrieved by the vessel when not in use) to which a floating vessel may be secured by a chain, cable, wire or rope, whether or not the structure or apparatus is itself beyond the shores of the water;</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public mooring</w:t>
      </w:r>
      <w:r>
        <w:t xml:space="preserve"> means a mooring designated as a public mooring under regulation 60A(1);</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spacing w:before="70"/>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spacing w:before="70"/>
      </w:pPr>
      <w:r>
        <w:tab/>
      </w:r>
      <w:r>
        <w:rPr>
          <w:rStyle w:val="CharDefText"/>
        </w:rPr>
        <w:t>take</w:t>
      </w:r>
      <w:r>
        <w:t xml:space="preserve"> includes — </w:t>
      </w:r>
    </w:p>
    <w:p>
      <w:pPr>
        <w:pStyle w:val="Defpara"/>
        <w:spacing w:before="60"/>
      </w:pPr>
      <w:r>
        <w:tab/>
        <w:t>(a)</w:t>
      </w:r>
      <w:r>
        <w:tab/>
        <w:t>to injure, destroy or otherwise interfere with, or cause or permit the doing of any of those things; and</w:t>
      </w:r>
    </w:p>
    <w:p>
      <w:pPr>
        <w:pStyle w:val="Defpara"/>
        <w:spacing w:before="60"/>
      </w:pPr>
      <w:r>
        <w:tab/>
        <w:t>(b)</w:t>
      </w:r>
      <w:r>
        <w:tab/>
        <w:t>to hunt any fauna even though no fauna is actually taken; and</w:t>
      </w:r>
    </w:p>
    <w:p>
      <w:pPr>
        <w:pStyle w:val="Defpara"/>
        <w:spacing w:before="60"/>
      </w:pPr>
      <w:r>
        <w:tab/>
        <w:t>(c)</w:t>
      </w:r>
      <w:r>
        <w:tab/>
        <w:t>an attempt to take;</w:t>
      </w:r>
    </w:p>
    <w:p>
      <w:pPr>
        <w:pStyle w:val="Defstart"/>
      </w:pPr>
      <w:r>
        <w:tab/>
      </w:r>
      <w:r>
        <w:rPr>
          <w:rStyle w:val="CharDefText"/>
        </w:rPr>
        <w:t>temporary mooring area</w:t>
      </w:r>
      <w:r>
        <w:t xml:space="preserve"> means — </w:t>
      </w:r>
    </w:p>
    <w:p>
      <w:pPr>
        <w:pStyle w:val="Defpara"/>
      </w:pPr>
      <w:r>
        <w:tab/>
        <w:t>(a)</w:t>
      </w:r>
      <w:r>
        <w:tab/>
        <w:t>an area declared under regulation 6(1)(a) to be a designated area for the purposes of regulation 60B; or</w:t>
      </w:r>
    </w:p>
    <w:p>
      <w:pPr>
        <w:pStyle w:val="Defpara"/>
      </w:pPr>
      <w:r>
        <w:tab/>
        <w:t>(b)</w:t>
      </w:r>
      <w:r>
        <w:tab/>
        <w:t>an area designated by sign as a temporary mooring area;</w:t>
      </w:r>
    </w:p>
    <w:p>
      <w:pPr>
        <w:pStyle w:val="Defstart"/>
      </w:pPr>
      <w:r>
        <w:tab/>
      </w:r>
      <w:r>
        <w:rPr>
          <w:rStyle w:val="CharDefText"/>
        </w:rPr>
        <w:t>tender</w:t>
      </w:r>
      <w:r>
        <w:t xml:space="preserve"> means an auxiliary vessel that is used as a life boat or means of transportation between the parent vessel and another location or for both those purposes;</w:t>
      </w:r>
    </w:p>
    <w:p>
      <w:pPr>
        <w:pStyle w:val="Defstart"/>
        <w:spacing w:before="70"/>
      </w:pPr>
      <w:r>
        <w:tab/>
      </w:r>
      <w:r>
        <w:rPr>
          <w:rStyle w:val="CharDefText"/>
        </w:rPr>
        <w:t>tree</w:t>
      </w:r>
      <w:r>
        <w:rPr>
          <w:b/>
        </w:rPr>
        <w:t xml:space="preserve"> </w:t>
      </w:r>
      <w:r>
        <w:t>includes a tree that is dead provided the tree is still standing;</w:t>
      </w:r>
    </w:p>
    <w:p>
      <w:pPr>
        <w:pStyle w:val="Defstart"/>
        <w:spacing w:before="70"/>
      </w:pPr>
      <w:r>
        <w:tab/>
      </w:r>
      <w:r>
        <w:rPr>
          <w:rStyle w:val="CharDefText"/>
        </w:rPr>
        <w:t>vehicle</w:t>
      </w:r>
      <w:r>
        <w:rPr>
          <w:b/>
        </w:rPr>
        <w:t xml:space="preserve"> </w:t>
      </w:r>
      <w:r>
        <w:t xml:space="preserve">has the meaning given in the </w:t>
      </w:r>
      <w:r>
        <w:rPr>
          <w:i/>
        </w:rPr>
        <w:t xml:space="preserve">Road Traffic (Administration) Act 2008 </w:t>
      </w:r>
      <w:r>
        <w:t>section 4;</w:t>
      </w:r>
    </w:p>
    <w:p>
      <w:pPr>
        <w:pStyle w:val="Defstart"/>
        <w:spacing w:before="70"/>
      </w:pPr>
      <w:r>
        <w:tab/>
      </w:r>
      <w:r>
        <w:rPr>
          <w:rStyle w:val="CharDefText"/>
        </w:rPr>
        <w:t>vessel</w:t>
      </w:r>
      <w:r>
        <w:t xml:space="preserve"> means any thing used, or capable of being used, to move people or things by water and it does not matter —</w:t>
      </w:r>
    </w:p>
    <w:p>
      <w:pPr>
        <w:pStyle w:val="Defpara"/>
        <w:spacing w:before="60"/>
      </w:pPr>
      <w:r>
        <w:tab/>
        <w:t>(a)</w:t>
      </w:r>
      <w:r>
        <w:tab/>
        <w:t>that such a thing is ordinarily stationary; or</w:t>
      </w:r>
    </w:p>
    <w:p>
      <w:pPr>
        <w:pStyle w:val="Defpara"/>
        <w:spacing w:before="60"/>
      </w:pPr>
      <w:r>
        <w:tab/>
        <w:t>(b)</w:t>
      </w:r>
      <w:r>
        <w:tab/>
        <w:t>how any such thing is moved or propelled.</w:t>
      </w:r>
    </w:p>
    <w:p>
      <w:pPr>
        <w:pStyle w:val="Footnotesection"/>
        <w:spacing w:before="100"/>
      </w:pPr>
      <w:r>
        <w:tab/>
        <w:t>[Regulation 2 amended in Gazette 29 Sep 2006 p. 4304</w:t>
      </w:r>
      <w:r>
        <w:noBreakHyphen/>
        <w:t>5 and 4334; 3 Dec 2010 p. 6045</w:t>
      </w:r>
      <w:r>
        <w:noBreakHyphen/>
        <w:t>6; 8 Jan 2015 p. 135</w:t>
      </w:r>
      <w:r>
        <w:noBreakHyphen/>
        <w:t>6; 24 Mar 2015 p. 1033</w:t>
      </w:r>
      <w:r>
        <w:noBreakHyphen/>
        <w:t>4.]</w:t>
      </w:r>
    </w:p>
    <w:p>
      <w:pPr>
        <w:pStyle w:val="Heading5"/>
        <w:rPr>
          <w:snapToGrid w:val="0"/>
        </w:rPr>
      </w:pPr>
      <w:bookmarkStart w:id="10" w:name="_Toc437515580"/>
      <w:bookmarkStart w:id="11" w:name="_Toc436905827"/>
      <w:r>
        <w:rPr>
          <w:rStyle w:val="CharSectno"/>
        </w:rPr>
        <w:t>3</w:t>
      </w:r>
      <w:r>
        <w:rPr>
          <w:snapToGrid w:val="0"/>
        </w:rPr>
        <w:t>.</w:t>
      </w:r>
      <w:r>
        <w:rPr>
          <w:snapToGrid w:val="0"/>
        </w:rPr>
        <w:tab/>
        <w:t>Application</w:t>
      </w:r>
      <w:bookmarkEnd w:id="10"/>
      <w:bookmarkEnd w:id="11"/>
      <w:r>
        <w:rPr>
          <w:snapToGrid w:val="0"/>
        </w:rPr>
        <w:t xml:space="preserve"> </w:t>
      </w:r>
    </w:p>
    <w:p>
      <w:pPr>
        <w:pStyle w:val="Subsection"/>
        <w:rPr>
          <w:snapToGrid w:val="0"/>
        </w:rPr>
      </w:pPr>
      <w:r>
        <w:tab/>
        <w:t>(1)</w:t>
      </w:r>
      <w:r>
        <w:tab/>
        <w:t>Unless</w:t>
      </w:r>
      <w:r>
        <w:rPr>
          <w:snapToGrid w:val="0"/>
        </w:rPr>
        <w:t xml:space="preserve"> otherwise stated, these regulations apply to — </w:t>
      </w:r>
    </w:p>
    <w:p>
      <w:pPr>
        <w:pStyle w:val="Indenta"/>
        <w:spacing w:before="60"/>
        <w:rPr>
          <w:snapToGrid w:val="0"/>
        </w:rPr>
      </w:pPr>
      <w:r>
        <w:rPr>
          <w:snapToGrid w:val="0"/>
        </w:rPr>
        <w:tab/>
        <w:t>(a)</w:t>
      </w:r>
      <w:r>
        <w:rPr>
          <w:snapToGrid w:val="0"/>
        </w:rPr>
        <w:tab/>
        <w:t>land, and land and waters, specified in section 5 of the Act; and</w:t>
      </w:r>
    </w:p>
    <w:p>
      <w:pPr>
        <w:pStyle w:val="Indenta"/>
        <w:spacing w:before="60"/>
      </w:pPr>
      <w:r>
        <w:tab/>
        <w:t>(b)</w:t>
      </w:r>
      <w:r>
        <w:tab/>
        <w:t>subject to section 130(2) of the Act, section 8A land; and</w:t>
      </w:r>
    </w:p>
    <w:p>
      <w:pPr>
        <w:pStyle w:val="Indenta"/>
        <w:spacing w:before="60"/>
      </w:pPr>
      <w:r>
        <w:tab/>
        <w:t>(c)</w:t>
      </w:r>
      <w:r>
        <w:tab/>
        <w:t>subject to subregulation (2), section 8C land; and</w:t>
      </w:r>
    </w:p>
    <w:p>
      <w:pPr>
        <w:pStyle w:val="Indenta"/>
        <w:spacing w:before="60"/>
        <w:rPr>
          <w:snapToGrid w:val="0"/>
        </w:rPr>
      </w:pPr>
      <w:r>
        <w:rPr>
          <w:snapToGrid w:val="0"/>
        </w:rPr>
        <w:tab/>
        <w:t>(d)</w:t>
      </w:r>
      <w:r>
        <w:rPr>
          <w:snapToGrid w:val="0"/>
        </w:rPr>
        <w:tab/>
        <w:t xml:space="preserve">land to which section 131 of the Act applies. </w:t>
      </w:r>
    </w:p>
    <w:p>
      <w:pPr>
        <w:pStyle w:val="Subsection"/>
      </w:pPr>
      <w:r>
        <w:tab/>
        <w:t>(2)</w:t>
      </w:r>
      <w:r>
        <w:tab/>
        <w:t>If the Governor, by order under section 8C(2)(b), has specified the CEO’s functions in relation to managing any section 8C land, a regulation does not apply to the land unless it prescribes a matter that is consistent with the functions that the CEO has in respect of the land.</w:t>
      </w:r>
    </w:p>
    <w:p>
      <w:pPr>
        <w:pStyle w:val="Footnotesection"/>
        <w:spacing w:before="100"/>
      </w:pPr>
      <w:r>
        <w:tab/>
        <w:t>[Regulation 3 amended in Gazette 29 Sep 2006 p. 4305; 7 Dec 2012 p. 5965.]</w:t>
      </w:r>
    </w:p>
    <w:p>
      <w:pPr>
        <w:pStyle w:val="Heading5"/>
        <w:rPr>
          <w:snapToGrid w:val="0"/>
        </w:rPr>
      </w:pPr>
      <w:bookmarkStart w:id="12" w:name="_Toc437515581"/>
      <w:bookmarkStart w:id="13" w:name="_Toc436905828"/>
      <w:r>
        <w:rPr>
          <w:rStyle w:val="CharSectno"/>
        </w:rPr>
        <w:t>4</w:t>
      </w:r>
      <w:r>
        <w:rPr>
          <w:snapToGrid w:val="0"/>
        </w:rPr>
        <w:t>.</w:t>
      </w:r>
      <w:r>
        <w:rPr>
          <w:snapToGrid w:val="0"/>
        </w:rPr>
        <w:tab/>
        <w:t>Lawful authority</w:t>
      </w:r>
      <w:bookmarkEnd w:id="12"/>
      <w:bookmarkEnd w:id="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pPr>
      <w:r>
        <w:tab/>
        <w:t>(2A)</w:t>
      </w:r>
      <w:r>
        <w:tab/>
        <w:t>The CEO is to specify in a notice under subregulation (1) the person or persons or group, body or association of persons to whom the authorisation applies.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spacing w:before="60"/>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spacing w:before="60"/>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spacing w:before="60"/>
      </w:pPr>
      <w:r>
        <w:tab/>
        <w:t>(c)</w:t>
      </w:r>
      <w:r>
        <w:tab/>
        <w:t xml:space="preserve">in contravention of a direction or authority under the </w:t>
      </w:r>
      <w:r>
        <w:rPr>
          <w:i/>
        </w:rPr>
        <w:t>Biosecurity and Agriculture Management Act 2007</w:t>
      </w:r>
      <w:r>
        <w:t>; or</w:t>
      </w:r>
    </w:p>
    <w:p>
      <w:pPr>
        <w:pStyle w:val="Indenta"/>
        <w:spacing w:before="60"/>
      </w:pPr>
      <w:r>
        <w:rPr>
          <w:snapToGrid w:val="0"/>
        </w:rPr>
        <w:tab/>
        <w:t>(d)</w:t>
      </w:r>
      <w:r>
        <w:rPr>
          <w:snapToGrid w:val="0"/>
        </w:rPr>
        <w:tab/>
      </w:r>
      <w:r>
        <w:t xml:space="preserve">in contravention of a direction or authority under the </w:t>
      </w:r>
      <w:r>
        <w:rPr>
          <w:i/>
        </w:rPr>
        <w:t>Fish Resources Management Act 1994</w:t>
      </w:r>
      <w:r>
        <w:t>; or</w:t>
      </w:r>
    </w:p>
    <w:p>
      <w:pPr>
        <w:pStyle w:val="Indenta"/>
        <w:spacing w:before="60"/>
      </w:pPr>
      <w:r>
        <w:tab/>
        <w:t>(e)</w:t>
      </w:r>
      <w:r>
        <w:tab/>
        <w:t>in contravention of a direction, or the terms and conditions of an authority (however described), under another written law; or</w:t>
      </w:r>
    </w:p>
    <w:p>
      <w:pPr>
        <w:pStyle w:val="Indenta"/>
        <w:keepNext/>
        <w:spacing w:before="60"/>
      </w:pPr>
      <w:r>
        <w:tab/>
        <w:t>(f)</w:t>
      </w:r>
      <w:r>
        <w:tab/>
        <w:t>where the person doing the act has entered the land upon which the act is done without lawful authority.</w:t>
      </w:r>
    </w:p>
    <w:p>
      <w:pPr>
        <w:pStyle w:val="Footnotesection"/>
        <w:spacing w:before="100"/>
      </w:pPr>
      <w:r>
        <w:tab/>
        <w:t>[Regulation 4 amended in Gazette 29 Sep 2006 p. 4305 and 4334; 5 Feb 2013 p. 834; 19 Sep 2014 p. 3330.]</w:t>
      </w:r>
    </w:p>
    <w:p>
      <w:pPr>
        <w:pStyle w:val="Heading5"/>
        <w:rPr>
          <w:snapToGrid w:val="0"/>
        </w:rPr>
      </w:pPr>
      <w:bookmarkStart w:id="14" w:name="_Toc437515582"/>
      <w:bookmarkStart w:id="15" w:name="_Toc436905829"/>
      <w:r>
        <w:rPr>
          <w:rStyle w:val="CharSectno"/>
        </w:rPr>
        <w:t>5</w:t>
      </w:r>
      <w:r>
        <w:rPr>
          <w:snapToGrid w:val="0"/>
        </w:rPr>
        <w:t>.</w:t>
      </w:r>
      <w:r>
        <w:rPr>
          <w:snapToGrid w:val="0"/>
        </w:rPr>
        <w:tab/>
        <w:t>Restricted areas</w:t>
      </w:r>
      <w:bookmarkEnd w:id="14"/>
      <w:bookmarkEnd w:id="1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restricted area for the purposes of regulations 9 (fishing), 26 (glass), 28 (cleaning etc. fish), 39 (certain fires),</w:t>
      </w:r>
      <w:r>
        <w:t xml:space="preserve"> 49A (access on foot),</w:t>
      </w:r>
      <w:r>
        <w:rPr>
          <w:snapToGrid w:val="0"/>
        </w:rPr>
        <w:t xml:space="preserve">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Subsection"/>
      </w:pPr>
      <w:r>
        <w:tab/>
        <w:t>(7)</w:t>
      </w:r>
      <w:r>
        <w:tab/>
        <w:t>The CEO must not declare an area of CALM land to be a restricted area for the purposes of regulation 49A unless —</w:t>
      </w:r>
    </w:p>
    <w:p>
      <w:pPr>
        <w:pStyle w:val="Indenta"/>
      </w:pPr>
      <w:r>
        <w:tab/>
        <w:t>(a)</w:t>
      </w:r>
      <w:r>
        <w:tab/>
        <w:t xml:space="preserve">the area is in a marine reserve; and </w:t>
      </w:r>
    </w:p>
    <w:p>
      <w:pPr>
        <w:pStyle w:val="Indenta"/>
      </w:pPr>
      <w:r>
        <w:tab/>
        <w:t>(b)</w:t>
      </w:r>
      <w:r>
        <w:tab/>
        <w:t>the purpose of the declaration is to protect and conserve the value of the land to the culture and heritage of Aboriginal persons.</w:t>
      </w:r>
    </w:p>
    <w:p>
      <w:pPr>
        <w:pStyle w:val="Footnotesection"/>
      </w:pPr>
      <w:r>
        <w:tab/>
        <w:t>[Regulation 5 amended in Gazette 29 Sep 2006 p. 4305</w:t>
      </w:r>
      <w:r>
        <w:noBreakHyphen/>
        <w:t>6 and 4334; 10 Nov 2015 p. 4605.]</w:t>
      </w:r>
    </w:p>
    <w:p>
      <w:pPr>
        <w:pStyle w:val="Heading5"/>
        <w:rPr>
          <w:snapToGrid w:val="0"/>
        </w:rPr>
      </w:pPr>
      <w:bookmarkStart w:id="16" w:name="_Toc437515583"/>
      <w:bookmarkStart w:id="17" w:name="_Toc436905830"/>
      <w:r>
        <w:rPr>
          <w:rStyle w:val="CharSectno"/>
        </w:rPr>
        <w:t>6</w:t>
      </w:r>
      <w:r>
        <w:rPr>
          <w:snapToGrid w:val="0"/>
        </w:rPr>
        <w:t>.</w:t>
      </w:r>
      <w:r>
        <w:rPr>
          <w:snapToGrid w:val="0"/>
        </w:rPr>
        <w:tab/>
        <w:t>Designated areas</w:t>
      </w:r>
      <w:bookmarkEnd w:id="16"/>
      <w:bookmarkEnd w:id="1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pPr>
      <w:r>
        <w:tab/>
        <w:t>(a)</w:t>
      </w:r>
      <w:r>
        <w:tab/>
        <w:t>declare an area of CALM land to be a designated area for the purposes of any regulation listed in the Table relating to an activity listed opposite that regulation;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3686"/>
      </w:tblGrid>
      <w:tr>
        <w:trPr>
          <w:tblHeader/>
        </w:trPr>
        <w:tc>
          <w:tcPr>
            <w:tcW w:w="1984" w:type="dxa"/>
          </w:tcPr>
          <w:p>
            <w:pPr>
              <w:pStyle w:val="TableNAm"/>
            </w:pPr>
            <w:r>
              <w:rPr>
                <w:b/>
                <w:bCs/>
              </w:rPr>
              <w:t>Regulation</w:t>
            </w:r>
          </w:p>
        </w:tc>
        <w:tc>
          <w:tcPr>
            <w:tcW w:w="3686" w:type="dxa"/>
          </w:tcPr>
          <w:p>
            <w:pPr>
              <w:pStyle w:val="TableNAm"/>
            </w:pPr>
            <w:r>
              <w:rPr>
                <w:b/>
                <w:bCs/>
              </w:rPr>
              <w:t>Activity</w:t>
            </w:r>
          </w:p>
        </w:tc>
      </w:tr>
      <w:tr>
        <w:tc>
          <w:tcPr>
            <w:tcW w:w="1984" w:type="dxa"/>
          </w:tcPr>
          <w:p>
            <w:pPr>
              <w:pStyle w:val="TableNAm"/>
            </w:pPr>
            <w:r>
              <w:t>16</w:t>
            </w:r>
          </w:p>
        </w:tc>
        <w:tc>
          <w:tcPr>
            <w:tcW w:w="3686" w:type="dxa"/>
          </w:tcPr>
          <w:p>
            <w:pPr>
              <w:pStyle w:val="TableNAm"/>
            </w:pPr>
            <w:r>
              <w:t>bringing dogs onto land</w:t>
            </w:r>
          </w:p>
        </w:tc>
      </w:tr>
      <w:tr>
        <w:tc>
          <w:tcPr>
            <w:tcW w:w="1984" w:type="dxa"/>
          </w:tcPr>
          <w:p>
            <w:pPr>
              <w:pStyle w:val="TableNAm"/>
            </w:pPr>
            <w:r>
              <w:t>17</w:t>
            </w:r>
          </w:p>
        </w:tc>
        <w:tc>
          <w:tcPr>
            <w:tcW w:w="3686" w:type="dxa"/>
          </w:tcPr>
          <w:p>
            <w:pPr>
              <w:pStyle w:val="TableNAm"/>
            </w:pPr>
            <w:r>
              <w:t>bringing horses onto land</w:t>
            </w:r>
          </w:p>
        </w:tc>
      </w:tr>
      <w:tr>
        <w:tc>
          <w:tcPr>
            <w:tcW w:w="1984" w:type="dxa"/>
          </w:tcPr>
          <w:p>
            <w:pPr>
              <w:pStyle w:val="TableNAm"/>
            </w:pPr>
            <w:r>
              <w:t>21(3)</w:t>
            </w:r>
          </w:p>
        </w:tc>
        <w:tc>
          <w:tcPr>
            <w:tcW w:w="3686" w:type="dxa"/>
          </w:tcPr>
          <w:p>
            <w:pPr>
              <w:pStyle w:val="TableNAm"/>
            </w:pPr>
            <w:r>
              <w:t>discharging sewage from vessels</w:t>
            </w:r>
          </w:p>
        </w:tc>
      </w:tr>
      <w:tr>
        <w:tc>
          <w:tcPr>
            <w:tcW w:w="1984" w:type="dxa"/>
          </w:tcPr>
          <w:p>
            <w:pPr>
              <w:pStyle w:val="TableNAm"/>
            </w:pPr>
            <w:r>
              <w:t>33</w:t>
            </w:r>
          </w:p>
        </w:tc>
        <w:tc>
          <w:tcPr>
            <w:tcW w:w="3686" w:type="dxa"/>
          </w:tcPr>
          <w:p>
            <w:pPr>
              <w:pStyle w:val="TableNAm"/>
            </w:pPr>
            <w:r>
              <w:t>abseiling</w:t>
            </w:r>
          </w:p>
        </w:tc>
      </w:tr>
      <w:tr>
        <w:tc>
          <w:tcPr>
            <w:tcW w:w="1984" w:type="dxa"/>
          </w:tcPr>
          <w:p>
            <w:pPr>
              <w:pStyle w:val="TableNAm"/>
            </w:pPr>
            <w:r>
              <w:t>51</w:t>
            </w:r>
          </w:p>
        </w:tc>
        <w:tc>
          <w:tcPr>
            <w:tcW w:w="3686" w:type="dxa"/>
          </w:tcPr>
          <w:p>
            <w:pPr>
              <w:pStyle w:val="TableNAm"/>
            </w:pPr>
            <w:r>
              <w:t xml:space="preserve">driving or using vehicles </w:t>
            </w:r>
          </w:p>
        </w:tc>
      </w:tr>
      <w:tr>
        <w:tc>
          <w:tcPr>
            <w:tcW w:w="1984" w:type="dxa"/>
          </w:tcPr>
          <w:p>
            <w:pPr>
              <w:pStyle w:val="TableNAm"/>
            </w:pPr>
            <w:r>
              <w:t>51A</w:t>
            </w:r>
          </w:p>
        </w:tc>
        <w:tc>
          <w:tcPr>
            <w:tcW w:w="3686" w:type="dxa"/>
          </w:tcPr>
          <w:p>
            <w:pPr>
              <w:pStyle w:val="TableNAm"/>
            </w:pPr>
            <w:r>
              <w:t>riding bicycles</w:t>
            </w:r>
          </w:p>
        </w:tc>
      </w:tr>
      <w:tr>
        <w:tc>
          <w:tcPr>
            <w:tcW w:w="1984" w:type="dxa"/>
          </w:tcPr>
          <w:p>
            <w:pPr>
              <w:pStyle w:val="TableNAm"/>
            </w:pPr>
            <w:r>
              <w:t>60B</w:t>
            </w:r>
          </w:p>
        </w:tc>
        <w:tc>
          <w:tcPr>
            <w:tcW w:w="3686" w:type="dxa"/>
          </w:tcPr>
          <w:p>
            <w:pPr>
              <w:pStyle w:val="TableNAm"/>
            </w:pPr>
            <w:r>
              <w:t>mooring vessels</w:t>
            </w:r>
          </w:p>
        </w:tc>
      </w:tr>
      <w:tr>
        <w:tc>
          <w:tcPr>
            <w:tcW w:w="1984" w:type="dxa"/>
          </w:tcPr>
          <w:p>
            <w:pPr>
              <w:pStyle w:val="TableNAm"/>
            </w:pPr>
            <w:r>
              <w:t>61A</w:t>
            </w:r>
          </w:p>
        </w:tc>
        <w:tc>
          <w:tcPr>
            <w:tcW w:w="3686" w:type="dxa"/>
          </w:tcPr>
          <w:p>
            <w:pPr>
              <w:pStyle w:val="TableNAm"/>
            </w:pPr>
            <w:r>
              <w:t>operating vessels in nature reserves</w:t>
            </w:r>
          </w:p>
        </w:tc>
      </w:tr>
      <w:tr>
        <w:tc>
          <w:tcPr>
            <w:tcW w:w="1984" w:type="dxa"/>
          </w:tcPr>
          <w:p>
            <w:pPr>
              <w:pStyle w:val="TableNAm"/>
            </w:pPr>
            <w:r>
              <w:t>66</w:t>
            </w:r>
          </w:p>
        </w:tc>
        <w:tc>
          <w:tcPr>
            <w:tcW w:w="3686" w:type="dxa"/>
          </w:tcPr>
          <w:p>
            <w:pPr>
              <w:pStyle w:val="TableNAm"/>
            </w:pPr>
            <w:r>
              <w:t>camping</w:t>
            </w:r>
          </w:p>
        </w:tc>
      </w:tr>
    </w:tbl>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 24 Mar 2015 p. 1034.]</w:t>
      </w:r>
    </w:p>
    <w:p>
      <w:pPr>
        <w:pStyle w:val="Heading2"/>
      </w:pPr>
      <w:bookmarkStart w:id="18" w:name="_Toc436903668"/>
      <w:bookmarkStart w:id="19" w:name="_Toc436905610"/>
      <w:bookmarkStart w:id="20" w:name="_Toc436905831"/>
      <w:bookmarkStart w:id="21" w:name="_Toc437515584"/>
      <w:r>
        <w:rPr>
          <w:rStyle w:val="CharPartNo"/>
        </w:rPr>
        <w:t>Part 2</w:t>
      </w:r>
      <w:r>
        <w:t xml:space="preserve"> — </w:t>
      </w:r>
      <w:r>
        <w:rPr>
          <w:rStyle w:val="CharPartText"/>
        </w:rPr>
        <w:t>Protection of the environment</w:t>
      </w:r>
      <w:bookmarkEnd w:id="18"/>
      <w:bookmarkEnd w:id="19"/>
      <w:bookmarkEnd w:id="20"/>
      <w:bookmarkEnd w:id="21"/>
    </w:p>
    <w:p>
      <w:pPr>
        <w:pStyle w:val="Heading3"/>
        <w:spacing w:before="220"/>
      </w:pPr>
      <w:bookmarkStart w:id="22" w:name="_Toc436903669"/>
      <w:bookmarkStart w:id="23" w:name="_Toc436905611"/>
      <w:bookmarkStart w:id="24" w:name="_Toc436905832"/>
      <w:bookmarkStart w:id="25" w:name="_Toc437515585"/>
      <w:r>
        <w:rPr>
          <w:rStyle w:val="CharDivNo"/>
        </w:rPr>
        <w:t>Division 1</w:t>
      </w:r>
      <w:r>
        <w:t xml:space="preserve"> — </w:t>
      </w:r>
      <w:r>
        <w:rPr>
          <w:rStyle w:val="CharDivText"/>
        </w:rPr>
        <w:t>Protection of flora and fauna</w:t>
      </w:r>
      <w:bookmarkEnd w:id="22"/>
      <w:bookmarkEnd w:id="23"/>
      <w:bookmarkEnd w:id="24"/>
      <w:bookmarkEnd w:id="25"/>
    </w:p>
    <w:p>
      <w:pPr>
        <w:pStyle w:val="Heading5"/>
      </w:pPr>
      <w:bookmarkStart w:id="26" w:name="_Toc437515586"/>
      <w:bookmarkStart w:id="27" w:name="_Toc436905833"/>
      <w:r>
        <w:rPr>
          <w:rStyle w:val="CharSectno"/>
        </w:rPr>
        <w:t>7</w:t>
      </w:r>
      <w:r>
        <w:t>.</w:t>
      </w:r>
      <w:r>
        <w:tab/>
        <w:t>Limitation on restriction</w:t>
      </w:r>
      <w:bookmarkEnd w:id="26"/>
      <w:bookmarkEnd w:id="27"/>
    </w:p>
    <w:p>
      <w:pPr>
        <w:pStyle w:val="Subsection"/>
      </w:pPr>
      <w:r>
        <w:tab/>
      </w:r>
      <w:r>
        <w:tab/>
        <w:t xml:space="preserve">Nothing in these regulations imposes any restriction on the taking, in a marine park or marine management area — </w:t>
      </w:r>
    </w:p>
    <w:p>
      <w:pPr>
        <w:pStyle w:val="Indenta"/>
        <w:spacing w:before="60"/>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spacing w:before="60"/>
      </w:pPr>
      <w:r>
        <w:tab/>
        <w:t>(b)</w:t>
      </w:r>
      <w:r>
        <w:tab/>
        <w:t xml:space="preserve">of pearl oyster within the meaning of the </w:t>
      </w:r>
      <w:r>
        <w:rPr>
          <w:i/>
        </w:rPr>
        <w:t>Pearling Act 1990</w:t>
      </w:r>
      <w:r>
        <w:t>, in accordance with that Act,</w:t>
      </w:r>
    </w:p>
    <w:p>
      <w:pPr>
        <w:pStyle w:val="Subsection"/>
        <w:spacing w:before="120"/>
      </w:pPr>
      <w:r>
        <w:tab/>
      </w:r>
      <w:r>
        <w:tab/>
        <w:t>except to the extent that the restriction relates to conduct or activity other than the taking of fish but that incidentally affects the taking of fish.</w:t>
      </w:r>
    </w:p>
    <w:p>
      <w:pPr>
        <w:pStyle w:val="Heading5"/>
        <w:rPr>
          <w:snapToGrid w:val="0"/>
        </w:rPr>
      </w:pPr>
      <w:bookmarkStart w:id="28" w:name="_Toc437515587"/>
      <w:bookmarkStart w:id="29" w:name="_Toc436905834"/>
      <w:r>
        <w:rPr>
          <w:rStyle w:val="CharSectno"/>
        </w:rPr>
        <w:t>8</w:t>
      </w:r>
      <w:r>
        <w:rPr>
          <w:snapToGrid w:val="0"/>
        </w:rPr>
        <w:t>.</w:t>
      </w:r>
      <w:r>
        <w:rPr>
          <w:snapToGrid w:val="0"/>
        </w:rPr>
        <w:tab/>
        <w:t>Unlawful taking of flora and fauna other than fish</w:t>
      </w:r>
      <w:bookmarkEnd w:id="28"/>
      <w:bookmarkEnd w:id="29"/>
    </w:p>
    <w:p>
      <w:pPr>
        <w:pStyle w:val="Subsection"/>
        <w:spacing w:before="150"/>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spacing w:before="150"/>
        <w:rPr>
          <w:snapToGrid w:val="0"/>
        </w:rPr>
      </w:pPr>
      <w:r>
        <w:rPr>
          <w:snapToGrid w:val="0"/>
        </w:rPr>
        <w:tab/>
        <w:t>(2)</w:t>
      </w:r>
      <w:r>
        <w:rPr>
          <w:snapToGrid w:val="0"/>
        </w:rPr>
        <w:tab/>
        <w:t>Section 101C of the Act applies to the taking of flora or fauna in a marine reserve.</w:t>
      </w:r>
    </w:p>
    <w:p>
      <w:pPr>
        <w:pStyle w:val="Subsection"/>
        <w:spacing w:before="150"/>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spacing w:before="100"/>
      </w:pPr>
      <w:r>
        <w:tab/>
        <w:t>[Regulation 8 amended in Gazette 3 Dec 2010 p. 6052.]</w:t>
      </w:r>
    </w:p>
    <w:p>
      <w:pPr>
        <w:pStyle w:val="Heading5"/>
        <w:rPr>
          <w:snapToGrid w:val="0"/>
        </w:rPr>
      </w:pPr>
      <w:bookmarkStart w:id="30" w:name="_Toc437515588"/>
      <w:bookmarkStart w:id="31" w:name="_Toc436905835"/>
      <w:r>
        <w:rPr>
          <w:rStyle w:val="CharSectno"/>
        </w:rPr>
        <w:t>9</w:t>
      </w:r>
      <w:r>
        <w:rPr>
          <w:snapToGrid w:val="0"/>
        </w:rPr>
        <w:t>.</w:t>
      </w:r>
      <w:r>
        <w:rPr>
          <w:snapToGrid w:val="0"/>
        </w:rPr>
        <w:tab/>
        <w:t>Fishing in restricted areas</w:t>
      </w:r>
      <w:bookmarkEnd w:id="30"/>
      <w:bookmarkEnd w:id="31"/>
    </w:p>
    <w:p>
      <w:pPr>
        <w:pStyle w:val="Subsection"/>
        <w:spacing w:before="150"/>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spacing w:before="70"/>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spacing w:before="100"/>
      </w:pPr>
      <w:r>
        <w:tab/>
        <w:t>[Regulation 9 amended in Gazette 3 Dec 2010 p. 6052.]</w:t>
      </w:r>
    </w:p>
    <w:p>
      <w:pPr>
        <w:pStyle w:val="Heading5"/>
        <w:spacing w:before="200"/>
        <w:rPr>
          <w:snapToGrid w:val="0"/>
        </w:rPr>
      </w:pPr>
      <w:bookmarkStart w:id="32" w:name="_Toc437515589"/>
      <w:bookmarkStart w:id="33" w:name="_Toc436905836"/>
      <w:r>
        <w:rPr>
          <w:rStyle w:val="CharSectno"/>
        </w:rPr>
        <w:t>10</w:t>
      </w:r>
      <w:r>
        <w:rPr>
          <w:snapToGrid w:val="0"/>
        </w:rPr>
        <w:t>.</w:t>
      </w:r>
      <w:r>
        <w:rPr>
          <w:snapToGrid w:val="0"/>
        </w:rPr>
        <w:tab/>
        <w:t>Feeding of fauna</w:t>
      </w:r>
      <w:bookmarkEnd w:id="32"/>
      <w:bookmarkEnd w:id="33"/>
      <w:r>
        <w:rPr>
          <w:snapToGrid w:val="0"/>
        </w:rPr>
        <w:t xml:space="preserve"> </w:t>
      </w:r>
    </w:p>
    <w:p>
      <w:pPr>
        <w:pStyle w:val="Subsection"/>
        <w:spacing w:before="140"/>
        <w:rPr>
          <w:snapToGrid w:val="0"/>
        </w:rPr>
      </w:pPr>
      <w:r>
        <w:rPr>
          <w:snapToGrid w:val="0"/>
        </w:rPr>
        <w:tab/>
      </w:r>
      <w:r>
        <w:rPr>
          <w:snapToGrid w:val="0"/>
        </w:rPr>
        <w:tab/>
        <w:t>A person must not, without lawful authority, feed fauna, or entice fauna with food, on CALM land.</w:t>
      </w:r>
    </w:p>
    <w:p>
      <w:pPr>
        <w:pStyle w:val="Penstart"/>
        <w:spacing w:before="70"/>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10 amended in Gazette 3 Dec 2010 p. 6052; 19 Sep 2014 p. 3335.]</w:t>
      </w:r>
    </w:p>
    <w:p>
      <w:pPr>
        <w:pStyle w:val="Heading5"/>
        <w:spacing w:before="200"/>
        <w:rPr>
          <w:snapToGrid w:val="0"/>
        </w:rPr>
      </w:pPr>
      <w:bookmarkStart w:id="34" w:name="_Toc437515590"/>
      <w:bookmarkStart w:id="35" w:name="_Toc436905837"/>
      <w:r>
        <w:rPr>
          <w:rStyle w:val="CharSectno"/>
        </w:rPr>
        <w:t>11</w:t>
      </w:r>
      <w:r>
        <w:rPr>
          <w:snapToGrid w:val="0"/>
        </w:rPr>
        <w:t>.</w:t>
      </w:r>
      <w:r>
        <w:rPr>
          <w:snapToGrid w:val="0"/>
        </w:rPr>
        <w:tab/>
        <w:t>Restrictions on approaching certain marine fauna</w:t>
      </w:r>
      <w:bookmarkEnd w:id="34"/>
      <w:bookmarkEnd w:id="35"/>
      <w:r>
        <w:rPr>
          <w:snapToGrid w:val="0"/>
        </w:rPr>
        <w:t xml:space="preserve"> </w:t>
      </w:r>
    </w:p>
    <w:p>
      <w:pPr>
        <w:pStyle w:val="Subsection"/>
        <w:spacing w:before="140"/>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spacing w:before="70"/>
        <w:rPr>
          <w:snapToGrid w:val="0"/>
        </w:rPr>
      </w:pPr>
      <w:r>
        <w:rPr>
          <w:snapToGrid w:val="0"/>
        </w:rPr>
        <w:tab/>
        <w:t xml:space="preserve">Penalty: </w:t>
      </w:r>
      <w:r>
        <w:t>a fine of</w:t>
      </w:r>
      <w:r>
        <w:rPr>
          <w:snapToGrid w:val="0"/>
        </w:rPr>
        <w:t xml:space="preserve"> $2 000.</w:t>
      </w:r>
    </w:p>
    <w:p>
      <w:pPr>
        <w:pStyle w:val="Subsection"/>
        <w:spacing w:before="140"/>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spacing w:before="100"/>
      </w:pPr>
      <w:r>
        <w:tab/>
        <w:t>[Regulation 11 amended in Gazette 3 Dec 2010 p. 6052.]</w:t>
      </w:r>
    </w:p>
    <w:p>
      <w:pPr>
        <w:pStyle w:val="Heading5"/>
        <w:spacing w:before="200"/>
        <w:rPr>
          <w:snapToGrid w:val="0"/>
        </w:rPr>
      </w:pPr>
      <w:bookmarkStart w:id="36" w:name="_Toc437515591"/>
      <w:bookmarkStart w:id="37" w:name="_Toc436905838"/>
      <w:r>
        <w:rPr>
          <w:rStyle w:val="CharSectno"/>
        </w:rPr>
        <w:t>12</w:t>
      </w:r>
      <w:r>
        <w:rPr>
          <w:snapToGrid w:val="0"/>
        </w:rPr>
        <w:t>.</w:t>
      </w:r>
      <w:r>
        <w:rPr>
          <w:snapToGrid w:val="0"/>
        </w:rPr>
        <w:tab/>
        <w:t>Possession or use of firearms, spears, restricted devices etc.</w:t>
      </w:r>
      <w:bookmarkEnd w:id="36"/>
      <w:bookmarkEnd w:id="37"/>
    </w:p>
    <w:p>
      <w:pPr>
        <w:pStyle w:val="Subsection"/>
        <w:spacing w:before="140"/>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spacing w:before="60"/>
        <w:rPr>
          <w:snapToGrid w:val="0"/>
        </w:rPr>
      </w:pPr>
      <w:r>
        <w:rPr>
          <w:snapToGrid w:val="0"/>
        </w:rPr>
        <w:tab/>
        <w:t>(a)</w:t>
      </w:r>
      <w:r>
        <w:rPr>
          <w:snapToGrid w:val="0"/>
        </w:rPr>
        <w:tab/>
        <w:t>is completely stowed within a vehicle or vessel; and</w:t>
      </w:r>
    </w:p>
    <w:p>
      <w:pPr>
        <w:pStyle w:val="Indenta"/>
        <w:keepNext/>
        <w:spacing w:before="60"/>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$2 000.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spacing w:before="60"/>
      </w:pPr>
      <w:r>
        <w:tab/>
        <w:t>(b)</w:t>
      </w:r>
      <w:r>
        <w:tab/>
        <w:t>an explosive, poisonous, noxious or narcotising substance; or</w:t>
      </w:r>
    </w:p>
    <w:p>
      <w:pPr>
        <w:pStyle w:val="Defpara"/>
        <w:spacing w:before="60"/>
      </w:pPr>
      <w:r>
        <w:tab/>
        <w:t>(c)</w:t>
      </w:r>
      <w:r>
        <w:tab/>
        <w:t>a snare, trap or net; or</w:t>
      </w:r>
    </w:p>
    <w:p>
      <w:pPr>
        <w:pStyle w:val="Defpara"/>
        <w:spacing w:before="60"/>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spacing w:before="80"/>
      </w:pPr>
      <w:r>
        <w:tab/>
        <w:t>[Regulation 12 amended in Gazette 29 Sep 2006 p. 4306</w:t>
      </w:r>
      <w:r>
        <w:noBreakHyphen/>
        <w:t>7; 27 Feb 2007 p. 625; 3 Dec 2010 p. 6052; 19 Sep 2014 p. 3335.]</w:t>
      </w:r>
    </w:p>
    <w:p>
      <w:pPr>
        <w:pStyle w:val="Heading5"/>
        <w:spacing w:before="200"/>
        <w:rPr>
          <w:snapToGrid w:val="0"/>
        </w:rPr>
      </w:pPr>
      <w:bookmarkStart w:id="38" w:name="_Toc437515592"/>
      <w:bookmarkStart w:id="39" w:name="_Toc436905839"/>
      <w:r>
        <w:rPr>
          <w:rStyle w:val="CharSectno"/>
        </w:rPr>
        <w:t>13</w:t>
      </w:r>
      <w:r>
        <w:rPr>
          <w:snapToGrid w:val="0"/>
        </w:rPr>
        <w:t>.</w:t>
      </w:r>
      <w:r>
        <w:rPr>
          <w:snapToGrid w:val="0"/>
        </w:rPr>
        <w:tab/>
        <w:t>Cultivation etc. prohibited</w:t>
      </w:r>
      <w:bookmarkEnd w:id="38"/>
      <w:bookmarkEnd w:id="39"/>
      <w:r>
        <w:rPr>
          <w:snapToGrid w:val="0"/>
        </w:rPr>
        <w:t xml:space="preserve"> </w:t>
      </w:r>
    </w:p>
    <w:p>
      <w:pPr>
        <w:pStyle w:val="Subsection"/>
        <w:spacing w:before="120"/>
        <w:rPr>
          <w:snapToGrid w:val="0"/>
        </w:rPr>
      </w:pPr>
      <w:r>
        <w:rPr>
          <w:snapToGrid w:val="0"/>
        </w:rPr>
        <w:tab/>
        <w:t>(1)</w:t>
      </w:r>
      <w:r>
        <w:rPr>
          <w:snapToGrid w:val="0"/>
        </w:rPr>
        <w:tab/>
        <w:t>A person must not, without lawful authority, plant, cultivate or abandon any plant on CALM land.</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spacing w:before="80"/>
      </w:pPr>
      <w:r>
        <w:tab/>
        <w:t>[Regulation 13 amended in Gazette 3 Dec 2010 p. 6052; 19 Sep 2014 p. 3335.]</w:t>
      </w:r>
    </w:p>
    <w:p>
      <w:pPr>
        <w:pStyle w:val="Heading5"/>
        <w:spacing w:before="200"/>
        <w:rPr>
          <w:snapToGrid w:val="0"/>
        </w:rPr>
      </w:pPr>
      <w:bookmarkStart w:id="40" w:name="_Toc437515593"/>
      <w:bookmarkStart w:id="41" w:name="_Toc436905840"/>
      <w:r>
        <w:rPr>
          <w:rStyle w:val="CharSectno"/>
        </w:rPr>
        <w:t>14</w:t>
      </w:r>
      <w:r>
        <w:rPr>
          <w:snapToGrid w:val="0"/>
        </w:rPr>
        <w:t>.</w:t>
      </w:r>
      <w:r>
        <w:rPr>
          <w:snapToGrid w:val="0"/>
        </w:rPr>
        <w:tab/>
        <w:t>Removal of plants</w:t>
      </w:r>
      <w:bookmarkEnd w:id="40"/>
      <w:bookmarkEnd w:id="41"/>
      <w:r>
        <w:rPr>
          <w:snapToGrid w:val="0"/>
        </w:rPr>
        <w:t xml:space="preserve"> </w:t>
      </w:r>
    </w:p>
    <w:p>
      <w:pPr>
        <w:pStyle w:val="Subsection"/>
        <w:spacing w:before="120"/>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spacing w:before="120"/>
        <w:rPr>
          <w:snapToGrid w:val="0"/>
        </w:rPr>
      </w:pPr>
      <w:r>
        <w:rPr>
          <w:snapToGrid w:val="0"/>
        </w:rPr>
        <w:tab/>
        <w:t>(2)</w:t>
      </w:r>
      <w:r>
        <w:rPr>
          <w:snapToGrid w:val="0"/>
        </w:rPr>
        <w:tab/>
        <w:t>A person must comply with a direction under subregulation (1).</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14 amended in Gazette 3 Dec 2010 p. 6052.]</w:t>
      </w:r>
    </w:p>
    <w:p>
      <w:pPr>
        <w:pStyle w:val="Heading3"/>
        <w:keepLines/>
        <w:spacing w:before="220"/>
      </w:pPr>
      <w:bookmarkStart w:id="42" w:name="_Toc436903678"/>
      <w:bookmarkStart w:id="43" w:name="_Toc436905620"/>
      <w:bookmarkStart w:id="44" w:name="_Toc436905841"/>
      <w:bookmarkStart w:id="45" w:name="_Toc437515594"/>
      <w:r>
        <w:rPr>
          <w:rStyle w:val="CharDivNo"/>
        </w:rPr>
        <w:t>Division 2</w:t>
      </w:r>
      <w:r>
        <w:rPr>
          <w:snapToGrid w:val="0"/>
        </w:rPr>
        <w:t xml:space="preserve"> — </w:t>
      </w:r>
      <w:r>
        <w:rPr>
          <w:rStyle w:val="CharDivText"/>
        </w:rPr>
        <w:t>Animals on CALM land</w:t>
      </w:r>
      <w:bookmarkEnd w:id="42"/>
      <w:bookmarkEnd w:id="43"/>
      <w:bookmarkEnd w:id="44"/>
      <w:bookmarkEnd w:id="45"/>
    </w:p>
    <w:p>
      <w:pPr>
        <w:pStyle w:val="Footnoteheading"/>
        <w:keepNext/>
        <w:keepLines/>
        <w:spacing w:before="80"/>
      </w:pPr>
      <w:r>
        <w:tab/>
        <w:t>[Heading amended in Gazette 29 Sep 2006 p. 4307.]</w:t>
      </w:r>
    </w:p>
    <w:p>
      <w:pPr>
        <w:pStyle w:val="Heading5"/>
        <w:keepNext w:val="0"/>
        <w:spacing w:before="190"/>
        <w:rPr>
          <w:snapToGrid w:val="0"/>
        </w:rPr>
      </w:pPr>
      <w:bookmarkStart w:id="46" w:name="_Toc437515595"/>
      <w:bookmarkStart w:id="47" w:name="_Toc436905842"/>
      <w:r>
        <w:rPr>
          <w:rStyle w:val="CharSectno"/>
        </w:rPr>
        <w:t>15</w:t>
      </w:r>
      <w:r>
        <w:rPr>
          <w:snapToGrid w:val="0"/>
        </w:rPr>
        <w:t>.</w:t>
      </w:r>
      <w:r>
        <w:rPr>
          <w:snapToGrid w:val="0"/>
        </w:rPr>
        <w:tab/>
        <w:t>Bringing animal on to CALM land</w:t>
      </w:r>
      <w:bookmarkEnd w:id="46"/>
      <w:bookmarkEnd w:id="47"/>
      <w:r>
        <w:rPr>
          <w:snapToGrid w:val="0"/>
        </w:rPr>
        <w:t xml:space="preserve"> </w:t>
      </w:r>
    </w:p>
    <w:p>
      <w:pPr>
        <w:pStyle w:val="Subsection"/>
        <w:spacing w:before="120"/>
        <w:rPr>
          <w:snapToGrid w:val="0"/>
        </w:rPr>
      </w:pPr>
      <w:r>
        <w:rPr>
          <w:snapToGrid w:val="0"/>
        </w:rPr>
        <w:tab/>
      </w:r>
      <w:r>
        <w:rPr>
          <w:snapToGrid w:val="0"/>
        </w:rPr>
        <w:tab/>
        <w:t>Without limiting section 106(a), and subject to regulations 16 and 17, a person must not, without lawful authority — </w:t>
      </w:r>
    </w:p>
    <w:p>
      <w:pPr>
        <w:pStyle w:val="Indenta"/>
        <w:spacing w:before="60"/>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15 amended in Gazette 3 Dec 2010 p. 6052; 19 Sep 2014 p. 3335.]</w:t>
      </w:r>
    </w:p>
    <w:p>
      <w:pPr>
        <w:pStyle w:val="Heading5"/>
        <w:spacing w:before="180"/>
        <w:rPr>
          <w:snapToGrid w:val="0"/>
        </w:rPr>
      </w:pPr>
      <w:bookmarkStart w:id="48" w:name="_Toc437515596"/>
      <w:bookmarkStart w:id="49" w:name="_Toc436905843"/>
      <w:r>
        <w:rPr>
          <w:rStyle w:val="CharSectno"/>
        </w:rPr>
        <w:t>16</w:t>
      </w:r>
      <w:r>
        <w:rPr>
          <w:snapToGrid w:val="0"/>
        </w:rPr>
        <w:t>.</w:t>
      </w:r>
      <w:r>
        <w:rPr>
          <w:snapToGrid w:val="0"/>
        </w:rPr>
        <w:tab/>
        <w:t>Dogs on CALM land</w:t>
      </w:r>
      <w:bookmarkEnd w:id="48"/>
      <w:bookmarkEnd w:id="49"/>
      <w:r>
        <w:rPr>
          <w:snapToGrid w:val="0"/>
        </w:rPr>
        <w:t xml:space="preserve"> </w:t>
      </w:r>
    </w:p>
    <w:p>
      <w:pPr>
        <w:pStyle w:val="Subsection"/>
        <w:spacing w:before="110"/>
        <w:rPr>
          <w:snapToGrid w:val="0"/>
        </w:rPr>
      </w:pPr>
      <w:r>
        <w:rPr>
          <w:snapToGrid w:val="0"/>
        </w:rPr>
        <w:tab/>
        <w:t>(1)</w:t>
      </w:r>
      <w:r>
        <w:rPr>
          <w:snapToGrid w:val="0"/>
        </w:rPr>
        <w:tab/>
        <w:t>A person may bring a dog on to a dog area.</w:t>
      </w:r>
    </w:p>
    <w:p>
      <w:pPr>
        <w:pStyle w:val="Subsection"/>
        <w:spacing w:before="110"/>
      </w:pPr>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spacing w:before="60"/>
      </w:pPr>
      <w:r>
        <w:tab/>
        <w:t>Penalty: a fine of $2 000.</w:t>
      </w:r>
    </w:p>
    <w:p>
      <w:pPr>
        <w:pStyle w:val="Footnotesection"/>
        <w:spacing w:before="80"/>
      </w:pPr>
      <w:r>
        <w:tab/>
        <w:t>[Regulation 16 amended in Gazette 3 Dec 2010 p. 6046; 19 Sep 2014 p. 3335.]</w:t>
      </w:r>
    </w:p>
    <w:p>
      <w:pPr>
        <w:pStyle w:val="Heading5"/>
        <w:spacing w:before="180"/>
        <w:rPr>
          <w:snapToGrid w:val="0"/>
        </w:rPr>
      </w:pPr>
      <w:bookmarkStart w:id="50" w:name="_Toc437515597"/>
      <w:bookmarkStart w:id="51" w:name="_Toc436905844"/>
      <w:r>
        <w:rPr>
          <w:rStyle w:val="CharSectno"/>
        </w:rPr>
        <w:t>17</w:t>
      </w:r>
      <w:r>
        <w:rPr>
          <w:snapToGrid w:val="0"/>
        </w:rPr>
        <w:t>.</w:t>
      </w:r>
      <w:r>
        <w:rPr>
          <w:snapToGrid w:val="0"/>
        </w:rPr>
        <w:tab/>
        <w:t>Horses on CALM land</w:t>
      </w:r>
      <w:bookmarkEnd w:id="50"/>
      <w:bookmarkEnd w:id="51"/>
      <w:r>
        <w:rPr>
          <w:snapToGrid w:val="0"/>
        </w:rPr>
        <w:t xml:space="preserve"> </w:t>
      </w:r>
    </w:p>
    <w:p>
      <w:pPr>
        <w:pStyle w:val="Subsection"/>
        <w:spacing w:before="110"/>
        <w:rPr>
          <w:snapToGrid w:val="0"/>
        </w:rPr>
      </w:pPr>
      <w:r>
        <w:rPr>
          <w:snapToGrid w:val="0"/>
        </w:rPr>
        <w:tab/>
        <w:t>(1)</w:t>
      </w:r>
      <w:r>
        <w:rPr>
          <w:snapToGrid w:val="0"/>
        </w:rPr>
        <w:tab/>
        <w:t>A person may bring a horse on to a horse area.</w:t>
      </w:r>
    </w:p>
    <w:p>
      <w:pPr>
        <w:pStyle w:val="Subsection"/>
        <w:spacing w:before="11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spacing w:before="70"/>
      </w:pPr>
      <w:r>
        <w:tab/>
        <w:t>Penalty: a fine of $2 000.</w:t>
      </w:r>
    </w:p>
    <w:p>
      <w:pPr>
        <w:pStyle w:val="Footnotesection"/>
        <w:spacing w:before="80"/>
      </w:pPr>
      <w:r>
        <w:tab/>
        <w:t>[Regulation 17 amended in Gazette 3 Dec 2010 p. 6046; 19 Sep 2014 p. 3335.]</w:t>
      </w:r>
    </w:p>
    <w:p>
      <w:pPr>
        <w:pStyle w:val="Heading5"/>
        <w:spacing w:before="180"/>
        <w:rPr>
          <w:snapToGrid w:val="0"/>
        </w:rPr>
      </w:pPr>
      <w:bookmarkStart w:id="52" w:name="_Toc437515598"/>
      <w:bookmarkStart w:id="53" w:name="_Toc436905845"/>
      <w:r>
        <w:rPr>
          <w:rStyle w:val="CharSectno"/>
        </w:rPr>
        <w:t>18</w:t>
      </w:r>
      <w:r>
        <w:rPr>
          <w:snapToGrid w:val="0"/>
        </w:rPr>
        <w:t>.</w:t>
      </w:r>
      <w:r>
        <w:rPr>
          <w:snapToGrid w:val="0"/>
        </w:rPr>
        <w:tab/>
        <w:t>Unlawful taking of non</w:t>
      </w:r>
      <w:r>
        <w:rPr>
          <w:snapToGrid w:val="0"/>
        </w:rPr>
        <w:noBreakHyphen/>
        <w:t>indigenous animals</w:t>
      </w:r>
      <w:bookmarkEnd w:id="52"/>
      <w:bookmarkEnd w:id="53"/>
      <w:r>
        <w:rPr>
          <w:snapToGrid w:val="0"/>
        </w:rPr>
        <w:t xml:space="preserve"> </w:t>
      </w:r>
    </w:p>
    <w:p>
      <w:pPr>
        <w:pStyle w:val="Subsection"/>
        <w:spacing w:before="11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18 amended in Gazette 3 Dec 2010 p. 6052</w:t>
      </w:r>
      <w:r>
        <w:noBreakHyphen/>
        <w:t>3; 19 Sep 2014 p. 3335.]</w:t>
      </w:r>
    </w:p>
    <w:p>
      <w:pPr>
        <w:pStyle w:val="Heading5"/>
        <w:spacing w:before="180"/>
        <w:rPr>
          <w:snapToGrid w:val="0"/>
        </w:rPr>
      </w:pPr>
      <w:bookmarkStart w:id="54" w:name="_Toc437515599"/>
      <w:bookmarkStart w:id="55" w:name="_Toc436905846"/>
      <w:r>
        <w:rPr>
          <w:rStyle w:val="CharSectno"/>
        </w:rPr>
        <w:t>19</w:t>
      </w:r>
      <w:r>
        <w:rPr>
          <w:snapToGrid w:val="0"/>
        </w:rPr>
        <w:t>.</w:t>
      </w:r>
      <w:r>
        <w:rPr>
          <w:snapToGrid w:val="0"/>
        </w:rPr>
        <w:tab/>
        <w:t>Removal of animal by owner or person in charge</w:t>
      </w:r>
      <w:bookmarkEnd w:id="54"/>
      <w:bookmarkEnd w:id="55"/>
      <w:r>
        <w:rPr>
          <w:snapToGrid w:val="0"/>
        </w:rPr>
        <w:t xml:space="preserve"> </w:t>
      </w:r>
    </w:p>
    <w:p>
      <w:pPr>
        <w:pStyle w:val="Subsection"/>
        <w:spacing w:before="11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spacing w:before="60"/>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80"/>
      </w:pPr>
      <w:r>
        <w:tab/>
        <w:t>[Regulation 19 amended in Gazette 3 Dec 2010 p. 6052</w:t>
      </w:r>
      <w:r>
        <w:noBreakHyphen/>
        <w:t>3; 19 Sep 2014 p. 3335.]</w:t>
      </w:r>
    </w:p>
    <w:p>
      <w:pPr>
        <w:pStyle w:val="Heading5"/>
        <w:keepNext w:val="0"/>
        <w:keepLines w:val="0"/>
        <w:rPr>
          <w:snapToGrid w:val="0"/>
        </w:rPr>
      </w:pPr>
      <w:bookmarkStart w:id="56" w:name="_Toc437515600"/>
      <w:bookmarkStart w:id="57" w:name="_Toc436905847"/>
      <w:r>
        <w:rPr>
          <w:rStyle w:val="CharSectno"/>
        </w:rPr>
        <w:t>20</w:t>
      </w:r>
      <w:r>
        <w:rPr>
          <w:snapToGrid w:val="0"/>
        </w:rPr>
        <w:t>.</w:t>
      </w:r>
      <w:r>
        <w:rPr>
          <w:snapToGrid w:val="0"/>
        </w:rPr>
        <w:tab/>
        <w:t>Removal of animals by authorised officer</w:t>
      </w:r>
      <w:bookmarkEnd w:id="56"/>
      <w:bookmarkEnd w:id="57"/>
      <w:r>
        <w:rPr>
          <w:snapToGrid w:val="0"/>
        </w:rPr>
        <w:t xml:space="preserve"> </w:t>
      </w:r>
    </w:p>
    <w:p>
      <w:pPr>
        <w:pStyle w:val="Subsection"/>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ind w:left="890" w:hanging="890"/>
      </w:pPr>
      <w:r>
        <w:tab/>
        <w:t>[Regulation 20 amended in Gazette 29 Sep 2006 p. 4307.]</w:t>
      </w:r>
    </w:p>
    <w:p>
      <w:pPr>
        <w:pStyle w:val="Heading3"/>
      </w:pPr>
      <w:bookmarkStart w:id="58" w:name="_Toc436903685"/>
      <w:bookmarkStart w:id="59" w:name="_Toc436905627"/>
      <w:bookmarkStart w:id="60" w:name="_Toc436905848"/>
      <w:bookmarkStart w:id="61" w:name="_Toc437515601"/>
      <w:r>
        <w:rPr>
          <w:rStyle w:val="CharDivNo"/>
        </w:rPr>
        <w:t>Division 3</w:t>
      </w:r>
      <w:r>
        <w:rPr>
          <w:snapToGrid w:val="0"/>
        </w:rPr>
        <w:t xml:space="preserve"> — </w:t>
      </w:r>
      <w:r>
        <w:rPr>
          <w:rStyle w:val="CharDivText"/>
        </w:rPr>
        <w:t>Pollution and litter</w:t>
      </w:r>
      <w:bookmarkEnd w:id="58"/>
      <w:bookmarkEnd w:id="59"/>
      <w:bookmarkEnd w:id="60"/>
      <w:bookmarkEnd w:id="61"/>
      <w:r>
        <w:rPr>
          <w:rStyle w:val="CharDivText"/>
        </w:rPr>
        <w:t xml:space="preserve"> </w:t>
      </w:r>
    </w:p>
    <w:p>
      <w:pPr>
        <w:pStyle w:val="Heading5"/>
        <w:rPr>
          <w:snapToGrid w:val="0"/>
        </w:rPr>
      </w:pPr>
      <w:bookmarkStart w:id="62" w:name="_Toc437515602"/>
      <w:bookmarkStart w:id="63" w:name="_Toc436905849"/>
      <w:r>
        <w:rPr>
          <w:rStyle w:val="CharSectno"/>
        </w:rPr>
        <w:t>21</w:t>
      </w:r>
      <w:r>
        <w:rPr>
          <w:snapToGrid w:val="0"/>
        </w:rPr>
        <w:t>.</w:t>
      </w:r>
      <w:r>
        <w:rPr>
          <w:snapToGrid w:val="0"/>
        </w:rPr>
        <w:tab/>
        <w:t>Discharging or depositing waste</w:t>
      </w:r>
      <w:bookmarkEnd w:id="62"/>
      <w:bookmarkEnd w:id="63"/>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a fine of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64" w:name="_Toc437515603"/>
      <w:bookmarkStart w:id="65" w:name="_Toc436905850"/>
      <w:r>
        <w:rPr>
          <w:rStyle w:val="CharSectno"/>
        </w:rPr>
        <w:t>22</w:t>
      </w:r>
      <w:r>
        <w:t>.</w:t>
      </w:r>
      <w:r>
        <w:tab/>
        <w:t>Painting or treating vessels</w:t>
      </w:r>
      <w:bookmarkEnd w:id="64"/>
      <w:bookmarkEnd w:id="65"/>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66" w:name="_Toc437515604"/>
      <w:bookmarkStart w:id="67" w:name="_Toc436905851"/>
      <w:r>
        <w:rPr>
          <w:rStyle w:val="CharSectno"/>
        </w:rPr>
        <w:t>23</w:t>
      </w:r>
      <w:r>
        <w:rPr>
          <w:snapToGrid w:val="0"/>
        </w:rPr>
        <w:t>.</w:t>
      </w:r>
      <w:r>
        <w:rPr>
          <w:snapToGrid w:val="0"/>
        </w:rPr>
        <w:tab/>
        <w:t>Pollution of water supply</w:t>
      </w:r>
      <w:bookmarkEnd w:id="66"/>
      <w:bookmarkEnd w:id="67"/>
      <w:r>
        <w:rPr>
          <w:snapToGrid w:val="0"/>
        </w:rPr>
        <w:t xml:space="preserve"> </w:t>
      </w:r>
    </w:p>
    <w:p>
      <w:pPr>
        <w:pStyle w:val="Subsection"/>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spacing w:before="150"/>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spacing w:before="100"/>
      </w:pPr>
      <w:r>
        <w:tab/>
        <w:t>[Regulation 23 amended in Gazette 29 Sep 2006 p. 4308; 3 Dec 2010 p. 6052</w:t>
      </w:r>
      <w:r>
        <w:noBreakHyphen/>
        <w:t>3; 19 Sep 2014 p. 3335.]</w:t>
      </w:r>
    </w:p>
    <w:p>
      <w:pPr>
        <w:pStyle w:val="Heading5"/>
        <w:rPr>
          <w:snapToGrid w:val="0"/>
        </w:rPr>
      </w:pPr>
      <w:bookmarkStart w:id="68" w:name="_Toc437515605"/>
      <w:bookmarkStart w:id="69" w:name="_Toc436905852"/>
      <w:r>
        <w:rPr>
          <w:rStyle w:val="CharSectno"/>
        </w:rPr>
        <w:t>24</w:t>
      </w:r>
      <w:r>
        <w:rPr>
          <w:snapToGrid w:val="0"/>
        </w:rPr>
        <w:t>.</w:t>
      </w:r>
      <w:r>
        <w:rPr>
          <w:snapToGrid w:val="0"/>
        </w:rPr>
        <w:tab/>
        <w:t>Litter</w:t>
      </w:r>
      <w:bookmarkEnd w:id="68"/>
      <w:bookmarkEnd w:id="69"/>
      <w:r>
        <w:rPr>
          <w:snapToGrid w:val="0"/>
        </w:rPr>
        <w:t xml:space="preserve"> </w:t>
      </w:r>
    </w:p>
    <w:p>
      <w:pPr>
        <w:pStyle w:val="Subsection"/>
        <w:spacing w:before="150"/>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50"/>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spacing w:before="100"/>
      </w:pPr>
      <w:r>
        <w:tab/>
        <w:t>[Regulation 24 amended in Gazette 29 Sep 2006 p. 4334; 3 Dec 2010 p. 6052</w:t>
      </w:r>
      <w:r>
        <w:noBreakHyphen/>
        <w:t>3; 19 Sep 2014 p. 3335.]</w:t>
      </w:r>
    </w:p>
    <w:p>
      <w:pPr>
        <w:pStyle w:val="Heading5"/>
        <w:rPr>
          <w:snapToGrid w:val="0"/>
        </w:rPr>
      </w:pPr>
      <w:bookmarkStart w:id="70" w:name="_Toc437515606"/>
      <w:bookmarkStart w:id="71" w:name="_Toc436905853"/>
      <w:r>
        <w:rPr>
          <w:rStyle w:val="CharSectno"/>
        </w:rPr>
        <w:t>25</w:t>
      </w:r>
      <w:r>
        <w:rPr>
          <w:snapToGrid w:val="0"/>
        </w:rPr>
        <w:t>.</w:t>
      </w:r>
      <w:r>
        <w:rPr>
          <w:snapToGrid w:val="0"/>
        </w:rPr>
        <w:tab/>
        <w:t>Building materials and other matter</w:t>
      </w:r>
      <w:bookmarkEnd w:id="70"/>
      <w:bookmarkEnd w:id="71"/>
      <w:r>
        <w:rPr>
          <w:snapToGrid w:val="0"/>
        </w:rPr>
        <w:t xml:space="preserve"> </w:t>
      </w:r>
    </w:p>
    <w:p>
      <w:pPr>
        <w:pStyle w:val="Subsection"/>
        <w:spacing w:before="150"/>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25 amended in Gazette 3 Dec 2010 p. 6052</w:t>
      </w:r>
      <w:r>
        <w:noBreakHyphen/>
        <w:t>3.]</w:t>
      </w:r>
    </w:p>
    <w:p>
      <w:pPr>
        <w:pStyle w:val="Heading5"/>
        <w:rPr>
          <w:snapToGrid w:val="0"/>
        </w:rPr>
      </w:pPr>
      <w:bookmarkStart w:id="72" w:name="_Toc437515607"/>
      <w:bookmarkStart w:id="73" w:name="_Toc436905854"/>
      <w:r>
        <w:rPr>
          <w:rStyle w:val="CharSectno"/>
        </w:rPr>
        <w:t>26</w:t>
      </w:r>
      <w:r>
        <w:rPr>
          <w:snapToGrid w:val="0"/>
        </w:rPr>
        <w:t>.</w:t>
      </w:r>
      <w:r>
        <w:rPr>
          <w:snapToGrid w:val="0"/>
        </w:rPr>
        <w:tab/>
        <w:t>Glass in restricted areas</w:t>
      </w:r>
      <w:bookmarkEnd w:id="72"/>
      <w:bookmarkEnd w:id="73"/>
      <w:r>
        <w:rPr>
          <w:snapToGrid w:val="0"/>
        </w:rPr>
        <w:t xml:space="preserve"> </w:t>
      </w:r>
    </w:p>
    <w:p>
      <w:pPr>
        <w:pStyle w:val="Subsection"/>
        <w:spacing w:before="150"/>
        <w:rPr>
          <w:snapToGrid w:val="0"/>
        </w:rPr>
      </w:pPr>
      <w:r>
        <w:rPr>
          <w:snapToGrid w:val="0"/>
        </w:rPr>
        <w:tab/>
      </w:r>
      <w:r>
        <w:rPr>
          <w:snapToGrid w:val="0"/>
        </w:rPr>
        <w:tab/>
        <w:t>A person must not — </w:t>
      </w:r>
    </w:p>
    <w:p>
      <w:pPr>
        <w:pStyle w:val="Indenta"/>
        <w:spacing w:before="60"/>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spacing w:before="60"/>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26 amended in Gazette 3 Dec 2010 p. 6052</w:t>
      </w:r>
      <w:r>
        <w:noBreakHyphen/>
        <w:t>3; 19 Sep 2014 p. 3335.]</w:t>
      </w:r>
    </w:p>
    <w:p>
      <w:pPr>
        <w:pStyle w:val="Heading5"/>
        <w:spacing w:before="200"/>
        <w:rPr>
          <w:snapToGrid w:val="0"/>
        </w:rPr>
      </w:pPr>
      <w:bookmarkStart w:id="74" w:name="_Toc437515608"/>
      <w:bookmarkStart w:id="75" w:name="_Toc436905855"/>
      <w:r>
        <w:rPr>
          <w:rStyle w:val="CharSectno"/>
        </w:rPr>
        <w:t>27</w:t>
      </w:r>
      <w:r>
        <w:rPr>
          <w:snapToGrid w:val="0"/>
        </w:rPr>
        <w:t>.</w:t>
      </w:r>
      <w:r>
        <w:rPr>
          <w:snapToGrid w:val="0"/>
        </w:rPr>
        <w:tab/>
        <w:t>Removal of litter etc.</w:t>
      </w:r>
      <w:bookmarkEnd w:id="74"/>
      <w:bookmarkEnd w:id="75"/>
      <w:r>
        <w:rPr>
          <w:snapToGrid w:val="0"/>
        </w:rPr>
        <w:t xml:space="preserve"> </w:t>
      </w:r>
    </w:p>
    <w:p>
      <w:pPr>
        <w:pStyle w:val="Subsection"/>
        <w:spacing w:before="140"/>
        <w:rPr>
          <w:snapToGrid w:val="0"/>
        </w:rPr>
      </w:pPr>
      <w:r>
        <w:rPr>
          <w:snapToGrid w:val="0"/>
        </w:rPr>
        <w:tab/>
        <w:t>(1)</w:t>
      </w:r>
      <w:r>
        <w:rPr>
          <w:snapToGrid w:val="0"/>
        </w:rPr>
        <w:tab/>
        <w:t>An authorised officer who finds a person contravening regulation 24, 25 or 26 may direct that person then and there — </w:t>
      </w:r>
    </w:p>
    <w:p>
      <w:pPr>
        <w:pStyle w:val="Indenta"/>
        <w:spacing w:before="60"/>
        <w:rPr>
          <w:snapToGrid w:val="0"/>
        </w:rPr>
      </w:pPr>
      <w:r>
        <w:rPr>
          <w:snapToGrid w:val="0"/>
        </w:rPr>
        <w:tab/>
        <w:t>(a)</w:t>
      </w:r>
      <w:r>
        <w:rPr>
          <w:snapToGrid w:val="0"/>
        </w:rPr>
        <w:tab/>
        <w:t>to remove the thing the subject of the offence from the land; or</w:t>
      </w:r>
    </w:p>
    <w:p>
      <w:pPr>
        <w:pStyle w:val="Indenta"/>
        <w:spacing w:before="60"/>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spacing w:before="14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spacing w:before="100"/>
      </w:pPr>
      <w:r>
        <w:tab/>
        <w:t>[Regulation 27 amended in Gazette 3 Dec 2010 p. 6052</w:t>
      </w:r>
      <w:r>
        <w:noBreakHyphen/>
        <w:t>3.]</w:t>
      </w:r>
    </w:p>
    <w:p>
      <w:pPr>
        <w:pStyle w:val="Heading5"/>
        <w:spacing w:before="200"/>
        <w:rPr>
          <w:snapToGrid w:val="0"/>
        </w:rPr>
      </w:pPr>
      <w:bookmarkStart w:id="76" w:name="_Toc437515609"/>
      <w:bookmarkStart w:id="77" w:name="_Toc436905856"/>
      <w:r>
        <w:rPr>
          <w:rStyle w:val="CharSectno"/>
        </w:rPr>
        <w:t>28</w:t>
      </w:r>
      <w:r>
        <w:rPr>
          <w:snapToGrid w:val="0"/>
        </w:rPr>
        <w:t>.</w:t>
      </w:r>
      <w:r>
        <w:rPr>
          <w:snapToGrid w:val="0"/>
        </w:rPr>
        <w:tab/>
        <w:t>Cleaning, scaling etc. fish</w:t>
      </w:r>
      <w:bookmarkEnd w:id="76"/>
      <w:bookmarkEnd w:id="77"/>
      <w:r>
        <w:rPr>
          <w:snapToGrid w:val="0"/>
        </w:rPr>
        <w:t xml:space="preserve"> </w:t>
      </w:r>
    </w:p>
    <w:p>
      <w:pPr>
        <w:pStyle w:val="Subsection"/>
        <w:spacing w:before="140"/>
        <w:rPr>
          <w:snapToGrid w:val="0"/>
        </w:rPr>
      </w:pPr>
      <w:r>
        <w:rPr>
          <w:snapToGrid w:val="0"/>
        </w:rPr>
        <w:tab/>
      </w:r>
      <w:r>
        <w:rPr>
          <w:snapToGrid w:val="0"/>
        </w:rPr>
        <w:tab/>
        <w:t>A person must not, without lawful authority, in a restricted area — </w:t>
      </w:r>
    </w:p>
    <w:p>
      <w:pPr>
        <w:pStyle w:val="Indenta"/>
        <w:spacing w:before="60"/>
        <w:rPr>
          <w:snapToGrid w:val="0"/>
        </w:rPr>
      </w:pPr>
      <w:r>
        <w:rPr>
          <w:snapToGrid w:val="0"/>
        </w:rPr>
        <w:tab/>
        <w:t>(a)</w:t>
      </w:r>
      <w:r>
        <w:rPr>
          <w:snapToGrid w:val="0"/>
        </w:rPr>
        <w:tab/>
        <w:t>clean, scale, gut or fillet fish if that activity is prohibited in that area under regulation 5; or</w:t>
      </w:r>
    </w:p>
    <w:p>
      <w:pPr>
        <w:pStyle w:val="Indenta"/>
        <w:spacing w:before="60"/>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28 amended in Gazette 3 Dec 2010 p. 6052</w:t>
      </w:r>
      <w:r>
        <w:noBreakHyphen/>
        <w:t>3; 19 Sep 2014 p. 3335.]</w:t>
      </w:r>
    </w:p>
    <w:p>
      <w:pPr>
        <w:pStyle w:val="Heading5"/>
        <w:spacing w:before="200"/>
        <w:rPr>
          <w:snapToGrid w:val="0"/>
        </w:rPr>
      </w:pPr>
      <w:bookmarkStart w:id="78" w:name="_Toc437515610"/>
      <w:bookmarkStart w:id="79" w:name="_Toc436905857"/>
      <w:r>
        <w:rPr>
          <w:rStyle w:val="CharSectno"/>
        </w:rPr>
        <w:t>29</w:t>
      </w:r>
      <w:r>
        <w:rPr>
          <w:snapToGrid w:val="0"/>
        </w:rPr>
        <w:t>.</w:t>
      </w:r>
      <w:r>
        <w:rPr>
          <w:snapToGrid w:val="0"/>
        </w:rPr>
        <w:tab/>
        <w:t>Fires and smoking in caves</w:t>
      </w:r>
      <w:bookmarkEnd w:id="78"/>
      <w:bookmarkEnd w:id="79"/>
      <w:r>
        <w:rPr>
          <w:snapToGrid w:val="0"/>
        </w:rPr>
        <w:t xml:space="preserve"> </w:t>
      </w:r>
    </w:p>
    <w:p>
      <w:pPr>
        <w:pStyle w:val="Subsection"/>
        <w:spacing w:before="140"/>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80" w:name="_Toc436903695"/>
      <w:bookmarkStart w:id="81" w:name="_Toc436905637"/>
      <w:bookmarkStart w:id="82" w:name="_Toc436905858"/>
      <w:bookmarkStart w:id="83" w:name="_Toc437515611"/>
      <w:r>
        <w:rPr>
          <w:rStyle w:val="CharDivNo"/>
        </w:rPr>
        <w:t>Division 4</w:t>
      </w:r>
      <w:r>
        <w:rPr>
          <w:snapToGrid w:val="0"/>
        </w:rPr>
        <w:t xml:space="preserve"> — </w:t>
      </w:r>
      <w:r>
        <w:rPr>
          <w:rStyle w:val="CharDivText"/>
        </w:rPr>
        <w:t>Disturbance of the landscape</w:t>
      </w:r>
      <w:bookmarkEnd w:id="80"/>
      <w:bookmarkEnd w:id="81"/>
      <w:bookmarkEnd w:id="82"/>
      <w:bookmarkEnd w:id="83"/>
      <w:r>
        <w:rPr>
          <w:rStyle w:val="CharDivText"/>
        </w:rPr>
        <w:t xml:space="preserve"> </w:t>
      </w:r>
    </w:p>
    <w:p>
      <w:pPr>
        <w:pStyle w:val="Heading5"/>
        <w:rPr>
          <w:snapToGrid w:val="0"/>
        </w:rPr>
      </w:pPr>
      <w:bookmarkStart w:id="84" w:name="_Toc437515612"/>
      <w:bookmarkStart w:id="85" w:name="_Toc436905859"/>
      <w:r>
        <w:rPr>
          <w:rStyle w:val="CharSectno"/>
        </w:rPr>
        <w:t>30</w:t>
      </w:r>
      <w:r>
        <w:rPr>
          <w:snapToGrid w:val="0"/>
        </w:rPr>
        <w:t>.</w:t>
      </w:r>
      <w:r>
        <w:rPr>
          <w:snapToGrid w:val="0"/>
        </w:rPr>
        <w:tab/>
        <w:t>Water</w:t>
      </w:r>
      <w:bookmarkEnd w:id="84"/>
      <w:bookmarkEnd w:id="85"/>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86" w:name="_Toc437515613"/>
      <w:bookmarkStart w:id="87" w:name="_Toc436905860"/>
      <w:r>
        <w:rPr>
          <w:rStyle w:val="CharSectno"/>
        </w:rPr>
        <w:t>31</w:t>
      </w:r>
      <w:r>
        <w:rPr>
          <w:snapToGrid w:val="0"/>
        </w:rPr>
        <w:t>.</w:t>
      </w:r>
      <w:r>
        <w:rPr>
          <w:snapToGrid w:val="0"/>
        </w:rPr>
        <w:tab/>
        <w:t>Damage etc. to naturally occurring features</w:t>
      </w:r>
      <w:bookmarkEnd w:id="86"/>
      <w:bookmarkEnd w:id="87"/>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88" w:name="_Toc437515614"/>
      <w:bookmarkStart w:id="89" w:name="_Toc436905861"/>
      <w:r>
        <w:rPr>
          <w:rStyle w:val="CharSectno"/>
        </w:rPr>
        <w:t>32</w:t>
      </w:r>
      <w:r>
        <w:rPr>
          <w:snapToGrid w:val="0"/>
        </w:rPr>
        <w:t>.</w:t>
      </w:r>
      <w:r>
        <w:rPr>
          <w:snapToGrid w:val="0"/>
        </w:rPr>
        <w:tab/>
        <w:t>Sandboarding</w:t>
      </w:r>
      <w:bookmarkEnd w:id="88"/>
      <w:bookmarkEnd w:id="89"/>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32 amended in Gazette 3 Dec 2010 p. 6052</w:t>
      </w:r>
      <w:r>
        <w:noBreakHyphen/>
        <w:t>3; 19 Sep 2014 p. 3335.]</w:t>
      </w:r>
    </w:p>
    <w:p>
      <w:pPr>
        <w:pStyle w:val="Heading5"/>
      </w:pPr>
      <w:bookmarkStart w:id="90" w:name="_Toc437515615"/>
      <w:bookmarkStart w:id="91" w:name="_Toc436905862"/>
      <w:r>
        <w:rPr>
          <w:rStyle w:val="CharSectno"/>
        </w:rPr>
        <w:t>33</w:t>
      </w:r>
      <w:r>
        <w:t>.</w:t>
      </w:r>
      <w:r>
        <w:tab/>
        <w:t>Abseiling</w:t>
      </w:r>
      <w:bookmarkEnd w:id="90"/>
      <w:bookmarkEnd w:id="91"/>
    </w:p>
    <w:p>
      <w:pPr>
        <w:pStyle w:val="Subsection"/>
      </w:pPr>
      <w:r>
        <w:tab/>
        <w:t>(1)</w:t>
      </w:r>
      <w:r>
        <w:tab/>
        <w:t>A person must not, without lawful authority, abseil on CALM land except in an abseiling area.</w:t>
      </w:r>
    </w:p>
    <w:p>
      <w:pPr>
        <w:pStyle w:val="Penstart"/>
      </w:pPr>
      <w:r>
        <w:tab/>
        <w:t>Penalty: a fine of $1 000.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$1 000.</w:t>
      </w:r>
    </w:p>
    <w:p>
      <w:pPr>
        <w:pStyle w:val="Footnotesection"/>
      </w:pPr>
      <w:r>
        <w:tab/>
        <w:t>[Regulation 33 inserted in Gazette 3 Dec 2010 p. 6047; amended in Gazette 19 Sep 2014 p. 3335.]</w:t>
      </w:r>
    </w:p>
    <w:p>
      <w:pPr>
        <w:pStyle w:val="Heading5"/>
        <w:rPr>
          <w:snapToGrid w:val="0"/>
        </w:rPr>
      </w:pPr>
      <w:bookmarkStart w:id="92" w:name="_Toc437515616"/>
      <w:bookmarkStart w:id="93" w:name="_Toc436905863"/>
      <w:r>
        <w:rPr>
          <w:rStyle w:val="CharSectno"/>
        </w:rPr>
        <w:t>34</w:t>
      </w:r>
      <w:r>
        <w:rPr>
          <w:snapToGrid w:val="0"/>
        </w:rPr>
        <w:t>.</w:t>
      </w:r>
      <w:r>
        <w:rPr>
          <w:snapToGrid w:val="0"/>
        </w:rPr>
        <w:tab/>
        <w:t>Unauthorised buildings etc.</w:t>
      </w:r>
      <w:bookmarkEnd w:id="92"/>
      <w:bookmarkEnd w:id="93"/>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94" w:name="_Toc437515617"/>
      <w:bookmarkStart w:id="95" w:name="_Toc436905864"/>
      <w:r>
        <w:rPr>
          <w:rStyle w:val="CharSectno"/>
        </w:rPr>
        <w:t>35</w:t>
      </w:r>
      <w:r>
        <w:rPr>
          <w:snapToGrid w:val="0"/>
        </w:rPr>
        <w:t>.</w:t>
      </w:r>
      <w:r>
        <w:rPr>
          <w:snapToGrid w:val="0"/>
        </w:rPr>
        <w:tab/>
        <w:t>Unauthorised clearing</w:t>
      </w:r>
      <w:bookmarkEnd w:id="94"/>
      <w:bookmarkEnd w:id="9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96" w:name="_Toc437515618"/>
      <w:bookmarkStart w:id="97" w:name="_Toc436905865"/>
      <w:r>
        <w:rPr>
          <w:rStyle w:val="CharSectno"/>
        </w:rPr>
        <w:t>35A</w:t>
      </w:r>
      <w:r>
        <w:t>.</w:t>
      </w:r>
      <w:r>
        <w:tab/>
        <w:t>Quarrying, removing or disturbing soil etc.</w:t>
      </w:r>
      <w:bookmarkEnd w:id="96"/>
      <w:bookmarkEnd w:id="97"/>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98" w:name="_Toc437515619"/>
      <w:bookmarkStart w:id="99" w:name="_Toc436905866"/>
      <w:r>
        <w:rPr>
          <w:rStyle w:val="CharSectno"/>
        </w:rPr>
        <w:t>36</w:t>
      </w:r>
      <w:r>
        <w:rPr>
          <w:snapToGrid w:val="0"/>
        </w:rPr>
        <w:t>.</w:t>
      </w:r>
      <w:r>
        <w:rPr>
          <w:snapToGrid w:val="0"/>
        </w:rPr>
        <w:tab/>
        <w:t>Dumping</w:t>
      </w:r>
      <w:bookmarkEnd w:id="98"/>
      <w:bookmarkEnd w:id="99"/>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00" w:name="_Toc437515620"/>
      <w:bookmarkStart w:id="101" w:name="_Toc436905867"/>
      <w:r>
        <w:rPr>
          <w:rStyle w:val="CharSectno"/>
        </w:rPr>
        <w:t>37</w:t>
      </w:r>
      <w:r>
        <w:rPr>
          <w:snapToGrid w:val="0"/>
        </w:rPr>
        <w:t>.</w:t>
      </w:r>
      <w:r>
        <w:rPr>
          <w:snapToGrid w:val="0"/>
        </w:rPr>
        <w:tab/>
        <w:t>Damage to property</w:t>
      </w:r>
      <w:bookmarkEnd w:id="100"/>
      <w:bookmarkEnd w:id="10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 3 Dec 2010 p. 6052</w:t>
      </w:r>
      <w:r>
        <w:noBreakHyphen/>
        <w:t>3.]</w:t>
      </w:r>
    </w:p>
    <w:p>
      <w:pPr>
        <w:pStyle w:val="Heading5"/>
        <w:rPr>
          <w:snapToGrid w:val="0"/>
        </w:rPr>
      </w:pPr>
      <w:bookmarkStart w:id="102" w:name="_Toc437515621"/>
      <w:bookmarkStart w:id="103" w:name="_Toc436905868"/>
      <w:r>
        <w:rPr>
          <w:rStyle w:val="CharSectno"/>
        </w:rPr>
        <w:t>38</w:t>
      </w:r>
      <w:r>
        <w:rPr>
          <w:snapToGrid w:val="0"/>
        </w:rPr>
        <w:t>.</w:t>
      </w:r>
      <w:r>
        <w:rPr>
          <w:snapToGrid w:val="0"/>
        </w:rPr>
        <w:tab/>
        <w:t>Unauthorised signs</w:t>
      </w:r>
      <w:bookmarkEnd w:id="102"/>
      <w:bookmarkEnd w:id="103"/>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04" w:name="_Toc437515622"/>
      <w:bookmarkStart w:id="105" w:name="_Toc436905869"/>
      <w:r>
        <w:rPr>
          <w:rStyle w:val="CharSectno"/>
        </w:rPr>
        <w:t>39</w:t>
      </w:r>
      <w:r>
        <w:rPr>
          <w:snapToGrid w:val="0"/>
        </w:rPr>
        <w:t>.</w:t>
      </w:r>
      <w:r>
        <w:rPr>
          <w:snapToGrid w:val="0"/>
        </w:rPr>
        <w:tab/>
        <w:t>Unlawful lighting of campfires etc.</w:t>
      </w:r>
      <w:bookmarkEnd w:id="104"/>
      <w:bookmarkEnd w:id="105"/>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w:t>
      </w:r>
      <w:r>
        <w:t xml:space="preserve"> injured; or</w:t>
      </w:r>
    </w:p>
    <w:p>
      <w:pPr>
        <w:pStyle w:val="Indenta"/>
        <w:rPr>
          <w:rStyle w:val="DraftersNotes"/>
          <w:b w:val="0"/>
          <w:i w:val="0"/>
        </w:rPr>
      </w:pPr>
      <w:r>
        <w:tab/>
        <w:t>(d)</w:t>
      </w:r>
      <w:r>
        <w:tab/>
        <w:t>contrary to any direction on a sign relating to that CALM land or an area of that land specified in the sign; or</w:t>
      </w:r>
    </w:p>
    <w:p>
      <w:pPr>
        <w:pStyle w:val="Indenta"/>
      </w:pPr>
      <w:r>
        <w:tab/>
        <w:t>(e)</w:t>
      </w:r>
      <w:r>
        <w:tab/>
        <w:t>where there is in force a fire danger forecast issued by the Bureau of Meteorology of “high”, “very high”, “severe”, “extreme” or “catastrophic” that relates to, or includes, that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 19 Sep 2014 p. 3330</w:t>
      </w:r>
      <w:r>
        <w:noBreakHyphen/>
        <w:t>1.]</w:t>
      </w:r>
    </w:p>
    <w:p>
      <w:pPr>
        <w:pStyle w:val="Heading5"/>
      </w:pPr>
      <w:bookmarkStart w:id="106" w:name="_Toc437515623"/>
      <w:bookmarkStart w:id="107" w:name="_Toc436905870"/>
      <w:r>
        <w:rPr>
          <w:rStyle w:val="CharSectno"/>
        </w:rPr>
        <w:t>40</w:t>
      </w:r>
      <w:r>
        <w:t>.</w:t>
      </w:r>
      <w:r>
        <w:tab/>
        <w:t>Extinguishment of camp fires, barbeques and portable stoves</w:t>
      </w:r>
      <w:bookmarkEnd w:id="106"/>
      <w:bookmarkEnd w:id="107"/>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08" w:name="_Toc437515624"/>
      <w:bookmarkStart w:id="109" w:name="_Toc436905871"/>
      <w:r>
        <w:rPr>
          <w:rStyle w:val="CharSectno"/>
        </w:rPr>
        <w:t>40A</w:t>
      </w:r>
      <w:r>
        <w:t>.</w:t>
      </w:r>
      <w:r>
        <w:tab/>
        <w:t>Unlawful lighting of fires — only one conviction</w:t>
      </w:r>
      <w:bookmarkEnd w:id="108"/>
      <w:bookmarkEnd w:id="109"/>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110" w:name="_Toc436903709"/>
      <w:bookmarkStart w:id="111" w:name="_Toc436905651"/>
      <w:bookmarkStart w:id="112" w:name="_Toc436905872"/>
      <w:bookmarkStart w:id="113" w:name="_Toc437515625"/>
      <w:r>
        <w:rPr>
          <w:rStyle w:val="CharPartNo"/>
        </w:rPr>
        <w:t>Part 3</w:t>
      </w:r>
      <w:r>
        <w:t xml:space="preserve"> — </w:t>
      </w:r>
      <w:r>
        <w:rPr>
          <w:rStyle w:val="CharPartText"/>
        </w:rPr>
        <w:t>Access to CALM land</w:t>
      </w:r>
      <w:bookmarkEnd w:id="110"/>
      <w:bookmarkEnd w:id="111"/>
      <w:bookmarkEnd w:id="112"/>
      <w:bookmarkEnd w:id="113"/>
    </w:p>
    <w:p>
      <w:pPr>
        <w:pStyle w:val="Heading3"/>
      </w:pPr>
      <w:bookmarkStart w:id="114" w:name="_Toc436903710"/>
      <w:bookmarkStart w:id="115" w:name="_Toc436905652"/>
      <w:bookmarkStart w:id="116" w:name="_Toc436905873"/>
      <w:bookmarkStart w:id="117" w:name="_Toc437515626"/>
      <w:r>
        <w:rPr>
          <w:rStyle w:val="CharDivNo"/>
        </w:rPr>
        <w:t>Division 1</w:t>
      </w:r>
      <w:r>
        <w:rPr>
          <w:snapToGrid w:val="0"/>
        </w:rPr>
        <w:t xml:space="preserve"> — </w:t>
      </w:r>
      <w:r>
        <w:rPr>
          <w:rStyle w:val="CharDivText"/>
        </w:rPr>
        <w:t>General</w:t>
      </w:r>
      <w:bookmarkEnd w:id="114"/>
      <w:bookmarkEnd w:id="115"/>
      <w:bookmarkEnd w:id="116"/>
      <w:bookmarkEnd w:id="117"/>
    </w:p>
    <w:p>
      <w:pPr>
        <w:pStyle w:val="Heading5"/>
        <w:spacing w:before="180"/>
        <w:rPr>
          <w:snapToGrid w:val="0"/>
        </w:rPr>
      </w:pPr>
      <w:bookmarkStart w:id="118" w:name="_Toc437515627"/>
      <w:bookmarkStart w:id="119" w:name="_Toc436905874"/>
      <w:r>
        <w:rPr>
          <w:rStyle w:val="CharSectno"/>
        </w:rPr>
        <w:t>41</w:t>
      </w:r>
      <w:r>
        <w:rPr>
          <w:snapToGrid w:val="0"/>
        </w:rPr>
        <w:t>.</w:t>
      </w:r>
      <w:r>
        <w:rPr>
          <w:snapToGrid w:val="0"/>
        </w:rPr>
        <w:tab/>
        <w:t>Access to certain classified areas</w:t>
      </w:r>
      <w:bookmarkEnd w:id="118"/>
      <w:bookmarkEnd w:id="119"/>
    </w:p>
    <w:p>
      <w:pPr>
        <w:pStyle w:val="Subsection"/>
        <w:spacing w:before="120"/>
        <w:rPr>
          <w:snapToGrid w:val="0"/>
        </w:rPr>
      </w:pPr>
      <w:r>
        <w:rPr>
          <w:snapToGrid w:val="0"/>
        </w:rPr>
        <w:tab/>
      </w:r>
      <w:r>
        <w:rPr>
          <w:snapToGrid w:val="0"/>
        </w:rPr>
        <w:tab/>
        <w:t>A person must not, without lawful authority, enter any land or waters classified — </w:t>
      </w:r>
    </w:p>
    <w:p>
      <w:pPr>
        <w:pStyle w:val="Indenta"/>
        <w:spacing w:before="60"/>
        <w:rPr>
          <w:snapToGrid w:val="0"/>
        </w:rPr>
      </w:pPr>
      <w:r>
        <w:rPr>
          <w:snapToGrid w:val="0"/>
        </w:rPr>
        <w:tab/>
        <w:t>(a)</w:t>
      </w:r>
      <w:r>
        <w:rPr>
          <w:snapToGrid w:val="0"/>
        </w:rPr>
        <w:tab/>
        <w:t>under section 62(1)(b) of the Act as a prohibited area; or</w:t>
      </w:r>
    </w:p>
    <w:p>
      <w:pPr>
        <w:pStyle w:val="Indenta"/>
        <w:spacing w:before="60"/>
        <w:rPr>
          <w:snapToGrid w:val="0"/>
        </w:rPr>
      </w:pPr>
      <w:r>
        <w:rPr>
          <w:snapToGrid w:val="0"/>
        </w:rPr>
        <w:tab/>
        <w:t>(b)</w:t>
      </w:r>
      <w:r>
        <w:rPr>
          <w:snapToGrid w:val="0"/>
        </w:rPr>
        <w:tab/>
        <w:t>under section 62(1)(d) of the Act as a temporary</w:t>
      </w:r>
      <w:r>
        <w:t xml:space="preserve"> control area for a purpose referred to in section 62(2)(a)(i) or (ii) of the Act; or</w:t>
      </w:r>
    </w:p>
    <w:p>
      <w:pPr>
        <w:pStyle w:val="Indenta"/>
        <w:spacing w:before="60"/>
      </w:pPr>
      <w:r>
        <w:tab/>
        <w:t>(ca)</w:t>
      </w:r>
      <w:r>
        <w:tab/>
        <w:t>under section 62(1)(d) of the Act as a temporary control area for a purpose referred to in section 62(2)(a)(iii) of the Act; or</w:t>
      </w:r>
    </w:p>
    <w:p>
      <w:pPr>
        <w:pStyle w:val="Indenta"/>
        <w:spacing w:before="60"/>
      </w:pPr>
      <w:r>
        <w:rPr>
          <w:snapToGrid w:val="0"/>
        </w:rPr>
        <w:tab/>
        <w:t>(c)</w:t>
      </w:r>
      <w:r>
        <w:rPr>
          <w:snapToGrid w:val="0"/>
        </w:rPr>
        <w:tab/>
        <w:t xml:space="preserve">under section 62(1)(f) of the Act as </w:t>
      </w:r>
      <w:r>
        <w:t>a plant disease management area.</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 7 Dec 2012 p. 5965-6.]</w:t>
      </w:r>
    </w:p>
    <w:p>
      <w:pPr>
        <w:pStyle w:val="Heading5"/>
        <w:spacing w:before="180"/>
      </w:pPr>
      <w:bookmarkStart w:id="120" w:name="_Toc437515628"/>
      <w:bookmarkStart w:id="121" w:name="_Toc436905875"/>
      <w:r>
        <w:rPr>
          <w:rStyle w:val="CharSectno"/>
        </w:rPr>
        <w:t>42</w:t>
      </w:r>
      <w:r>
        <w:t>.</w:t>
      </w:r>
      <w:r>
        <w:tab/>
        <w:t>Access to limited access areas</w:t>
      </w:r>
      <w:bookmarkEnd w:id="120"/>
      <w:bookmarkEnd w:id="121"/>
    </w:p>
    <w:p>
      <w:pPr>
        <w:pStyle w:val="Subsection"/>
        <w:spacing w:before="120"/>
      </w:pPr>
      <w:r>
        <w:tab/>
      </w:r>
      <w:r>
        <w:tab/>
        <w:t>A person must not, without lawful authority, enter otherwise than on foot or by vessel any land classified under section 62(1)(c) of the Act as a limited access area.</w:t>
      </w:r>
    </w:p>
    <w:p>
      <w:pPr>
        <w:pStyle w:val="Penstart"/>
      </w:pPr>
      <w:r>
        <w:tab/>
        <w:t>Penalty: a fine of $2 000.</w:t>
      </w:r>
    </w:p>
    <w:p>
      <w:pPr>
        <w:pStyle w:val="Footnotesection"/>
      </w:pPr>
      <w:r>
        <w:tab/>
        <w:t>[Regulation 42 inserted in Gazette 7 Dec 2012 p. 5966.]</w:t>
      </w:r>
    </w:p>
    <w:p>
      <w:pPr>
        <w:pStyle w:val="Heading5"/>
        <w:spacing w:before="180"/>
        <w:rPr>
          <w:snapToGrid w:val="0"/>
        </w:rPr>
      </w:pPr>
      <w:bookmarkStart w:id="122" w:name="_Toc437515629"/>
      <w:bookmarkStart w:id="123" w:name="_Toc436905876"/>
      <w:r>
        <w:rPr>
          <w:rStyle w:val="CharSectno"/>
        </w:rPr>
        <w:t>43</w:t>
      </w:r>
      <w:r>
        <w:rPr>
          <w:snapToGrid w:val="0"/>
        </w:rPr>
        <w:t>.</w:t>
      </w:r>
      <w:r>
        <w:rPr>
          <w:snapToGrid w:val="0"/>
        </w:rPr>
        <w:tab/>
        <w:t>Access to wilderness areas (Act s. 62(1)(a))</w:t>
      </w:r>
      <w:bookmarkEnd w:id="122"/>
      <w:bookmarkEnd w:id="123"/>
    </w:p>
    <w:p>
      <w:pPr>
        <w:pStyle w:val="Subsection"/>
        <w:keepNext/>
        <w:spacing w:before="120"/>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43 amended in Gazette 3 Dec 2010 p. 6052</w:t>
      </w:r>
      <w:r>
        <w:noBreakHyphen/>
        <w:t>3; 19 Sep 2014 p. 3335.]</w:t>
      </w:r>
    </w:p>
    <w:p>
      <w:pPr>
        <w:pStyle w:val="Heading5"/>
        <w:rPr>
          <w:snapToGrid w:val="0"/>
        </w:rPr>
      </w:pPr>
      <w:bookmarkStart w:id="124" w:name="_Toc437515630"/>
      <w:bookmarkStart w:id="125" w:name="_Toc436905877"/>
      <w:r>
        <w:rPr>
          <w:rStyle w:val="CharSectno"/>
        </w:rPr>
        <w:t>44</w:t>
      </w:r>
      <w:r>
        <w:rPr>
          <w:snapToGrid w:val="0"/>
        </w:rPr>
        <w:t>.</w:t>
      </w:r>
      <w:r>
        <w:rPr>
          <w:snapToGrid w:val="0"/>
        </w:rPr>
        <w:tab/>
        <w:t>Direction to close area</w:t>
      </w:r>
      <w:bookmarkEnd w:id="124"/>
      <w:bookmarkEnd w:id="125"/>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126" w:name="_Toc437515631"/>
      <w:bookmarkStart w:id="127" w:name="_Toc436905878"/>
      <w:r>
        <w:rPr>
          <w:rStyle w:val="CharSectno"/>
        </w:rPr>
        <w:t>45</w:t>
      </w:r>
      <w:r>
        <w:rPr>
          <w:snapToGrid w:val="0"/>
        </w:rPr>
        <w:t>.</w:t>
      </w:r>
      <w:r>
        <w:rPr>
          <w:snapToGrid w:val="0"/>
        </w:rPr>
        <w:tab/>
        <w:t>Closed area</w:t>
      </w:r>
      <w:bookmarkEnd w:id="126"/>
      <w:bookmarkEnd w:id="12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spacing w:before="100"/>
      </w:pPr>
      <w:r>
        <w:tab/>
        <w:t>[Regulation 45 amended in Gazette 29 Sep 2006 p. 4311.]</w:t>
      </w:r>
    </w:p>
    <w:p>
      <w:pPr>
        <w:pStyle w:val="Heading5"/>
        <w:rPr>
          <w:snapToGrid w:val="0"/>
        </w:rPr>
      </w:pPr>
      <w:bookmarkStart w:id="128" w:name="_Toc437515632"/>
      <w:bookmarkStart w:id="129" w:name="_Toc436905879"/>
      <w:r>
        <w:rPr>
          <w:rStyle w:val="CharSectno"/>
        </w:rPr>
        <w:t>46</w:t>
      </w:r>
      <w:r>
        <w:rPr>
          <w:snapToGrid w:val="0"/>
        </w:rPr>
        <w:t>.</w:t>
      </w:r>
      <w:r>
        <w:rPr>
          <w:snapToGrid w:val="0"/>
        </w:rPr>
        <w:tab/>
        <w:t>Offences relating to closed areas</w:t>
      </w:r>
      <w:bookmarkEnd w:id="128"/>
      <w:bookmarkEnd w:id="129"/>
      <w:r>
        <w:rPr>
          <w:snapToGrid w:val="0"/>
        </w:rPr>
        <w:t xml:space="preserve"> </w:t>
      </w:r>
    </w:p>
    <w:p>
      <w:pPr>
        <w:pStyle w:val="Subsection"/>
        <w:spacing w:before="140"/>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30"/>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spacing w:before="130"/>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spacing w:before="100"/>
      </w:pPr>
      <w:r>
        <w:tab/>
        <w:t>[Regulation 46 amended in Gazette 3 Dec 2010 p. 6052</w:t>
      </w:r>
      <w:r>
        <w:noBreakHyphen/>
        <w:t>3; 19 Sep 2014 p. 3335.]</w:t>
      </w:r>
    </w:p>
    <w:p>
      <w:pPr>
        <w:pStyle w:val="Heading5"/>
      </w:pPr>
      <w:bookmarkStart w:id="130" w:name="_Toc437515633"/>
      <w:bookmarkStart w:id="131" w:name="_Toc436905880"/>
      <w:r>
        <w:rPr>
          <w:rStyle w:val="CharSectno"/>
        </w:rPr>
        <w:t>47</w:t>
      </w:r>
      <w:r>
        <w:t>.</w:t>
      </w:r>
      <w:r>
        <w:tab/>
        <w:t>Entering CALM land via gates etc.</w:t>
      </w:r>
      <w:bookmarkEnd w:id="130"/>
      <w:bookmarkEnd w:id="131"/>
    </w:p>
    <w:p>
      <w:pPr>
        <w:pStyle w:val="Subsection"/>
        <w:spacing w:before="130"/>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132" w:name="_Toc437515634"/>
      <w:bookmarkStart w:id="133" w:name="_Toc436905881"/>
      <w:r>
        <w:rPr>
          <w:rStyle w:val="CharSectno"/>
        </w:rPr>
        <w:t>48</w:t>
      </w:r>
      <w:r>
        <w:rPr>
          <w:snapToGrid w:val="0"/>
        </w:rPr>
        <w:t>.</w:t>
      </w:r>
      <w:r>
        <w:rPr>
          <w:snapToGrid w:val="0"/>
        </w:rPr>
        <w:tab/>
        <w:t xml:space="preserve">Areas set aside </w:t>
      </w:r>
      <w:r>
        <w:t>for purposes of CEO</w:t>
      </w:r>
      <w:bookmarkEnd w:id="132"/>
      <w:bookmarkEnd w:id="133"/>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pPr>
      <w:bookmarkStart w:id="134" w:name="_Toc437515635"/>
      <w:bookmarkStart w:id="135" w:name="_Toc436905882"/>
      <w:r>
        <w:rPr>
          <w:rStyle w:val="CharSectno"/>
        </w:rPr>
        <w:t>49A</w:t>
      </w:r>
      <w:r>
        <w:t>.</w:t>
      </w:r>
      <w:r>
        <w:tab/>
        <w:t>Access on foot</w:t>
      </w:r>
      <w:bookmarkEnd w:id="134"/>
      <w:bookmarkEnd w:id="135"/>
    </w:p>
    <w:p>
      <w:pPr>
        <w:pStyle w:val="Subsection"/>
      </w:pPr>
      <w:r>
        <w:tab/>
      </w:r>
      <w:r>
        <w:tab/>
        <w:t xml:space="preserve">A person must not, without lawful authority — </w:t>
      </w:r>
    </w:p>
    <w:p>
      <w:pPr>
        <w:pStyle w:val="Indenta"/>
      </w:pPr>
      <w:r>
        <w:tab/>
        <w:t>(a)</w:t>
      </w:r>
      <w:r>
        <w:tab/>
        <w:t>access a restricted area on foot if access on foot is prohibited under regulation 5; or</w:t>
      </w:r>
    </w:p>
    <w:p>
      <w:pPr>
        <w:pStyle w:val="Indenta"/>
      </w:pPr>
      <w:r>
        <w:tab/>
        <w:t>(b)</w:t>
      </w:r>
      <w:r>
        <w:tab/>
        <w:t>contravene a restriction imposed on accessing a restricted area on foot under regulation 5.</w:t>
      </w:r>
    </w:p>
    <w:p>
      <w:pPr>
        <w:pStyle w:val="Penstart"/>
      </w:pPr>
      <w:r>
        <w:tab/>
        <w:t>Penalty: a fine of $2 000.</w:t>
      </w:r>
    </w:p>
    <w:p>
      <w:pPr>
        <w:pStyle w:val="Footnotesection"/>
      </w:pPr>
      <w:r>
        <w:tab/>
        <w:t>[Regulation 49A inserted in Gazette 10 Nov 2015 p. 4606.]</w:t>
      </w:r>
    </w:p>
    <w:p>
      <w:pPr>
        <w:pStyle w:val="Heading5"/>
        <w:rPr>
          <w:snapToGrid w:val="0"/>
        </w:rPr>
      </w:pPr>
      <w:bookmarkStart w:id="136" w:name="_Toc437515636"/>
      <w:bookmarkStart w:id="137" w:name="_Toc436905883"/>
      <w:r>
        <w:rPr>
          <w:rStyle w:val="CharSectno"/>
        </w:rPr>
        <w:t>49</w:t>
      </w:r>
      <w:r>
        <w:rPr>
          <w:snapToGrid w:val="0"/>
        </w:rPr>
        <w:t>.</w:t>
      </w:r>
      <w:r>
        <w:rPr>
          <w:snapToGrid w:val="0"/>
        </w:rPr>
        <w:tab/>
        <w:t>Caves</w:t>
      </w:r>
      <w:bookmarkEnd w:id="136"/>
      <w:bookmarkEnd w:id="137"/>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keepNext/>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rPr>
          <w:snapToGrid w:val="0"/>
        </w:rPr>
      </w:pPr>
      <w:bookmarkStart w:id="138" w:name="_Toc437515637"/>
      <w:bookmarkStart w:id="139" w:name="_Toc436905884"/>
      <w:r>
        <w:rPr>
          <w:rStyle w:val="CharSectno"/>
        </w:rPr>
        <w:t>50</w:t>
      </w:r>
      <w:r>
        <w:rPr>
          <w:snapToGrid w:val="0"/>
        </w:rPr>
        <w:t>.</w:t>
      </w:r>
      <w:r>
        <w:rPr>
          <w:snapToGrid w:val="0"/>
        </w:rPr>
        <w:tab/>
        <w:t>Cross country and other events</w:t>
      </w:r>
      <w:bookmarkEnd w:id="138"/>
      <w:bookmarkEnd w:id="139"/>
      <w:r>
        <w:rPr>
          <w:snapToGrid w:val="0"/>
        </w:rPr>
        <w:t xml:space="preserve"> </w:t>
      </w:r>
    </w:p>
    <w:p>
      <w:pPr>
        <w:pStyle w:val="Subsection"/>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140" w:name="_Toc436903722"/>
      <w:bookmarkStart w:id="141" w:name="_Toc436905664"/>
      <w:bookmarkStart w:id="142" w:name="_Toc436905885"/>
      <w:bookmarkStart w:id="143" w:name="_Toc437515638"/>
      <w:r>
        <w:rPr>
          <w:rStyle w:val="CharDivNo"/>
        </w:rPr>
        <w:t>Division 2</w:t>
      </w:r>
      <w:r>
        <w:rPr>
          <w:snapToGrid w:val="0"/>
        </w:rPr>
        <w:t xml:space="preserve"> — </w:t>
      </w:r>
      <w:r>
        <w:rPr>
          <w:rStyle w:val="CharDivText"/>
        </w:rPr>
        <w:t>Vehicles</w:t>
      </w:r>
      <w:bookmarkEnd w:id="140"/>
      <w:bookmarkEnd w:id="141"/>
      <w:bookmarkEnd w:id="142"/>
      <w:bookmarkEnd w:id="143"/>
    </w:p>
    <w:p>
      <w:pPr>
        <w:pStyle w:val="Heading5"/>
        <w:spacing w:before="180"/>
        <w:rPr>
          <w:snapToGrid w:val="0"/>
        </w:rPr>
      </w:pPr>
      <w:bookmarkStart w:id="144" w:name="_Toc437515639"/>
      <w:bookmarkStart w:id="145" w:name="_Toc436905886"/>
      <w:r>
        <w:rPr>
          <w:rStyle w:val="CharSectno"/>
        </w:rPr>
        <w:t>51</w:t>
      </w:r>
      <w:r>
        <w:rPr>
          <w:snapToGrid w:val="0"/>
        </w:rPr>
        <w:t>.</w:t>
      </w:r>
      <w:r>
        <w:rPr>
          <w:snapToGrid w:val="0"/>
        </w:rPr>
        <w:tab/>
        <w:t>Vehicles</w:t>
      </w:r>
      <w:bookmarkEnd w:id="144"/>
      <w:bookmarkEnd w:id="145"/>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40"/>
      </w:pPr>
      <w:r>
        <w:tab/>
        <w:t>(2)</w:t>
      </w:r>
      <w:r>
        <w:tab/>
        <w:t>Subregulation (1) does not apply in respect of a road that is in a restricted area.</w:t>
      </w:r>
    </w:p>
    <w:p>
      <w:pPr>
        <w:pStyle w:val="Subsection"/>
        <w:spacing w:before="140"/>
      </w:pPr>
      <w:r>
        <w:tab/>
        <w:t>(3)</w:t>
      </w:r>
      <w:r>
        <w:tab/>
        <w:t xml:space="preserve">A person must not, without lawful authority, on a road that is in a restricted area — </w:t>
      </w:r>
    </w:p>
    <w:p>
      <w:pPr>
        <w:pStyle w:val="Indenta"/>
        <w:spacing w:before="60"/>
      </w:pPr>
      <w:r>
        <w:tab/>
        <w:t>(a)</w:t>
      </w:r>
      <w:r>
        <w:tab/>
        <w:t>drive or use a vehicle if that activity is prohibited in the area under regulation 5; or</w:t>
      </w:r>
    </w:p>
    <w:p>
      <w:pPr>
        <w:pStyle w:val="Indenta"/>
        <w:spacing w:before="60"/>
      </w:pPr>
      <w:r>
        <w:tab/>
        <w:t>(b)</w:t>
      </w:r>
      <w:r>
        <w:tab/>
        <w:t>contravene a restriction imposed on driving or using a vehicle in the area under regulation 5.</w:t>
      </w:r>
    </w:p>
    <w:p>
      <w:pPr>
        <w:pStyle w:val="Penstart"/>
        <w:spacing w:before="70"/>
      </w:pPr>
      <w:r>
        <w:tab/>
        <w:t>Penalty: a fine of $2 000.</w:t>
      </w:r>
    </w:p>
    <w:p>
      <w:pPr>
        <w:pStyle w:val="Footnotesection"/>
        <w:spacing w:before="100"/>
      </w:pPr>
      <w:r>
        <w:tab/>
        <w:t>[Regulation 51 amended in Gazette 29 Sep 2006 p. 4313; 3 Dec 2010 p. 6052</w:t>
      </w:r>
      <w:r>
        <w:noBreakHyphen/>
        <w:t>3; 19 Sep 2014 p. 3335.]</w:t>
      </w:r>
    </w:p>
    <w:p>
      <w:pPr>
        <w:pStyle w:val="Heading5"/>
        <w:spacing w:before="200"/>
      </w:pPr>
      <w:bookmarkStart w:id="146" w:name="_Toc437515640"/>
      <w:bookmarkStart w:id="147" w:name="_Toc436905887"/>
      <w:r>
        <w:rPr>
          <w:rStyle w:val="CharSectno"/>
        </w:rPr>
        <w:t>51A</w:t>
      </w:r>
      <w:r>
        <w:t>.</w:t>
      </w:r>
      <w:r>
        <w:tab/>
        <w:t>Bicycles</w:t>
      </w:r>
      <w:bookmarkEnd w:id="146"/>
      <w:bookmarkEnd w:id="147"/>
    </w:p>
    <w:p>
      <w:pPr>
        <w:pStyle w:val="Subsection"/>
        <w:spacing w:before="130"/>
      </w:pPr>
      <w:r>
        <w:tab/>
        <w:t>(1)</w:t>
      </w:r>
      <w:r>
        <w:tab/>
        <w:t>A person must not, without lawful authority, ride a bicycle on CALM land other than on a road or bicycle path or in a designated area.</w:t>
      </w:r>
    </w:p>
    <w:p>
      <w:pPr>
        <w:pStyle w:val="Penstart"/>
        <w:spacing w:before="70"/>
      </w:pPr>
      <w:r>
        <w:tab/>
        <w:t>Penalty: a fine of $500.</w:t>
      </w:r>
    </w:p>
    <w:p>
      <w:pPr>
        <w:pStyle w:val="Subsection"/>
        <w:spacing w:before="130"/>
      </w:pPr>
      <w:r>
        <w:tab/>
        <w:t>(2)</w:t>
      </w:r>
      <w:r>
        <w:tab/>
        <w:t>Subregulation (1) does not apply in respect of a road that is in a restricted area.</w:t>
      </w:r>
    </w:p>
    <w:p>
      <w:pPr>
        <w:pStyle w:val="Subsection"/>
        <w:spacing w:before="130"/>
      </w:pPr>
      <w:r>
        <w:tab/>
        <w:t>(3)</w:t>
      </w:r>
      <w:r>
        <w:tab/>
        <w:t xml:space="preserve">A person must not, without lawful authority, on a road that is in a restricted area — </w:t>
      </w:r>
    </w:p>
    <w:p>
      <w:pPr>
        <w:pStyle w:val="Indenta"/>
        <w:spacing w:before="60"/>
      </w:pPr>
      <w:r>
        <w:tab/>
        <w:t>(a)</w:t>
      </w:r>
      <w:r>
        <w:tab/>
        <w:t>ride a bicycle if that activity is prohibited in the area under regulation 5; or</w:t>
      </w:r>
    </w:p>
    <w:p>
      <w:pPr>
        <w:pStyle w:val="Indenta"/>
        <w:spacing w:before="60"/>
      </w:pPr>
      <w:r>
        <w:tab/>
        <w:t>(b)</w:t>
      </w:r>
      <w:r>
        <w:tab/>
        <w:t>contravene a restriction imposed on riding a bicycle in the area under regulation 5.</w:t>
      </w:r>
    </w:p>
    <w:p>
      <w:pPr>
        <w:pStyle w:val="Penstart"/>
        <w:spacing w:before="70"/>
      </w:pPr>
      <w:r>
        <w:tab/>
        <w:t>Penalty: a fine of $1 000.</w:t>
      </w:r>
    </w:p>
    <w:p>
      <w:pPr>
        <w:pStyle w:val="Subsection"/>
      </w:pPr>
      <w:r>
        <w:tab/>
        <w:t>(4)</w:t>
      </w:r>
      <w:r>
        <w:tab/>
        <w:t xml:space="preserve">In this regulation — </w:t>
      </w:r>
    </w:p>
    <w:p>
      <w:pPr>
        <w:pStyle w:val="Defstart"/>
        <w:spacing w:before="70"/>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spacing w:before="100"/>
      </w:pPr>
      <w:r>
        <w:tab/>
        <w:t>[Regulation 51A inserted in Gazette 29 Sep 2006 p. 4313</w:t>
      </w:r>
      <w:r>
        <w:noBreakHyphen/>
        <w:t>14; amended in Gazette 3 Dec 2010 p. 6052</w:t>
      </w:r>
      <w:r>
        <w:noBreakHyphen/>
        <w:t>3.]</w:t>
      </w:r>
    </w:p>
    <w:p>
      <w:pPr>
        <w:pStyle w:val="Heading5"/>
        <w:spacing w:before="200"/>
        <w:rPr>
          <w:snapToGrid w:val="0"/>
        </w:rPr>
      </w:pPr>
      <w:bookmarkStart w:id="148" w:name="_Toc437515641"/>
      <w:bookmarkStart w:id="149" w:name="_Toc436905888"/>
      <w:r>
        <w:rPr>
          <w:rStyle w:val="CharSectno"/>
        </w:rPr>
        <w:t>52</w:t>
      </w:r>
      <w:r>
        <w:rPr>
          <w:snapToGrid w:val="0"/>
        </w:rPr>
        <w:t>.</w:t>
      </w:r>
      <w:r>
        <w:rPr>
          <w:snapToGrid w:val="0"/>
        </w:rPr>
        <w:tab/>
        <w:t>Off</w:t>
      </w:r>
      <w:r>
        <w:rPr>
          <w:snapToGrid w:val="0"/>
        </w:rPr>
        <w:noBreakHyphen/>
        <w:t>road vehicles</w:t>
      </w:r>
      <w:bookmarkEnd w:id="148"/>
      <w:bookmarkEnd w:id="149"/>
      <w:r>
        <w:rPr>
          <w:snapToGrid w:val="0"/>
        </w:rPr>
        <w:t xml:space="preserve"> </w:t>
      </w:r>
    </w:p>
    <w:p>
      <w:pPr>
        <w:pStyle w:val="Subsection"/>
        <w:spacing w:before="120"/>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spacing w:before="60"/>
        <w:rPr>
          <w:snapToGrid w:val="0"/>
        </w:rPr>
      </w:pPr>
      <w:r>
        <w:rPr>
          <w:snapToGrid w:val="0"/>
        </w:rPr>
        <w:tab/>
        <w:t>(a)</w:t>
      </w:r>
      <w:r>
        <w:rPr>
          <w:snapToGrid w:val="0"/>
        </w:rPr>
        <w:tab/>
        <w:t>is the holder of a permit — </w:t>
      </w:r>
    </w:p>
    <w:p>
      <w:pPr>
        <w:pStyle w:val="Indenti"/>
        <w:spacing w:before="60"/>
        <w:rPr>
          <w:snapToGrid w:val="0"/>
        </w:rPr>
      </w:pPr>
      <w:r>
        <w:rPr>
          <w:snapToGrid w:val="0"/>
        </w:rPr>
        <w:tab/>
        <w:t>(i)</w:t>
      </w:r>
      <w:r>
        <w:rPr>
          <w:snapToGrid w:val="0"/>
        </w:rPr>
        <w:tab/>
        <w:t>granted under section 8(4) of that Act; and</w:t>
      </w:r>
    </w:p>
    <w:p>
      <w:pPr>
        <w:pStyle w:val="Indenti"/>
        <w:spacing w:before="60"/>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spacing w:before="70"/>
        <w:rPr>
          <w:snapToGrid w:val="0"/>
        </w:rPr>
      </w:pPr>
      <w:r>
        <w:rPr>
          <w:snapToGrid w:val="0"/>
        </w:rPr>
        <w:tab/>
        <w:t xml:space="preserve">Penalty: </w:t>
      </w:r>
      <w:r>
        <w:t>a fine of</w:t>
      </w:r>
      <w:r>
        <w:rPr>
          <w:snapToGrid w:val="0"/>
        </w:rPr>
        <w:t xml:space="preserve"> </w:t>
      </w:r>
      <w:r>
        <w:t>$2 000</w:t>
      </w:r>
      <w:r>
        <w:rPr>
          <w:snapToGrid w:val="0"/>
        </w:rPr>
        <w:t>.</w:t>
      </w:r>
    </w:p>
    <w:p>
      <w:pPr>
        <w:pStyle w:val="Subsection"/>
        <w:spacing w:before="120"/>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spacing w:before="80"/>
      </w:pPr>
      <w:r>
        <w:tab/>
        <w:t>[Regulation 52 amended in Gazette 29 Sep 2006 p. 4314; 3 Dec 2010 p. 6052</w:t>
      </w:r>
      <w:r>
        <w:noBreakHyphen/>
        <w:t>3; 19 Sep 2014 p. 3335.]</w:t>
      </w:r>
    </w:p>
    <w:p>
      <w:pPr>
        <w:pStyle w:val="Heading5"/>
        <w:spacing w:before="200"/>
        <w:rPr>
          <w:snapToGrid w:val="0"/>
        </w:rPr>
      </w:pPr>
      <w:bookmarkStart w:id="150" w:name="_Toc437515642"/>
      <w:bookmarkStart w:id="151" w:name="_Toc436905889"/>
      <w:r>
        <w:rPr>
          <w:rStyle w:val="CharSectno"/>
        </w:rPr>
        <w:t>53</w:t>
      </w:r>
      <w:r>
        <w:rPr>
          <w:snapToGrid w:val="0"/>
        </w:rPr>
        <w:t>.</w:t>
      </w:r>
      <w:r>
        <w:rPr>
          <w:snapToGrid w:val="0"/>
        </w:rPr>
        <w:tab/>
        <w:t>Car rallies etc.</w:t>
      </w:r>
      <w:bookmarkEnd w:id="150"/>
      <w:bookmarkEnd w:id="151"/>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spacing w:before="70"/>
        <w:rPr>
          <w:snapToGrid w:val="0"/>
        </w:rPr>
      </w:pPr>
      <w:r>
        <w:rPr>
          <w:snapToGrid w:val="0"/>
        </w:rPr>
        <w:tab/>
        <w:t xml:space="preserve">Penalty: </w:t>
      </w:r>
      <w:r>
        <w:t>a fine of</w:t>
      </w:r>
      <w:r>
        <w:rPr>
          <w:snapToGrid w:val="0"/>
        </w:rPr>
        <w:t xml:space="preserve"> $2 000.</w:t>
      </w:r>
    </w:p>
    <w:p>
      <w:pPr>
        <w:pStyle w:val="Footnotesection"/>
        <w:spacing w:before="80"/>
      </w:pPr>
      <w:r>
        <w:tab/>
        <w:t>[Regulation 53 amended in Gazette 3 Dec 2010 p. 6052</w:t>
      </w:r>
      <w:r>
        <w:noBreakHyphen/>
        <w:t>3.]</w:t>
      </w:r>
    </w:p>
    <w:p>
      <w:pPr>
        <w:pStyle w:val="Heading5"/>
        <w:rPr>
          <w:snapToGrid w:val="0"/>
        </w:rPr>
      </w:pPr>
      <w:bookmarkStart w:id="152" w:name="_Toc437515643"/>
      <w:bookmarkStart w:id="153" w:name="_Toc436905890"/>
      <w:r>
        <w:rPr>
          <w:rStyle w:val="CharSectno"/>
        </w:rPr>
        <w:t>54</w:t>
      </w:r>
      <w:r>
        <w:rPr>
          <w:snapToGrid w:val="0"/>
        </w:rPr>
        <w:t>.</w:t>
      </w:r>
      <w:r>
        <w:rPr>
          <w:snapToGrid w:val="0"/>
        </w:rPr>
        <w:tab/>
        <w:t>Traffic laws apply</w:t>
      </w:r>
      <w:bookmarkEnd w:id="152"/>
      <w:bookmarkEnd w:id="153"/>
      <w:r>
        <w:rPr>
          <w:snapToGrid w:val="0"/>
        </w:rPr>
        <w:t xml:space="preserve"> </w:t>
      </w:r>
    </w:p>
    <w:p>
      <w:pPr>
        <w:pStyle w:val="Subsection"/>
        <w:rPr>
          <w:snapToGrid w:val="0"/>
        </w:rPr>
      </w:pPr>
      <w:r>
        <w:rPr>
          <w:snapToGrid w:val="0"/>
        </w:rPr>
        <w:tab/>
        <w:t>(1)</w:t>
      </w:r>
      <w:r>
        <w:rPr>
          <w:snapToGrid w:val="0"/>
        </w:rPr>
        <w:tab/>
        <w:t>A person driving or in charge of a vehicle on a road or track on CALM land must not, without lawful authority, do any act that would be a breach of a</w:t>
      </w:r>
      <w:r>
        <w:t xml:space="preserve"> road law, as defined in the </w:t>
      </w:r>
      <w:r>
        <w:rPr>
          <w:i/>
        </w:rPr>
        <w:t xml:space="preserve">Road Traffic (Administration) Act 2008 </w:t>
      </w:r>
      <w:r>
        <w:t>section 4, if that road or track were a road as defined in that section.</w:t>
      </w:r>
    </w:p>
    <w:p>
      <w:pPr>
        <w:pStyle w:val="Penstart"/>
        <w:rPr>
          <w:snapToGrid w:val="0"/>
        </w:rPr>
      </w:pPr>
      <w:r>
        <w:rPr>
          <w:snapToGrid w:val="0"/>
        </w:rPr>
        <w:tab/>
        <w:t>Penalty:</w:t>
      </w:r>
      <w:r>
        <w:t xml:space="preserve"> 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 19 Sep 2014 p. 3335; 8 Jan 2015 p. 136.]</w:t>
      </w:r>
    </w:p>
    <w:p>
      <w:pPr>
        <w:pStyle w:val="Heading5"/>
        <w:keepNext w:val="0"/>
        <w:keepLines w:val="0"/>
        <w:spacing w:before="200"/>
        <w:rPr>
          <w:snapToGrid w:val="0"/>
        </w:rPr>
      </w:pPr>
      <w:bookmarkStart w:id="154" w:name="_Toc437515644"/>
      <w:bookmarkStart w:id="155" w:name="_Toc436905891"/>
      <w:r>
        <w:rPr>
          <w:rStyle w:val="CharSectno"/>
        </w:rPr>
        <w:t>55</w:t>
      </w:r>
      <w:r>
        <w:rPr>
          <w:snapToGrid w:val="0"/>
        </w:rPr>
        <w:t>.</w:t>
      </w:r>
      <w:r>
        <w:rPr>
          <w:snapToGrid w:val="0"/>
        </w:rPr>
        <w:tab/>
        <w:t>Driver to obey reasonable direction</w:t>
      </w:r>
      <w:bookmarkEnd w:id="154"/>
      <w:bookmarkEnd w:id="155"/>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55 amended in Gazette 3 Dec 2010 p. 6052</w:t>
      </w:r>
      <w:r>
        <w:noBreakHyphen/>
        <w:t>3; 19 Sep 2014 p. 3336.]</w:t>
      </w:r>
    </w:p>
    <w:p>
      <w:pPr>
        <w:pStyle w:val="Heading5"/>
        <w:rPr>
          <w:snapToGrid w:val="0"/>
        </w:rPr>
      </w:pPr>
      <w:bookmarkStart w:id="156" w:name="_Toc437515645"/>
      <w:bookmarkStart w:id="157" w:name="_Toc436905892"/>
      <w:r>
        <w:rPr>
          <w:rStyle w:val="CharSectno"/>
        </w:rPr>
        <w:t>56</w:t>
      </w:r>
      <w:r>
        <w:rPr>
          <w:snapToGrid w:val="0"/>
        </w:rPr>
        <w:t>.</w:t>
      </w:r>
      <w:r>
        <w:rPr>
          <w:snapToGrid w:val="0"/>
        </w:rPr>
        <w:tab/>
        <w:t>Signs to be obeyed</w:t>
      </w:r>
      <w:bookmarkEnd w:id="156"/>
      <w:bookmarkEnd w:id="157"/>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spacing w:before="60"/>
        <w:rPr>
          <w:snapToGrid w:val="0"/>
        </w:rPr>
      </w:pPr>
      <w:r>
        <w:rPr>
          <w:snapToGrid w:val="0"/>
        </w:rPr>
        <w:tab/>
        <w:t>(d)</w:t>
      </w:r>
      <w:r>
        <w:rPr>
          <w:snapToGrid w:val="0"/>
        </w:rPr>
        <w:tab/>
        <w:t>for the parking of vehicles only within specified parking bays;</w:t>
      </w:r>
    </w:p>
    <w:p>
      <w:pPr>
        <w:pStyle w:val="Indenta"/>
        <w:spacing w:before="60"/>
        <w:rPr>
          <w:snapToGrid w:val="0"/>
        </w:rPr>
      </w:pPr>
      <w:r>
        <w:rPr>
          <w:snapToGrid w:val="0"/>
        </w:rPr>
        <w:tab/>
        <w:t>(e)</w:t>
      </w:r>
      <w:r>
        <w:rPr>
          <w:snapToGrid w:val="0"/>
        </w:rPr>
        <w:tab/>
        <w:t>as a “no standing” or “no parking” area.</w:t>
      </w:r>
    </w:p>
    <w:p>
      <w:pPr>
        <w:pStyle w:val="Subsection"/>
        <w:spacing w:before="120"/>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spacing w:before="120"/>
        <w:rPr>
          <w:snapToGrid w:val="0"/>
        </w:rPr>
      </w:pPr>
      <w:r>
        <w:rPr>
          <w:snapToGrid w:val="0"/>
        </w:rPr>
        <w:tab/>
        <w:t>(4)</w:t>
      </w:r>
      <w:r>
        <w:rPr>
          <w:snapToGrid w:val="0"/>
        </w:rPr>
        <w:tab/>
        <w:t>A person must not park a vehicle in an area that is subject to subregulation (3) at any time when the charge applies unless — </w:t>
      </w:r>
    </w:p>
    <w:p>
      <w:pPr>
        <w:pStyle w:val="Indenta"/>
        <w:spacing w:before="56"/>
        <w:rPr>
          <w:snapToGrid w:val="0"/>
        </w:rPr>
      </w:pPr>
      <w:r>
        <w:rPr>
          <w:snapToGrid w:val="0"/>
        </w:rPr>
        <w:tab/>
        <w:t>(a)</w:t>
      </w:r>
      <w:r>
        <w:rPr>
          <w:snapToGrid w:val="0"/>
        </w:rPr>
        <w:tab/>
        <w:t>the specified charge has been paid into a ticket vending machine; and</w:t>
      </w:r>
    </w:p>
    <w:p>
      <w:pPr>
        <w:pStyle w:val="Indenta"/>
        <w:spacing w:before="56"/>
        <w:rPr>
          <w:snapToGrid w:val="0"/>
        </w:rPr>
      </w:pPr>
      <w:r>
        <w:rPr>
          <w:snapToGrid w:val="0"/>
        </w:rPr>
        <w:tab/>
        <w:t>(b)</w:t>
      </w:r>
      <w:r>
        <w:rPr>
          <w:snapToGrid w:val="0"/>
        </w:rPr>
        <w:tab/>
        <w:t>there is displayed in the vehicle at that time a parking ticket issued from a ticket vending machine that shows — </w:t>
      </w:r>
    </w:p>
    <w:p>
      <w:pPr>
        <w:pStyle w:val="Indenti"/>
        <w:spacing w:before="56"/>
        <w:rPr>
          <w:snapToGrid w:val="0"/>
        </w:rPr>
      </w:pPr>
      <w:r>
        <w:rPr>
          <w:snapToGrid w:val="0"/>
        </w:rPr>
        <w:tab/>
        <w:t>(i)</w:t>
      </w:r>
      <w:r>
        <w:rPr>
          <w:snapToGrid w:val="0"/>
        </w:rPr>
        <w:tab/>
        <w:t>the amount paid; and</w:t>
      </w:r>
    </w:p>
    <w:p>
      <w:pPr>
        <w:pStyle w:val="Indenti"/>
        <w:spacing w:before="56"/>
        <w:rPr>
          <w:snapToGrid w:val="0"/>
        </w:rPr>
      </w:pPr>
      <w:r>
        <w:rPr>
          <w:snapToGrid w:val="0"/>
        </w:rPr>
        <w:tab/>
        <w:t>(ii)</w:t>
      </w:r>
      <w:r>
        <w:rPr>
          <w:snapToGrid w:val="0"/>
        </w:rPr>
        <w:tab/>
        <w:t>the date; and</w:t>
      </w:r>
    </w:p>
    <w:p>
      <w:pPr>
        <w:pStyle w:val="Indenti"/>
        <w:spacing w:before="56"/>
        <w:rPr>
          <w:snapToGrid w:val="0"/>
        </w:rPr>
      </w:pPr>
      <w:r>
        <w:rPr>
          <w:snapToGrid w:val="0"/>
        </w:rPr>
        <w:tab/>
        <w:t>(iii)</w:t>
      </w:r>
      <w:r>
        <w:rPr>
          <w:snapToGrid w:val="0"/>
        </w:rPr>
        <w:tab/>
        <w:t>an expiry time for permitted parking that is after that time;</w:t>
      </w:r>
    </w:p>
    <w:p>
      <w:pPr>
        <w:pStyle w:val="Indenta"/>
        <w:spacing w:before="56"/>
        <w:rPr>
          <w:snapToGrid w:val="0"/>
        </w:rPr>
      </w:pPr>
      <w:r>
        <w:rPr>
          <w:snapToGrid w:val="0"/>
        </w:rPr>
        <w:tab/>
      </w:r>
      <w:r>
        <w:rPr>
          <w:snapToGrid w:val="0"/>
        </w:rPr>
        <w:tab/>
        <w:t>and</w:t>
      </w:r>
    </w:p>
    <w:p>
      <w:pPr>
        <w:pStyle w:val="Indenta"/>
        <w:spacing w:before="56"/>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spacing w:before="60"/>
        <w:rPr>
          <w:snapToGrid w:val="0"/>
        </w:rPr>
      </w:pPr>
      <w:r>
        <w:rPr>
          <w:snapToGrid w:val="0"/>
        </w:rPr>
        <w:tab/>
        <w:t xml:space="preserve">Penalty: </w:t>
      </w:r>
      <w:r>
        <w:t>a fine of</w:t>
      </w:r>
      <w:r>
        <w:rPr>
          <w:snapToGrid w:val="0"/>
        </w:rPr>
        <w:t xml:space="preserve"> $500.</w:t>
      </w:r>
    </w:p>
    <w:p>
      <w:pPr>
        <w:pStyle w:val="Subsection"/>
        <w:spacing w:before="110"/>
        <w:rPr>
          <w:snapToGrid w:val="0"/>
        </w:rPr>
      </w:pPr>
      <w:r>
        <w:rPr>
          <w:snapToGrid w:val="0"/>
        </w:rPr>
        <w:tab/>
        <w:t>(5)</w:t>
      </w:r>
      <w:r>
        <w:rPr>
          <w:snapToGrid w:val="0"/>
        </w:rPr>
        <w:tab/>
        <w:t xml:space="preserve">The charge specified for the purposes of subregulation (3) is not to exceed — </w:t>
      </w:r>
    </w:p>
    <w:p>
      <w:pPr>
        <w:pStyle w:val="Indenta"/>
      </w:pPr>
      <w:r>
        <w:tab/>
        <w:t>(a)</w:t>
      </w:r>
      <w:r>
        <w:tab/>
        <w:t>$1.80 for every hour or part of an hour; and</w:t>
      </w:r>
    </w:p>
    <w:p>
      <w:pPr>
        <w:pStyle w:val="Indenta"/>
      </w:pPr>
      <w:r>
        <w:tab/>
        <w:t>(b)</w:t>
      </w:r>
      <w:r>
        <w:tab/>
        <w:t>$13.00 for any day or part of a day.</w:t>
      </w:r>
    </w:p>
    <w:p>
      <w:pPr>
        <w:pStyle w:val="Subsection"/>
        <w:spacing w:before="110"/>
        <w:rPr>
          <w:snapToGrid w:val="0"/>
        </w:rPr>
      </w:pPr>
      <w:r>
        <w:rPr>
          <w:snapToGrid w:val="0"/>
        </w:rPr>
        <w:tab/>
        <w:t>(6)</w:t>
      </w:r>
      <w:r>
        <w:rPr>
          <w:snapToGrid w:val="0"/>
        </w:rPr>
        <w:tab/>
        <w:t>In this regulation — </w:t>
      </w:r>
    </w:p>
    <w:p>
      <w:pPr>
        <w:pStyle w:val="Defstart"/>
        <w:spacing w:before="60"/>
      </w:pPr>
      <w:r>
        <w:tab/>
      </w:r>
      <w:r>
        <w:rPr>
          <w:rStyle w:val="CharDefText"/>
        </w:rPr>
        <w:t>specified</w:t>
      </w:r>
      <w:r>
        <w:rPr>
          <w:b/>
        </w:rPr>
        <w:t xml:space="preserve"> </w:t>
      </w:r>
      <w:r>
        <w:t xml:space="preserve">means specified by a sign; </w:t>
      </w:r>
    </w:p>
    <w:p>
      <w:pPr>
        <w:pStyle w:val="Defstart"/>
        <w:spacing w:before="60"/>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spacing w:before="60"/>
      </w:pPr>
      <w:r>
        <w:tab/>
        <w:t>[Regulation 56 amended in Gazette 29 Sep 2006 p. 4315; 3 Dec 2010 p. 6048 and 6052</w:t>
      </w:r>
      <w:r>
        <w:noBreakHyphen/>
        <w:t>3; 27 Sep 2013 p. 4525; 14 Jul 2015 p. 2787.]</w:t>
      </w:r>
    </w:p>
    <w:p>
      <w:pPr>
        <w:pStyle w:val="Heading5"/>
        <w:spacing w:before="180"/>
        <w:rPr>
          <w:snapToGrid w:val="0"/>
        </w:rPr>
      </w:pPr>
      <w:bookmarkStart w:id="158" w:name="_Toc437515646"/>
      <w:bookmarkStart w:id="159" w:name="_Toc436905893"/>
      <w:r>
        <w:rPr>
          <w:rStyle w:val="CharSectno"/>
        </w:rPr>
        <w:t>57</w:t>
      </w:r>
      <w:r>
        <w:rPr>
          <w:snapToGrid w:val="0"/>
        </w:rPr>
        <w:t>.</w:t>
      </w:r>
      <w:r>
        <w:rPr>
          <w:snapToGrid w:val="0"/>
        </w:rPr>
        <w:tab/>
        <w:t>Obstructing other vehicles etc.</w:t>
      </w:r>
      <w:bookmarkEnd w:id="158"/>
      <w:bookmarkEnd w:id="159"/>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160" w:name="_Toc436903731"/>
      <w:bookmarkStart w:id="161" w:name="_Toc436905673"/>
      <w:bookmarkStart w:id="162" w:name="_Toc436905894"/>
      <w:bookmarkStart w:id="163" w:name="_Toc437515647"/>
      <w:r>
        <w:rPr>
          <w:rStyle w:val="CharDivNo"/>
        </w:rPr>
        <w:t>Division 3</w:t>
      </w:r>
      <w:r>
        <w:rPr>
          <w:snapToGrid w:val="0"/>
        </w:rPr>
        <w:t xml:space="preserve"> — </w:t>
      </w:r>
      <w:r>
        <w:rPr>
          <w:rStyle w:val="CharDivText"/>
        </w:rPr>
        <w:t>Vessels</w:t>
      </w:r>
      <w:bookmarkEnd w:id="160"/>
      <w:bookmarkEnd w:id="161"/>
      <w:bookmarkEnd w:id="162"/>
      <w:bookmarkEnd w:id="163"/>
    </w:p>
    <w:p>
      <w:pPr>
        <w:pStyle w:val="Heading5"/>
        <w:rPr>
          <w:snapToGrid w:val="0"/>
        </w:rPr>
      </w:pPr>
      <w:bookmarkStart w:id="164" w:name="_Toc437515648"/>
      <w:bookmarkStart w:id="165" w:name="_Toc436905895"/>
      <w:r>
        <w:rPr>
          <w:rStyle w:val="CharSectno"/>
        </w:rPr>
        <w:t>58</w:t>
      </w:r>
      <w:r>
        <w:rPr>
          <w:snapToGrid w:val="0"/>
        </w:rPr>
        <w:t>.</w:t>
      </w:r>
      <w:r>
        <w:rPr>
          <w:snapToGrid w:val="0"/>
        </w:rPr>
        <w:tab/>
        <w:t>Races</w:t>
      </w:r>
      <w:bookmarkEnd w:id="164"/>
      <w:bookmarkEnd w:id="165"/>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166" w:name="_Toc437515649"/>
      <w:bookmarkStart w:id="167" w:name="_Toc436905896"/>
      <w:r>
        <w:rPr>
          <w:rStyle w:val="CharSectno"/>
        </w:rPr>
        <w:t>59</w:t>
      </w:r>
      <w:r>
        <w:rPr>
          <w:snapToGrid w:val="0"/>
        </w:rPr>
        <w:t>.</w:t>
      </w:r>
      <w:r>
        <w:rPr>
          <w:snapToGrid w:val="0"/>
        </w:rPr>
        <w:tab/>
        <w:t>Moorings</w:t>
      </w:r>
      <w:bookmarkEnd w:id="166"/>
      <w:bookmarkEnd w:id="167"/>
      <w:r>
        <w:rPr>
          <w:snapToGrid w:val="0"/>
        </w:rPr>
        <w:t xml:space="preserve"> </w:t>
      </w:r>
    </w:p>
    <w:p>
      <w:pPr>
        <w:pStyle w:val="Subsection"/>
      </w:pPr>
      <w:r>
        <w:tab/>
        <w:t>(1)</w:t>
      </w:r>
      <w:r>
        <w:tab/>
        <w:t xml:space="preserve">A person must not, without lawful authority — </w:t>
      </w:r>
    </w:p>
    <w:p>
      <w:pPr>
        <w:pStyle w:val="Indenta"/>
      </w:pPr>
      <w:r>
        <w:tab/>
        <w:t>(a)</w:t>
      </w:r>
      <w:r>
        <w:tab/>
        <w:t>install a mooring on CALM land; or</w:t>
      </w:r>
    </w:p>
    <w:p>
      <w:pPr>
        <w:pStyle w:val="Indenta"/>
      </w:pPr>
      <w:r>
        <w:tab/>
        <w:t>(b)</w:t>
      </w:r>
      <w:r>
        <w:tab/>
        <w:t>allow a mooring which the person owns or apparently controls to remain on CALM land.</w:t>
      </w:r>
    </w:p>
    <w:p>
      <w:pPr>
        <w:pStyle w:val="Penstart"/>
      </w:pPr>
      <w:r>
        <w:tab/>
        <w:t>Penalty: a fine of $2 000.</w:t>
      </w:r>
    </w:p>
    <w:p>
      <w:pPr>
        <w:pStyle w:val="Subsection"/>
      </w:pPr>
      <w:r>
        <w:tab/>
        <w:t>(2)</w:t>
      </w:r>
      <w:r>
        <w:tab/>
        <w:t>A person must not secure a vessel, or allow it to remain secured, to a mooring that is on CALM land without lawful authority.</w:t>
      </w:r>
    </w:p>
    <w:p>
      <w:pPr>
        <w:pStyle w:val="Penstart"/>
      </w:pPr>
      <w:r>
        <w:tab/>
        <w:t>Penalty: a fine of $1 000.</w:t>
      </w:r>
    </w:p>
    <w:p>
      <w:pPr>
        <w:pStyle w:val="Subsection"/>
      </w:pPr>
      <w:r>
        <w:rPr>
          <w:snapToGrid w:val="0"/>
        </w:rPr>
        <w:tab/>
        <w:t>(3A)</w:t>
      </w:r>
      <w:r>
        <w:rPr>
          <w:snapToGrid w:val="0"/>
        </w:rPr>
        <w:tab/>
        <w:t>A person must not, without lawful authority, allow a moored vessel to be on CALM land.</w:t>
      </w:r>
    </w:p>
    <w:p>
      <w:pPr>
        <w:pStyle w:val="Penstart"/>
      </w:pPr>
      <w:r>
        <w:tab/>
        <w:t>Penalty: a fine of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on CALM land, without lawful authority; or</w:t>
      </w:r>
    </w:p>
    <w:p>
      <w:pPr>
        <w:pStyle w:val="Indenta"/>
        <w:rPr>
          <w:snapToGrid w:val="0"/>
        </w:rPr>
      </w:pPr>
      <w:r>
        <w:rPr>
          <w:snapToGrid w:val="0"/>
        </w:rPr>
        <w:tab/>
        <w:t>(b)</w:t>
      </w:r>
      <w:r>
        <w:rPr>
          <w:snapToGrid w:val="0"/>
        </w:rPr>
        <w:tab/>
        <w:t>a mooring on CALM land to which a vessel is already secured; or</w:t>
      </w:r>
    </w:p>
    <w:p>
      <w:pPr>
        <w:pStyle w:val="Indenta"/>
        <w:rPr>
          <w:snapToGrid w:val="0"/>
        </w:rPr>
      </w:pPr>
      <w:r>
        <w:rPr>
          <w:snapToGrid w:val="0"/>
        </w:rPr>
        <w:tab/>
        <w:t>(c)</w:t>
      </w:r>
      <w:r>
        <w:rPr>
          <w:snapToGrid w:val="0"/>
        </w:rPr>
        <w:tab/>
        <w:t>a vessel that is secured to a mooring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 24 Mar 2015 p. 1034</w:t>
      </w:r>
      <w:r>
        <w:noBreakHyphen/>
        <w:t>5.]</w:t>
      </w:r>
    </w:p>
    <w:p>
      <w:pPr>
        <w:pStyle w:val="Heading5"/>
      </w:pPr>
      <w:bookmarkStart w:id="168" w:name="_Toc437515650"/>
      <w:bookmarkStart w:id="169" w:name="_Toc436905897"/>
      <w:r>
        <w:rPr>
          <w:rStyle w:val="CharSectno"/>
        </w:rPr>
        <w:t>60AA</w:t>
      </w:r>
      <w:r>
        <w:t>.</w:t>
      </w:r>
      <w:r>
        <w:tab/>
        <w:t>Notice of moorings suspected of not being lawfully authorised</w:t>
      </w:r>
      <w:bookmarkEnd w:id="168"/>
      <w:bookmarkEnd w:id="169"/>
    </w:p>
    <w:p>
      <w:pPr>
        <w:pStyle w:val="Subsection"/>
      </w:pPr>
      <w:r>
        <w:tab/>
        <w:t>(1)</w:t>
      </w:r>
      <w:r>
        <w:tab/>
        <w:t>If the CEO is of the opinion that a mooring is on CALM land without lawful authority the CEO may give notice in writing to the person who owns or apparently controls the mooring.</w:t>
      </w:r>
    </w:p>
    <w:p>
      <w:pPr>
        <w:pStyle w:val="Subsection"/>
      </w:pPr>
      <w:r>
        <w:tab/>
        <w:t>(2)</w:t>
      </w:r>
      <w:r>
        <w:tab/>
        <w:t xml:space="preserve">The notice must specify a reasonable time within which the person must — </w:t>
      </w:r>
    </w:p>
    <w:p>
      <w:pPr>
        <w:pStyle w:val="Indenta"/>
      </w:pPr>
      <w:r>
        <w:tab/>
        <w:t>(a)</w:t>
      </w:r>
      <w:r>
        <w:tab/>
        <w:t>provide evidence to the CEO that the mooring is authorised to be on CALM land; or</w:t>
      </w:r>
    </w:p>
    <w:p>
      <w:pPr>
        <w:pStyle w:val="Indenta"/>
      </w:pPr>
      <w:r>
        <w:tab/>
        <w:t>(b)</w:t>
      </w:r>
      <w:r>
        <w:tab/>
        <w:t>apply to the CEO for a licence or other authorisation for the mooring to be on CALM land; or</w:t>
      </w:r>
    </w:p>
    <w:p>
      <w:pPr>
        <w:pStyle w:val="Indenta"/>
      </w:pPr>
      <w:r>
        <w:tab/>
        <w:t>(c)</w:t>
      </w:r>
      <w:r>
        <w:tab/>
        <w:t>remove the mooring.</w:t>
      </w:r>
    </w:p>
    <w:p>
      <w:pPr>
        <w:pStyle w:val="Subsection"/>
      </w:pPr>
      <w:r>
        <w:tab/>
        <w:t>(3)</w:t>
      </w:r>
      <w:r>
        <w:tab/>
        <w:t xml:space="preserve">Proceedings for an offence under subregulation 59(1)(b) must not be commenced against a person unless the CEO has given the person a notice under subregulation (1) and either — </w:t>
      </w:r>
    </w:p>
    <w:p>
      <w:pPr>
        <w:pStyle w:val="Indenta"/>
      </w:pPr>
      <w:r>
        <w:tab/>
        <w:t>(a)</w:t>
      </w:r>
      <w:r>
        <w:tab/>
        <w:t>the person has failed to comply with the notice; or</w:t>
      </w:r>
    </w:p>
    <w:p>
      <w:pPr>
        <w:pStyle w:val="Indenta"/>
      </w:pPr>
      <w:r>
        <w:tab/>
        <w:t>(b)</w:t>
      </w:r>
      <w:r>
        <w:tab/>
        <w:t>the person has applied for a licence or other authorisation before the end of the period specified in the notice and the application has been refused.</w:t>
      </w:r>
    </w:p>
    <w:p>
      <w:pPr>
        <w:pStyle w:val="Footnotesection"/>
      </w:pPr>
      <w:r>
        <w:tab/>
        <w:t>[Regulation 60AA inserted in Gazette 4 Dec 2015 p. 4841-2.]</w:t>
      </w:r>
    </w:p>
    <w:p>
      <w:pPr>
        <w:pStyle w:val="Heading5"/>
      </w:pPr>
      <w:bookmarkStart w:id="170" w:name="_Toc437515651"/>
      <w:bookmarkStart w:id="171" w:name="_Toc436905898"/>
      <w:r>
        <w:rPr>
          <w:rStyle w:val="CharSectno"/>
        </w:rPr>
        <w:t>60A</w:t>
      </w:r>
      <w:r>
        <w:t>.</w:t>
      </w:r>
      <w:r>
        <w:tab/>
        <w:t>Public moorings</w:t>
      </w:r>
      <w:bookmarkEnd w:id="170"/>
      <w:bookmarkEnd w:id="171"/>
    </w:p>
    <w:p>
      <w:pPr>
        <w:pStyle w:val="Subsection"/>
      </w:pPr>
      <w:r>
        <w:tab/>
        <w:t>(1)</w:t>
      </w:r>
      <w:r>
        <w:tab/>
        <w:t xml:space="preserve">The CEO may designate a mooring as a public mooring by a sign attached to the mooring. </w:t>
      </w:r>
    </w:p>
    <w:p>
      <w:pPr>
        <w:pStyle w:val="Subsection"/>
      </w:pPr>
      <w:r>
        <w:tab/>
        <w:t>(2)</w:t>
      </w:r>
      <w:r>
        <w:tab/>
        <w:t>A mooring may be designated as a public mooring at all times or during a period or periods specified on the sign.</w:t>
      </w:r>
    </w:p>
    <w:p>
      <w:pPr>
        <w:pStyle w:val="Subsection"/>
      </w:pPr>
      <w:r>
        <w:tab/>
        <w:t>(3)</w:t>
      </w:r>
      <w:r>
        <w:tab/>
        <w:t xml:space="preserve">The sign that is attached to a public mooring must indicate — </w:t>
      </w:r>
    </w:p>
    <w:p>
      <w:pPr>
        <w:pStyle w:val="Indenta"/>
      </w:pPr>
      <w:r>
        <w:tab/>
        <w:t>(a)</w:t>
      </w:r>
      <w:r>
        <w:tab/>
        <w:t>the period or periods during which the mooring is a public mooring; and</w:t>
      </w:r>
    </w:p>
    <w:p>
      <w:pPr>
        <w:pStyle w:val="Indenta"/>
      </w:pPr>
      <w:r>
        <w:tab/>
        <w:t>(b)</w:t>
      </w:r>
      <w:r>
        <w:tab/>
        <w:t>the conditions, if any, that apply to the use of the mooring.</w:t>
      </w:r>
    </w:p>
    <w:p>
      <w:pPr>
        <w:pStyle w:val="Subsection"/>
      </w:pPr>
      <w:r>
        <w:tab/>
        <w:t>(4)</w:t>
      </w:r>
      <w:r>
        <w:tab/>
        <w:t>A person has lawful authority to secure a vessel, or allow it to remain secured, to a public mooring if the person complies with the conditions specified on a sign attached to the mooring.</w:t>
      </w:r>
    </w:p>
    <w:p>
      <w:pPr>
        <w:pStyle w:val="Penstart"/>
      </w:pPr>
      <w:r>
        <w:tab/>
        <w:t>Penalty: a fine of $2 000.</w:t>
      </w:r>
    </w:p>
    <w:p>
      <w:pPr>
        <w:pStyle w:val="Footnotesection"/>
      </w:pPr>
      <w:r>
        <w:tab/>
        <w:t>[Regulation 60A inserted in Gazette 24 Mar 2015 p. 1035.]</w:t>
      </w:r>
    </w:p>
    <w:p>
      <w:pPr>
        <w:pStyle w:val="Heading5"/>
      </w:pPr>
      <w:bookmarkStart w:id="172" w:name="_Toc437515652"/>
      <w:bookmarkStart w:id="173" w:name="_Toc436905899"/>
      <w:r>
        <w:rPr>
          <w:rStyle w:val="CharSectno"/>
        </w:rPr>
        <w:t>60B</w:t>
      </w:r>
      <w:r>
        <w:t>.</w:t>
      </w:r>
      <w:r>
        <w:tab/>
        <w:t>Temporary mooring areas</w:t>
      </w:r>
      <w:bookmarkEnd w:id="172"/>
      <w:bookmarkEnd w:id="173"/>
    </w:p>
    <w:p>
      <w:pPr>
        <w:pStyle w:val="Subsection"/>
      </w:pPr>
      <w:r>
        <w:tab/>
      </w:r>
      <w:r>
        <w:tab/>
        <w:t>A person has lawful authority to moor a vessel in a temporary mooring area in accordance with conditions specified on signs erected in or in the vicinity of that area for the purposes of regulation 6(3) or signs designating the area as a temporary mooring area.</w:t>
      </w:r>
    </w:p>
    <w:p>
      <w:pPr>
        <w:pStyle w:val="Footnotesection"/>
      </w:pPr>
      <w:r>
        <w:tab/>
        <w:t>[Regulation 60B inserted in Gazette 24 Mar 2015 p. 1035.]</w:t>
      </w:r>
    </w:p>
    <w:p>
      <w:pPr>
        <w:pStyle w:val="Heading5"/>
      </w:pPr>
      <w:bookmarkStart w:id="174" w:name="_Toc437515653"/>
      <w:bookmarkStart w:id="175" w:name="_Toc436905900"/>
      <w:r>
        <w:rPr>
          <w:rStyle w:val="CharSectno"/>
        </w:rPr>
        <w:t>60</w:t>
      </w:r>
      <w:r>
        <w:rPr>
          <w:snapToGrid w:val="0"/>
        </w:rPr>
        <w:t>.</w:t>
      </w:r>
      <w:r>
        <w:rPr>
          <w:snapToGrid w:val="0"/>
        </w:rPr>
        <w:tab/>
        <w:t>Anchoring vessels</w:t>
      </w:r>
      <w:bookmarkEnd w:id="174"/>
      <w:bookmarkEnd w:id="175"/>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pPr>
      <w:r>
        <w:tab/>
        <w:t>(2A)</w:t>
      </w:r>
      <w:r>
        <w:tab/>
        <w:t>A person must not anchor a vessel, or allow a vessel to remain anchored, on CALM land if the vessel lies in a position where part of the vessel, or a tender attached to it, is closer than 50 metres to a mooring that is on CALM land.</w:t>
      </w:r>
    </w:p>
    <w:p>
      <w:pPr>
        <w:pStyle w:val="Penstart"/>
      </w:pPr>
      <w:r>
        <w:tab/>
        <w:t>Penalty: a fine of $1 000.</w:t>
      </w:r>
    </w:p>
    <w:p>
      <w:pPr>
        <w:pStyle w:val="Subsection"/>
        <w:rPr>
          <w:snapToGrid w:val="0"/>
        </w:rPr>
      </w:pPr>
      <w:r>
        <w:rPr>
          <w:snapToGrid w:val="0"/>
        </w:rPr>
        <w:tab/>
        <w:t>(2)</w:t>
      </w:r>
      <w:r>
        <w:rPr>
          <w:snapToGrid w:val="0"/>
        </w:rPr>
        <w:tab/>
      </w:r>
      <w:r>
        <w:t>Subregulations (1) and (2A) do</w:t>
      </w:r>
      <w:r>
        <w:rPr>
          <w:snapToGrid w:val="0"/>
        </w:rPr>
        <w:t xml:space="preserve">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 24 Mar 2015 p. 1035</w:t>
      </w:r>
      <w:r>
        <w:noBreakHyphen/>
        <w:t>6.]</w:t>
      </w:r>
    </w:p>
    <w:p>
      <w:pPr>
        <w:pStyle w:val="Heading5"/>
        <w:rPr>
          <w:snapToGrid w:val="0"/>
        </w:rPr>
      </w:pPr>
      <w:bookmarkStart w:id="176" w:name="_Toc437515654"/>
      <w:bookmarkStart w:id="177" w:name="_Toc436905901"/>
      <w:r>
        <w:rPr>
          <w:rStyle w:val="CharSectno"/>
        </w:rPr>
        <w:t>61</w:t>
      </w:r>
      <w:r>
        <w:rPr>
          <w:snapToGrid w:val="0"/>
        </w:rPr>
        <w:t>.</w:t>
      </w:r>
      <w:r>
        <w:rPr>
          <w:snapToGrid w:val="0"/>
        </w:rPr>
        <w:tab/>
        <w:t>Operation of certain vessel in restricted area</w:t>
      </w:r>
      <w:bookmarkEnd w:id="176"/>
      <w:bookmarkEnd w:id="177"/>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61 amended in Gazette 3 Dec 2010 p. 6052</w:t>
      </w:r>
      <w:r>
        <w:noBreakHyphen/>
        <w:t>3; 19 Sep 2014 p. 3336.]</w:t>
      </w:r>
    </w:p>
    <w:p>
      <w:pPr>
        <w:pStyle w:val="Heading5"/>
      </w:pPr>
      <w:bookmarkStart w:id="178" w:name="_Toc437515655"/>
      <w:bookmarkStart w:id="179" w:name="_Toc436905902"/>
      <w:r>
        <w:rPr>
          <w:rStyle w:val="CharSectno"/>
        </w:rPr>
        <w:t>61A</w:t>
      </w:r>
      <w:r>
        <w:t>.</w:t>
      </w:r>
      <w:r>
        <w:tab/>
        <w:t>Operation of vessels in nature reserves</w:t>
      </w:r>
      <w:bookmarkEnd w:id="178"/>
      <w:bookmarkEnd w:id="179"/>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spacing w:before="100"/>
      </w:pPr>
      <w:r>
        <w:tab/>
        <w:t>[Regulation 61A inserted in Gazette 29 Sep 2006 p. 4315; amended in Gazette 3 Dec 2010 p. 6052</w:t>
      </w:r>
      <w:r>
        <w:noBreakHyphen/>
        <w:t>3.]</w:t>
      </w:r>
    </w:p>
    <w:p>
      <w:pPr>
        <w:pStyle w:val="Heading5"/>
      </w:pPr>
      <w:bookmarkStart w:id="180" w:name="_Toc437515656"/>
      <w:bookmarkStart w:id="181" w:name="_Toc436905903"/>
      <w:r>
        <w:rPr>
          <w:rStyle w:val="CharSectno"/>
        </w:rPr>
        <w:t>61B</w:t>
      </w:r>
      <w:r>
        <w:t>.</w:t>
      </w:r>
      <w:r>
        <w:tab/>
        <w:t>CEO may limit speed of vessels</w:t>
      </w:r>
      <w:bookmarkEnd w:id="180"/>
      <w:bookmarkEnd w:id="181"/>
    </w:p>
    <w:p>
      <w:pPr>
        <w:pStyle w:val="Subsection"/>
      </w:pPr>
      <w:r>
        <w:tab/>
        <w:t>(1)</w:t>
      </w:r>
      <w:r>
        <w:tab/>
        <w:t xml:space="preserve">In this regulation — </w:t>
      </w:r>
    </w:p>
    <w:p>
      <w:pPr>
        <w:pStyle w:val="Defstart"/>
      </w:pPr>
      <w:r>
        <w:tab/>
      </w:r>
      <w:r>
        <w:rPr>
          <w:rStyle w:val="CharDefText"/>
        </w:rPr>
        <w:t>specified</w:t>
      </w:r>
      <w:r>
        <w:t xml:space="preserve"> means specified in a notice referred to in subregulation (2).</w:t>
      </w:r>
    </w:p>
    <w:p>
      <w:pPr>
        <w:pStyle w:val="Subsection"/>
      </w:pPr>
      <w:r>
        <w:tab/>
        <w:t>(2)</w:t>
      </w:r>
      <w:r>
        <w:tab/>
        <w:t xml:space="preserve">The CEO may, by notice published in the </w:t>
      </w:r>
      <w:r>
        <w:rPr>
          <w:i/>
          <w:iCs/>
        </w:rPr>
        <w:t>Gazette</w:t>
      </w:r>
      <w:r>
        <w:t>, limit the speed of any specified class or classes of vessel in any specified area of waters on CALM land.</w:t>
      </w:r>
    </w:p>
    <w:p>
      <w:pPr>
        <w:pStyle w:val="Subsection"/>
      </w:pPr>
      <w:r>
        <w:tab/>
        <w:t>(3)</w:t>
      </w:r>
      <w:r>
        <w:tab/>
        <w:t>The CEO is to ensure that signs are erected in, or in the vicinity of, each specified area indicating the speed limits that apply in the area and the class or classes of vessel to which the speed limits apply.</w:t>
      </w:r>
    </w:p>
    <w:p>
      <w:pPr>
        <w:pStyle w:val="Subsection"/>
      </w:pPr>
      <w:r>
        <w:tab/>
        <w:t>(4)</w:t>
      </w:r>
      <w:r>
        <w:tab/>
        <w:t>A person must not operate a vessel in a specified area at a speed exceeding the specified limit for a vessel of that class.</w:t>
      </w:r>
    </w:p>
    <w:p>
      <w:pPr>
        <w:pStyle w:val="Penstart"/>
      </w:pPr>
      <w:r>
        <w:tab/>
        <w:t>Penalty: a fine of $2 000.</w:t>
      </w:r>
    </w:p>
    <w:p>
      <w:pPr>
        <w:pStyle w:val="Footnotesection"/>
      </w:pPr>
      <w:r>
        <w:tab/>
        <w:t>[Regulation 61B inserted in Gazette 24 Mar 2015 p. 1036.]</w:t>
      </w:r>
    </w:p>
    <w:p>
      <w:pPr>
        <w:pStyle w:val="Heading5"/>
        <w:rPr>
          <w:snapToGrid w:val="0"/>
        </w:rPr>
      </w:pPr>
      <w:bookmarkStart w:id="182" w:name="_Toc437515657"/>
      <w:bookmarkStart w:id="183" w:name="_Toc436905904"/>
      <w:r>
        <w:rPr>
          <w:rStyle w:val="CharSectno"/>
        </w:rPr>
        <w:t>62</w:t>
      </w:r>
      <w:r>
        <w:rPr>
          <w:snapToGrid w:val="0"/>
        </w:rPr>
        <w:t>.</w:t>
      </w:r>
      <w:r>
        <w:rPr>
          <w:snapToGrid w:val="0"/>
        </w:rPr>
        <w:tab/>
        <w:t>Safe navigation of vessels</w:t>
      </w:r>
      <w:bookmarkEnd w:id="182"/>
      <w:bookmarkEnd w:id="18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spacing w:before="60"/>
        <w:rPr>
          <w:snapToGrid w:val="0"/>
        </w:rPr>
      </w:pPr>
      <w:r>
        <w:rPr>
          <w:snapToGrid w:val="0"/>
        </w:rPr>
        <w:tab/>
        <w:t>(a)</w:t>
      </w:r>
      <w:r>
        <w:rPr>
          <w:snapToGrid w:val="0"/>
        </w:rPr>
        <w:tab/>
        <w:t>endanger the safety of that or any other vessel or any person; or</w:t>
      </w:r>
    </w:p>
    <w:p>
      <w:pPr>
        <w:pStyle w:val="Indenta"/>
        <w:spacing w:before="60"/>
        <w:rPr>
          <w:snapToGrid w:val="0"/>
        </w:rPr>
      </w:pPr>
      <w:r>
        <w:rPr>
          <w:snapToGrid w:val="0"/>
        </w:rPr>
        <w:tab/>
        <w:t>(b)</w:t>
      </w:r>
      <w:r>
        <w:rPr>
          <w:snapToGrid w:val="0"/>
        </w:rPr>
        <w:tab/>
        <w:t>cause damage to any person or to any other vessel; or</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damage vegetation, coral, shoals, sandbanks, mudflats or the bed or banks of any body of water; or</w:t>
      </w:r>
    </w:p>
    <w:p>
      <w:pPr>
        <w:pStyle w:val="Indenta"/>
        <w:spacing w:before="60"/>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tab/>
        <w:t>(2)</w:t>
      </w:r>
      <w:r>
        <w:tab/>
      </w:r>
      <w:r>
        <w:rPr>
          <w:snapToGrid w:val="0"/>
        </w:rPr>
        <w:t xml:space="preserve">A person must not navigate a vessel on waters on CALM land in such a manner as to — </w:t>
      </w:r>
    </w:p>
    <w:p>
      <w:pPr>
        <w:pStyle w:val="Indenta"/>
        <w:spacing w:before="70"/>
        <w:rPr>
          <w:snapToGrid w:val="0"/>
        </w:rPr>
      </w:pPr>
      <w:r>
        <w:tab/>
        <w:t>(a)</w:t>
      </w:r>
      <w:r>
        <w:tab/>
      </w:r>
      <w:r>
        <w:rPr>
          <w:snapToGrid w:val="0"/>
        </w:rPr>
        <w:t>cause nuisance to any person or to any other vessel; or</w:t>
      </w:r>
    </w:p>
    <w:p>
      <w:pPr>
        <w:pStyle w:val="Indenta"/>
        <w:spacing w:before="70"/>
        <w:rPr>
          <w:snapToGrid w:val="0"/>
        </w:rPr>
      </w:pPr>
      <w:r>
        <w:rPr>
          <w:snapToGrid w:val="0"/>
        </w:rPr>
        <w:tab/>
        <w:t>(b)</w:t>
      </w:r>
      <w:r>
        <w:rPr>
          <w:snapToGrid w:val="0"/>
        </w:rPr>
        <w:tab/>
        <w:t>obstruct, impede or otherwise interfere with any other vessel; or</w:t>
      </w:r>
    </w:p>
    <w:p>
      <w:pPr>
        <w:pStyle w:val="Indenta"/>
        <w:spacing w:before="70"/>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spacing w:before="100"/>
      </w:pPr>
      <w:r>
        <w:tab/>
        <w:t>[Regulation 62 amended in Gazette 29 Sep 2006 p. 4315</w:t>
      </w:r>
      <w:r>
        <w:noBreakHyphen/>
        <w:t>16; 3 Dec 2010 p. 6052</w:t>
      </w:r>
      <w:r>
        <w:noBreakHyphen/>
        <w:t>3; 19 Sep 2014 p. 3336.]</w:t>
      </w:r>
    </w:p>
    <w:p>
      <w:pPr>
        <w:pStyle w:val="Heading5"/>
        <w:rPr>
          <w:snapToGrid w:val="0"/>
        </w:rPr>
      </w:pPr>
      <w:bookmarkStart w:id="184" w:name="_Toc437515658"/>
      <w:bookmarkStart w:id="185" w:name="_Toc436905905"/>
      <w:r>
        <w:rPr>
          <w:rStyle w:val="CharSectno"/>
        </w:rPr>
        <w:t>63</w:t>
      </w:r>
      <w:r>
        <w:rPr>
          <w:snapToGrid w:val="0"/>
        </w:rPr>
        <w:t>.</w:t>
      </w:r>
      <w:r>
        <w:rPr>
          <w:snapToGrid w:val="0"/>
        </w:rPr>
        <w:tab/>
        <w:t>Owner to obey reasonable direction</w:t>
      </w:r>
      <w:bookmarkEnd w:id="184"/>
      <w:bookmarkEnd w:id="18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on CALM land.</w:t>
      </w:r>
    </w:p>
    <w:p>
      <w:pPr>
        <w:pStyle w:val="Penstart"/>
        <w:rPr>
          <w:snapToGrid w:val="0"/>
        </w:rPr>
      </w:pPr>
      <w:r>
        <w:rPr>
          <w:snapToGrid w:val="0"/>
        </w:rPr>
        <w:tab/>
        <w:t xml:space="preserve">Penalty: </w:t>
      </w:r>
      <w:r>
        <w:t>a fine of</w:t>
      </w:r>
      <w:r>
        <w:rPr>
          <w:snapToGrid w:val="0"/>
        </w:rPr>
        <w:t xml:space="preserve"> $1 000.</w:t>
      </w:r>
    </w:p>
    <w:p>
      <w:pPr>
        <w:pStyle w:val="Footnotesection"/>
        <w:spacing w:before="100"/>
      </w:pPr>
      <w:r>
        <w:tab/>
        <w:t>[Regulation 63 amended in Gazette 3 Dec 2010 p. 6052</w:t>
      </w:r>
      <w:r>
        <w:noBreakHyphen/>
        <w:t>3; 24 Mar 2015 p. 1036.]</w:t>
      </w:r>
    </w:p>
    <w:p>
      <w:pPr>
        <w:pStyle w:val="Heading5"/>
        <w:rPr>
          <w:snapToGrid w:val="0"/>
        </w:rPr>
      </w:pPr>
      <w:bookmarkStart w:id="186" w:name="_Toc437515659"/>
      <w:bookmarkStart w:id="187" w:name="_Toc436905906"/>
      <w:r>
        <w:rPr>
          <w:rStyle w:val="CharSectno"/>
        </w:rPr>
        <w:t>64</w:t>
      </w:r>
      <w:r>
        <w:rPr>
          <w:snapToGrid w:val="0"/>
        </w:rPr>
        <w:t>.</w:t>
      </w:r>
      <w:r>
        <w:rPr>
          <w:snapToGrid w:val="0"/>
        </w:rPr>
        <w:tab/>
        <w:t>Launching, beaching and retrieving</w:t>
      </w:r>
      <w:bookmarkEnd w:id="186"/>
      <w:bookmarkEnd w:id="18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spacing w:before="60"/>
        <w:rPr>
          <w:snapToGrid w:val="0"/>
        </w:rPr>
      </w:pPr>
      <w:r>
        <w:rPr>
          <w:snapToGrid w:val="0"/>
        </w:rPr>
        <w:tab/>
        <w:t>(a)</w:t>
      </w:r>
      <w:r>
        <w:rPr>
          <w:snapToGrid w:val="0"/>
        </w:rPr>
        <w:tab/>
        <w:t>launch or beach a vessel; or</w:t>
      </w:r>
    </w:p>
    <w:p>
      <w:pPr>
        <w:pStyle w:val="Indenta"/>
        <w:spacing w:before="60"/>
        <w:rPr>
          <w:snapToGrid w:val="0"/>
        </w:rPr>
      </w:pPr>
      <w:r>
        <w:rPr>
          <w:snapToGrid w:val="0"/>
        </w:rPr>
        <w:tab/>
        <w:t>(b)</w:t>
      </w:r>
      <w:r>
        <w:rPr>
          <w:snapToGrid w:val="0"/>
        </w:rPr>
        <w:tab/>
        <w:t>anchor a vessel by placing the anchor on a beach; or</w:t>
      </w:r>
    </w:p>
    <w:p>
      <w:pPr>
        <w:pStyle w:val="Indenta"/>
        <w:spacing w:before="60"/>
        <w:rPr>
          <w:snapToGrid w:val="0"/>
        </w:rPr>
      </w:pPr>
      <w:r>
        <w:rPr>
          <w:snapToGrid w:val="0"/>
        </w:rPr>
        <w:tab/>
        <w:t>(c)</w:t>
      </w:r>
      <w:r>
        <w:rPr>
          <w:snapToGrid w:val="0"/>
        </w:rPr>
        <w:tab/>
        <w:t>access, operate or retrieve a vessel,</w:t>
      </w:r>
    </w:p>
    <w:p>
      <w:pPr>
        <w:pStyle w:val="Subsection"/>
        <w:spacing w:before="120"/>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spacing w:before="140"/>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spacing w:before="60"/>
        <w:rPr>
          <w:snapToGrid w:val="0"/>
        </w:rPr>
      </w:pPr>
      <w:r>
        <w:rPr>
          <w:snapToGrid w:val="0"/>
        </w:rPr>
        <w:tab/>
        <w:t>(a)</w:t>
      </w:r>
      <w:r>
        <w:rPr>
          <w:snapToGrid w:val="0"/>
        </w:rPr>
        <w:tab/>
        <w:t>launching or beaching a vessel; or</w:t>
      </w:r>
    </w:p>
    <w:p>
      <w:pPr>
        <w:pStyle w:val="Indenta"/>
        <w:spacing w:before="60"/>
        <w:rPr>
          <w:snapToGrid w:val="0"/>
        </w:rPr>
      </w:pPr>
      <w:r>
        <w:rPr>
          <w:snapToGrid w:val="0"/>
        </w:rPr>
        <w:tab/>
        <w:t>(b)</w:t>
      </w:r>
      <w:r>
        <w:rPr>
          <w:snapToGrid w:val="0"/>
        </w:rPr>
        <w:tab/>
        <w:t>anchoring a vessel by placing the anchor on a beach; or</w:t>
      </w:r>
    </w:p>
    <w:p>
      <w:pPr>
        <w:pStyle w:val="Indenta"/>
        <w:spacing w:before="60"/>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4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4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keepNext/>
        <w:spacing w:before="140"/>
        <w:rPr>
          <w:snapToGrid w:val="0"/>
        </w:rPr>
      </w:pPr>
      <w:r>
        <w:rPr>
          <w:snapToGrid w:val="0"/>
        </w:rPr>
        <w:tab/>
        <w:t>(5)</w:t>
      </w:r>
      <w:r>
        <w:rPr>
          <w:snapToGrid w:val="0"/>
        </w:rPr>
        <w:tab/>
        <w:t xml:space="preserve">If — </w:t>
      </w:r>
    </w:p>
    <w:p>
      <w:pPr>
        <w:pStyle w:val="Indenta"/>
        <w:spacing w:before="60"/>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spacing w:before="60"/>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100"/>
        <w:ind w:left="890" w:hanging="890"/>
      </w:pPr>
      <w:r>
        <w:tab/>
        <w:t>[Regulation 64 amended in Gazette 29 Sep 2006 p. 4316; 3 Dec 2010 p. 6052</w:t>
      </w:r>
      <w:r>
        <w:noBreakHyphen/>
        <w:t>3.]</w:t>
      </w:r>
    </w:p>
    <w:p>
      <w:pPr>
        <w:pStyle w:val="Heading5"/>
      </w:pPr>
      <w:bookmarkStart w:id="188" w:name="_Toc437515660"/>
      <w:bookmarkStart w:id="189" w:name="_Toc436905907"/>
      <w:r>
        <w:rPr>
          <w:rStyle w:val="CharSectno"/>
        </w:rPr>
        <w:t>65A</w:t>
      </w:r>
      <w:r>
        <w:t>.</w:t>
      </w:r>
      <w:r>
        <w:tab/>
        <w:t>Unlawful use of vessel storage facility</w:t>
      </w:r>
      <w:bookmarkEnd w:id="188"/>
      <w:bookmarkEnd w:id="189"/>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spacing w:before="100"/>
        <w:rPr>
          <w:b/>
          <w:i w:val="0"/>
        </w:rPr>
      </w:pPr>
      <w:r>
        <w:tab/>
        <w:t>[Regulation 65A inserted in Gazette 3 Dec 2010 p. 6048.]</w:t>
      </w:r>
    </w:p>
    <w:p>
      <w:pPr>
        <w:pStyle w:val="Heading3"/>
        <w:spacing w:before="280"/>
      </w:pPr>
      <w:bookmarkStart w:id="190" w:name="_Toc436903745"/>
      <w:bookmarkStart w:id="191" w:name="_Toc436905687"/>
      <w:bookmarkStart w:id="192" w:name="_Toc436905908"/>
      <w:bookmarkStart w:id="193" w:name="_Toc437515661"/>
      <w:r>
        <w:rPr>
          <w:rStyle w:val="CharDivNo"/>
        </w:rPr>
        <w:t>Division 4</w:t>
      </w:r>
      <w:r>
        <w:rPr>
          <w:snapToGrid w:val="0"/>
        </w:rPr>
        <w:t xml:space="preserve"> — </w:t>
      </w:r>
      <w:r>
        <w:rPr>
          <w:rStyle w:val="CharDivText"/>
        </w:rPr>
        <w:t>Aircraft</w:t>
      </w:r>
      <w:bookmarkEnd w:id="190"/>
      <w:bookmarkEnd w:id="191"/>
      <w:bookmarkEnd w:id="192"/>
      <w:bookmarkEnd w:id="193"/>
    </w:p>
    <w:p>
      <w:pPr>
        <w:pStyle w:val="Heading5"/>
        <w:rPr>
          <w:snapToGrid w:val="0"/>
        </w:rPr>
      </w:pPr>
      <w:bookmarkStart w:id="194" w:name="_Toc437515662"/>
      <w:bookmarkStart w:id="195" w:name="_Toc436905909"/>
      <w:r>
        <w:rPr>
          <w:rStyle w:val="CharSectno"/>
        </w:rPr>
        <w:t>65</w:t>
      </w:r>
      <w:r>
        <w:rPr>
          <w:snapToGrid w:val="0"/>
        </w:rPr>
        <w:t>.</w:t>
      </w:r>
      <w:r>
        <w:rPr>
          <w:snapToGrid w:val="0"/>
        </w:rPr>
        <w:tab/>
        <w:t>Launching or landing of aircraft</w:t>
      </w:r>
      <w:bookmarkEnd w:id="194"/>
      <w:bookmarkEnd w:id="195"/>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keepNext/>
        <w:keepLines/>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196" w:name="_Toc436903747"/>
      <w:bookmarkStart w:id="197" w:name="_Toc436905689"/>
      <w:bookmarkStart w:id="198" w:name="_Toc436905910"/>
      <w:bookmarkStart w:id="199" w:name="_Toc437515663"/>
      <w:r>
        <w:rPr>
          <w:rStyle w:val="CharPartNo"/>
        </w:rPr>
        <w:t>Part 4</w:t>
      </w:r>
      <w:r>
        <w:rPr>
          <w:rStyle w:val="CharDivNo"/>
        </w:rPr>
        <w:t xml:space="preserve"> </w:t>
      </w:r>
      <w:r>
        <w:t>—</w:t>
      </w:r>
      <w:r>
        <w:rPr>
          <w:rStyle w:val="CharDivText"/>
        </w:rPr>
        <w:t xml:space="preserve"> </w:t>
      </w:r>
      <w:r>
        <w:rPr>
          <w:rStyle w:val="CharPartText"/>
        </w:rPr>
        <w:t>Camping</w:t>
      </w:r>
      <w:bookmarkEnd w:id="196"/>
      <w:bookmarkEnd w:id="197"/>
      <w:bookmarkEnd w:id="198"/>
      <w:bookmarkEnd w:id="199"/>
      <w:r>
        <w:rPr>
          <w:rStyle w:val="CharPartText"/>
        </w:rPr>
        <w:t xml:space="preserve"> </w:t>
      </w:r>
    </w:p>
    <w:p>
      <w:pPr>
        <w:pStyle w:val="Heading5"/>
        <w:spacing w:before="240"/>
        <w:rPr>
          <w:snapToGrid w:val="0"/>
        </w:rPr>
      </w:pPr>
      <w:bookmarkStart w:id="200" w:name="_Toc437515664"/>
      <w:bookmarkStart w:id="201" w:name="_Toc436905911"/>
      <w:r>
        <w:rPr>
          <w:rStyle w:val="CharSectno"/>
        </w:rPr>
        <w:t>66</w:t>
      </w:r>
      <w:r>
        <w:rPr>
          <w:snapToGrid w:val="0"/>
        </w:rPr>
        <w:t>.</w:t>
      </w:r>
      <w:r>
        <w:rPr>
          <w:snapToGrid w:val="0"/>
        </w:rPr>
        <w:tab/>
        <w:t>Camping controlled</w:t>
      </w:r>
      <w:bookmarkEnd w:id="200"/>
      <w:bookmarkEnd w:id="201"/>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66 amended in Gazette 3 Dec 2010 p. 6052</w:t>
      </w:r>
      <w:r>
        <w:noBreakHyphen/>
        <w:t>3; 19 Sep 2014 p. 3336.]</w:t>
      </w:r>
    </w:p>
    <w:p>
      <w:pPr>
        <w:pStyle w:val="Heading5"/>
        <w:spacing w:before="240"/>
        <w:rPr>
          <w:snapToGrid w:val="0"/>
        </w:rPr>
      </w:pPr>
      <w:bookmarkStart w:id="202" w:name="_Toc437515665"/>
      <w:bookmarkStart w:id="203" w:name="_Toc436905912"/>
      <w:r>
        <w:rPr>
          <w:rStyle w:val="CharSectno"/>
        </w:rPr>
        <w:t>67</w:t>
      </w:r>
      <w:r>
        <w:rPr>
          <w:snapToGrid w:val="0"/>
        </w:rPr>
        <w:t>.</w:t>
      </w:r>
      <w:r>
        <w:rPr>
          <w:snapToGrid w:val="0"/>
        </w:rPr>
        <w:tab/>
        <w:t>Direction to vacate camp</w:t>
      </w:r>
      <w:bookmarkEnd w:id="202"/>
      <w:bookmarkEnd w:id="203"/>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pPr>
      <w:r>
        <w:tab/>
        <w:t>(2A)</w:t>
      </w:r>
      <w:r>
        <w:tab/>
        <w:t xml:space="preserve">An authorised officer may direct a person directed to vacate a site under subregulation (1) not to camp within the park or reserve in which the site is situated during a period — </w:t>
      </w:r>
    </w:p>
    <w:p>
      <w:pPr>
        <w:pStyle w:val="Indenta"/>
      </w:pPr>
      <w:r>
        <w:tab/>
        <w:t>(a)</w:t>
      </w:r>
      <w:r>
        <w:tab/>
        <w:t>beginning on the day on which the direction is given; and</w:t>
      </w:r>
    </w:p>
    <w:p>
      <w:pPr>
        <w:pStyle w:val="Indenta"/>
      </w:pPr>
      <w:r>
        <w:tab/>
        <w:t>(b)</w:t>
      </w:r>
      <w:r>
        <w:tab/>
        <w:t>not exceeding 14 days.</w:t>
      </w:r>
    </w:p>
    <w:p>
      <w:pPr>
        <w:pStyle w:val="Subsection"/>
        <w:keepNext/>
        <w:keepLines/>
        <w:spacing w:before="180"/>
        <w:rPr>
          <w:snapToGrid w:val="0"/>
        </w:rPr>
      </w:pPr>
      <w:r>
        <w:rPr>
          <w:snapToGrid w:val="0"/>
        </w:rPr>
        <w:tab/>
        <w:t>(2)</w:t>
      </w:r>
      <w:r>
        <w:rPr>
          <w:snapToGrid w:val="0"/>
        </w:rPr>
        <w:tab/>
        <w:t>A person must comply with a direction under subregulation (1) or (2A).</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 19 Sep 2014 p. 3331.]</w:t>
      </w:r>
    </w:p>
    <w:p>
      <w:pPr>
        <w:pStyle w:val="Heading5"/>
        <w:rPr>
          <w:snapToGrid w:val="0"/>
        </w:rPr>
      </w:pPr>
      <w:bookmarkStart w:id="204" w:name="_Toc437515666"/>
      <w:bookmarkStart w:id="205" w:name="_Toc436905913"/>
      <w:r>
        <w:rPr>
          <w:rStyle w:val="CharSectno"/>
        </w:rPr>
        <w:t>68</w:t>
      </w:r>
      <w:r>
        <w:rPr>
          <w:snapToGrid w:val="0"/>
        </w:rPr>
        <w:t>.</w:t>
      </w:r>
      <w:r>
        <w:rPr>
          <w:snapToGrid w:val="0"/>
        </w:rPr>
        <w:tab/>
        <w:t>Unauthorised persons not to enter camping unit</w:t>
      </w:r>
      <w:bookmarkEnd w:id="204"/>
      <w:bookmarkEnd w:id="205"/>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206" w:name="_Toc437515667"/>
      <w:bookmarkStart w:id="207" w:name="_Toc436905914"/>
      <w:r>
        <w:rPr>
          <w:rStyle w:val="CharSectno"/>
        </w:rPr>
        <w:t>69</w:t>
      </w:r>
      <w:r>
        <w:rPr>
          <w:snapToGrid w:val="0"/>
        </w:rPr>
        <w:t>.</w:t>
      </w:r>
      <w:r>
        <w:rPr>
          <w:snapToGrid w:val="0"/>
        </w:rPr>
        <w:tab/>
        <w:t>Construction and positioning of camping units</w:t>
      </w:r>
      <w:bookmarkEnd w:id="206"/>
      <w:bookmarkEnd w:id="207"/>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208" w:name="_Toc437515668"/>
      <w:bookmarkStart w:id="209" w:name="_Toc436905915"/>
      <w:r>
        <w:rPr>
          <w:rStyle w:val="CharSectno"/>
        </w:rPr>
        <w:t>70</w:t>
      </w:r>
      <w:r>
        <w:rPr>
          <w:snapToGrid w:val="0"/>
        </w:rPr>
        <w:t>.</w:t>
      </w:r>
      <w:r>
        <w:rPr>
          <w:snapToGrid w:val="0"/>
        </w:rPr>
        <w:tab/>
        <w:t>Power generating devices</w:t>
      </w:r>
      <w:bookmarkEnd w:id="208"/>
      <w:bookmarkEnd w:id="209"/>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70 amended in Gazette 3 Dec 2010 p. 6052</w:t>
      </w:r>
      <w:r>
        <w:noBreakHyphen/>
        <w:t>3.]</w:t>
      </w:r>
    </w:p>
    <w:p>
      <w:pPr>
        <w:pStyle w:val="Heading5"/>
        <w:rPr>
          <w:snapToGrid w:val="0"/>
        </w:rPr>
      </w:pPr>
      <w:bookmarkStart w:id="210" w:name="_Toc437515669"/>
      <w:bookmarkStart w:id="211" w:name="_Toc436905916"/>
      <w:r>
        <w:rPr>
          <w:rStyle w:val="CharSectno"/>
        </w:rPr>
        <w:t>71</w:t>
      </w:r>
      <w:r>
        <w:rPr>
          <w:snapToGrid w:val="0"/>
        </w:rPr>
        <w:t>.</w:t>
      </w:r>
      <w:r>
        <w:rPr>
          <w:snapToGrid w:val="0"/>
        </w:rPr>
        <w:tab/>
        <w:t>Firewood</w:t>
      </w:r>
      <w:bookmarkEnd w:id="210"/>
      <w:bookmarkEnd w:id="211"/>
      <w:r>
        <w:rPr>
          <w:snapToGrid w:val="0"/>
        </w:rPr>
        <w:t xml:space="preserve"> </w:t>
      </w:r>
    </w:p>
    <w:p>
      <w:pPr>
        <w:pStyle w:val="Subsection"/>
        <w:keepNext/>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keepNext/>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$1 000.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 19 Sep 2014 p. 3336.]</w:t>
      </w:r>
    </w:p>
    <w:p>
      <w:pPr>
        <w:pStyle w:val="Heading2"/>
      </w:pPr>
      <w:bookmarkStart w:id="212" w:name="_Toc436903754"/>
      <w:bookmarkStart w:id="213" w:name="_Toc436905696"/>
      <w:bookmarkStart w:id="214" w:name="_Toc436905917"/>
      <w:bookmarkStart w:id="215" w:name="_Toc437515670"/>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212"/>
      <w:bookmarkEnd w:id="213"/>
      <w:bookmarkEnd w:id="214"/>
      <w:bookmarkEnd w:id="215"/>
      <w:r>
        <w:rPr>
          <w:rStyle w:val="CharPartText"/>
        </w:rPr>
        <w:t xml:space="preserve"> </w:t>
      </w:r>
    </w:p>
    <w:p>
      <w:pPr>
        <w:pStyle w:val="Heading5"/>
        <w:spacing w:before="240"/>
        <w:rPr>
          <w:snapToGrid w:val="0"/>
        </w:rPr>
      </w:pPr>
      <w:bookmarkStart w:id="216" w:name="_Toc437515671"/>
      <w:bookmarkStart w:id="217" w:name="_Toc436905918"/>
      <w:r>
        <w:rPr>
          <w:rStyle w:val="CharSectno"/>
        </w:rPr>
        <w:t>72</w:t>
      </w:r>
      <w:r>
        <w:rPr>
          <w:snapToGrid w:val="0"/>
        </w:rPr>
        <w:t>.</w:t>
      </w:r>
      <w:r>
        <w:rPr>
          <w:snapToGrid w:val="0"/>
        </w:rPr>
        <w:tab/>
        <w:t>Authorised officer may direct person to stop activity</w:t>
      </w:r>
      <w:bookmarkEnd w:id="216"/>
      <w:bookmarkEnd w:id="217"/>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72 amended in Gazette 3 Dec 2010 p. 6052</w:t>
      </w:r>
      <w:r>
        <w:noBreakHyphen/>
        <w:t>3; 19 Sep 2014 p. 3336.]</w:t>
      </w:r>
    </w:p>
    <w:p>
      <w:pPr>
        <w:pStyle w:val="Heading5"/>
        <w:spacing w:before="240"/>
        <w:rPr>
          <w:snapToGrid w:val="0"/>
        </w:rPr>
      </w:pPr>
      <w:bookmarkStart w:id="218" w:name="_Toc437515672"/>
      <w:bookmarkStart w:id="219" w:name="_Toc436905919"/>
      <w:r>
        <w:rPr>
          <w:rStyle w:val="CharSectno"/>
        </w:rPr>
        <w:t>73</w:t>
      </w:r>
      <w:r>
        <w:rPr>
          <w:snapToGrid w:val="0"/>
        </w:rPr>
        <w:t>.</w:t>
      </w:r>
      <w:r>
        <w:rPr>
          <w:snapToGrid w:val="0"/>
        </w:rPr>
        <w:tab/>
        <w:t>Conduct generally</w:t>
      </w:r>
      <w:bookmarkEnd w:id="218"/>
      <w:bookmarkEnd w:id="219"/>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spacing w:before="180"/>
        <w:rPr>
          <w:snapToGrid w:val="0"/>
        </w:rPr>
      </w:pPr>
      <w:r>
        <w:rPr>
          <w:snapToGrid w:val="0"/>
        </w:rPr>
        <w:tab/>
        <w:t>(2)</w:t>
      </w:r>
      <w:r>
        <w:rPr>
          <w:snapToGrid w:val="0"/>
        </w:rPr>
        <w:tab/>
        <w:t xml:space="preserve">A person must, on CALM land, comply with any direction on a sign on that land regarding </w:t>
      </w:r>
      <w:r>
        <w:t xml:space="preserve">any </w:t>
      </w:r>
      <w:r>
        <w:rPr>
          <w:snapToGrid w:val="0"/>
        </w:rPr>
        <w:t>activity or behaviour that is prohibited on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73 amended in Gazette 3 Dec 2010 p. 6052</w:t>
      </w:r>
      <w:r>
        <w:noBreakHyphen/>
        <w:t>3; 19 Sep 2014 p. 3331 and 3336.]</w:t>
      </w:r>
    </w:p>
    <w:p>
      <w:pPr>
        <w:pStyle w:val="Heading5"/>
        <w:spacing w:before="240"/>
        <w:rPr>
          <w:snapToGrid w:val="0"/>
        </w:rPr>
      </w:pPr>
      <w:bookmarkStart w:id="220" w:name="_Toc437515673"/>
      <w:bookmarkStart w:id="221" w:name="_Toc436905920"/>
      <w:r>
        <w:rPr>
          <w:rStyle w:val="CharSectno"/>
        </w:rPr>
        <w:t>74</w:t>
      </w:r>
      <w:r>
        <w:rPr>
          <w:snapToGrid w:val="0"/>
        </w:rPr>
        <w:t>.</w:t>
      </w:r>
      <w:r>
        <w:rPr>
          <w:snapToGrid w:val="0"/>
        </w:rPr>
        <w:tab/>
        <w:t>Offensive noise</w:t>
      </w:r>
      <w:bookmarkEnd w:id="220"/>
      <w:bookmarkEnd w:id="221"/>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74 amended in Gazette 3 Dec 2010 p. 6052</w:t>
      </w:r>
      <w:r>
        <w:noBreakHyphen/>
        <w:t>4.]</w:t>
      </w:r>
    </w:p>
    <w:p>
      <w:pPr>
        <w:pStyle w:val="Heading5"/>
        <w:rPr>
          <w:snapToGrid w:val="0"/>
        </w:rPr>
      </w:pPr>
      <w:bookmarkStart w:id="222" w:name="_Toc437515674"/>
      <w:bookmarkStart w:id="223" w:name="_Toc436905921"/>
      <w:r>
        <w:rPr>
          <w:rStyle w:val="CharSectno"/>
        </w:rPr>
        <w:t>75</w:t>
      </w:r>
      <w:r>
        <w:rPr>
          <w:snapToGrid w:val="0"/>
        </w:rPr>
        <w:t>.</w:t>
      </w:r>
      <w:r>
        <w:rPr>
          <w:snapToGrid w:val="0"/>
        </w:rPr>
        <w:tab/>
        <w:t>Alcohol and drugs</w:t>
      </w:r>
      <w:bookmarkEnd w:id="222"/>
      <w:bookmarkEnd w:id="223"/>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75 amended in Gazette 3 Dec 2010 p. 6052</w:t>
      </w:r>
      <w:r>
        <w:noBreakHyphen/>
        <w:t>4; 19 Sep 2014 p. 3336.]</w:t>
      </w:r>
    </w:p>
    <w:p>
      <w:pPr>
        <w:pStyle w:val="Heading5"/>
        <w:rPr>
          <w:snapToGrid w:val="0"/>
        </w:rPr>
      </w:pPr>
      <w:bookmarkStart w:id="224" w:name="_Toc437515675"/>
      <w:bookmarkStart w:id="225" w:name="_Toc436905922"/>
      <w:r>
        <w:rPr>
          <w:rStyle w:val="CharSectno"/>
        </w:rPr>
        <w:t>76</w:t>
      </w:r>
      <w:r>
        <w:rPr>
          <w:snapToGrid w:val="0"/>
        </w:rPr>
        <w:t>.</w:t>
      </w:r>
      <w:r>
        <w:rPr>
          <w:snapToGrid w:val="0"/>
        </w:rPr>
        <w:tab/>
        <w:t>Removal of CALM property</w:t>
      </w:r>
      <w:bookmarkEnd w:id="224"/>
      <w:bookmarkEnd w:id="225"/>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226" w:name="_Toc436903760"/>
      <w:bookmarkStart w:id="227" w:name="_Toc436905702"/>
      <w:bookmarkStart w:id="228" w:name="_Toc436905923"/>
      <w:bookmarkStart w:id="229" w:name="_Toc437515676"/>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226"/>
      <w:bookmarkEnd w:id="227"/>
      <w:bookmarkEnd w:id="228"/>
      <w:bookmarkEnd w:id="229"/>
    </w:p>
    <w:p>
      <w:pPr>
        <w:pStyle w:val="Heading5"/>
      </w:pPr>
      <w:bookmarkStart w:id="230" w:name="_Toc437515677"/>
      <w:bookmarkStart w:id="231" w:name="_Toc436905924"/>
      <w:r>
        <w:rPr>
          <w:rStyle w:val="CharSectno"/>
        </w:rPr>
        <w:t>77</w:t>
      </w:r>
      <w:r>
        <w:t>.</w:t>
      </w:r>
      <w:r>
        <w:tab/>
        <w:t>Term used: property</w:t>
      </w:r>
      <w:bookmarkEnd w:id="230"/>
      <w:bookmarkEnd w:id="231"/>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232" w:name="_Toc437515678"/>
      <w:bookmarkStart w:id="233" w:name="_Toc436905925"/>
      <w:r>
        <w:rPr>
          <w:rStyle w:val="CharSectno"/>
        </w:rPr>
        <w:t>78</w:t>
      </w:r>
      <w:r>
        <w:t>.</w:t>
      </w:r>
      <w:r>
        <w:tab/>
        <w:t>Authorised officers may seize and remove unauthorised property</w:t>
      </w:r>
      <w:bookmarkEnd w:id="232"/>
      <w:bookmarkEnd w:id="233"/>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234" w:name="_Toc437515679"/>
      <w:bookmarkStart w:id="235" w:name="_Toc436905926"/>
      <w:r>
        <w:rPr>
          <w:rStyle w:val="CharSectno"/>
        </w:rPr>
        <w:t>79</w:t>
      </w:r>
      <w:r>
        <w:t>.</w:t>
      </w:r>
      <w:r>
        <w:tab/>
        <w:t>Seized property may be claimed</w:t>
      </w:r>
      <w:bookmarkEnd w:id="234"/>
      <w:bookmarkEnd w:id="235"/>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236" w:name="_Toc437515680"/>
      <w:bookmarkStart w:id="237" w:name="_Toc436905927"/>
      <w:r>
        <w:rPr>
          <w:rStyle w:val="CharSectno"/>
        </w:rPr>
        <w:t>80</w:t>
      </w:r>
      <w:r>
        <w:t>.</w:t>
      </w:r>
      <w:r>
        <w:tab/>
        <w:t>Unclaimed property may be forfeited</w:t>
      </w:r>
      <w:bookmarkEnd w:id="236"/>
      <w:bookmarkEnd w:id="237"/>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238" w:name="_Toc436903765"/>
      <w:bookmarkStart w:id="239" w:name="_Toc436905707"/>
      <w:bookmarkStart w:id="240" w:name="_Toc436905928"/>
      <w:bookmarkStart w:id="241" w:name="_Toc437515681"/>
      <w:r>
        <w:rPr>
          <w:rStyle w:val="CharPartNo"/>
        </w:rPr>
        <w:t>Part 6A</w:t>
      </w:r>
      <w:r>
        <w:rPr>
          <w:rStyle w:val="CharDivNo"/>
        </w:rPr>
        <w:t> </w:t>
      </w:r>
      <w:r>
        <w:t>—</w:t>
      </w:r>
      <w:r>
        <w:rPr>
          <w:rStyle w:val="CharDivText"/>
        </w:rPr>
        <w:t> </w:t>
      </w:r>
      <w:r>
        <w:rPr>
          <w:rStyle w:val="CharPartText"/>
        </w:rPr>
        <w:t>Management plans</w:t>
      </w:r>
      <w:bookmarkEnd w:id="238"/>
      <w:bookmarkEnd w:id="239"/>
      <w:bookmarkEnd w:id="240"/>
      <w:bookmarkEnd w:id="241"/>
    </w:p>
    <w:p>
      <w:pPr>
        <w:pStyle w:val="Footnoteheading"/>
        <w:tabs>
          <w:tab w:val="left" w:pos="851"/>
        </w:tabs>
      </w:pPr>
      <w:r>
        <w:tab/>
        <w:t>[Heading inserted in Gazette 4 May 2004 p. 1383.]</w:t>
      </w:r>
    </w:p>
    <w:p>
      <w:pPr>
        <w:pStyle w:val="Heading5"/>
      </w:pPr>
      <w:bookmarkStart w:id="242" w:name="_Toc437515682"/>
      <w:bookmarkStart w:id="243" w:name="_Toc436905929"/>
      <w:r>
        <w:rPr>
          <w:rStyle w:val="CharSectno"/>
        </w:rPr>
        <w:t>81</w:t>
      </w:r>
      <w:r>
        <w:t>.</w:t>
      </w:r>
      <w:r>
        <w:tab/>
        <w:t>Purposes of reserves (Act s. 55(1a))</w:t>
      </w:r>
      <w:bookmarkEnd w:id="242"/>
      <w:bookmarkEnd w:id="243"/>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244" w:name="_Toc436903767"/>
      <w:bookmarkStart w:id="245" w:name="_Toc436905709"/>
      <w:bookmarkStart w:id="246" w:name="_Toc436905930"/>
      <w:bookmarkStart w:id="247" w:name="_Toc437515683"/>
      <w:r>
        <w:rPr>
          <w:rStyle w:val="CharPartNo"/>
        </w:rPr>
        <w:t>Part 7</w:t>
      </w:r>
      <w:r>
        <w:t xml:space="preserve"> — </w:t>
      </w:r>
      <w:r>
        <w:rPr>
          <w:rStyle w:val="CharPartText"/>
        </w:rPr>
        <w:t>Licences</w:t>
      </w:r>
      <w:bookmarkEnd w:id="244"/>
      <w:bookmarkEnd w:id="245"/>
      <w:bookmarkEnd w:id="246"/>
      <w:bookmarkEnd w:id="247"/>
    </w:p>
    <w:p>
      <w:pPr>
        <w:pStyle w:val="Heading3"/>
      </w:pPr>
      <w:bookmarkStart w:id="248" w:name="_Toc436903768"/>
      <w:bookmarkStart w:id="249" w:name="_Toc436905710"/>
      <w:bookmarkStart w:id="250" w:name="_Toc436905931"/>
      <w:bookmarkStart w:id="251" w:name="_Toc437515684"/>
      <w:r>
        <w:rPr>
          <w:rStyle w:val="CharDivNo"/>
        </w:rPr>
        <w:t>Division 1</w:t>
      </w:r>
      <w:r>
        <w:rPr>
          <w:snapToGrid w:val="0"/>
        </w:rPr>
        <w:t xml:space="preserve"> — </w:t>
      </w:r>
      <w:r>
        <w:rPr>
          <w:rStyle w:val="CharDivText"/>
        </w:rPr>
        <w:t>General</w:t>
      </w:r>
      <w:bookmarkEnd w:id="248"/>
      <w:bookmarkEnd w:id="249"/>
      <w:bookmarkEnd w:id="250"/>
      <w:bookmarkEnd w:id="251"/>
    </w:p>
    <w:p>
      <w:pPr>
        <w:pStyle w:val="Heading5"/>
        <w:rPr>
          <w:snapToGrid w:val="0"/>
        </w:rPr>
      </w:pPr>
      <w:bookmarkStart w:id="252" w:name="_Toc437515685"/>
      <w:bookmarkStart w:id="253" w:name="_Toc436905932"/>
      <w:r>
        <w:rPr>
          <w:rStyle w:val="CharSectno"/>
        </w:rPr>
        <w:t>82</w:t>
      </w:r>
      <w:r>
        <w:rPr>
          <w:snapToGrid w:val="0"/>
        </w:rPr>
        <w:t>.</w:t>
      </w:r>
      <w:r>
        <w:rPr>
          <w:snapToGrid w:val="0"/>
        </w:rPr>
        <w:tab/>
        <w:t>Term used: licence</w:t>
      </w:r>
      <w:bookmarkEnd w:id="252"/>
      <w:bookmarkEnd w:id="253"/>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254" w:name="_Toc437515686"/>
      <w:bookmarkStart w:id="255" w:name="_Toc436905933"/>
      <w:r>
        <w:rPr>
          <w:rStyle w:val="CharSectno"/>
        </w:rPr>
        <w:t>83</w:t>
      </w:r>
      <w:r>
        <w:rPr>
          <w:snapToGrid w:val="0"/>
        </w:rPr>
        <w:t>.</w:t>
      </w:r>
      <w:r>
        <w:rPr>
          <w:snapToGrid w:val="0"/>
        </w:rPr>
        <w:tab/>
        <w:t>Application for licence</w:t>
      </w:r>
      <w:bookmarkEnd w:id="254"/>
      <w:bookmarkEnd w:id="255"/>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256" w:name="_Toc437515687"/>
      <w:bookmarkStart w:id="257" w:name="_Toc436905934"/>
      <w:r>
        <w:rPr>
          <w:rStyle w:val="CharSectno"/>
        </w:rPr>
        <w:t>84</w:t>
      </w:r>
      <w:r>
        <w:rPr>
          <w:snapToGrid w:val="0"/>
        </w:rPr>
        <w:t>.</w:t>
      </w:r>
      <w:r>
        <w:rPr>
          <w:snapToGrid w:val="0"/>
        </w:rPr>
        <w:tab/>
        <w:t>Restriction on exercise of powers</w:t>
      </w:r>
      <w:bookmarkEnd w:id="256"/>
      <w:bookmarkEnd w:id="257"/>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Ednotepara"/>
      </w:pPr>
      <w:r>
        <w:tab/>
        <w:t>[(e)</w:t>
      </w:r>
      <w:r>
        <w:tab/>
        <w:t>deleted]</w:t>
      </w:r>
    </w:p>
    <w:p>
      <w:pPr>
        <w:pStyle w:val="Indenta"/>
      </w:pPr>
      <w:r>
        <w:tab/>
        <w:t>(f)</w:t>
      </w:r>
      <w:r>
        <w:tab/>
        <w:t>in the case of land for the management of which an agreement is entered into under section 16</w:t>
      </w:r>
      <w:r>
        <w:rPr>
          <w:vertAlign w:val="superscript"/>
        </w:rPr>
        <w:t> 3</w:t>
      </w:r>
      <w:r>
        <w:t xml:space="preserve">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4</w:t>
      </w:r>
      <w:r>
        <w:t>.</w:t>
      </w:r>
    </w:p>
    <w:p>
      <w:pPr>
        <w:pStyle w:val="Footnotesection"/>
      </w:pPr>
      <w:r>
        <w:tab/>
        <w:t>[Regulation 84 amended in Gazette 29 Sep 2006 p. 4319 and 4334; 19 Jun 2015 p. 2096.]</w:t>
      </w:r>
    </w:p>
    <w:p>
      <w:pPr>
        <w:pStyle w:val="Heading5"/>
        <w:spacing w:before="600"/>
      </w:pPr>
      <w:bookmarkStart w:id="258" w:name="_Toc437515688"/>
      <w:bookmarkStart w:id="259" w:name="_Toc436905935"/>
      <w:r>
        <w:rPr>
          <w:rStyle w:val="CharSectno"/>
        </w:rPr>
        <w:t>85</w:t>
      </w:r>
      <w:r>
        <w:rPr>
          <w:snapToGrid w:val="0"/>
        </w:rPr>
        <w:t>.</w:t>
      </w:r>
      <w:r>
        <w:rPr>
          <w:snapToGrid w:val="0"/>
        </w:rPr>
        <w:tab/>
        <w:t>Refusal to renew licence</w:t>
      </w:r>
      <w:bookmarkEnd w:id="258"/>
      <w:bookmarkEnd w:id="259"/>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260" w:name="_Toc437515689"/>
      <w:bookmarkStart w:id="261" w:name="_Toc436905936"/>
      <w:r>
        <w:rPr>
          <w:rStyle w:val="CharSectno"/>
        </w:rPr>
        <w:t>86</w:t>
      </w:r>
      <w:r>
        <w:rPr>
          <w:snapToGrid w:val="0"/>
        </w:rPr>
        <w:t>.</w:t>
      </w:r>
      <w:r>
        <w:rPr>
          <w:snapToGrid w:val="0"/>
        </w:rPr>
        <w:tab/>
        <w:t xml:space="preserve">Cancellation or suspension of licence by </w:t>
      </w:r>
      <w:r>
        <w:t>CEO</w:t>
      </w:r>
      <w:bookmarkEnd w:id="260"/>
      <w:bookmarkEnd w:id="261"/>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262" w:name="_Toc437515690"/>
      <w:bookmarkStart w:id="263" w:name="_Toc436905937"/>
      <w:r>
        <w:rPr>
          <w:rStyle w:val="CharSectno"/>
        </w:rPr>
        <w:t>87</w:t>
      </w:r>
      <w:r>
        <w:rPr>
          <w:snapToGrid w:val="0"/>
        </w:rPr>
        <w:t>.</w:t>
      </w:r>
      <w:r>
        <w:rPr>
          <w:snapToGrid w:val="0"/>
        </w:rPr>
        <w:tab/>
        <w:t>Notice of proposed cancellation or suspension</w:t>
      </w:r>
      <w:bookmarkEnd w:id="262"/>
      <w:bookmarkEnd w:id="263"/>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spacing w:before="100"/>
      </w:pPr>
      <w:r>
        <w:tab/>
        <w:t>[Regulation 87 amended in Gazette 29 Sep 2006 p. 4319 and 4334.]</w:t>
      </w:r>
    </w:p>
    <w:p>
      <w:pPr>
        <w:pStyle w:val="Heading5"/>
        <w:spacing w:before="240"/>
        <w:rPr>
          <w:snapToGrid w:val="0"/>
        </w:rPr>
      </w:pPr>
      <w:bookmarkStart w:id="264" w:name="_Toc437515691"/>
      <w:bookmarkStart w:id="265" w:name="_Toc436905938"/>
      <w:r>
        <w:rPr>
          <w:rStyle w:val="CharSectno"/>
        </w:rPr>
        <w:t>88</w:t>
      </w:r>
      <w:r>
        <w:rPr>
          <w:snapToGrid w:val="0"/>
        </w:rPr>
        <w:t>.</w:t>
      </w:r>
      <w:r>
        <w:rPr>
          <w:snapToGrid w:val="0"/>
        </w:rPr>
        <w:tab/>
        <w:t>Return of licence</w:t>
      </w:r>
      <w:bookmarkEnd w:id="264"/>
      <w:bookmarkEnd w:id="265"/>
      <w:r>
        <w:rPr>
          <w:snapToGrid w:val="0"/>
        </w:rPr>
        <w:t xml:space="preserve"> </w:t>
      </w:r>
    </w:p>
    <w:p>
      <w:pPr>
        <w:pStyle w:val="Subsection"/>
        <w:spacing w:before="150"/>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spacing w:before="150"/>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88 amended in Gazette 29 Sep 2006 p. 4334; 3 Dec 2010 p. 6052</w:t>
      </w:r>
      <w:r>
        <w:noBreakHyphen/>
        <w:t>4.]</w:t>
      </w:r>
    </w:p>
    <w:p>
      <w:pPr>
        <w:pStyle w:val="Heading3"/>
      </w:pPr>
      <w:bookmarkStart w:id="266" w:name="_Toc436903776"/>
      <w:bookmarkStart w:id="267" w:name="_Toc436905718"/>
      <w:bookmarkStart w:id="268" w:name="_Toc436905939"/>
      <w:bookmarkStart w:id="269" w:name="_Toc437515692"/>
      <w:r>
        <w:rPr>
          <w:rStyle w:val="CharDivNo"/>
        </w:rPr>
        <w:t>Division 2</w:t>
      </w:r>
      <w:r>
        <w:rPr>
          <w:snapToGrid w:val="0"/>
        </w:rPr>
        <w:t xml:space="preserve"> — </w:t>
      </w:r>
      <w:r>
        <w:rPr>
          <w:rStyle w:val="CharDivText"/>
        </w:rPr>
        <w:t>Scientific purposes licences</w:t>
      </w:r>
      <w:bookmarkEnd w:id="266"/>
      <w:bookmarkEnd w:id="267"/>
      <w:bookmarkEnd w:id="268"/>
      <w:bookmarkEnd w:id="269"/>
      <w:r>
        <w:rPr>
          <w:rStyle w:val="CharDivText"/>
        </w:rPr>
        <w:t xml:space="preserve"> </w:t>
      </w:r>
    </w:p>
    <w:p>
      <w:pPr>
        <w:pStyle w:val="Heading5"/>
        <w:spacing w:before="240"/>
        <w:rPr>
          <w:snapToGrid w:val="0"/>
        </w:rPr>
      </w:pPr>
      <w:bookmarkStart w:id="270" w:name="_Toc437515693"/>
      <w:bookmarkStart w:id="271" w:name="_Toc436905940"/>
      <w:r>
        <w:rPr>
          <w:rStyle w:val="CharSectno"/>
        </w:rPr>
        <w:t>89</w:t>
      </w:r>
      <w:r>
        <w:rPr>
          <w:snapToGrid w:val="0"/>
        </w:rPr>
        <w:t>.</w:t>
      </w:r>
      <w:r>
        <w:rPr>
          <w:snapToGrid w:val="0"/>
        </w:rPr>
        <w:tab/>
        <w:t>Scientific purposes licence</w:t>
      </w:r>
      <w:bookmarkEnd w:id="270"/>
      <w:bookmarkEnd w:id="271"/>
      <w:r>
        <w:rPr>
          <w:snapToGrid w:val="0"/>
        </w:rPr>
        <w:t xml:space="preserve"> </w:t>
      </w:r>
    </w:p>
    <w:p>
      <w:pPr>
        <w:pStyle w:val="Subsection"/>
        <w:spacing w:before="150"/>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spacing w:before="100"/>
      </w:pPr>
      <w:r>
        <w:tab/>
        <w:t>[Regulation 89 amended in Gazette 29 Sep 2006 p. 4334.]</w:t>
      </w:r>
    </w:p>
    <w:p>
      <w:pPr>
        <w:pStyle w:val="Heading5"/>
        <w:spacing w:before="240"/>
        <w:rPr>
          <w:snapToGrid w:val="0"/>
        </w:rPr>
      </w:pPr>
      <w:bookmarkStart w:id="272" w:name="_Toc437515694"/>
      <w:bookmarkStart w:id="273" w:name="_Toc436905941"/>
      <w:r>
        <w:rPr>
          <w:rStyle w:val="CharSectno"/>
        </w:rPr>
        <w:t>90</w:t>
      </w:r>
      <w:r>
        <w:rPr>
          <w:snapToGrid w:val="0"/>
        </w:rPr>
        <w:t>.</w:t>
      </w:r>
      <w:r>
        <w:rPr>
          <w:snapToGrid w:val="0"/>
        </w:rPr>
        <w:tab/>
        <w:t>Application for scientific purposes licence</w:t>
      </w:r>
      <w:bookmarkEnd w:id="272"/>
      <w:bookmarkEnd w:id="273"/>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274" w:name="_Toc437515695"/>
      <w:bookmarkStart w:id="275" w:name="_Toc436905942"/>
      <w:r>
        <w:rPr>
          <w:rStyle w:val="CharSectno"/>
        </w:rPr>
        <w:t>91</w:t>
      </w:r>
      <w:r>
        <w:rPr>
          <w:snapToGrid w:val="0"/>
        </w:rPr>
        <w:t>.</w:t>
      </w:r>
      <w:r>
        <w:rPr>
          <w:snapToGrid w:val="0"/>
        </w:rPr>
        <w:tab/>
        <w:t>Duration of scientific purposes licence</w:t>
      </w:r>
      <w:bookmarkEnd w:id="274"/>
      <w:bookmarkEnd w:id="275"/>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276" w:name="_Toc437515696"/>
      <w:bookmarkStart w:id="277" w:name="_Toc436905943"/>
      <w:r>
        <w:rPr>
          <w:rStyle w:val="CharSectno"/>
        </w:rPr>
        <w:t>92</w:t>
      </w:r>
      <w:r>
        <w:rPr>
          <w:snapToGrid w:val="0"/>
        </w:rPr>
        <w:t>.</w:t>
      </w:r>
      <w:r>
        <w:rPr>
          <w:snapToGrid w:val="0"/>
        </w:rPr>
        <w:tab/>
        <w:t>Renewal of scientific purposes licence</w:t>
      </w:r>
      <w:bookmarkEnd w:id="276"/>
      <w:bookmarkEnd w:id="277"/>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278" w:name="_Toc437515697"/>
      <w:bookmarkStart w:id="279" w:name="_Toc436905944"/>
      <w:r>
        <w:rPr>
          <w:rStyle w:val="CharSectno"/>
        </w:rPr>
        <w:t>93</w:t>
      </w:r>
      <w:r>
        <w:rPr>
          <w:snapToGrid w:val="0"/>
        </w:rPr>
        <w:t>.</w:t>
      </w:r>
      <w:r>
        <w:rPr>
          <w:snapToGrid w:val="0"/>
        </w:rPr>
        <w:tab/>
        <w:t>Conditions and restrictions</w:t>
      </w:r>
      <w:bookmarkEnd w:id="278"/>
      <w:bookmarkEnd w:id="279"/>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w:t>
      </w:r>
      <w:r>
        <w:t>$1 000</w:t>
      </w:r>
      <w:r>
        <w:rPr>
          <w:snapToGrid w:val="0"/>
        </w:rPr>
        <w:t>.</w:t>
      </w:r>
    </w:p>
    <w:p>
      <w:pPr>
        <w:pStyle w:val="Footnotesection"/>
      </w:pPr>
      <w:r>
        <w:tab/>
        <w:t>[Regulation 93 amended in Gazette 4 Oct 2002 p. 5065; 29 Sep 2006 p. 4334; 3 Dec 2010 p. 6052</w:t>
      </w:r>
      <w:r>
        <w:noBreakHyphen/>
        <w:t>4; 19 Sep 2014 p. 3336.]</w:t>
      </w:r>
    </w:p>
    <w:p>
      <w:pPr>
        <w:pStyle w:val="Heading3"/>
      </w:pPr>
      <w:bookmarkStart w:id="280" w:name="_Toc436903782"/>
      <w:bookmarkStart w:id="281" w:name="_Toc436905724"/>
      <w:bookmarkStart w:id="282" w:name="_Toc436905945"/>
      <w:bookmarkStart w:id="283" w:name="_Toc437515698"/>
      <w:r>
        <w:rPr>
          <w:rStyle w:val="CharDivNo"/>
        </w:rPr>
        <w:t>Division 3</w:t>
      </w:r>
      <w:r>
        <w:rPr>
          <w:snapToGrid w:val="0"/>
        </w:rPr>
        <w:t xml:space="preserve"> — </w:t>
      </w:r>
      <w:r>
        <w:rPr>
          <w:rStyle w:val="CharDivText"/>
        </w:rPr>
        <w:t>Commercial operations licences</w:t>
      </w:r>
      <w:bookmarkEnd w:id="280"/>
      <w:bookmarkEnd w:id="281"/>
      <w:bookmarkEnd w:id="282"/>
      <w:bookmarkEnd w:id="283"/>
      <w:r>
        <w:rPr>
          <w:rStyle w:val="CharDivText"/>
        </w:rPr>
        <w:t xml:space="preserve"> </w:t>
      </w:r>
    </w:p>
    <w:p>
      <w:pPr>
        <w:pStyle w:val="Heading5"/>
        <w:rPr>
          <w:snapToGrid w:val="0"/>
        </w:rPr>
      </w:pPr>
      <w:bookmarkStart w:id="284" w:name="_Toc437515699"/>
      <w:bookmarkStart w:id="285" w:name="_Toc436905946"/>
      <w:r>
        <w:rPr>
          <w:rStyle w:val="CharSectno"/>
        </w:rPr>
        <w:t>94</w:t>
      </w:r>
      <w:r>
        <w:rPr>
          <w:snapToGrid w:val="0"/>
        </w:rPr>
        <w:t>.</w:t>
      </w:r>
      <w:r>
        <w:rPr>
          <w:snapToGrid w:val="0"/>
        </w:rPr>
        <w:tab/>
        <w:t>Commercial operations licence</w:t>
      </w:r>
      <w:bookmarkEnd w:id="284"/>
      <w:bookmarkEnd w:id="285"/>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286" w:name="_Toc437515700"/>
      <w:bookmarkStart w:id="287" w:name="_Toc436905947"/>
      <w:r>
        <w:rPr>
          <w:rStyle w:val="CharSectno"/>
        </w:rPr>
        <w:t>95</w:t>
      </w:r>
      <w:r>
        <w:rPr>
          <w:snapToGrid w:val="0"/>
        </w:rPr>
        <w:t>.</w:t>
      </w:r>
      <w:r>
        <w:rPr>
          <w:snapToGrid w:val="0"/>
        </w:rPr>
        <w:tab/>
        <w:t>Application for commercial operations licence</w:t>
      </w:r>
      <w:bookmarkEnd w:id="286"/>
      <w:bookmarkEnd w:id="287"/>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288" w:name="_Toc437515701"/>
      <w:bookmarkStart w:id="289" w:name="_Toc436905948"/>
      <w:r>
        <w:rPr>
          <w:rStyle w:val="CharSectno"/>
        </w:rPr>
        <w:t>96</w:t>
      </w:r>
      <w:r>
        <w:rPr>
          <w:snapToGrid w:val="0"/>
        </w:rPr>
        <w:t>.</w:t>
      </w:r>
      <w:r>
        <w:rPr>
          <w:snapToGrid w:val="0"/>
        </w:rPr>
        <w:tab/>
        <w:t>Duration of commercial operations licence</w:t>
      </w:r>
      <w:bookmarkEnd w:id="288"/>
      <w:bookmarkEnd w:id="289"/>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290" w:name="_Toc437515702"/>
      <w:bookmarkStart w:id="291" w:name="_Toc436905949"/>
      <w:r>
        <w:rPr>
          <w:rStyle w:val="CharSectno"/>
        </w:rPr>
        <w:t>97</w:t>
      </w:r>
      <w:r>
        <w:rPr>
          <w:snapToGrid w:val="0"/>
        </w:rPr>
        <w:t>.</w:t>
      </w:r>
      <w:r>
        <w:rPr>
          <w:snapToGrid w:val="0"/>
        </w:rPr>
        <w:tab/>
        <w:t>Renewal of commercial operations licence</w:t>
      </w:r>
      <w:bookmarkEnd w:id="290"/>
      <w:bookmarkEnd w:id="291"/>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292" w:name="_Toc437515703"/>
      <w:bookmarkStart w:id="293" w:name="_Toc436905950"/>
      <w:r>
        <w:rPr>
          <w:rStyle w:val="CharSectno"/>
        </w:rPr>
        <w:t>98</w:t>
      </w:r>
      <w:r>
        <w:rPr>
          <w:snapToGrid w:val="0"/>
        </w:rPr>
        <w:t>.</w:t>
      </w:r>
      <w:r>
        <w:rPr>
          <w:snapToGrid w:val="0"/>
        </w:rPr>
        <w:tab/>
        <w:t>Conditions</w:t>
      </w:r>
      <w:bookmarkEnd w:id="292"/>
      <w:bookmarkEnd w:id="293"/>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w:t>
      </w:r>
      <w:r>
        <w:t>$2 000</w:t>
      </w:r>
      <w:r>
        <w:rPr>
          <w:snapToGrid w:val="0"/>
        </w:rPr>
        <w:t>.</w:t>
      </w:r>
    </w:p>
    <w:p>
      <w:pPr>
        <w:pStyle w:val="Footnotesection"/>
      </w:pPr>
      <w:r>
        <w:tab/>
        <w:t>[Regulation 98 amended in Gazette 29 Sep 2006 p. 4334; 3 Dec 2010 p. 6052</w:t>
      </w:r>
      <w:r>
        <w:noBreakHyphen/>
        <w:t>4; 19 Sep 2014 p. 3336.]</w:t>
      </w:r>
    </w:p>
    <w:p>
      <w:pPr>
        <w:pStyle w:val="Heading3"/>
      </w:pPr>
      <w:bookmarkStart w:id="294" w:name="_Toc436903788"/>
      <w:bookmarkStart w:id="295" w:name="_Toc436905730"/>
      <w:bookmarkStart w:id="296" w:name="_Toc436905951"/>
      <w:bookmarkStart w:id="297" w:name="_Toc437515704"/>
      <w:r>
        <w:rPr>
          <w:rStyle w:val="CharDivNo"/>
        </w:rPr>
        <w:t>Division 4</w:t>
      </w:r>
      <w:r>
        <w:t> — </w:t>
      </w:r>
      <w:r>
        <w:rPr>
          <w:rStyle w:val="CharDivText"/>
        </w:rPr>
        <w:t>Rental mooring licence</w:t>
      </w:r>
      <w:bookmarkEnd w:id="294"/>
      <w:bookmarkEnd w:id="295"/>
      <w:bookmarkEnd w:id="296"/>
      <w:bookmarkEnd w:id="297"/>
    </w:p>
    <w:p>
      <w:pPr>
        <w:pStyle w:val="Footnoteheading"/>
      </w:pPr>
      <w:r>
        <w:tab/>
        <w:t>[Heading inserted in Gazette 24 Mar 2015 p. 1036.]</w:t>
      </w:r>
    </w:p>
    <w:p>
      <w:pPr>
        <w:pStyle w:val="Heading5"/>
      </w:pPr>
      <w:bookmarkStart w:id="298" w:name="_Toc437515705"/>
      <w:bookmarkStart w:id="299" w:name="_Toc436905952"/>
      <w:r>
        <w:rPr>
          <w:rStyle w:val="CharSectno"/>
        </w:rPr>
        <w:t>98AA</w:t>
      </w:r>
      <w:r>
        <w:t>.</w:t>
      </w:r>
      <w:r>
        <w:tab/>
        <w:t>Terms used</w:t>
      </w:r>
      <w:bookmarkEnd w:id="298"/>
      <w:bookmarkEnd w:id="299"/>
    </w:p>
    <w:p>
      <w:pPr>
        <w:pStyle w:val="Subsection"/>
      </w:pPr>
      <w:r>
        <w:tab/>
      </w:r>
      <w:r>
        <w:tab/>
        <w:t xml:space="preserve">In this Division — </w:t>
      </w:r>
    </w:p>
    <w:p>
      <w:pPr>
        <w:pStyle w:val="Defstart"/>
      </w:pPr>
      <w:r>
        <w:tab/>
      </w:r>
      <w:r>
        <w:rPr>
          <w:rStyle w:val="CharDefText"/>
        </w:rPr>
        <w:t>licence holder</w:t>
      </w:r>
      <w:r>
        <w:t xml:space="preserve"> means the holder of a licence granted under regulation 98AC;</w:t>
      </w:r>
    </w:p>
    <w:p>
      <w:pPr>
        <w:pStyle w:val="Defstart"/>
      </w:pPr>
      <w:r>
        <w:tab/>
      </w:r>
      <w:r>
        <w:rPr>
          <w:rStyle w:val="CharDefText"/>
        </w:rPr>
        <w:t>rental mooring</w:t>
      </w:r>
      <w:r>
        <w:t xml:space="preserve"> means a mooring designated as a rental mooring under regulation 98AB;</w:t>
      </w:r>
    </w:p>
    <w:p>
      <w:pPr>
        <w:pStyle w:val="Defstart"/>
      </w:pPr>
      <w:r>
        <w:tab/>
      </w:r>
      <w:r>
        <w:rPr>
          <w:rStyle w:val="CharDefText"/>
        </w:rPr>
        <w:t>rental mooring licence</w:t>
      </w:r>
      <w:r>
        <w:t xml:space="preserve"> means a licence granted under regulation 98AC.</w:t>
      </w:r>
    </w:p>
    <w:p>
      <w:pPr>
        <w:pStyle w:val="Footnotesection"/>
      </w:pPr>
      <w:r>
        <w:tab/>
        <w:t>[Regulation 98AA inserted in Gazette 24 Mar 2015 p. 1036</w:t>
      </w:r>
      <w:r>
        <w:noBreakHyphen/>
        <w:t>7.]</w:t>
      </w:r>
    </w:p>
    <w:p>
      <w:pPr>
        <w:pStyle w:val="Heading5"/>
      </w:pPr>
      <w:bookmarkStart w:id="300" w:name="_Toc437515706"/>
      <w:bookmarkStart w:id="301" w:name="_Toc436905953"/>
      <w:r>
        <w:t>98AB.</w:t>
      </w:r>
      <w:r>
        <w:tab/>
        <w:t>CEO may designate rental mooring</w:t>
      </w:r>
      <w:bookmarkEnd w:id="300"/>
      <w:bookmarkEnd w:id="301"/>
    </w:p>
    <w:p>
      <w:pPr>
        <w:pStyle w:val="Subsection"/>
      </w:pPr>
      <w:r>
        <w:tab/>
        <w:t>(1)</w:t>
      </w:r>
      <w:r>
        <w:tab/>
        <w:t xml:space="preserve">The CEO may, by notice published in the </w:t>
      </w:r>
      <w:r>
        <w:rPr>
          <w:i/>
        </w:rPr>
        <w:t>Gazette</w:t>
      </w:r>
      <w:r>
        <w:t>, designate a mooring (other than a public mooring) that is on CALM land as a rental mooring.</w:t>
      </w:r>
    </w:p>
    <w:p>
      <w:pPr>
        <w:pStyle w:val="Subsection"/>
      </w:pPr>
      <w:r>
        <w:tab/>
        <w:t>(2)</w:t>
      </w:r>
      <w:r>
        <w:tab/>
        <w:t>A mooring may be declared to be a rental mooring at all times or during a period or periods specified in the notice.</w:t>
      </w:r>
    </w:p>
    <w:p>
      <w:pPr>
        <w:pStyle w:val="Subsection"/>
      </w:pPr>
      <w:r>
        <w:tab/>
        <w:t>(3)</w:t>
      </w:r>
      <w:r>
        <w:tab/>
        <w:t xml:space="preserve">The CEO may, by notice published in the </w:t>
      </w:r>
      <w:r>
        <w:rPr>
          <w:i/>
        </w:rPr>
        <w:t>Gazette</w:t>
      </w:r>
      <w:r>
        <w:t>, 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r>
        <w:tab/>
        <w:t>[Regulation 98AB inserted in Gazette 24 Mar 2015 p. 1037.]</w:t>
      </w:r>
    </w:p>
    <w:p>
      <w:pPr>
        <w:pStyle w:val="Heading5"/>
      </w:pPr>
      <w:bookmarkStart w:id="302" w:name="_Toc437515707"/>
      <w:bookmarkStart w:id="303" w:name="_Toc436905954"/>
      <w:r>
        <w:rPr>
          <w:rStyle w:val="CharSectno"/>
        </w:rPr>
        <w:t>98AC</w:t>
      </w:r>
      <w:r>
        <w:t>.</w:t>
      </w:r>
      <w:r>
        <w:tab/>
        <w:t>Rental mooring licence</w:t>
      </w:r>
      <w:bookmarkEnd w:id="302"/>
      <w:bookmarkEnd w:id="303"/>
    </w:p>
    <w:p>
      <w:pPr>
        <w:pStyle w:val="Subsection"/>
      </w:pPr>
      <w:r>
        <w:tab/>
        <w:t>(1)</w:t>
      </w:r>
      <w:r>
        <w:tab/>
        <w:t xml:space="preserve">In this regulation — </w:t>
      </w:r>
    </w:p>
    <w:p>
      <w:pPr>
        <w:pStyle w:val="Defstart"/>
      </w:pPr>
      <w:r>
        <w:tab/>
      </w:r>
      <w:r>
        <w:rPr>
          <w:rStyle w:val="CharDefText"/>
        </w:rPr>
        <w:t>specified</w:t>
      </w:r>
      <w:r>
        <w:t xml:space="preserve"> means specified in a licence.</w:t>
      </w:r>
    </w:p>
    <w:p>
      <w:pPr>
        <w:pStyle w:val="Subsection"/>
      </w:pPr>
      <w:r>
        <w:tab/>
        <w:t>(2)</w:t>
      </w:r>
      <w:r>
        <w:tab/>
        <w:t>The CEO may grant a licence authorising the use of a specified rental mooring by a specified vessel for a specified period.</w:t>
      </w:r>
    </w:p>
    <w:p>
      <w:pPr>
        <w:pStyle w:val="Footnotesection"/>
      </w:pPr>
      <w:r>
        <w:tab/>
        <w:t>[Regulation 98AC inserted in Gazette 24 Mar 2015 p. 1037.]</w:t>
      </w:r>
    </w:p>
    <w:p>
      <w:pPr>
        <w:pStyle w:val="Heading5"/>
      </w:pPr>
      <w:bookmarkStart w:id="304" w:name="_Toc437515708"/>
      <w:bookmarkStart w:id="305" w:name="_Toc436905955"/>
      <w:r>
        <w:rPr>
          <w:rStyle w:val="CharSectno"/>
        </w:rPr>
        <w:t>98AD</w:t>
      </w:r>
      <w:r>
        <w:t>.</w:t>
      </w:r>
      <w:r>
        <w:tab/>
        <w:t>Application for rental mooring licence</w:t>
      </w:r>
      <w:bookmarkEnd w:id="304"/>
      <w:bookmarkEnd w:id="305"/>
    </w:p>
    <w:p>
      <w:pPr>
        <w:pStyle w:val="Subsection"/>
      </w:pPr>
      <w:r>
        <w:rPr>
          <w:snapToGrid w:val="0"/>
        </w:rPr>
        <w:tab/>
      </w:r>
      <w:r>
        <w:rPr>
          <w:snapToGrid w:val="0"/>
        </w:rPr>
        <w:tab/>
        <w:t xml:space="preserve">An </w:t>
      </w:r>
      <w:r>
        <w:t xml:space="preserve">application for a rental mooring licence must specify — </w:t>
      </w:r>
    </w:p>
    <w:p>
      <w:pPr>
        <w:pStyle w:val="Indenta"/>
        <w:rPr>
          <w:snapToGrid w:val="0"/>
        </w:rPr>
      </w:pPr>
      <w:r>
        <w:tab/>
        <w:t>(a)</w:t>
      </w:r>
      <w:r>
        <w:tab/>
        <w:t>the rental mooring to which the application relates</w:t>
      </w:r>
      <w:r>
        <w:rPr>
          <w:snapToGrid w:val="0"/>
        </w:rPr>
        <w:t>; and</w:t>
      </w:r>
    </w:p>
    <w:p>
      <w:pPr>
        <w:pStyle w:val="Indenta"/>
        <w:rPr>
          <w:snapToGrid w:val="0"/>
        </w:rPr>
      </w:pPr>
      <w:r>
        <w:rPr>
          <w:snapToGrid w:val="0"/>
        </w:rPr>
        <w:tab/>
        <w:t>(b)</w:t>
      </w:r>
      <w:r>
        <w:rPr>
          <w:snapToGrid w:val="0"/>
        </w:rPr>
        <w:tab/>
        <w:t>particulars of the vessel to which the application relates; and</w:t>
      </w:r>
    </w:p>
    <w:p>
      <w:pPr>
        <w:pStyle w:val="Indenta"/>
        <w:rPr>
          <w:snapToGrid w:val="0"/>
        </w:rPr>
      </w:pPr>
      <w:r>
        <w:rPr>
          <w:snapToGrid w:val="0"/>
        </w:rPr>
        <w:tab/>
        <w:t>(c)</w:t>
      </w:r>
      <w:r>
        <w:rPr>
          <w:snapToGrid w:val="0"/>
        </w:rPr>
        <w:tab/>
        <w:t>the period for which the licence is sought.</w:t>
      </w:r>
    </w:p>
    <w:p>
      <w:pPr>
        <w:pStyle w:val="Footnotesection"/>
      </w:pPr>
      <w:r>
        <w:tab/>
        <w:t>[Regulation 98AD inserted in Gazette 24 Mar 2015 p. 1037.]</w:t>
      </w:r>
    </w:p>
    <w:p>
      <w:pPr>
        <w:pStyle w:val="Heading5"/>
      </w:pPr>
      <w:bookmarkStart w:id="306" w:name="_Toc437515709"/>
      <w:bookmarkStart w:id="307" w:name="_Toc436905956"/>
      <w:r>
        <w:rPr>
          <w:rStyle w:val="CharSectno"/>
        </w:rPr>
        <w:t>98AE</w:t>
      </w:r>
      <w:r>
        <w:t>.</w:t>
      </w:r>
      <w:r>
        <w:tab/>
        <w:t>Duration of rental mooring licence</w:t>
      </w:r>
      <w:bookmarkEnd w:id="306"/>
      <w:bookmarkEnd w:id="307"/>
    </w:p>
    <w:p>
      <w:pPr>
        <w:pStyle w:val="Subsection"/>
      </w:pPr>
      <w:r>
        <w:tab/>
      </w:r>
      <w:r>
        <w:tab/>
        <w:t>Subject to this Part, a rental mooring licence remains in force for the period specified in the licence.</w:t>
      </w:r>
    </w:p>
    <w:p>
      <w:pPr>
        <w:pStyle w:val="Footnotesection"/>
      </w:pPr>
      <w:r>
        <w:tab/>
        <w:t>[Regulation 98AE inserted in Gazette 24 Mar 2015 p. 1037.]</w:t>
      </w:r>
    </w:p>
    <w:p>
      <w:pPr>
        <w:pStyle w:val="Heading5"/>
      </w:pPr>
      <w:bookmarkStart w:id="308" w:name="_Toc437515710"/>
      <w:bookmarkStart w:id="309" w:name="_Toc436905957"/>
      <w:r>
        <w:rPr>
          <w:rStyle w:val="CharSectno"/>
        </w:rPr>
        <w:t>98AF</w:t>
      </w:r>
      <w:r>
        <w:t>.</w:t>
      </w:r>
      <w:r>
        <w:tab/>
        <w:t>Conditions</w:t>
      </w:r>
      <w:bookmarkEnd w:id="308"/>
      <w:bookmarkEnd w:id="309"/>
    </w:p>
    <w:p>
      <w:pPr>
        <w:pStyle w:val="Subsection"/>
      </w:pPr>
      <w:r>
        <w:tab/>
        <w:t>(1)</w:t>
      </w:r>
      <w:r>
        <w:tab/>
        <w:t xml:space="preserve">A rental mooring licence may be granted subject to such conditions as the CEO thinks fit including conditions as to — </w:t>
      </w:r>
    </w:p>
    <w:p>
      <w:pPr>
        <w:pStyle w:val="Indenta"/>
      </w:pPr>
      <w:r>
        <w:tab/>
        <w:t>(a)</w:t>
      </w:r>
      <w:r>
        <w:tab/>
        <w:t>the manner in which the specified vessel may be secured to the mooring; and</w:t>
      </w:r>
    </w:p>
    <w:p>
      <w:pPr>
        <w:pStyle w:val="Indenta"/>
      </w:pPr>
      <w:r>
        <w:tab/>
        <w:t>(b)</w:t>
      </w:r>
      <w:r>
        <w:tab/>
        <w:t>the payment of any charge in respect of the use of the land on which the mooring is located.</w:t>
      </w:r>
    </w:p>
    <w:p>
      <w:pPr>
        <w:pStyle w:val="Subsection"/>
      </w:pPr>
      <w:r>
        <w:tab/>
        <w:t>(2)</w:t>
      </w:r>
      <w:r>
        <w:tab/>
        <w:t xml:space="preserve">If a rental mooring licence is granted subject to conditions, those conditions — </w:t>
      </w:r>
    </w:p>
    <w:p>
      <w:pPr>
        <w:pStyle w:val="Indenta"/>
      </w:pPr>
      <w:r>
        <w:tab/>
        <w:t>(a)</w:t>
      </w:r>
      <w:r>
        <w:tab/>
        <w:t>are to be endorsed upon or attached to the licence when granted;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98AF inserted in Gazette 24 Mar 2015 p. 1037</w:t>
      </w:r>
      <w:r>
        <w:noBreakHyphen/>
        <w:t>8.]</w:t>
      </w:r>
    </w:p>
    <w:p>
      <w:pPr>
        <w:pStyle w:val="Heading5"/>
      </w:pPr>
      <w:bookmarkStart w:id="310" w:name="_Toc437515711"/>
      <w:bookmarkStart w:id="311" w:name="_Toc436905958"/>
      <w:r>
        <w:rPr>
          <w:rStyle w:val="CharSectno"/>
        </w:rPr>
        <w:t>98AG</w:t>
      </w:r>
      <w:r>
        <w:t>.</w:t>
      </w:r>
      <w:r>
        <w:tab/>
        <w:t>Cancellation of licence at request of licence holder</w:t>
      </w:r>
      <w:bookmarkEnd w:id="310"/>
      <w:bookmarkEnd w:id="311"/>
    </w:p>
    <w:p>
      <w:pPr>
        <w:pStyle w:val="Subsection"/>
      </w:pPr>
      <w:r>
        <w:tab/>
        <w:t>(1)</w:t>
      </w:r>
      <w:r>
        <w:tab/>
        <w:t>The licence holder may request the CEO to cancel a rental mooring licence.</w:t>
      </w:r>
    </w:p>
    <w:p>
      <w:pPr>
        <w:pStyle w:val="Subsection"/>
      </w:pPr>
      <w:r>
        <w:tab/>
        <w:t>(2)</w:t>
      </w:r>
      <w:r>
        <w:tab/>
        <w:t xml:space="preserve">On a request made under subregulation (1) the CEO must cancel the licence and may refund to the licence holder, in whole or in part, the charge paid in respect of the licence if the CEO considers it appropriate to do so in the circumstances. </w:t>
      </w:r>
    </w:p>
    <w:p>
      <w:pPr>
        <w:pStyle w:val="Footnotesection"/>
      </w:pPr>
      <w:r>
        <w:tab/>
        <w:t>[Regulation 98AG inserted in Gazette 24 Mar 2015 p. 1038.]</w:t>
      </w:r>
    </w:p>
    <w:p>
      <w:pPr>
        <w:pStyle w:val="Heading5"/>
      </w:pPr>
      <w:bookmarkStart w:id="312" w:name="_Toc437515712"/>
      <w:bookmarkStart w:id="313" w:name="_Toc436905959"/>
      <w:r>
        <w:rPr>
          <w:rStyle w:val="CharSectno"/>
        </w:rPr>
        <w:t>98AH</w:t>
      </w:r>
      <w:r>
        <w:t>.</w:t>
      </w:r>
      <w:r>
        <w:tab/>
        <w:t>Damage to rental mooring</w:t>
      </w:r>
      <w:bookmarkEnd w:id="312"/>
      <w:bookmarkEnd w:id="313"/>
    </w:p>
    <w:p>
      <w:pPr>
        <w:pStyle w:val="Subsection"/>
      </w:pPr>
      <w:r>
        <w:tab/>
        <w:t>(1)</w:t>
      </w:r>
      <w:r>
        <w:tab/>
        <w:t xml:space="preserve">If a rental mooring is damaged or destroyed (the </w:t>
      </w:r>
      <w:r>
        <w:rPr>
          <w:rStyle w:val="CharDefText"/>
        </w:rPr>
        <w:t>loss</w:t>
      </w:r>
      <w:r>
        <w:t xml:space="preserve">) during the period specified in a rental mooring licence in respect of that rental mooring, the cost of repair or replacement is a debt due to the State by the licence holder and is recoverable in a court of competent jurisdiction unless the person can show that — </w:t>
      </w:r>
    </w:p>
    <w:p>
      <w:pPr>
        <w:pStyle w:val="Indenta"/>
      </w:pPr>
      <w:r>
        <w:tab/>
        <w:t>(a)</w:t>
      </w:r>
      <w:r>
        <w:tab/>
        <w:t>the loss was caused by the act or omission of some other person; and</w:t>
      </w:r>
    </w:p>
    <w:p>
      <w:pPr>
        <w:pStyle w:val="Indenta"/>
      </w:pPr>
      <w:r>
        <w:tab/>
        <w:t>(b)</w:t>
      </w:r>
      <w:r>
        <w:tab/>
        <w:t>the licence holder could not have prevented the loss by the exercise of responsible care.</w:t>
      </w:r>
    </w:p>
    <w:p>
      <w:pPr>
        <w:pStyle w:val="Subsection"/>
      </w:pPr>
      <w:r>
        <w:tab/>
        <w:t>(2)</w:t>
      </w:r>
      <w:r>
        <w:tab/>
        <w:t xml:space="preserve">For the purposes of subregulation (1), the loss is taken to have occurred during the period specified in the licence if — </w:t>
      </w:r>
    </w:p>
    <w:p>
      <w:pPr>
        <w:pStyle w:val="Indenta"/>
      </w:pPr>
      <w:r>
        <w:tab/>
        <w:t>(a)</w:t>
      </w:r>
      <w:r>
        <w:tab/>
        <w:t>the mooring is found to be damaged or destroyed at the end of the period specified in the licence; and</w:t>
      </w:r>
    </w:p>
    <w:p>
      <w:pPr>
        <w:pStyle w:val="Indenta"/>
      </w:pPr>
      <w:r>
        <w:tab/>
        <w:t>(b)</w:t>
      </w:r>
      <w:r>
        <w:tab/>
        <w:t>the licence holder did not report the loss to the CEO at the commencement of the period specified in the licence.</w:t>
      </w:r>
    </w:p>
    <w:p>
      <w:pPr>
        <w:pStyle w:val="Footnotesection"/>
      </w:pPr>
      <w:r>
        <w:tab/>
        <w:t>[Regulation 98AH inserted in Gazette 24 Mar 2015 p. 1038.]</w:t>
      </w:r>
    </w:p>
    <w:p>
      <w:pPr>
        <w:pStyle w:val="Heading3"/>
      </w:pPr>
      <w:bookmarkStart w:id="314" w:name="_Toc436903797"/>
      <w:bookmarkStart w:id="315" w:name="_Toc436905739"/>
      <w:bookmarkStart w:id="316" w:name="_Toc436905960"/>
      <w:bookmarkStart w:id="317" w:name="_Toc437515713"/>
      <w:r>
        <w:rPr>
          <w:rStyle w:val="CharDivNo"/>
        </w:rPr>
        <w:t>Division 5</w:t>
      </w:r>
      <w:r>
        <w:t> — </w:t>
      </w:r>
      <w:r>
        <w:rPr>
          <w:rStyle w:val="CharDivText"/>
        </w:rPr>
        <w:t>Private mooring licence</w:t>
      </w:r>
      <w:bookmarkEnd w:id="314"/>
      <w:bookmarkEnd w:id="315"/>
      <w:bookmarkEnd w:id="316"/>
      <w:bookmarkEnd w:id="317"/>
    </w:p>
    <w:p>
      <w:pPr>
        <w:pStyle w:val="Footnoteheading"/>
      </w:pPr>
      <w:r>
        <w:tab/>
        <w:t>[Heading inserted in Gazette 24 Mar 2015 p. 1038.]</w:t>
      </w:r>
    </w:p>
    <w:p>
      <w:pPr>
        <w:pStyle w:val="Heading5"/>
        <w:rPr>
          <w:snapToGrid w:val="0"/>
        </w:rPr>
      </w:pPr>
      <w:bookmarkStart w:id="318" w:name="_Toc437515714"/>
      <w:bookmarkStart w:id="319" w:name="_Toc436905961"/>
      <w:r>
        <w:rPr>
          <w:rStyle w:val="CharSectno"/>
        </w:rPr>
        <w:t>98AI</w:t>
      </w:r>
      <w:r>
        <w:rPr>
          <w:snapToGrid w:val="0"/>
        </w:rPr>
        <w:t>.</w:t>
      </w:r>
      <w:r>
        <w:rPr>
          <w:snapToGrid w:val="0"/>
        </w:rPr>
        <w:tab/>
        <w:t>Terms used</w:t>
      </w:r>
      <w:bookmarkEnd w:id="318"/>
      <w:bookmarkEnd w:id="319"/>
    </w:p>
    <w:p>
      <w:pPr>
        <w:pStyle w:val="Subsection"/>
        <w:rPr>
          <w:snapToGrid w:val="0"/>
        </w:rPr>
      </w:pPr>
      <w:r>
        <w:rPr>
          <w:snapToGrid w:val="0"/>
        </w:rPr>
        <w:tab/>
        <w:t>(1)</w:t>
      </w:r>
      <w:r>
        <w:rPr>
          <w:snapToGrid w:val="0"/>
        </w:rPr>
        <w:tab/>
        <w:t>In this Division — </w:t>
      </w:r>
    </w:p>
    <w:p>
      <w:pPr>
        <w:pStyle w:val="Defstart"/>
      </w:pPr>
      <w:r>
        <w:tab/>
      </w:r>
      <w:r>
        <w:rPr>
          <w:rStyle w:val="CharDefText"/>
        </w:rPr>
        <w:t>current inspection report</w:t>
      </w:r>
      <w:r>
        <w:t xml:space="preserve"> has the meaning given in subregulation (2); </w:t>
      </w:r>
    </w:p>
    <w:p>
      <w:pPr>
        <w:pStyle w:val="Defstart"/>
      </w:pPr>
      <w:r>
        <w:tab/>
      </w:r>
      <w:r>
        <w:rPr>
          <w:rStyle w:val="CharDefText"/>
        </w:rPr>
        <w:t>inspection report</w:t>
      </w:r>
      <w:r>
        <w:t xml:space="preserve"> means a report about the condition of a mooring prepared by a person approved by the CEO after the person has inspected the mooring;</w:t>
      </w:r>
    </w:p>
    <w:p>
      <w:pPr>
        <w:pStyle w:val="Defstart"/>
      </w:pPr>
      <w:r>
        <w:tab/>
      </w:r>
      <w:r>
        <w:rPr>
          <w:rStyle w:val="CharDefText"/>
        </w:rPr>
        <w:t>licence holder</w:t>
      </w:r>
      <w:r>
        <w:t xml:space="preserve"> means the holder of a private mooring licence for a mooring;</w:t>
      </w:r>
    </w:p>
    <w:p>
      <w:pPr>
        <w:pStyle w:val="Defstart"/>
      </w:pPr>
      <w:r>
        <w:tab/>
      </w:r>
      <w:r>
        <w:rPr>
          <w:rStyle w:val="CharDefText"/>
        </w:rPr>
        <w:t>licensed mooring</w:t>
      </w:r>
      <w:r>
        <w:t xml:space="preserve"> means a mooring for which a private mooring licence is in force;</w:t>
      </w:r>
    </w:p>
    <w:p>
      <w:pPr>
        <w:pStyle w:val="Defstart"/>
      </w:pPr>
      <w:r>
        <w:tab/>
      </w:r>
      <w:r>
        <w:rPr>
          <w:rStyle w:val="CharDefText"/>
        </w:rPr>
        <w:t>mooring licence area</w:t>
      </w:r>
      <w:r>
        <w:t xml:space="preserve"> means an area declared under regulation 98AJ to be a mooring licence area;</w:t>
      </w:r>
    </w:p>
    <w:p>
      <w:pPr>
        <w:pStyle w:val="Defstart"/>
      </w:pPr>
      <w:r>
        <w:tab/>
      </w:r>
      <w:r>
        <w:rPr>
          <w:rStyle w:val="CharDefText"/>
        </w:rPr>
        <w:t>private mooring</w:t>
      </w:r>
      <w:r>
        <w:t xml:space="preserve"> means a mooring on CALM land that is not — </w:t>
      </w:r>
    </w:p>
    <w:p>
      <w:pPr>
        <w:pStyle w:val="Defpara"/>
      </w:pPr>
      <w:r>
        <w:tab/>
        <w:t>(a)</w:t>
      </w:r>
      <w:r>
        <w:tab/>
        <w:t>a public mooring; or</w:t>
      </w:r>
    </w:p>
    <w:p>
      <w:pPr>
        <w:pStyle w:val="Defpara"/>
      </w:pPr>
      <w:r>
        <w:tab/>
        <w:t>(b)</w:t>
      </w:r>
      <w:r>
        <w:tab/>
        <w:t>a rental mooring; or</w:t>
      </w:r>
    </w:p>
    <w:p>
      <w:pPr>
        <w:pStyle w:val="Defpara"/>
      </w:pPr>
      <w:r>
        <w:tab/>
        <w:t>(c)</w:t>
      </w:r>
      <w:r>
        <w:tab/>
        <w:t>a mooring that is approved by the CEO for use in connection with a commercial operations licence;</w:t>
      </w:r>
    </w:p>
    <w:p>
      <w:pPr>
        <w:pStyle w:val="Defstart"/>
      </w:pPr>
      <w:r>
        <w:tab/>
      </w:r>
      <w:r>
        <w:rPr>
          <w:rStyle w:val="CharDefText"/>
        </w:rPr>
        <w:t>private mooring licence</w:t>
      </w:r>
      <w:r>
        <w:t xml:space="preserve"> means a licence under this Division.</w:t>
      </w:r>
    </w:p>
    <w:p>
      <w:pPr>
        <w:pStyle w:val="Subsection"/>
      </w:pPr>
      <w:r>
        <w:tab/>
        <w:t>(2)</w:t>
      </w:r>
      <w:r>
        <w:tab/>
        <w:t>An inspection report is current for the period of 12 months commencing on the day the mooring is inspected.</w:t>
      </w:r>
    </w:p>
    <w:p>
      <w:pPr>
        <w:pStyle w:val="Footnotesection"/>
      </w:pPr>
      <w:r>
        <w:tab/>
        <w:t>[Regulation 98AI inserted in Gazette 24 Mar 2015 p. 1038</w:t>
      </w:r>
      <w:r>
        <w:noBreakHyphen/>
        <w:t>9.]</w:t>
      </w:r>
    </w:p>
    <w:p>
      <w:pPr>
        <w:pStyle w:val="Heading5"/>
      </w:pPr>
      <w:bookmarkStart w:id="320" w:name="_Toc437515715"/>
      <w:bookmarkStart w:id="321" w:name="_Toc436905962"/>
      <w:r>
        <w:rPr>
          <w:rStyle w:val="CharSectno"/>
        </w:rPr>
        <w:t>98AJ</w:t>
      </w:r>
      <w:r>
        <w:t>.</w:t>
      </w:r>
      <w:r>
        <w:tab/>
        <w:t>Mooring licence areas</w:t>
      </w:r>
      <w:bookmarkEnd w:id="320"/>
      <w:bookmarkEnd w:id="321"/>
    </w:p>
    <w:p>
      <w:pPr>
        <w:pStyle w:val="Subsection"/>
      </w:pPr>
      <w:r>
        <w:tab/>
        <w:t>(1)</w:t>
      </w:r>
      <w:r>
        <w:tab/>
        <w:t xml:space="preserve">The CEO may, by notice published in the </w:t>
      </w:r>
      <w:r>
        <w:rPr>
          <w:i/>
        </w:rPr>
        <w:t>Gazette</w:t>
      </w:r>
      <w:r>
        <w:t>, declare an area of CALM land specified in the notice to be a mooring licence area.</w:t>
      </w:r>
    </w:p>
    <w:p>
      <w:pPr>
        <w:pStyle w:val="Subsection"/>
      </w:pPr>
      <w:r>
        <w:tab/>
        <w:t>(2)</w:t>
      </w:r>
      <w:r>
        <w:tab/>
        <w:t>A notice published under this regulation takes effect on such day after publication as is specified in the notice.</w:t>
      </w:r>
    </w:p>
    <w:p>
      <w:pPr>
        <w:pStyle w:val="Footnotesection"/>
      </w:pPr>
      <w:r>
        <w:tab/>
        <w:t>[Regulation 98AJ inserted in Gazette 24 Mar 2015 p. 1039.]</w:t>
      </w:r>
    </w:p>
    <w:p>
      <w:pPr>
        <w:pStyle w:val="Heading5"/>
      </w:pPr>
      <w:bookmarkStart w:id="322" w:name="_Toc437515716"/>
      <w:bookmarkStart w:id="323" w:name="_Toc436905963"/>
      <w:r>
        <w:rPr>
          <w:rStyle w:val="CharSectno"/>
        </w:rPr>
        <w:t>98AK</w:t>
      </w:r>
      <w:r>
        <w:t>.</w:t>
      </w:r>
      <w:r>
        <w:tab/>
        <w:t>Private mooring licence</w:t>
      </w:r>
      <w:bookmarkEnd w:id="322"/>
      <w:bookmarkEnd w:id="323"/>
    </w:p>
    <w:p>
      <w:pPr>
        <w:pStyle w:val="Subsection"/>
      </w:pPr>
      <w:r>
        <w:tab/>
      </w:r>
      <w:r>
        <w:tab/>
        <w:t xml:space="preserve">The CEO may grant a licence for either or both of the following purposes — </w:t>
      </w:r>
    </w:p>
    <w:p>
      <w:pPr>
        <w:pStyle w:val="Indenta"/>
      </w:pPr>
      <w:r>
        <w:tab/>
        <w:t>(a)</w:t>
      </w:r>
      <w:r>
        <w:tab/>
        <w:t>to install a private mooring in a mooring licence area;</w:t>
      </w:r>
    </w:p>
    <w:p>
      <w:pPr>
        <w:pStyle w:val="Indenta"/>
      </w:pPr>
      <w:r>
        <w:tab/>
        <w:t>(b)</w:t>
      </w:r>
      <w:r>
        <w:tab/>
        <w:t>to own and control a private mooring located in a mooring licence area.</w:t>
      </w:r>
    </w:p>
    <w:p>
      <w:pPr>
        <w:pStyle w:val="Footnotesection"/>
      </w:pPr>
      <w:r>
        <w:tab/>
        <w:t>[Regulation 98AK inserted in Gazette 24 Mar 2015 p. 1039.]</w:t>
      </w:r>
    </w:p>
    <w:p>
      <w:pPr>
        <w:pStyle w:val="Heading5"/>
      </w:pPr>
      <w:bookmarkStart w:id="324" w:name="_Toc437515717"/>
      <w:bookmarkStart w:id="325" w:name="_Toc436905964"/>
      <w:r>
        <w:rPr>
          <w:rStyle w:val="CharSectno"/>
        </w:rPr>
        <w:t>98AL</w:t>
      </w:r>
      <w:r>
        <w:t>.</w:t>
      </w:r>
      <w:r>
        <w:tab/>
        <w:t>Effect of private mooring licence</w:t>
      </w:r>
      <w:bookmarkEnd w:id="324"/>
      <w:bookmarkEnd w:id="325"/>
    </w:p>
    <w:p>
      <w:pPr>
        <w:pStyle w:val="Subsection"/>
      </w:pPr>
      <w:r>
        <w:tab/>
        <w:t>(1)</w:t>
      </w:r>
      <w:r>
        <w:tab/>
        <w:t>A licensed mooring is authorised to be in a mooring licence area.</w:t>
      </w:r>
    </w:p>
    <w:p>
      <w:pPr>
        <w:pStyle w:val="Subsection"/>
      </w:pPr>
      <w:r>
        <w:tab/>
        <w:t>(2)</w:t>
      </w:r>
      <w:r>
        <w:tab/>
        <w:t>A licence holder is authorised to use a licensed mooring in accordance with a private mooring licence that is in force for the mooring.</w:t>
      </w:r>
    </w:p>
    <w:p>
      <w:pPr>
        <w:pStyle w:val="Subsection"/>
        <w:rPr>
          <w:snapToGrid w:val="0"/>
        </w:rPr>
      </w:pPr>
      <w:r>
        <w:rPr>
          <w:snapToGrid w:val="0"/>
        </w:rPr>
        <w:tab/>
        <w:t>(3)</w:t>
      </w:r>
      <w:r>
        <w:rPr>
          <w:snapToGrid w:val="0"/>
        </w:rPr>
        <w:tab/>
        <w:t>A person who has the written consent of the licence holder is authorised to use a licensed mooring in accordance with a private mooring licence that is in force for the mooring.</w:t>
      </w:r>
    </w:p>
    <w:p>
      <w:pPr>
        <w:pStyle w:val="Subsection"/>
        <w:keepNext/>
        <w:rPr>
          <w:snapToGrid w:val="0"/>
        </w:rPr>
      </w:pPr>
      <w:r>
        <w:rPr>
          <w:snapToGrid w:val="0"/>
        </w:rPr>
        <w:tab/>
        <w:t>(4)</w:t>
      </w:r>
      <w:r>
        <w:rPr>
          <w:snapToGrid w:val="0"/>
        </w:rPr>
        <w:tab/>
        <w:t>A person referred to in subregulation (3) must have in his or her possession the written consent of the licence holder at any time the person has a vessel secured to the mooring.</w:t>
      </w:r>
    </w:p>
    <w:p>
      <w:pPr>
        <w:pStyle w:val="Penstart"/>
      </w:pPr>
      <w:r>
        <w:tab/>
        <w:t>Penalty: a fine of $1 000.</w:t>
      </w:r>
    </w:p>
    <w:p>
      <w:pPr>
        <w:pStyle w:val="Footnotesection"/>
      </w:pPr>
      <w:r>
        <w:tab/>
        <w:t>[Regulation 98AL inserted in Gazette 24 Mar 2015 p. 1039</w:t>
      </w:r>
      <w:r>
        <w:noBreakHyphen/>
        <w:t>40.]</w:t>
      </w:r>
    </w:p>
    <w:p>
      <w:pPr>
        <w:pStyle w:val="Heading5"/>
      </w:pPr>
      <w:bookmarkStart w:id="326" w:name="_Toc437515718"/>
      <w:bookmarkStart w:id="327" w:name="_Toc436905965"/>
      <w:r>
        <w:rPr>
          <w:rStyle w:val="CharSectno"/>
        </w:rPr>
        <w:t>98AM</w:t>
      </w:r>
      <w:r>
        <w:t>.</w:t>
      </w:r>
      <w:r>
        <w:tab/>
        <w:t>Application for private mooring licence</w:t>
      </w:r>
      <w:bookmarkEnd w:id="326"/>
      <w:bookmarkEnd w:id="327"/>
    </w:p>
    <w:p>
      <w:pPr>
        <w:pStyle w:val="Subsection"/>
      </w:pPr>
      <w:r>
        <w:rPr>
          <w:snapToGrid w:val="0"/>
        </w:rPr>
        <w:tab/>
        <w:t>(1)</w:t>
      </w:r>
      <w:r>
        <w:rPr>
          <w:snapToGrid w:val="0"/>
        </w:rPr>
        <w:tab/>
        <w:t xml:space="preserve">An </w:t>
      </w:r>
      <w:r>
        <w:t xml:space="preserve">application for a private mooring licence must specify — </w:t>
      </w:r>
    </w:p>
    <w:p>
      <w:pPr>
        <w:pStyle w:val="Indenta"/>
        <w:rPr>
          <w:snapToGrid w:val="0"/>
        </w:rPr>
      </w:pPr>
      <w:r>
        <w:tab/>
        <w:t>(a)</w:t>
      </w:r>
      <w:r>
        <w:tab/>
        <w:t>the location of the mooring or proposed mooring in a form approved by the CEO; and</w:t>
      </w:r>
    </w:p>
    <w:p>
      <w:pPr>
        <w:pStyle w:val="Indenta"/>
        <w:rPr>
          <w:snapToGrid w:val="0"/>
        </w:rPr>
      </w:pPr>
      <w:r>
        <w:rPr>
          <w:snapToGrid w:val="0"/>
        </w:rPr>
        <w:tab/>
        <w:t>(b)</w:t>
      </w:r>
      <w:r>
        <w:rPr>
          <w:snapToGrid w:val="0"/>
        </w:rPr>
        <w:tab/>
        <w:t>particulars of the purposes for which the mooring or proposed mooring is to be used, including particulars of each vessel or class of vessel that may be secured to the mooring; and</w:t>
      </w:r>
    </w:p>
    <w:p>
      <w:pPr>
        <w:pStyle w:val="Indenta"/>
        <w:rPr>
          <w:snapToGrid w:val="0"/>
        </w:rPr>
      </w:pPr>
      <w:r>
        <w:rPr>
          <w:snapToGrid w:val="0"/>
        </w:rPr>
        <w:tab/>
        <w:t>(c)</w:t>
      </w:r>
      <w:r>
        <w:rPr>
          <w:snapToGrid w:val="0"/>
        </w:rPr>
        <w:tab/>
        <w:t>if the applicant is not a natural person, the name, address and telephone numbers of a natural person who may be contacted on behalf of the applicant in relation to the mooring.</w:t>
      </w:r>
    </w:p>
    <w:p>
      <w:pPr>
        <w:pStyle w:val="Subsection"/>
        <w:rPr>
          <w:snapToGrid w:val="0"/>
        </w:rPr>
      </w:pPr>
      <w:r>
        <w:rPr>
          <w:snapToGrid w:val="0"/>
        </w:rPr>
        <w:tab/>
        <w:t>(2)</w:t>
      </w:r>
      <w:r>
        <w:rPr>
          <w:snapToGrid w:val="0"/>
        </w:rPr>
        <w:tab/>
        <w:t>The applicant must provide the CEO, or a person nominated by the CEO, with any assistance that the CEO or the person requires to inspect the mooring.</w:t>
      </w:r>
    </w:p>
    <w:p>
      <w:pPr>
        <w:pStyle w:val="Footnotesection"/>
      </w:pPr>
      <w:r>
        <w:tab/>
        <w:t>[Regulation 98AM inserted in Gazette 24 Mar 2015 p. 1040.]</w:t>
      </w:r>
    </w:p>
    <w:p>
      <w:pPr>
        <w:pStyle w:val="Heading5"/>
      </w:pPr>
      <w:bookmarkStart w:id="328" w:name="_Toc437515719"/>
      <w:bookmarkStart w:id="329" w:name="_Toc436905966"/>
      <w:r>
        <w:rPr>
          <w:rStyle w:val="CharSectno"/>
        </w:rPr>
        <w:t>98AN</w:t>
      </w:r>
      <w:r>
        <w:t>.</w:t>
      </w:r>
      <w:r>
        <w:tab/>
        <w:t>Grant of private mooring licence</w:t>
      </w:r>
      <w:bookmarkEnd w:id="328"/>
      <w:bookmarkEnd w:id="329"/>
    </w:p>
    <w:p>
      <w:pPr>
        <w:pStyle w:val="Subsection"/>
      </w:pPr>
      <w:r>
        <w:rPr>
          <w:snapToGrid w:val="0"/>
        </w:rPr>
        <w:tab/>
      </w:r>
      <w:r>
        <w:tab/>
        <w:t xml:space="preserve">The CEO may grant a private mooring licence for a mooring or a proposed mooring if the CEO is satisfied that the mooring or proposed mooring — </w:t>
      </w:r>
    </w:p>
    <w:p>
      <w:pPr>
        <w:pStyle w:val="Indenta"/>
        <w:rPr>
          <w:snapToGrid w:val="0"/>
        </w:rPr>
      </w:pPr>
      <w:r>
        <w:rPr>
          <w:snapToGrid w:val="0"/>
        </w:rPr>
        <w:tab/>
        <w:t>(a)</w:t>
      </w:r>
      <w:r>
        <w:rPr>
          <w:snapToGrid w:val="0"/>
        </w:rPr>
        <w:tab/>
        <w:t>is suitable for each vessel or class of vessel that may be secured to the mooring; and</w:t>
      </w:r>
    </w:p>
    <w:p>
      <w:pPr>
        <w:pStyle w:val="Indenta"/>
        <w:rPr>
          <w:snapToGrid w:val="0"/>
        </w:rPr>
      </w:pPr>
      <w:r>
        <w:rPr>
          <w:snapToGrid w:val="0"/>
        </w:rPr>
        <w:tab/>
        <w:t>(b)</w:t>
      </w:r>
      <w:r>
        <w:rPr>
          <w:snapToGrid w:val="0"/>
        </w:rPr>
        <w:tab/>
        <w:t>does not constitute a danger or interfere with the navigation of other craft or any other usage of the land on which the mooring is, or is to be, located.</w:t>
      </w:r>
    </w:p>
    <w:p>
      <w:pPr>
        <w:pStyle w:val="Footnotesection"/>
      </w:pPr>
      <w:r>
        <w:tab/>
        <w:t>[Regulation 98AN inserted in Gazette 24 Mar 2015 p. 1040.]</w:t>
      </w:r>
    </w:p>
    <w:p>
      <w:pPr>
        <w:pStyle w:val="Heading5"/>
      </w:pPr>
      <w:bookmarkStart w:id="330" w:name="_Toc437515720"/>
      <w:bookmarkStart w:id="331" w:name="_Toc436905967"/>
      <w:r>
        <w:rPr>
          <w:rStyle w:val="CharSectno"/>
        </w:rPr>
        <w:t>98AO</w:t>
      </w:r>
      <w:r>
        <w:t>.</w:t>
      </w:r>
      <w:r>
        <w:tab/>
        <w:t>Private mooring licence not transferable</w:t>
      </w:r>
      <w:bookmarkEnd w:id="330"/>
      <w:bookmarkEnd w:id="331"/>
    </w:p>
    <w:p>
      <w:pPr>
        <w:pStyle w:val="Subsection"/>
      </w:pPr>
      <w:r>
        <w:tab/>
      </w:r>
      <w:r>
        <w:tab/>
        <w:t>A private mooring licence is not transferable.</w:t>
      </w:r>
    </w:p>
    <w:p>
      <w:pPr>
        <w:pStyle w:val="Footnotesection"/>
      </w:pPr>
      <w:r>
        <w:tab/>
        <w:t>[Regulation 98AO inserted in Gazette 24 Mar 2015 p. 1040.]</w:t>
      </w:r>
    </w:p>
    <w:p>
      <w:pPr>
        <w:pStyle w:val="Heading5"/>
      </w:pPr>
      <w:bookmarkStart w:id="332" w:name="_Toc437515721"/>
      <w:bookmarkStart w:id="333" w:name="_Toc436905968"/>
      <w:r>
        <w:rPr>
          <w:rStyle w:val="CharSectno"/>
        </w:rPr>
        <w:t>98AP</w:t>
      </w:r>
      <w:r>
        <w:t>.</w:t>
      </w:r>
      <w:r>
        <w:tab/>
        <w:t>Duration of private mooring licence</w:t>
      </w:r>
      <w:bookmarkEnd w:id="332"/>
      <w:bookmarkEnd w:id="333"/>
    </w:p>
    <w:p>
      <w:pPr>
        <w:pStyle w:val="Subsection"/>
      </w:pPr>
      <w:r>
        <w:tab/>
      </w:r>
      <w:r>
        <w:tab/>
        <w:t>Subject to this Part, a private mooring licence remains in force for the period specified in the licence.</w:t>
      </w:r>
    </w:p>
    <w:p>
      <w:pPr>
        <w:pStyle w:val="Footnotesection"/>
      </w:pPr>
      <w:r>
        <w:tab/>
        <w:t>[Regulation 98AP inserted in Gazette 24 Mar 2015 p. 1040.]</w:t>
      </w:r>
    </w:p>
    <w:p>
      <w:pPr>
        <w:pStyle w:val="Heading5"/>
      </w:pPr>
      <w:bookmarkStart w:id="334" w:name="_Toc437515722"/>
      <w:bookmarkStart w:id="335" w:name="_Toc436905969"/>
      <w:r>
        <w:rPr>
          <w:rStyle w:val="CharSectno"/>
        </w:rPr>
        <w:t>98AQ</w:t>
      </w:r>
      <w:r>
        <w:t>.</w:t>
      </w:r>
      <w:r>
        <w:tab/>
        <w:t>Renewal of private mooring licence</w:t>
      </w:r>
      <w:bookmarkEnd w:id="334"/>
      <w:bookmarkEnd w:id="335"/>
    </w:p>
    <w:p>
      <w:pPr>
        <w:pStyle w:val="Subsection"/>
      </w:pPr>
      <w:r>
        <w:tab/>
        <w:t>(1)</w:t>
      </w:r>
      <w:r>
        <w:tab/>
        <w:t>A licence holder may apply to the CEO for renewal of a licence.</w:t>
      </w:r>
    </w:p>
    <w:p>
      <w:pPr>
        <w:pStyle w:val="Subsection"/>
      </w:pPr>
      <w:r>
        <w:tab/>
        <w:t>(2)</w:t>
      </w:r>
      <w:r>
        <w:tab/>
        <w:t xml:space="preserve">An application for renewal must be — </w:t>
      </w:r>
    </w:p>
    <w:p>
      <w:pPr>
        <w:pStyle w:val="Indenta"/>
      </w:pPr>
      <w:r>
        <w:tab/>
        <w:t>(a)</w:t>
      </w:r>
      <w:r>
        <w:tab/>
        <w:t>in a form approved by the CEO; and</w:t>
      </w:r>
    </w:p>
    <w:p>
      <w:pPr>
        <w:pStyle w:val="Indenta"/>
        <w:rPr>
          <w:snapToGrid w:val="0"/>
        </w:rPr>
      </w:pPr>
      <w:r>
        <w:tab/>
        <w:t>(b)</w:t>
      </w:r>
      <w:r>
        <w:tab/>
        <w:t xml:space="preserve">accompanied by the </w:t>
      </w:r>
      <w:r>
        <w:rPr>
          <w:snapToGrid w:val="0"/>
        </w:rPr>
        <w:t>appropriate fee specified in Schedule 1 Division 8 (if any); and</w:t>
      </w:r>
    </w:p>
    <w:p>
      <w:pPr>
        <w:pStyle w:val="Indenta"/>
        <w:rPr>
          <w:snapToGrid w:val="0"/>
        </w:rPr>
      </w:pPr>
      <w:r>
        <w:rPr>
          <w:snapToGrid w:val="0"/>
        </w:rPr>
        <w:tab/>
        <w:t>(c)</w:t>
      </w:r>
      <w:r>
        <w:rPr>
          <w:snapToGrid w:val="0"/>
        </w:rPr>
        <w:tab/>
        <w:t>accompanied by a current inspection report in respect of the mooring.</w:t>
      </w:r>
    </w:p>
    <w:p>
      <w:pPr>
        <w:pStyle w:val="Subsection"/>
        <w:rPr>
          <w:snapToGrid w:val="0"/>
        </w:rPr>
      </w:pPr>
      <w:r>
        <w:rPr>
          <w:snapToGrid w:val="0"/>
        </w:rPr>
        <w:tab/>
        <w:t>(3)</w:t>
      </w:r>
      <w:r>
        <w:rPr>
          <w:snapToGrid w:val="0"/>
        </w:rPr>
        <w:tab/>
        <w:t>The applicant must provide the CEO, or a person nominated by the CEO, with any assistance that the CEO or the person requires to inspect the mooring.</w:t>
      </w:r>
    </w:p>
    <w:p>
      <w:pPr>
        <w:pStyle w:val="Subsection"/>
        <w:rPr>
          <w:snapToGrid w:val="0"/>
        </w:rPr>
      </w:pPr>
      <w:r>
        <w:rPr>
          <w:snapToGrid w:val="0"/>
        </w:rPr>
        <w:tab/>
        <w:t>(4)</w:t>
      </w:r>
      <w:r>
        <w:rPr>
          <w:snapToGrid w:val="0"/>
        </w:rPr>
        <w:tab/>
        <w:t>The CEO may renew a private mooring licence if the CEO is satisfied that the mooring is in good condition and repair.</w:t>
      </w:r>
    </w:p>
    <w:p>
      <w:pPr>
        <w:pStyle w:val="Footnotesection"/>
      </w:pPr>
      <w:r>
        <w:tab/>
        <w:t>[Regulation 98AQ inserted in Gazette 24 Mar 2015 p. 1040-1.]</w:t>
      </w:r>
    </w:p>
    <w:p>
      <w:pPr>
        <w:pStyle w:val="Heading5"/>
      </w:pPr>
      <w:bookmarkStart w:id="336" w:name="_Toc437515723"/>
      <w:bookmarkStart w:id="337" w:name="_Toc436905970"/>
      <w:r>
        <w:rPr>
          <w:rStyle w:val="CharSectno"/>
        </w:rPr>
        <w:t>98AR</w:t>
      </w:r>
      <w:r>
        <w:t>.</w:t>
      </w:r>
      <w:r>
        <w:tab/>
        <w:t>Conditions</w:t>
      </w:r>
      <w:bookmarkEnd w:id="336"/>
      <w:bookmarkEnd w:id="337"/>
    </w:p>
    <w:p>
      <w:pPr>
        <w:pStyle w:val="Subsection"/>
      </w:pPr>
      <w:r>
        <w:tab/>
        <w:t>(1)</w:t>
      </w:r>
      <w:r>
        <w:tab/>
        <w:t xml:space="preserve">A private mooring licence may be granted or renewed subject to such conditions as the CEO thinks fit including conditions as to — </w:t>
      </w:r>
    </w:p>
    <w:p>
      <w:pPr>
        <w:pStyle w:val="Indenta"/>
      </w:pPr>
      <w:r>
        <w:tab/>
        <w:t>(a)</w:t>
      </w:r>
      <w:r>
        <w:tab/>
        <w:t>the class or description of vessel that may be secured to the mooring; and</w:t>
      </w:r>
    </w:p>
    <w:p>
      <w:pPr>
        <w:pStyle w:val="Indenta"/>
      </w:pPr>
      <w:r>
        <w:tab/>
        <w:t>(b)</w:t>
      </w:r>
      <w:r>
        <w:tab/>
        <w:t>the manner in which a vessel may be secured to the mooring; and</w:t>
      </w:r>
    </w:p>
    <w:p>
      <w:pPr>
        <w:pStyle w:val="Indenta"/>
      </w:pPr>
      <w:r>
        <w:tab/>
        <w:t>(c)</w:t>
      </w:r>
      <w:r>
        <w:tab/>
        <w:t>the payment of any charge in relation to the use of the land on which the mooring is located.</w:t>
      </w:r>
    </w:p>
    <w:p>
      <w:pPr>
        <w:pStyle w:val="Subsection"/>
      </w:pPr>
      <w:r>
        <w:tab/>
        <w:t>(2)</w:t>
      </w:r>
      <w:r>
        <w:tab/>
        <w:t xml:space="preserve">If a private mooring licence is granted or renewed subject to conditions, those conditions — </w:t>
      </w:r>
    </w:p>
    <w:p>
      <w:pPr>
        <w:pStyle w:val="Indenta"/>
      </w:pPr>
      <w:r>
        <w:tab/>
        <w:t>(a)</w:t>
      </w:r>
      <w:r>
        <w:tab/>
        <w:t>are to be endorsed upon or attached to the licence when granted or renewed, as the case may be; and</w:t>
      </w:r>
    </w:p>
    <w:p>
      <w:pPr>
        <w:pStyle w:val="Indenta"/>
      </w:pPr>
      <w:r>
        <w:tab/>
        <w:t>(b)</w:t>
      </w:r>
      <w:r>
        <w:tab/>
        <w:t>may be added to, cancelled, suspended and otherwise varied by the CEO from time to time during the operation of the licence.</w:t>
      </w:r>
    </w:p>
    <w:p>
      <w:pPr>
        <w:pStyle w:val="Subsection"/>
      </w:pPr>
      <w:r>
        <w:tab/>
        <w:t>(3)</w:t>
      </w:r>
      <w:r>
        <w:tab/>
        <w:t>A licence holder must not contravene a condition endorsed upon or attached to the licence.</w:t>
      </w:r>
    </w:p>
    <w:p>
      <w:pPr>
        <w:pStyle w:val="Penstart"/>
      </w:pPr>
      <w:r>
        <w:tab/>
        <w:t>Penalty: a fine of $1 000.</w:t>
      </w:r>
    </w:p>
    <w:p>
      <w:pPr>
        <w:pStyle w:val="Footnotesection"/>
      </w:pPr>
      <w:r>
        <w:tab/>
        <w:t>[Regulation 98AR inserted in Gazette 24 Mar 2015 p. 1041.]</w:t>
      </w:r>
    </w:p>
    <w:p>
      <w:pPr>
        <w:pStyle w:val="Heading5"/>
      </w:pPr>
      <w:bookmarkStart w:id="338" w:name="_Toc437515724"/>
      <w:bookmarkStart w:id="339" w:name="_Toc436905971"/>
      <w:r>
        <w:rPr>
          <w:rStyle w:val="CharSectno"/>
        </w:rPr>
        <w:t>98AS</w:t>
      </w:r>
      <w:r>
        <w:t>.</w:t>
      </w:r>
      <w:r>
        <w:tab/>
        <w:t>Form of licence</w:t>
      </w:r>
      <w:bookmarkEnd w:id="338"/>
      <w:bookmarkEnd w:id="339"/>
    </w:p>
    <w:p>
      <w:pPr>
        <w:pStyle w:val="Subsection"/>
      </w:pPr>
      <w:r>
        <w:tab/>
      </w:r>
      <w:r>
        <w:tab/>
        <w:t xml:space="preserve">A licence for a private mooring must be in a form approved by the CEO and must contain the following information — </w:t>
      </w:r>
    </w:p>
    <w:p>
      <w:pPr>
        <w:pStyle w:val="Indenta"/>
      </w:pPr>
      <w:r>
        <w:tab/>
        <w:t>(a)</w:t>
      </w:r>
      <w:r>
        <w:tab/>
        <w:t>the location of the mooring;</w:t>
      </w:r>
    </w:p>
    <w:p>
      <w:pPr>
        <w:pStyle w:val="Indenta"/>
      </w:pPr>
      <w:r>
        <w:tab/>
        <w:t>(b)</w:t>
      </w:r>
      <w:r>
        <w:tab/>
        <w:t>the name of the licence holder;</w:t>
      </w:r>
    </w:p>
    <w:p>
      <w:pPr>
        <w:pStyle w:val="Indenta"/>
      </w:pPr>
      <w:r>
        <w:tab/>
        <w:t>(c)</w:t>
      </w:r>
      <w:r>
        <w:tab/>
        <w:t>particulars of each vessel or each class of vessel authorised to use the mooring;</w:t>
      </w:r>
    </w:p>
    <w:p>
      <w:pPr>
        <w:pStyle w:val="Indenta"/>
      </w:pPr>
      <w:r>
        <w:tab/>
        <w:t>(d)</w:t>
      </w:r>
      <w:r>
        <w:tab/>
        <w:t>the period for which the licence is granted.</w:t>
      </w:r>
    </w:p>
    <w:p>
      <w:pPr>
        <w:pStyle w:val="Footnotesection"/>
      </w:pPr>
      <w:r>
        <w:tab/>
        <w:t>[Regulation 98AS inserted in Gazette 24 Mar 2015 p. 1041.]</w:t>
      </w:r>
    </w:p>
    <w:p>
      <w:pPr>
        <w:pStyle w:val="Heading5"/>
        <w:rPr>
          <w:snapToGrid w:val="0"/>
        </w:rPr>
      </w:pPr>
      <w:bookmarkStart w:id="340" w:name="_Toc437515725"/>
      <w:bookmarkStart w:id="341" w:name="_Toc436905972"/>
      <w:r>
        <w:rPr>
          <w:rStyle w:val="CharSectno"/>
        </w:rPr>
        <w:t>98AT</w:t>
      </w:r>
      <w:r>
        <w:rPr>
          <w:snapToGrid w:val="0"/>
        </w:rPr>
        <w:t>.</w:t>
      </w:r>
      <w:r>
        <w:rPr>
          <w:snapToGrid w:val="0"/>
        </w:rPr>
        <w:tab/>
        <w:t>Private moorings to be maintained</w:t>
      </w:r>
      <w:bookmarkEnd w:id="340"/>
      <w:bookmarkEnd w:id="341"/>
      <w:r>
        <w:rPr>
          <w:snapToGrid w:val="0"/>
        </w:rPr>
        <w:t xml:space="preserve"> </w:t>
      </w:r>
    </w:p>
    <w:p>
      <w:pPr>
        <w:pStyle w:val="Subsection"/>
        <w:rPr>
          <w:snapToGrid w:val="0"/>
        </w:rPr>
      </w:pPr>
      <w:r>
        <w:rPr>
          <w:snapToGrid w:val="0"/>
        </w:rPr>
        <w:tab/>
        <w:t>(1)</w:t>
      </w:r>
      <w:r>
        <w:rPr>
          <w:snapToGrid w:val="0"/>
        </w:rPr>
        <w:tab/>
        <w:t>It is a condition of a licence to use a private mooring that the licence holder must maintain the mooring in good condition and repair.</w:t>
      </w:r>
    </w:p>
    <w:p>
      <w:pPr>
        <w:pStyle w:val="Subsection"/>
        <w:rPr>
          <w:snapToGrid w:val="0"/>
        </w:rPr>
      </w:pPr>
      <w:r>
        <w:rPr>
          <w:snapToGrid w:val="0"/>
        </w:rPr>
        <w:tab/>
        <w:t>(2)</w:t>
      </w:r>
      <w:r>
        <w:rPr>
          <w:snapToGrid w:val="0"/>
        </w:rPr>
        <w:tab/>
        <w:t>The CEO may, by notice in writing, require a licence holder to provide a current inspection report for the licensed mooring.</w:t>
      </w:r>
    </w:p>
    <w:p>
      <w:pPr>
        <w:pStyle w:val="Subsection"/>
        <w:rPr>
          <w:snapToGrid w:val="0"/>
        </w:rPr>
      </w:pPr>
      <w:r>
        <w:rPr>
          <w:snapToGrid w:val="0"/>
        </w:rPr>
        <w:tab/>
        <w:t>(3)</w:t>
      </w:r>
      <w:r>
        <w:rPr>
          <w:snapToGrid w:val="0"/>
        </w:rPr>
        <w:tab/>
        <w:t>The licence holder must comply with a notice under subregulation (2) within the time specified in the notice.</w:t>
      </w:r>
    </w:p>
    <w:p>
      <w:pPr>
        <w:pStyle w:val="Penstart"/>
      </w:pPr>
      <w:r>
        <w:tab/>
        <w:t>Penalty: a fine of $1 000.</w:t>
      </w:r>
    </w:p>
    <w:p>
      <w:pPr>
        <w:pStyle w:val="Footnotesection"/>
      </w:pPr>
      <w:r>
        <w:tab/>
        <w:t>[Regulation 98AT inserted in Gazette 24 Mar 2015 p. 1042.]</w:t>
      </w:r>
    </w:p>
    <w:p>
      <w:pPr>
        <w:pStyle w:val="Heading5"/>
        <w:rPr>
          <w:snapToGrid w:val="0"/>
        </w:rPr>
      </w:pPr>
      <w:bookmarkStart w:id="342" w:name="_Toc437515726"/>
      <w:bookmarkStart w:id="343" w:name="_Toc436905973"/>
      <w:r>
        <w:rPr>
          <w:rStyle w:val="CharSectno"/>
        </w:rPr>
        <w:t>98AU</w:t>
      </w:r>
      <w:r>
        <w:rPr>
          <w:snapToGrid w:val="0"/>
        </w:rPr>
        <w:t>.</w:t>
      </w:r>
      <w:r>
        <w:rPr>
          <w:snapToGrid w:val="0"/>
        </w:rPr>
        <w:tab/>
        <w:t>Requirement to repair, relocate or remove private mooring</w:t>
      </w:r>
      <w:bookmarkEnd w:id="342"/>
      <w:bookmarkEnd w:id="343"/>
    </w:p>
    <w:p>
      <w:pPr>
        <w:pStyle w:val="Subsection"/>
        <w:rPr>
          <w:snapToGrid w:val="0"/>
        </w:rPr>
      </w:pPr>
      <w:r>
        <w:rPr>
          <w:snapToGrid w:val="0"/>
        </w:rPr>
        <w:tab/>
        <w:t>(1)</w:t>
      </w:r>
      <w:r>
        <w:rPr>
          <w:snapToGrid w:val="0"/>
        </w:rPr>
        <w:tab/>
        <w:t xml:space="preserve">The CEO may, by notice in writing, require a licence holder to repair the licensed mooring within a specified time if </w:t>
      </w:r>
      <w:r>
        <w:t>the CEO considers that the</w:t>
      </w:r>
      <w:r>
        <w:rPr>
          <w:snapToGrid w:val="0"/>
        </w:rPr>
        <w:t xml:space="preserve"> mooring has deteriorated to the extent that it is dangerous, unusable or in need of repair.</w:t>
      </w:r>
    </w:p>
    <w:p>
      <w:pPr>
        <w:pStyle w:val="Subsection"/>
      </w:pPr>
      <w:r>
        <w:tab/>
        <w:t>(2)</w:t>
      </w:r>
      <w:r>
        <w:tab/>
      </w:r>
      <w:r>
        <w:rPr>
          <w:snapToGrid w:val="0"/>
        </w:rPr>
        <w:t xml:space="preserve">The CEO may, by notice in writing, require a licence holder, or a person who was a licence holder, to relocate or remove the licensed mooring within a specified time if — </w:t>
      </w:r>
    </w:p>
    <w:p>
      <w:pPr>
        <w:pStyle w:val="Indenta"/>
        <w:rPr>
          <w:snapToGrid w:val="0"/>
        </w:rPr>
      </w:pPr>
      <w:r>
        <w:rPr>
          <w:snapToGrid w:val="0"/>
        </w:rPr>
        <w:tab/>
        <w:t>(a)</w:t>
      </w:r>
      <w:r>
        <w:rPr>
          <w:snapToGrid w:val="0"/>
        </w:rPr>
        <w:tab/>
        <w:t>the CEO cancels the licence; or</w:t>
      </w:r>
    </w:p>
    <w:p>
      <w:pPr>
        <w:pStyle w:val="Indenta"/>
        <w:rPr>
          <w:snapToGrid w:val="0"/>
        </w:rPr>
      </w:pPr>
      <w:r>
        <w:rPr>
          <w:snapToGrid w:val="0"/>
        </w:rPr>
        <w:tab/>
        <w:t>(b)</w:t>
      </w:r>
      <w:r>
        <w:rPr>
          <w:snapToGrid w:val="0"/>
        </w:rPr>
        <w:tab/>
        <w:t>the licence holder surrenders the licence; or</w:t>
      </w:r>
    </w:p>
    <w:p>
      <w:pPr>
        <w:pStyle w:val="Indenta"/>
        <w:rPr>
          <w:snapToGrid w:val="0"/>
        </w:rPr>
      </w:pPr>
      <w:r>
        <w:rPr>
          <w:snapToGrid w:val="0"/>
        </w:rPr>
        <w:tab/>
        <w:t>(c)</w:t>
      </w:r>
      <w:r>
        <w:rPr>
          <w:snapToGrid w:val="0"/>
        </w:rPr>
        <w:tab/>
        <w:t>the relocation or removal is necessary to comply with any management plan for the land on which the mooring is located; or</w:t>
      </w:r>
    </w:p>
    <w:p>
      <w:pPr>
        <w:pStyle w:val="Indenta"/>
        <w:rPr>
          <w:snapToGrid w:val="0"/>
        </w:rPr>
      </w:pPr>
      <w:r>
        <w:rPr>
          <w:snapToGrid w:val="0"/>
        </w:rPr>
        <w:tab/>
        <w:t>(d)</w:t>
      </w:r>
      <w:r>
        <w:rPr>
          <w:snapToGrid w:val="0"/>
        </w:rPr>
        <w:tab/>
        <w:t>the CEO considers that it is in the public interest for the mooring to be relocated or removed.</w:t>
      </w:r>
    </w:p>
    <w:p>
      <w:pPr>
        <w:pStyle w:val="Subsection"/>
      </w:pPr>
      <w:r>
        <w:tab/>
        <w:t>(3)</w:t>
      </w:r>
      <w:r>
        <w:tab/>
        <w:t>A person to whom a notice is given under subregulation (1) or (2) must comply with the requirements specified in the notice within the time specified in the notice.</w:t>
      </w:r>
    </w:p>
    <w:p>
      <w:pPr>
        <w:pStyle w:val="Penstart"/>
      </w:pPr>
      <w:r>
        <w:tab/>
        <w:t>Penalty: a fine of $2 000.</w:t>
      </w:r>
    </w:p>
    <w:p>
      <w:pPr>
        <w:pStyle w:val="Subsection"/>
      </w:pPr>
      <w:r>
        <w:tab/>
        <w:t>(4)</w:t>
      </w:r>
      <w:r>
        <w:tab/>
        <w:t>A mooring that is not relocated or removed within the period specified in a notice given under subregulation (2) is, on the expiry of that period, forfeited to the Crown and may be destroyed, sold or otherwise disposed of as directed by the CEO.</w:t>
      </w:r>
    </w:p>
    <w:p>
      <w:pPr>
        <w:pStyle w:val="Footnotesection"/>
      </w:pPr>
      <w:r>
        <w:tab/>
        <w:t>[Regulation 98AU inserted in Gazette 24 Mar 2015 p. 1042.]</w:t>
      </w:r>
    </w:p>
    <w:p>
      <w:pPr>
        <w:pStyle w:val="Heading5"/>
        <w:rPr>
          <w:snapToGrid w:val="0"/>
        </w:rPr>
      </w:pPr>
      <w:bookmarkStart w:id="344" w:name="_Toc437515727"/>
      <w:bookmarkStart w:id="345" w:name="_Toc436905974"/>
      <w:r>
        <w:rPr>
          <w:rStyle w:val="CharSectno"/>
        </w:rPr>
        <w:t>98AV</w:t>
      </w:r>
      <w:r>
        <w:rPr>
          <w:snapToGrid w:val="0"/>
        </w:rPr>
        <w:t>.</w:t>
      </w:r>
      <w:r>
        <w:rPr>
          <w:snapToGrid w:val="0"/>
        </w:rPr>
        <w:tab/>
        <w:t>Cancellation of private mooring licence</w:t>
      </w:r>
      <w:bookmarkEnd w:id="344"/>
      <w:bookmarkEnd w:id="345"/>
      <w:r>
        <w:rPr>
          <w:snapToGrid w:val="0"/>
        </w:rPr>
        <w:t xml:space="preserve"> </w:t>
      </w:r>
    </w:p>
    <w:p>
      <w:pPr>
        <w:pStyle w:val="Subsection"/>
        <w:rPr>
          <w:snapToGrid w:val="0"/>
        </w:rPr>
      </w:pPr>
      <w:r>
        <w:rPr>
          <w:snapToGrid w:val="0"/>
        </w:rPr>
        <w:tab/>
        <w:t>(1)</w:t>
      </w:r>
      <w:r>
        <w:rPr>
          <w:snapToGrid w:val="0"/>
        </w:rPr>
        <w:tab/>
        <w:t>The CEO may, by written notice given to the licence holder, cancel a private mooring licence if — </w:t>
      </w:r>
    </w:p>
    <w:p>
      <w:pPr>
        <w:pStyle w:val="Indenta"/>
        <w:rPr>
          <w:snapToGrid w:val="0"/>
        </w:rPr>
      </w:pPr>
      <w:r>
        <w:rPr>
          <w:snapToGrid w:val="0"/>
        </w:rPr>
        <w:tab/>
        <w:t>(a)</w:t>
      </w:r>
      <w:r>
        <w:rPr>
          <w:snapToGrid w:val="0"/>
        </w:rPr>
        <w:tab/>
        <w:t>the licence holder ceases to own, or no longer appears to control, the mooring; or</w:t>
      </w:r>
    </w:p>
    <w:p>
      <w:pPr>
        <w:pStyle w:val="Indenta"/>
        <w:rPr>
          <w:snapToGrid w:val="0"/>
        </w:rPr>
      </w:pPr>
      <w:r>
        <w:rPr>
          <w:snapToGrid w:val="0"/>
        </w:rPr>
        <w:tab/>
        <w:t>(b)</w:t>
      </w:r>
      <w:r>
        <w:rPr>
          <w:snapToGrid w:val="0"/>
        </w:rPr>
        <w:tab/>
        <w:t>the licence holder fails to provide an inspection report for the mooring in accordance with regulation 98AT(2); or</w:t>
      </w:r>
    </w:p>
    <w:p>
      <w:pPr>
        <w:pStyle w:val="Indenta"/>
        <w:rPr>
          <w:snapToGrid w:val="0"/>
        </w:rPr>
      </w:pPr>
      <w:r>
        <w:rPr>
          <w:snapToGrid w:val="0"/>
        </w:rPr>
        <w:tab/>
        <w:t>(c)</w:t>
      </w:r>
      <w:r>
        <w:rPr>
          <w:snapToGrid w:val="0"/>
        </w:rPr>
        <w:tab/>
        <w:t>the licence holder fails to comply with a requirement under regulation 98AU(1) or (2).</w:t>
      </w:r>
    </w:p>
    <w:p>
      <w:pPr>
        <w:pStyle w:val="Subsection"/>
      </w:pPr>
      <w:r>
        <w:tab/>
        <w:t>(2)</w:t>
      </w:r>
      <w:r>
        <w:tab/>
        <w:t>The powers of the CEO referred to in subregulation (1) are in addition to, and do not derogate from, the powers referred to in regulation 86(1).</w:t>
      </w:r>
    </w:p>
    <w:p>
      <w:pPr>
        <w:pStyle w:val="Footnotesection"/>
      </w:pPr>
      <w:r>
        <w:tab/>
        <w:t>[Regulation 98AV inserted in Gazette 24 Mar 2015 p. 1043.]</w:t>
      </w:r>
    </w:p>
    <w:p>
      <w:pPr>
        <w:pStyle w:val="Heading5"/>
        <w:rPr>
          <w:snapToGrid w:val="0"/>
        </w:rPr>
      </w:pPr>
      <w:bookmarkStart w:id="346" w:name="_Toc437515728"/>
      <w:bookmarkStart w:id="347" w:name="_Toc436905975"/>
      <w:r>
        <w:rPr>
          <w:rStyle w:val="CharSectno"/>
        </w:rPr>
        <w:t>98AW</w:t>
      </w:r>
      <w:r>
        <w:rPr>
          <w:snapToGrid w:val="0"/>
        </w:rPr>
        <w:t>.</w:t>
      </w:r>
      <w:r>
        <w:rPr>
          <w:snapToGrid w:val="0"/>
        </w:rPr>
        <w:tab/>
        <w:t>Giving notice of change of registered particulars</w:t>
      </w:r>
      <w:bookmarkEnd w:id="346"/>
      <w:bookmarkEnd w:id="347"/>
    </w:p>
    <w:p>
      <w:pPr>
        <w:pStyle w:val="Subsection"/>
        <w:rPr>
          <w:snapToGrid w:val="0"/>
        </w:rPr>
      </w:pPr>
      <w:r>
        <w:rPr>
          <w:snapToGrid w:val="0"/>
        </w:rPr>
        <w:tab/>
      </w:r>
      <w:r>
        <w:rPr>
          <w:snapToGrid w:val="0"/>
        </w:rPr>
        <w:tab/>
        <w:t>A licence holder must, within 7 days, notify the CEO of any alteration in the particulars of the licensed mooring, including any change of address or telephone number of the licence holder or the natural person who may be contacted on behalf of a body corporate or partnership.</w:t>
      </w:r>
    </w:p>
    <w:p>
      <w:pPr>
        <w:pStyle w:val="Penstart"/>
      </w:pPr>
      <w:r>
        <w:tab/>
        <w:t>Penalty: a fine of $1 000.</w:t>
      </w:r>
    </w:p>
    <w:p>
      <w:pPr>
        <w:pStyle w:val="Footnotesection"/>
      </w:pPr>
      <w:r>
        <w:tab/>
        <w:t>[Regulation 98AW inserted in Gazette 24 Mar 2015 p. 1043.]</w:t>
      </w:r>
    </w:p>
    <w:p>
      <w:pPr>
        <w:pStyle w:val="Heading5"/>
        <w:rPr>
          <w:snapToGrid w:val="0"/>
        </w:rPr>
      </w:pPr>
      <w:bookmarkStart w:id="348" w:name="_Toc437515729"/>
      <w:bookmarkStart w:id="349" w:name="_Toc436905976"/>
      <w:r>
        <w:rPr>
          <w:rStyle w:val="CharSectno"/>
        </w:rPr>
        <w:t>98AX</w:t>
      </w:r>
      <w:r>
        <w:rPr>
          <w:snapToGrid w:val="0"/>
        </w:rPr>
        <w:t>.</w:t>
      </w:r>
      <w:r>
        <w:rPr>
          <w:snapToGrid w:val="0"/>
        </w:rPr>
        <w:tab/>
        <w:t>Surrender of private mooring licence</w:t>
      </w:r>
      <w:bookmarkEnd w:id="348"/>
      <w:bookmarkEnd w:id="349"/>
    </w:p>
    <w:p>
      <w:pPr>
        <w:pStyle w:val="Subsection"/>
        <w:rPr>
          <w:snapToGrid w:val="0"/>
        </w:rPr>
      </w:pPr>
      <w:r>
        <w:rPr>
          <w:snapToGrid w:val="0"/>
        </w:rPr>
        <w:tab/>
        <w:t>(1)</w:t>
      </w:r>
      <w:r>
        <w:rPr>
          <w:snapToGrid w:val="0"/>
        </w:rPr>
        <w:tab/>
        <w:t xml:space="preserve">A licence holder may by notice in writing to the CEO surrender a licence. </w:t>
      </w:r>
    </w:p>
    <w:p>
      <w:pPr>
        <w:pStyle w:val="Subsection"/>
        <w:rPr>
          <w:snapToGrid w:val="0"/>
        </w:rPr>
      </w:pPr>
      <w:r>
        <w:rPr>
          <w:snapToGrid w:val="0"/>
        </w:rPr>
        <w:tab/>
        <w:t>(2)</w:t>
      </w:r>
      <w:r>
        <w:rPr>
          <w:snapToGrid w:val="0"/>
        </w:rPr>
        <w:tab/>
        <w:t>A licence holder who surrenders a licence is not entitled to the refund of any fees paid in respect of a period after the date of surrender.</w:t>
      </w:r>
    </w:p>
    <w:p>
      <w:pPr>
        <w:pStyle w:val="Footnotesection"/>
      </w:pPr>
      <w:r>
        <w:tab/>
        <w:t>[Regulation 98AX inserted in Gazette 24 Mar 2015 p. 1043.]</w:t>
      </w:r>
    </w:p>
    <w:p>
      <w:pPr>
        <w:pStyle w:val="Ednotepart"/>
      </w:pPr>
      <w:r>
        <w:t>[Part 7A deleted in Gazette 27 Feb 2009 p. 530.]</w:t>
      </w:r>
    </w:p>
    <w:p>
      <w:pPr>
        <w:pStyle w:val="Heading2"/>
      </w:pPr>
      <w:bookmarkStart w:id="350" w:name="_Toc436903814"/>
      <w:bookmarkStart w:id="351" w:name="_Toc436905756"/>
      <w:bookmarkStart w:id="352" w:name="_Toc436905977"/>
      <w:bookmarkStart w:id="353" w:name="_Toc437515730"/>
      <w:r>
        <w:rPr>
          <w:rStyle w:val="CharPartNo"/>
        </w:rPr>
        <w:t>Part 8A</w:t>
      </w:r>
      <w:r>
        <w:rPr>
          <w:rStyle w:val="CharDivNo"/>
        </w:rPr>
        <w:t> </w:t>
      </w:r>
      <w:r>
        <w:t>—</w:t>
      </w:r>
      <w:r>
        <w:rPr>
          <w:rStyle w:val="CharDivText"/>
        </w:rPr>
        <w:t> </w:t>
      </w:r>
      <w:r>
        <w:rPr>
          <w:rStyle w:val="CharPartText"/>
        </w:rPr>
        <w:t>Apiary permits and licences</w:t>
      </w:r>
      <w:bookmarkEnd w:id="350"/>
      <w:bookmarkEnd w:id="351"/>
      <w:bookmarkEnd w:id="352"/>
      <w:bookmarkEnd w:id="353"/>
    </w:p>
    <w:p>
      <w:pPr>
        <w:pStyle w:val="yFootnoteheading"/>
      </w:pPr>
      <w:r>
        <w:tab/>
        <w:t>[Heading inserted in Gazette 3 Sep 2010 p. 4278.]</w:t>
      </w:r>
    </w:p>
    <w:p>
      <w:pPr>
        <w:pStyle w:val="Heading5"/>
      </w:pPr>
      <w:bookmarkStart w:id="354" w:name="_Toc437515731"/>
      <w:bookmarkStart w:id="355" w:name="_Toc436905978"/>
      <w:r>
        <w:rPr>
          <w:rStyle w:val="CharSectno"/>
        </w:rPr>
        <w:t>98A</w:t>
      </w:r>
      <w:r>
        <w:t>.</w:t>
      </w:r>
      <w:r>
        <w:tab/>
        <w:t>Terms used</w:t>
      </w:r>
      <w:bookmarkEnd w:id="354"/>
      <w:bookmarkEnd w:id="355"/>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w:t>
      </w:r>
      <w:r>
        <w:rPr>
          <w:vertAlign w:val="superscript"/>
        </w:rPr>
        <w:t> 5</w:t>
      </w:r>
      <w:r>
        <w:t xml:space="preserve">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356" w:name="_Toc437515732"/>
      <w:bookmarkStart w:id="357" w:name="_Toc436905979"/>
      <w:r>
        <w:rPr>
          <w:rStyle w:val="CharSectno"/>
        </w:rPr>
        <w:t>98B</w:t>
      </w:r>
      <w:r>
        <w:t>.</w:t>
      </w:r>
      <w:r>
        <w:tab/>
        <w:t>Application of Part 8A</w:t>
      </w:r>
      <w:bookmarkEnd w:id="356"/>
      <w:bookmarkEnd w:id="357"/>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358" w:name="_Toc437515733"/>
      <w:bookmarkStart w:id="359" w:name="_Toc436905980"/>
      <w:r>
        <w:rPr>
          <w:rStyle w:val="CharSectno"/>
        </w:rPr>
        <w:t>98C</w:t>
      </w:r>
      <w:r>
        <w:t>.</w:t>
      </w:r>
      <w:r>
        <w:tab/>
        <w:t>Applications</w:t>
      </w:r>
      <w:bookmarkEnd w:id="358"/>
      <w:bookmarkEnd w:id="359"/>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360" w:name="_Toc437515734"/>
      <w:bookmarkStart w:id="361" w:name="_Toc436905981"/>
      <w:r>
        <w:rPr>
          <w:rStyle w:val="CharSectno"/>
        </w:rPr>
        <w:t>98D</w:t>
      </w:r>
      <w:r>
        <w:t>.</w:t>
      </w:r>
      <w:r>
        <w:tab/>
        <w:t>Maximum area of apiary site</w:t>
      </w:r>
      <w:bookmarkEnd w:id="360"/>
      <w:bookmarkEnd w:id="361"/>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362" w:name="_Toc437515735"/>
      <w:bookmarkStart w:id="363" w:name="_Toc436905982"/>
      <w:r>
        <w:rPr>
          <w:rStyle w:val="CharSectno"/>
        </w:rPr>
        <w:t>98E</w:t>
      </w:r>
      <w:r>
        <w:t>.</w:t>
      </w:r>
      <w:r>
        <w:tab/>
        <w:t>Form of apiary authority</w:t>
      </w:r>
      <w:bookmarkEnd w:id="362"/>
      <w:bookmarkEnd w:id="363"/>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364" w:name="_Toc437515736"/>
      <w:bookmarkStart w:id="365" w:name="_Toc436905983"/>
      <w:r>
        <w:rPr>
          <w:rStyle w:val="CharSectno"/>
        </w:rPr>
        <w:t>98F</w:t>
      </w:r>
      <w:r>
        <w:t>.</w:t>
      </w:r>
      <w:r>
        <w:tab/>
        <w:t>Duration of apiary authority</w:t>
      </w:r>
      <w:bookmarkEnd w:id="364"/>
      <w:bookmarkEnd w:id="365"/>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366" w:name="_Toc437515737"/>
      <w:bookmarkStart w:id="367" w:name="_Toc436905984"/>
      <w:r>
        <w:rPr>
          <w:rStyle w:val="CharSectno"/>
        </w:rPr>
        <w:t>98G</w:t>
      </w:r>
      <w:r>
        <w:t>.</w:t>
      </w:r>
      <w:r>
        <w:tab/>
        <w:t>Conditions</w:t>
      </w:r>
      <w:bookmarkEnd w:id="366"/>
      <w:bookmarkEnd w:id="367"/>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368" w:name="_Toc437515738"/>
      <w:bookmarkStart w:id="369" w:name="_Toc436905985"/>
      <w:r>
        <w:rPr>
          <w:rStyle w:val="CharSectno"/>
        </w:rPr>
        <w:t>98H</w:t>
      </w:r>
      <w:r>
        <w:t>.</w:t>
      </w:r>
      <w:r>
        <w:tab/>
        <w:t>Application of regulations to apiary sites that are not on CALM land</w:t>
      </w:r>
      <w:bookmarkEnd w:id="368"/>
      <w:bookmarkEnd w:id="369"/>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370" w:name="_Toc437515739"/>
      <w:bookmarkStart w:id="371" w:name="_Toc436905986"/>
      <w:r>
        <w:rPr>
          <w:rStyle w:val="CharSectno"/>
        </w:rPr>
        <w:t>98I</w:t>
      </w:r>
      <w:r>
        <w:t>.</w:t>
      </w:r>
      <w:r>
        <w:tab/>
        <w:t>Other operations not affected by apiary</w:t>
      </w:r>
      <w:bookmarkEnd w:id="370"/>
      <w:bookmarkEnd w:id="371"/>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372" w:name="_Toc437515740"/>
      <w:bookmarkStart w:id="373" w:name="_Toc436905987"/>
      <w:r>
        <w:rPr>
          <w:rStyle w:val="CharSectno"/>
        </w:rPr>
        <w:t>98J</w:t>
      </w:r>
      <w:r>
        <w:t>.</w:t>
      </w:r>
      <w:r>
        <w:tab/>
        <w:t>False or misleading information</w:t>
      </w:r>
      <w:bookmarkEnd w:id="372"/>
      <w:bookmarkEnd w:id="373"/>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374" w:name="_Toc437515741"/>
      <w:bookmarkStart w:id="375" w:name="_Toc436905988"/>
      <w:r>
        <w:rPr>
          <w:rStyle w:val="CharSectno"/>
        </w:rPr>
        <w:t>98K</w:t>
      </w:r>
      <w:r>
        <w:t>.</w:t>
      </w:r>
      <w:r>
        <w:tab/>
        <w:t>Rent for apiary sites</w:t>
      </w:r>
      <w:bookmarkEnd w:id="374"/>
      <w:bookmarkEnd w:id="375"/>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376" w:name="_Toc436903826"/>
      <w:bookmarkStart w:id="377" w:name="_Toc436905768"/>
      <w:bookmarkStart w:id="378" w:name="_Toc436905989"/>
      <w:bookmarkStart w:id="379" w:name="_Toc437515742"/>
      <w:r>
        <w:rPr>
          <w:rStyle w:val="CharPartNo"/>
        </w:rPr>
        <w:t>Part 8</w:t>
      </w:r>
      <w:r>
        <w:rPr>
          <w:rStyle w:val="CharDivNo"/>
        </w:rPr>
        <w:t xml:space="preserve"> </w:t>
      </w:r>
      <w:r>
        <w:t>—</w:t>
      </w:r>
      <w:r>
        <w:rPr>
          <w:rStyle w:val="CharDivText"/>
        </w:rPr>
        <w:t xml:space="preserve"> </w:t>
      </w:r>
      <w:r>
        <w:rPr>
          <w:rStyle w:val="CharPartText"/>
        </w:rPr>
        <w:t>Fees</w:t>
      </w:r>
      <w:bookmarkEnd w:id="376"/>
      <w:bookmarkEnd w:id="377"/>
      <w:bookmarkEnd w:id="378"/>
      <w:bookmarkEnd w:id="379"/>
    </w:p>
    <w:p>
      <w:pPr>
        <w:pStyle w:val="Footnoteheading"/>
      </w:pPr>
      <w:r>
        <w:tab/>
        <w:t>[Heading amended in Gazette 29 Sep 2006 p. 4319.]</w:t>
      </w:r>
    </w:p>
    <w:p>
      <w:pPr>
        <w:pStyle w:val="Heading5"/>
        <w:spacing w:before="240"/>
        <w:rPr>
          <w:snapToGrid w:val="0"/>
        </w:rPr>
      </w:pPr>
      <w:bookmarkStart w:id="380" w:name="_Toc437515743"/>
      <w:bookmarkStart w:id="381" w:name="_Toc436905990"/>
      <w:r>
        <w:rPr>
          <w:rStyle w:val="CharSectno"/>
        </w:rPr>
        <w:t>99</w:t>
      </w:r>
      <w:r>
        <w:rPr>
          <w:snapToGrid w:val="0"/>
        </w:rPr>
        <w:t>.</w:t>
      </w:r>
      <w:r>
        <w:rPr>
          <w:snapToGrid w:val="0"/>
        </w:rPr>
        <w:tab/>
        <w:t>Entrance fees</w:t>
      </w:r>
      <w:r>
        <w:rPr>
          <w:b w:val="0"/>
        </w:rPr>
        <w:t xml:space="preserve"> </w:t>
      </w:r>
      <w:r>
        <w:t>for motor vehicles</w:t>
      </w:r>
      <w:bookmarkEnd w:id="380"/>
      <w:bookmarkEnd w:id="381"/>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spacing w:before="60"/>
      </w:pPr>
      <w:r>
        <w:tab/>
        <w:t>(a)</w:t>
      </w:r>
      <w:r>
        <w:tab/>
        <w:t>a vehicle that is fitted with seats for 8 or more adult persons, including the driver, and is being used to carry passengers for separate fares; or</w:t>
      </w:r>
    </w:p>
    <w:p>
      <w:pPr>
        <w:pStyle w:val="Defpara"/>
        <w:spacing w:before="60"/>
      </w:pPr>
      <w:r>
        <w:tab/>
        <w:t>(b)</w:t>
      </w:r>
      <w:r>
        <w:tab/>
        <w:t xml:space="preserve">a taxi within the meaning of the </w:t>
      </w:r>
      <w:r>
        <w:rPr>
          <w:i/>
        </w:rPr>
        <w:t>Taxi Act 1994</w:t>
      </w:r>
      <w:r>
        <w:t>; or</w:t>
      </w:r>
    </w:p>
    <w:p>
      <w:pPr>
        <w:pStyle w:val="Defpara"/>
        <w:spacing w:before="60"/>
      </w:pPr>
      <w:r>
        <w:tab/>
        <w:t>(c)</w:t>
      </w:r>
      <w:r>
        <w:tab/>
        <w:t>a vehicle that is licensed to stand or ply for the carriage of passengers for reward; or</w:t>
      </w:r>
    </w:p>
    <w:p>
      <w:pPr>
        <w:pStyle w:val="Defpara"/>
        <w:spacing w:before="60"/>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spacing w:before="60"/>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spacing w:before="60"/>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spacing w:before="60"/>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spacing w:before="70"/>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spacing w:before="70"/>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382" w:name="_Toc437515744"/>
      <w:bookmarkStart w:id="383" w:name="_Toc436905991"/>
      <w:r>
        <w:rPr>
          <w:rStyle w:val="CharSectno"/>
        </w:rPr>
        <w:t>99A</w:t>
      </w:r>
      <w:r>
        <w:t>.</w:t>
      </w:r>
      <w:r>
        <w:tab/>
        <w:t>Landing fees for aircraft</w:t>
      </w:r>
      <w:bookmarkEnd w:id="382"/>
      <w:bookmarkEnd w:id="383"/>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spacing w:before="70"/>
      </w:pPr>
      <w:r>
        <w:tab/>
        <w:t>(a)</w:t>
      </w:r>
      <w:r>
        <w:tab/>
        <w:t>a person who is under 6 years of age; or</w:t>
      </w:r>
    </w:p>
    <w:p>
      <w:pPr>
        <w:pStyle w:val="Indenta"/>
        <w:spacing w:before="70"/>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spacing w:before="60"/>
      </w:pPr>
      <w:r>
        <w:tab/>
        <w:t>(a)</w:t>
      </w:r>
      <w:r>
        <w:tab/>
        <w:t>if the aircraft is operating under a commercial operations licence — the holder of the licence; or</w:t>
      </w:r>
    </w:p>
    <w:p>
      <w:pPr>
        <w:pStyle w:val="Indenta"/>
        <w:spacing w:before="60"/>
      </w:pPr>
      <w:r>
        <w:tab/>
        <w:t>(b)</w:t>
      </w:r>
      <w:r>
        <w:tab/>
        <w:t xml:space="preserve">in any other case — </w:t>
      </w:r>
    </w:p>
    <w:p>
      <w:pPr>
        <w:pStyle w:val="Indenti"/>
        <w:spacing w:before="60"/>
      </w:pPr>
      <w:r>
        <w:tab/>
        <w:t>(i)</w:t>
      </w:r>
      <w:r>
        <w:tab/>
        <w:t>the person in charge of the aircraft; or</w:t>
      </w:r>
    </w:p>
    <w:p>
      <w:pPr>
        <w:pStyle w:val="Indenti"/>
        <w:spacing w:before="60"/>
      </w:pPr>
      <w:r>
        <w:tab/>
        <w:t>(ii)</w:t>
      </w:r>
      <w:r>
        <w:tab/>
        <w:t>if the person in charge of the aircraft is employed or engaged by another person who is the owner or operator of the aircraft — that other person.</w:t>
      </w:r>
    </w:p>
    <w:p>
      <w:pPr>
        <w:pStyle w:val="Subsection"/>
        <w:spacing w:before="120"/>
      </w:pPr>
      <w:r>
        <w:tab/>
        <w:t>(4)</w:t>
      </w:r>
      <w:r>
        <w:tab/>
        <w:t>The person liable under subregulation (3) to pay the fee must pay the fee.</w:t>
      </w:r>
    </w:p>
    <w:p>
      <w:pPr>
        <w:pStyle w:val="Penstart"/>
      </w:pPr>
      <w:r>
        <w:tab/>
        <w:t>Penalty: a fine of $1 000.</w:t>
      </w:r>
    </w:p>
    <w:p>
      <w:pPr>
        <w:pStyle w:val="Footnotesection"/>
        <w:spacing w:before="100"/>
      </w:pPr>
      <w:r>
        <w:tab/>
        <w:t>[Regulation 99A inserted in Gazette 3 Dec 2010 p. 6049</w:t>
      </w:r>
      <w:r>
        <w:noBreakHyphen/>
        <w:t>50.]</w:t>
      </w:r>
    </w:p>
    <w:p>
      <w:pPr>
        <w:pStyle w:val="Heading5"/>
        <w:spacing w:before="200"/>
      </w:pPr>
      <w:bookmarkStart w:id="384" w:name="_Toc437515745"/>
      <w:bookmarkStart w:id="385" w:name="_Toc436905992"/>
      <w:r>
        <w:rPr>
          <w:rStyle w:val="CharSectno"/>
        </w:rPr>
        <w:t>99B</w:t>
      </w:r>
      <w:r>
        <w:t>.</w:t>
      </w:r>
      <w:r>
        <w:tab/>
        <w:t>Aircraft landing areas</w:t>
      </w:r>
      <w:bookmarkEnd w:id="384"/>
      <w:bookmarkEnd w:id="385"/>
    </w:p>
    <w:p>
      <w:pPr>
        <w:pStyle w:val="Subsection"/>
        <w:spacing w:before="120"/>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spacing w:before="120"/>
      </w:pPr>
      <w:r>
        <w:tab/>
        <w:t>(2)</w:t>
      </w:r>
      <w:r>
        <w:tab/>
        <w:t>An area may be declared to be an aircraft landing area at all times or during a period or periods specified in the notice.</w:t>
      </w:r>
    </w:p>
    <w:p>
      <w:pPr>
        <w:pStyle w:val="Subsection"/>
        <w:spacing w:before="120"/>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spacing w:before="120"/>
      </w:pPr>
      <w:r>
        <w:tab/>
        <w:t>(4)</w:t>
      </w:r>
      <w:r>
        <w:tab/>
        <w:t>A notice published under this regulation takes effect on such day after publication as is specified in the notice.</w:t>
      </w:r>
    </w:p>
    <w:p>
      <w:pPr>
        <w:pStyle w:val="Footnotesection"/>
        <w:spacing w:before="100"/>
      </w:pPr>
      <w:r>
        <w:tab/>
        <w:t>[Regulation 99B inserted in Gazette 3 Dec 2010 p. 6050.]</w:t>
      </w:r>
    </w:p>
    <w:p>
      <w:pPr>
        <w:pStyle w:val="Heading5"/>
        <w:spacing w:before="200"/>
      </w:pPr>
      <w:bookmarkStart w:id="386" w:name="_Toc437515746"/>
      <w:bookmarkStart w:id="387" w:name="_Toc436905993"/>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386"/>
      <w:bookmarkEnd w:id="387"/>
    </w:p>
    <w:p>
      <w:pPr>
        <w:pStyle w:val="Subsection"/>
        <w:spacing w:before="120"/>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spacing w:before="120"/>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spacing w:before="60"/>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388" w:name="_Toc437515747"/>
      <w:bookmarkStart w:id="389" w:name="_Toc436905994"/>
      <w:r>
        <w:rPr>
          <w:rStyle w:val="CharSectno"/>
        </w:rPr>
        <w:t>100</w:t>
      </w:r>
      <w:r>
        <w:rPr>
          <w:snapToGrid w:val="0"/>
        </w:rPr>
        <w:t>.</w:t>
      </w:r>
      <w:r>
        <w:rPr>
          <w:snapToGrid w:val="0"/>
        </w:rPr>
        <w:tab/>
        <w:t>Entrance fees for Tree Top Walk</w:t>
      </w:r>
      <w:bookmarkEnd w:id="388"/>
      <w:bookmarkEnd w:id="389"/>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390" w:name="_Toc437515748"/>
      <w:bookmarkStart w:id="391" w:name="_Toc436905995"/>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390"/>
      <w:bookmarkEnd w:id="391"/>
    </w:p>
    <w:p>
      <w:pPr>
        <w:pStyle w:val="Subsection"/>
        <w:spacing w:before="120"/>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spacing w:before="120"/>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spacing w:before="120"/>
        <w:rPr>
          <w:snapToGrid w:val="0"/>
        </w:rPr>
      </w:pPr>
      <w:r>
        <w:rPr>
          <w:snapToGrid w:val="0"/>
        </w:rPr>
        <w:tab/>
        <w:t>(3)</w:t>
      </w:r>
      <w:r>
        <w:rPr>
          <w:snapToGrid w:val="0"/>
        </w:rPr>
        <w:tab/>
        <w:t>The CEO is to erect signs at the entrance to each of the caves —</w:t>
      </w:r>
    </w:p>
    <w:p>
      <w:pPr>
        <w:pStyle w:val="Indenta"/>
        <w:spacing w:before="60"/>
        <w:rPr>
          <w:snapToGrid w:val="0"/>
        </w:rPr>
      </w:pPr>
      <w:r>
        <w:rPr>
          <w:snapToGrid w:val="0"/>
        </w:rPr>
        <w:tab/>
        <w:t>(a)</w:t>
      </w:r>
      <w:r>
        <w:rPr>
          <w:snapToGrid w:val="0"/>
        </w:rPr>
        <w:tab/>
        <w:t>specifying the fees payable under this regulation; and</w:t>
      </w:r>
    </w:p>
    <w:p>
      <w:pPr>
        <w:pStyle w:val="Indenta"/>
        <w:spacing w:before="60"/>
        <w:rPr>
          <w:snapToGrid w:val="0"/>
        </w:rPr>
      </w:pPr>
      <w:r>
        <w:rPr>
          <w:snapToGrid w:val="0"/>
        </w:rPr>
        <w:tab/>
        <w:t>(b)</w:t>
      </w:r>
      <w:r>
        <w:rPr>
          <w:snapToGrid w:val="0"/>
        </w:rPr>
        <w:tab/>
        <w:t>specifying the manner in which the fees are to be paid.</w:t>
      </w:r>
    </w:p>
    <w:p>
      <w:pPr>
        <w:pStyle w:val="Subsection"/>
        <w:spacing w:before="120"/>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100A inserted in Gazette 29 Sep 2006 p. 4321</w:t>
      </w:r>
      <w:r>
        <w:noBreakHyphen/>
        <w:t>2; amended in Gazette 3 Dec 2010 p. 6052</w:t>
      </w:r>
      <w:r>
        <w:noBreakHyphen/>
        <w:t>4.]</w:t>
      </w:r>
    </w:p>
    <w:p>
      <w:pPr>
        <w:pStyle w:val="Heading5"/>
        <w:spacing w:before="200"/>
        <w:rPr>
          <w:snapToGrid w:val="0"/>
        </w:rPr>
      </w:pPr>
      <w:bookmarkStart w:id="392" w:name="_Toc437515749"/>
      <w:bookmarkStart w:id="393" w:name="_Toc436905996"/>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392"/>
      <w:bookmarkEnd w:id="393"/>
      <w:r>
        <w:rPr>
          <w:snapToGrid w:val="0"/>
        </w:rPr>
        <w:t xml:space="preserve"> </w:t>
      </w:r>
    </w:p>
    <w:p>
      <w:pPr>
        <w:pStyle w:val="Subsection"/>
        <w:spacing w:before="120"/>
        <w:rPr>
          <w:snapToGrid w:val="0"/>
        </w:rPr>
      </w:pPr>
      <w:r>
        <w:rPr>
          <w:snapToGrid w:val="0"/>
        </w:rPr>
        <w:tab/>
      </w:r>
      <w:r>
        <w:rPr>
          <w:snapToGrid w:val="0"/>
        </w:rPr>
        <w:tab/>
        <w:t>The fees for the Geikie Gorge National Park Boat Trip are as prescribed in Schedule 1 Division 4.</w:t>
      </w:r>
    </w:p>
    <w:p>
      <w:pPr>
        <w:pStyle w:val="Heading5"/>
        <w:spacing w:before="200"/>
        <w:rPr>
          <w:snapToGrid w:val="0"/>
        </w:rPr>
      </w:pPr>
      <w:bookmarkStart w:id="394" w:name="_Toc437515750"/>
      <w:bookmarkStart w:id="395" w:name="_Toc436905997"/>
      <w:r>
        <w:rPr>
          <w:rStyle w:val="CharSectno"/>
        </w:rPr>
        <w:t>102</w:t>
      </w:r>
      <w:r>
        <w:rPr>
          <w:snapToGrid w:val="0"/>
        </w:rPr>
        <w:t>.</w:t>
      </w:r>
      <w:r>
        <w:rPr>
          <w:snapToGrid w:val="0"/>
        </w:rPr>
        <w:tab/>
        <w:t>Fees for entry on horseback</w:t>
      </w:r>
      <w:bookmarkEnd w:id="394"/>
      <w:bookmarkEnd w:id="395"/>
    </w:p>
    <w:p>
      <w:pPr>
        <w:pStyle w:val="Subsection"/>
        <w:spacing w:before="120"/>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spacing w:before="60"/>
        <w:rPr>
          <w:snapToGrid w:val="0"/>
        </w:rPr>
      </w:pPr>
      <w:r>
        <w:rPr>
          <w:snapToGrid w:val="0"/>
        </w:rPr>
        <w:tab/>
        <w:t>(a)</w:t>
      </w:r>
      <w:r>
        <w:rPr>
          <w:snapToGrid w:val="0"/>
        </w:rPr>
        <w:tab/>
        <w:t>in the case of a daily entrance fee, to an authorised officer; and</w:t>
      </w:r>
    </w:p>
    <w:p>
      <w:pPr>
        <w:pStyle w:val="Indenta"/>
        <w:spacing w:before="60"/>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spacing w:before="120"/>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spacing w:before="80"/>
      </w:pPr>
      <w:r>
        <w:tab/>
        <w:t>[Regulation 102 amended in Gazette 29 Sep 2006 p. 4334; 3 Dec 2010 p. 6052</w:t>
      </w:r>
      <w:r>
        <w:noBreakHyphen/>
        <w:t>4.]</w:t>
      </w:r>
    </w:p>
    <w:p>
      <w:pPr>
        <w:pStyle w:val="Heading5"/>
      </w:pPr>
      <w:bookmarkStart w:id="396" w:name="_Toc437515751"/>
      <w:bookmarkStart w:id="397" w:name="_Toc436905998"/>
      <w:r>
        <w:rPr>
          <w:rStyle w:val="CharSectno"/>
        </w:rPr>
        <w:t>102A</w:t>
      </w:r>
      <w:r>
        <w:t>.</w:t>
      </w:r>
      <w:r>
        <w:tab/>
        <w:t>Abseiling fee</w:t>
      </w:r>
      <w:bookmarkEnd w:id="396"/>
      <w:bookmarkEnd w:id="397"/>
    </w:p>
    <w:p>
      <w:pPr>
        <w:pStyle w:val="Subsection"/>
        <w:spacing w:before="140"/>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spacing w:before="140"/>
        <w:rPr>
          <w:snapToGrid w:val="0"/>
        </w:rPr>
      </w:pPr>
      <w:r>
        <w:rPr>
          <w:snapToGrid w:val="0"/>
        </w:rPr>
        <w:tab/>
        <w:t>(2)</w:t>
      </w:r>
      <w:r>
        <w:rPr>
          <w:snapToGrid w:val="0"/>
        </w:rPr>
        <w:tab/>
        <w:t>Fees are not payable under this regulation unless the CEO has erected a sign at the abseiling area — </w:t>
      </w:r>
    </w:p>
    <w:p>
      <w:pPr>
        <w:pStyle w:val="Indenta"/>
        <w:spacing w:before="60"/>
        <w:rPr>
          <w:snapToGrid w:val="0"/>
        </w:rPr>
      </w:pPr>
      <w:r>
        <w:rPr>
          <w:snapToGrid w:val="0"/>
        </w:rPr>
        <w:tab/>
        <w:t>(a)</w:t>
      </w:r>
      <w:r>
        <w:rPr>
          <w:snapToGrid w:val="0"/>
        </w:rPr>
        <w:tab/>
        <w:t>stating that fees are payable for abseiling; and</w:t>
      </w:r>
    </w:p>
    <w:p>
      <w:pPr>
        <w:pStyle w:val="Indenta"/>
        <w:spacing w:before="60"/>
        <w:rPr>
          <w:snapToGrid w:val="0"/>
        </w:rPr>
      </w:pPr>
      <w:r>
        <w:rPr>
          <w:snapToGrid w:val="0"/>
        </w:rPr>
        <w:tab/>
        <w:t>(b)</w:t>
      </w:r>
      <w:r>
        <w:rPr>
          <w:snapToGrid w:val="0"/>
        </w:rPr>
        <w:tab/>
        <w:t>specifying the fees that are payable; and</w:t>
      </w:r>
    </w:p>
    <w:p>
      <w:pPr>
        <w:pStyle w:val="Indenta"/>
        <w:spacing w:before="60"/>
        <w:rPr>
          <w:snapToGrid w:val="0"/>
        </w:rPr>
      </w:pPr>
      <w:r>
        <w:rPr>
          <w:snapToGrid w:val="0"/>
        </w:rPr>
        <w:tab/>
        <w:t>(c)</w:t>
      </w:r>
      <w:r>
        <w:rPr>
          <w:snapToGrid w:val="0"/>
        </w:rPr>
        <w:tab/>
        <w:t>specifying the manner in which the fees are to be paid.</w:t>
      </w:r>
    </w:p>
    <w:p>
      <w:pPr>
        <w:pStyle w:val="Subsection"/>
        <w:spacing w:before="140"/>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spacing w:before="130"/>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Footnotesection"/>
        <w:spacing w:before="100"/>
      </w:pPr>
      <w:r>
        <w:tab/>
        <w:t>[Regulation 102A inserted in Gazette 29 Sep 2006 p. 4322</w:t>
      </w:r>
      <w:r>
        <w:noBreakHyphen/>
        <w:t>3; amended in Gazette 3 Dec 2010 p. 6051 and 6052</w:t>
      </w:r>
      <w:r>
        <w:noBreakHyphen/>
        <w:t>4.]</w:t>
      </w:r>
    </w:p>
    <w:p>
      <w:pPr>
        <w:pStyle w:val="Heading5"/>
        <w:spacing w:before="180"/>
        <w:rPr>
          <w:snapToGrid w:val="0"/>
        </w:rPr>
      </w:pPr>
      <w:bookmarkStart w:id="398" w:name="_Toc437515752"/>
      <w:bookmarkStart w:id="399" w:name="_Toc436905999"/>
      <w:r>
        <w:rPr>
          <w:rStyle w:val="CharSectno"/>
        </w:rPr>
        <w:t>103</w:t>
      </w:r>
      <w:r>
        <w:rPr>
          <w:snapToGrid w:val="0"/>
        </w:rPr>
        <w:t>.</w:t>
      </w:r>
      <w:r>
        <w:rPr>
          <w:snapToGrid w:val="0"/>
        </w:rPr>
        <w:tab/>
        <w:t>Camping fees</w:t>
      </w:r>
      <w:bookmarkEnd w:id="398"/>
      <w:bookmarkEnd w:id="399"/>
      <w:r>
        <w:rPr>
          <w:snapToGrid w:val="0"/>
        </w:rPr>
        <w:t xml:space="preserve"> </w:t>
      </w:r>
    </w:p>
    <w:p>
      <w:pPr>
        <w:pStyle w:val="Subsection"/>
        <w:spacing w:before="13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3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3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spacing w:before="60"/>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400" w:name="_Toc437515753"/>
      <w:bookmarkStart w:id="401" w:name="_Toc436906000"/>
      <w:r>
        <w:rPr>
          <w:rStyle w:val="CharSectno"/>
        </w:rPr>
        <w:t>103A</w:t>
      </w:r>
      <w:r>
        <w:t>.</w:t>
      </w:r>
      <w:r>
        <w:tab/>
        <w:t>Companion of Companion Card holder</w:t>
      </w:r>
      <w:bookmarkEnd w:id="400"/>
      <w:bookmarkEnd w:id="401"/>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402" w:name="_Toc437515754"/>
      <w:bookmarkStart w:id="403" w:name="_Toc436906001"/>
      <w:r>
        <w:rPr>
          <w:rStyle w:val="CharSectno"/>
        </w:rPr>
        <w:t>104</w:t>
      </w:r>
      <w:r>
        <w:rPr>
          <w:snapToGrid w:val="0"/>
        </w:rPr>
        <w:t>.</w:t>
      </w:r>
      <w:r>
        <w:rPr>
          <w:snapToGrid w:val="0"/>
        </w:rPr>
        <w:tab/>
        <w:t>Fees may be waived or reduced</w:t>
      </w:r>
      <w:bookmarkEnd w:id="402"/>
      <w:bookmarkEnd w:id="403"/>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404" w:name="_Toc436903839"/>
      <w:bookmarkStart w:id="405" w:name="_Toc436905781"/>
      <w:bookmarkStart w:id="406" w:name="_Toc436906002"/>
      <w:bookmarkStart w:id="407" w:name="_Toc437515755"/>
      <w:r>
        <w:rPr>
          <w:rStyle w:val="CharPartNo"/>
        </w:rPr>
        <w:t>Part 9</w:t>
      </w:r>
      <w:r>
        <w:rPr>
          <w:b w:val="0"/>
        </w:rPr>
        <w:t> </w:t>
      </w:r>
      <w:r>
        <w:t>—</w:t>
      </w:r>
      <w:r>
        <w:rPr>
          <w:b w:val="0"/>
        </w:rPr>
        <w:t> </w:t>
      </w:r>
      <w:r>
        <w:rPr>
          <w:rStyle w:val="CharPartText"/>
        </w:rPr>
        <w:t>Miscellaneous</w:t>
      </w:r>
      <w:bookmarkEnd w:id="404"/>
      <w:bookmarkEnd w:id="405"/>
      <w:bookmarkEnd w:id="406"/>
      <w:bookmarkEnd w:id="407"/>
    </w:p>
    <w:p>
      <w:pPr>
        <w:pStyle w:val="Footnoteheading"/>
        <w:spacing w:before="100"/>
      </w:pPr>
      <w:r>
        <w:tab/>
        <w:t>[Heading inserted in Gazette 29 Sep 2006 p. 4323.]</w:t>
      </w:r>
    </w:p>
    <w:p>
      <w:pPr>
        <w:pStyle w:val="Heading5"/>
        <w:rPr>
          <w:snapToGrid w:val="0"/>
        </w:rPr>
      </w:pPr>
      <w:bookmarkStart w:id="408" w:name="_Toc437515756"/>
      <w:bookmarkStart w:id="409" w:name="_Toc436906003"/>
      <w:r>
        <w:rPr>
          <w:rStyle w:val="CharSectno"/>
        </w:rPr>
        <w:t>105</w:t>
      </w:r>
      <w:r>
        <w:rPr>
          <w:snapToGrid w:val="0"/>
        </w:rPr>
        <w:t>.</w:t>
      </w:r>
      <w:r>
        <w:rPr>
          <w:snapToGrid w:val="0"/>
        </w:rPr>
        <w:tab/>
        <w:t>Organised events and meetings</w:t>
      </w:r>
      <w:bookmarkEnd w:id="408"/>
      <w:bookmarkEnd w:id="409"/>
      <w:r>
        <w:rPr>
          <w:snapToGrid w:val="0"/>
        </w:rPr>
        <w:t xml:space="preserve"> </w:t>
      </w:r>
    </w:p>
    <w:p>
      <w:pPr>
        <w:pStyle w:val="Subsection"/>
        <w:spacing w:before="140"/>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spacing w:before="100"/>
      </w:pPr>
      <w:r>
        <w:tab/>
        <w:t>[Regulation 105 amended in Gazette 29 Sep 2006 p. 4323</w:t>
      </w:r>
      <w:r>
        <w:noBreakHyphen/>
        <w:t>4; 3 Dec 2010 p. 6052</w:t>
      </w:r>
      <w:r>
        <w:noBreakHyphen/>
        <w:t>4.]</w:t>
      </w:r>
    </w:p>
    <w:p>
      <w:pPr>
        <w:pStyle w:val="Heading5"/>
        <w:rPr>
          <w:snapToGrid w:val="0"/>
        </w:rPr>
      </w:pPr>
      <w:bookmarkStart w:id="410" w:name="_Toc437515757"/>
      <w:bookmarkStart w:id="411" w:name="_Toc436906004"/>
      <w:r>
        <w:rPr>
          <w:rStyle w:val="CharSectno"/>
        </w:rPr>
        <w:t>106</w:t>
      </w:r>
      <w:r>
        <w:rPr>
          <w:snapToGrid w:val="0"/>
        </w:rPr>
        <w:t>.</w:t>
      </w:r>
      <w:r>
        <w:rPr>
          <w:snapToGrid w:val="0"/>
        </w:rPr>
        <w:tab/>
        <w:t>Unlawful commercial operations</w:t>
      </w:r>
      <w:bookmarkEnd w:id="410"/>
      <w:bookmarkEnd w:id="411"/>
      <w:r>
        <w:rPr>
          <w:snapToGrid w:val="0"/>
        </w:rPr>
        <w:t xml:space="preserve"> </w:t>
      </w:r>
    </w:p>
    <w:p>
      <w:pPr>
        <w:pStyle w:val="Subsection"/>
        <w:spacing w:before="140"/>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spacing w:before="140"/>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spacing w:before="100"/>
      </w:pPr>
      <w:r>
        <w:tab/>
        <w:t>[Regulation 106 amended in Gazette 29 Sep 2006 p. 4324; 3 Dec 2010 p. 6052</w:t>
      </w:r>
      <w:r>
        <w:noBreakHyphen/>
        <w:t>4.]</w:t>
      </w:r>
    </w:p>
    <w:p>
      <w:pPr>
        <w:pStyle w:val="Heading5"/>
      </w:pPr>
      <w:bookmarkStart w:id="412" w:name="_Toc437515758"/>
      <w:bookmarkStart w:id="413" w:name="_Toc436906005"/>
      <w:r>
        <w:rPr>
          <w:rStyle w:val="CharSectno"/>
        </w:rPr>
        <w:t>107</w:t>
      </w:r>
      <w:r>
        <w:t>.</w:t>
      </w:r>
      <w:r>
        <w:tab/>
        <w:t>Distribution of printed matter and advertising material</w:t>
      </w:r>
      <w:bookmarkEnd w:id="412"/>
      <w:bookmarkEnd w:id="413"/>
    </w:p>
    <w:p>
      <w:pPr>
        <w:pStyle w:val="Subsection"/>
        <w:spacing w:before="140"/>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spacing w:before="60"/>
      </w:pPr>
      <w:r>
        <w:tab/>
        <w:t>(b)</w:t>
      </w:r>
      <w:r>
        <w:tab/>
        <w:t>distribute any printed or written matter for a commercial purpose; or</w:t>
      </w:r>
    </w:p>
    <w:p>
      <w:pPr>
        <w:pStyle w:val="Indenta"/>
        <w:spacing w:before="60"/>
      </w:pPr>
      <w:r>
        <w:tab/>
        <w:t>(c)</w:t>
      </w:r>
      <w:r>
        <w:tab/>
        <w:t>advertise or promote any product, service or event for a commercial purpose.</w:t>
      </w:r>
    </w:p>
    <w:p>
      <w:pPr>
        <w:pStyle w:val="Penstart"/>
      </w:pPr>
      <w:r>
        <w:tab/>
        <w:t>Penalty: a fine of $500.</w:t>
      </w:r>
    </w:p>
    <w:p>
      <w:pPr>
        <w:pStyle w:val="Footnotesection"/>
        <w:spacing w:before="100"/>
      </w:pPr>
      <w:r>
        <w:tab/>
        <w:t>[Regulation 107 inserted in Gazette 29 Sep 2006 p. 4324</w:t>
      </w:r>
      <w:r>
        <w:noBreakHyphen/>
        <w:t>5; amended in Gazette 3 Dec 2010 p. 6052</w:t>
      </w:r>
      <w:r>
        <w:noBreakHyphen/>
        <w:t>4.]</w:t>
      </w:r>
    </w:p>
    <w:p>
      <w:pPr>
        <w:pStyle w:val="Heading5"/>
        <w:spacing w:before="200"/>
        <w:rPr>
          <w:snapToGrid w:val="0"/>
        </w:rPr>
      </w:pPr>
      <w:bookmarkStart w:id="414" w:name="_Toc437515759"/>
      <w:bookmarkStart w:id="415" w:name="_Toc436906006"/>
      <w:r>
        <w:rPr>
          <w:rStyle w:val="CharSectno"/>
        </w:rPr>
        <w:t>108</w:t>
      </w:r>
      <w:r>
        <w:rPr>
          <w:snapToGrid w:val="0"/>
        </w:rPr>
        <w:t>.</w:t>
      </w:r>
      <w:r>
        <w:rPr>
          <w:snapToGrid w:val="0"/>
        </w:rPr>
        <w:tab/>
        <w:t>Photography for commercial purposes</w:t>
      </w:r>
      <w:bookmarkEnd w:id="414"/>
      <w:bookmarkEnd w:id="415"/>
      <w:r>
        <w:rPr>
          <w:snapToGrid w:val="0"/>
        </w:rPr>
        <w:t xml:space="preserve"> </w:t>
      </w:r>
    </w:p>
    <w:p>
      <w:pPr>
        <w:pStyle w:val="Subsection"/>
        <w:spacing w:before="140"/>
        <w:rPr>
          <w:snapToGrid w:val="0"/>
        </w:rPr>
      </w:pPr>
      <w:r>
        <w:rPr>
          <w:snapToGrid w:val="0"/>
        </w:rPr>
        <w:tab/>
      </w:r>
      <w:r>
        <w:rPr>
          <w:snapToGrid w:val="0"/>
        </w:rPr>
        <w:tab/>
        <w:t>A person must not, without lawful authority, take — </w:t>
      </w:r>
    </w:p>
    <w:p>
      <w:pPr>
        <w:pStyle w:val="Indenta"/>
        <w:spacing w:before="60"/>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spacing w:before="60"/>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spacing w:before="100"/>
      </w:pPr>
      <w:r>
        <w:tab/>
        <w:t>[Regulation 108 amended in Gazette 29 Sep 2006 p. 4325; 3 Dec 2010 p. 6052</w:t>
      </w:r>
      <w:r>
        <w:noBreakHyphen/>
        <w:t>4.]</w:t>
      </w:r>
    </w:p>
    <w:p>
      <w:pPr>
        <w:pStyle w:val="Heading5"/>
        <w:spacing w:before="200"/>
        <w:rPr>
          <w:snapToGrid w:val="0"/>
        </w:rPr>
      </w:pPr>
      <w:bookmarkStart w:id="416" w:name="_Toc437515760"/>
      <w:bookmarkStart w:id="417" w:name="_Toc436906007"/>
      <w:r>
        <w:rPr>
          <w:rStyle w:val="CharSectno"/>
        </w:rPr>
        <w:t>109</w:t>
      </w:r>
      <w:r>
        <w:rPr>
          <w:snapToGrid w:val="0"/>
        </w:rPr>
        <w:t>.</w:t>
      </w:r>
      <w:r>
        <w:rPr>
          <w:snapToGrid w:val="0"/>
        </w:rPr>
        <w:tab/>
        <w:t>Production of licences etc.</w:t>
      </w:r>
      <w:bookmarkEnd w:id="416"/>
      <w:bookmarkEnd w:id="417"/>
      <w:r>
        <w:rPr>
          <w:snapToGrid w:val="0"/>
        </w:rPr>
        <w:t xml:space="preserve"> </w:t>
      </w:r>
    </w:p>
    <w:p>
      <w:pPr>
        <w:pStyle w:val="Subsection"/>
        <w:spacing w:before="140"/>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spacing w:before="60"/>
      </w:pPr>
      <w:r>
        <w:tab/>
        <w:t>(a)</w:t>
      </w:r>
      <w:r>
        <w:tab/>
        <w:t>if it is a condition of the licence, permit, authorisation or pass that the holder produce the licence, permit, authorisation or pass upon demand of an authorised officer — at the time of the request; or</w:t>
      </w:r>
    </w:p>
    <w:p>
      <w:pPr>
        <w:pStyle w:val="Indenta"/>
        <w:spacing w:before="60"/>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spacing w:before="100"/>
      </w:pPr>
      <w:r>
        <w:tab/>
        <w:t>[Regulation 109 amended in Gazette 29 Sep 2006 p. 4325; 3 Dec 2010 p. 6052</w:t>
      </w:r>
      <w:r>
        <w:noBreakHyphen/>
        <w:t>4; 19 Sep 2014 p. 3336.]</w:t>
      </w:r>
    </w:p>
    <w:p>
      <w:pPr>
        <w:pStyle w:val="Heading5"/>
        <w:rPr>
          <w:snapToGrid w:val="0"/>
        </w:rPr>
      </w:pPr>
      <w:bookmarkStart w:id="418" w:name="_Toc437515761"/>
      <w:bookmarkStart w:id="419" w:name="_Toc436906008"/>
      <w:r>
        <w:rPr>
          <w:rStyle w:val="CharSectno"/>
        </w:rPr>
        <w:t>110</w:t>
      </w:r>
      <w:r>
        <w:rPr>
          <w:snapToGrid w:val="0"/>
        </w:rPr>
        <w:t>.</w:t>
      </w:r>
      <w:r>
        <w:rPr>
          <w:snapToGrid w:val="0"/>
        </w:rPr>
        <w:tab/>
        <w:t>False or misleading information</w:t>
      </w:r>
      <w:bookmarkEnd w:id="418"/>
      <w:bookmarkEnd w:id="41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w:t>
      </w:r>
      <w:r>
        <w:t>$2 000</w:t>
      </w:r>
      <w:r>
        <w:rPr>
          <w:snapToGrid w:val="0"/>
        </w:rPr>
        <w:t>.</w:t>
      </w:r>
    </w:p>
    <w:p>
      <w:pPr>
        <w:pStyle w:val="Footnotesection"/>
      </w:pPr>
      <w:r>
        <w:tab/>
        <w:t>[Regulation 110 amended in Gazette 3 Dec 2010 p. 6052</w:t>
      </w:r>
      <w:r>
        <w:noBreakHyphen/>
        <w:t>4; 19 Sep 2014 p. 3336.]</w:t>
      </w:r>
    </w:p>
    <w:p>
      <w:pPr>
        <w:pStyle w:val="Heading5"/>
        <w:rPr>
          <w:snapToGrid w:val="0"/>
        </w:rPr>
      </w:pPr>
      <w:bookmarkStart w:id="420" w:name="_Toc437515762"/>
      <w:bookmarkStart w:id="421" w:name="_Toc436906009"/>
      <w:r>
        <w:rPr>
          <w:rStyle w:val="CharSectno"/>
        </w:rPr>
        <w:t>111</w:t>
      </w:r>
      <w:r>
        <w:rPr>
          <w:snapToGrid w:val="0"/>
        </w:rPr>
        <w:t>.</w:t>
      </w:r>
      <w:r>
        <w:rPr>
          <w:snapToGrid w:val="0"/>
        </w:rPr>
        <w:tab/>
        <w:t>Signs — presumption</w:t>
      </w:r>
      <w:bookmarkEnd w:id="420"/>
      <w:bookmarkEnd w:id="421"/>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422" w:name="_Toc437515763"/>
      <w:bookmarkStart w:id="423" w:name="_Toc436906010"/>
      <w:r>
        <w:rPr>
          <w:rStyle w:val="CharSectno"/>
        </w:rPr>
        <w:t>111A</w:t>
      </w:r>
      <w:r>
        <w:t>.</w:t>
      </w:r>
      <w:r>
        <w:tab/>
        <w:t>Reasons for decisions</w:t>
      </w:r>
      <w:bookmarkEnd w:id="422"/>
      <w:bookmarkEnd w:id="423"/>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424" w:name="_Toc437515764"/>
      <w:bookmarkStart w:id="425" w:name="_Toc436906011"/>
      <w:r>
        <w:rPr>
          <w:rStyle w:val="CharSectno"/>
        </w:rPr>
        <w:t>112</w:t>
      </w:r>
      <w:r>
        <w:rPr>
          <w:snapToGrid w:val="0"/>
        </w:rPr>
        <w:t>.</w:t>
      </w:r>
      <w:r>
        <w:rPr>
          <w:snapToGrid w:val="0"/>
        </w:rPr>
        <w:tab/>
        <w:t>Infringement notices</w:t>
      </w:r>
      <w:bookmarkEnd w:id="424"/>
      <w:bookmarkEnd w:id="425"/>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426" w:name="_Toc437515765"/>
      <w:bookmarkStart w:id="427" w:name="_Toc436906012"/>
      <w:r>
        <w:rPr>
          <w:rStyle w:val="CharSectno"/>
        </w:rPr>
        <w:t>113</w:t>
      </w:r>
      <w:r>
        <w:rPr>
          <w:snapToGrid w:val="0"/>
        </w:rPr>
        <w:t>.</w:t>
      </w:r>
      <w:r>
        <w:rPr>
          <w:snapToGrid w:val="0"/>
        </w:rPr>
        <w:tab/>
        <w:t>Evidence</w:t>
      </w:r>
      <w:bookmarkEnd w:id="426"/>
      <w:bookmarkEnd w:id="427"/>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that the place at or in respect of which a contravention of a regulation is alleged to have occurred was, or was within, a restricted area declared for the purpose of that regulation; or</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2"/>
        <w:tabs>
          <w:tab w:val="left" w:pos="840"/>
        </w:tabs>
      </w:pPr>
      <w:bookmarkStart w:id="428" w:name="_Toc436903850"/>
      <w:bookmarkStart w:id="429" w:name="_Toc436905792"/>
      <w:bookmarkStart w:id="430" w:name="_Toc436906013"/>
      <w:bookmarkStart w:id="431" w:name="_Toc437515766"/>
      <w:r>
        <w:rPr>
          <w:rStyle w:val="CharPartNo"/>
        </w:rPr>
        <w:t>Part 10</w:t>
      </w:r>
      <w:r>
        <w:rPr>
          <w:rStyle w:val="CharDivNo"/>
        </w:rPr>
        <w:t> </w:t>
      </w:r>
      <w:r>
        <w:t>—</w:t>
      </w:r>
      <w:r>
        <w:rPr>
          <w:rStyle w:val="CharDivText"/>
        </w:rPr>
        <w:t> </w:t>
      </w:r>
      <w:r>
        <w:rPr>
          <w:rStyle w:val="CharPartText"/>
        </w:rPr>
        <w:t>Exclusion of operation of section 103A(3)</w:t>
      </w:r>
      <w:bookmarkEnd w:id="428"/>
      <w:bookmarkEnd w:id="429"/>
      <w:bookmarkEnd w:id="430"/>
      <w:bookmarkEnd w:id="431"/>
    </w:p>
    <w:p>
      <w:pPr>
        <w:pStyle w:val="Footnoteheading"/>
      </w:pPr>
      <w:r>
        <w:tab/>
        <w:t>[Heading inserted in Gazette 7 Dec 2012 p. 5966.]</w:t>
      </w:r>
    </w:p>
    <w:p>
      <w:pPr>
        <w:pStyle w:val="Heading5"/>
      </w:pPr>
      <w:bookmarkStart w:id="432" w:name="_Toc437515767"/>
      <w:bookmarkStart w:id="433" w:name="_Toc436906014"/>
      <w:r>
        <w:rPr>
          <w:rStyle w:val="CharSectno"/>
        </w:rPr>
        <w:t>114</w:t>
      </w:r>
      <w:r>
        <w:t>.</w:t>
      </w:r>
      <w:r>
        <w:tab/>
        <w:t>Terms used</w:t>
      </w:r>
      <w:bookmarkEnd w:id="432"/>
      <w:bookmarkEnd w:id="433"/>
    </w:p>
    <w:p>
      <w:pPr>
        <w:pStyle w:val="Subsection"/>
      </w:pPr>
      <w:r>
        <w:tab/>
      </w:r>
      <w:r>
        <w:tab/>
        <w:t xml:space="preserve">In this Part — </w:t>
      </w:r>
    </w:p>
    <w:p>
      <w:pPr>
        <w:pStyle w:val="Defstart"/>
      </w:pPr>
      <w:r>
        <w:tab/>
      </w:r>
      <w:r>
        <w:rPr>
          <w:rStyle w:val="CharDefText"/>
        </w:rPr>
        <w:t>recreational land</w:t>
      </w:r>
      <w:r>
        <w:t xml:space="preserve"> means CALM land that is, or is within 500 m of, any of the following —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Defstart"/>
      </w:pPr>
      <w:r>
        <w:tab/>
      </w:r>
      <w:r>
        <w:rPr>
          <w:rStyle w:val="CharDefText"/>
        </w:rPr>
        <w:t>visitor area</w:t>
      </w:r>
      <w:r>
        <w:t xml:space="preserve"> includes any of the following —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 xml:space="preserve">an area where any of the following have been provided for visitors — </w:t>
      </w:r>
    </w:p>
    <w:p>
      <w:pPr>
        <w:pStyle w:val="Indenti"/>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any building, facility or other erected or constructed thing,</w:t>
      </w:r>
    </w:p>
    <w:p>
      <w:pPr>
        <w:pStyle w:val="Defpara"/>
      </w:pPr>
      <w:r>
        <w:tab/>
      </w:r>
      <w:r>
        <w:tab/>
        <w:t>but does not include a walk trail or unsealed road.</w:t>
      </w:r>
    </w:p>
    <w:p>
      <w:pPr>
        <w:pStyle w:val="Footnotesection"/>
      </w:pPr>
      <w:r>
        <w:tab/>
        <w:t>[Regulation 114 inserted in Gazette 7 Dec 2012 p. 5966-7.]</w:t>
      </w:r>
    </w:p>
    <w:p>
      <w:pPr>
        <w:pStyle w:val="Heading5"/>
      </w:pPr>
      <w:bookmarkStart w:id="434" w:name="_Toc437515768"/>
      <w:bookmarkStart w:id="435" w:name="_Toc436906015"/>
      <w:r>
        <w:rPr>
          <w:rStyle w:val="CharSectno"/>
        </w:rPr>
        <w:t>115</w:t>
      </w:r>
      <w:r>
        <w:t>.</w:t>
      </w:r>
      <w:r>
        <w:tab/>
        <w:t>Exclusion of operation of section 103A(3) of the Act: animals</w:t>
      </w:r>
      <w:bookmarkEnd w:id="434"/>
      <w:bookmarkEnd w:id="435"/>
    </w:p>
    <w:p>
      <w:pPr>
        <w:pStyle w:val="Subsection"/>
      </w:pPr>
      <w:r>
        <w:tab/>
        <w:t>(1)</w:t>
      </w:r>
      <w:r>
        <w:tab/>
        <w:t xml:space="preserve">In this regulation — </w:t>
      </w:r>
    </w:p>
    <w:p>
      <w:pPr>
        <w:pStyle w:val="Defstart"/>
      </w:pPr>
      <w:r>
        <w:tab/>
      </w:r>
      <w:r>
        <w:rPr>
          <w:rStyle w:val="CharDefText"/>
        </w:rPr>
        <w:t>poison risk area</w:t>
      </w:r>
      <w:r>
        <w:t xml:space="preserve"> means an area shown on a poison risk map in which poison baits to control vertebrates may be present;</w:t>
      </w:r>
    </w:p>
    <w:p>
      <w:pPr>
        <w:pStyle w:val="Defstart"/>
      </w:pPr>
      <w:r>
        <w:tab/>
      </w:r>
      <w:r>
        <w:rPr>
          <w:rStyle w:val="CharDefText"/>
        </w:rPr>
        <w:t>poison risk map</w:t>
      </w:r>
      <w:r>
        <w:t xml:space="preserve"> means a map produced by the Department that — </w:t>
      </w:r>
    </w:p>
    <w:p>
      <w:pPr>
        <w:pStyle w:val="Defpara"/>
      </w:pPr>
      <w:r>
        <w:tab/>
        <w:t>(a)</w:t>
      </w:r>
      <w:r>
        <w:tab/>
        <w:t>shows poison risk areas; and</w:t>
      </w:r>
    </w:p>
    <w:p>
      <w:pPr>
        <w:pStyle w:val="Defpara"/>
      </w:pPr>
      <w:r>
        <w:tab/>
        <w:t>(b)</w:t>
      </w:r>
      <w:r>
        <w:tab/>
        <w:t>is available for inspection by the public during normal office hours at each district office of the Department nearest to a poison risk area.</w:t>
      </w:r>
    </w:p>
    <w:p>
      <w:pPr>
        <w:pStyle w:val="Subsection"/>
      </w:pPr>
      <w:r>
        <w:tab/>
        <w:t>(2)</w:t>
      </w:r>
      <w:r>
        <w:tab/>
        <w:t xml:space="preserve">The operation of section 103A(3) of the Act is excluded in relation to bringing an animal on to CALM land contrary to regulation 15(a) if — </w:t>
      </w:r>
    </w:p>
    <w:p>
      <w:pPr>
        <w:pStyle w:val="Indenta"/>
      </w:pPr>
      <w:r>
        <w:tab/>
        <w:t>(a)</w:t>
      </w:r>
      <w:r>
        <w:tab/>
        <w:t>the animal is brought on to the land without the written permission of the CEO; and</w:t>
      </w:r>
    </w:p>
    <w:p>
      <w:pPr>
        <w:pStyle w:val="Indenta"/>
      </w:pPr>
      <w:r>
        <w:tab/>
        <w:t>(b)</w:t>
      </w:r>
      <w:r>
        <w:tab/>
        <w:t>the land is in a poison risk area.</w:t>
      </w:r>
    </w:p>
    <w:p>
      <w:pPr>
        <w:pStyle w:val="Subsection"/>
      </w:pPr>
      <w:r>
        <w:tab/>
        <w:t>(3)</w:t>
      </w:r>
      <w:r>
        <w:tab/>
        <w:t xml:space="preserve">The operation of section 103A(3) of the Act is excluded in relation to bringing an animal on to CALM land contrary to regulation 15(a) if — </w:t>
      </w:r>
    </w:p>
    <w:p>
      <w:pPr>
        <w:pStyle w:val="Indenta"/>
        <w:spacing w:before="70"/>
      </w:pPr>
      <w:r>
        <w:tab/>
        <w:t>(a)</w:t>
      </w:r>
      <w:r>
        <w:tab/>
        <w:t>the animal is brought on to the land without the written permission of the CEO; and</w:t>
      </w:r>
    </w:p>
    <w:p>
      <w:pPr>
        <w:pStyle w:val="Indenta"/>
        <w:spacing w:before="70"/>
      </w:pPr>
      <w:r>
        <w:tab/>
        <w:t>(b)</w:t>
      </w:r>
      <w:r>
        <w:tab/>
        <w:t>the animal is not kept in a vehicle while on the land; and</w:t>
      </w:r>
    </w:p>
    <w:p>
      <w:pPr>
        <w:pStyle w:val="Indenta"/>
        <w:spacing w:before="70"/>
      </w:pPr>
      <w:r>
        <w:tab/>
        <w:t>(c)</w:t>
      </w:r>
      <w:r>
        <w:tab/>
        <w:t xml:space="preserve">the land is — </w:t>
      </w:r>
    </w:p>
    <w:p>
      <w:pPr>
        <w:pStyle w:val="Indenti"/>
        <w:spacing w:before="70"/>
      </w:pPr>
      <w:r>
        <w:tab/>
        <w:t>(i)</w:t>
      </w:r>
      <w:r>
        <w:tab/>
        <w:t>recreational land or urban land; or</w:t>
      </w:r>
    </w:p>
    <w:p>
      <w:pPr>
        <w:pStyle w:val="Indenti"/>
        <w:spacing w:before="70"/>
      </w:pPr>
      <w:r>
        <w:tab/>
        <w:t>(ii)</w:t>
      </w:r>
      <w:r>
        <w:tab/>
        <w:t>in a townsite; or</w:t>
      </w:r>
    </w:p>
    <w:p>
      <w:pPr>
        <w:pStyle w:val="Indenti"/>
        <w:spacing w:before="70"/>
      </w:pPr>
      <w:r>
        <w:tab/>
        <w:t>(iii)</w:t>
      </w:r>
      <w:r>
        <w:tab/>
        <w:t xml:space="preserve">in Tunnel Creek National Park (Reserve No. 26890), </w:t>
      </w:r>
      <w:smartTag w:uri="urn:schemas-microsoft-com:office:smarttags" w:element="place">
        <w:smartTag w:uri="urn:schemas-microsoft-com:office:smarttags" w:element="PlaceName">
          <w:r>
            <w:t>Geikie</w:t>
          </w:r>
        </w:smartTag>
        <w:r>
          <w:t xml:space="preserve"> </w:t>
        </w:r>
        <w:smartTag w:uri="urn:schemas-microsoft-com:office:smarttags" w:element="PlaceName">
          <w:r>
            <w:t>Gorge</w:t>
          </w:r>
        </w:smartTag>
        <w:r>
          <w:t xml:space="preserve"> </w:t>
        </w:r>
        <w:smartTag w:uri="urn:schemas-microsoft-com:office:smarttags" w:element="PlaceType">
          <w:r>
            <w:t>National Park</w:t>
          </w:r>
        </w:smartTag>
      </w:smartTag>
      <w:r>
        <w:t xml:space="preserve"> (Reserve No. 28401), or Marlgu Billabong and Telegraph Hill in Parry Lagoons Nature Reserve (Reserve No. 42155).</w:t>
      </w:r>
    </w:p>
    <w:p>
      <w:pPr>
        <w:pStyle w:val="Footnotesection"/>
      </w:pPr>
      <w:r>
        <w:tab/>
        <w:t>[Regulation 115 inserted in Gazette 7 Dec 2012 p. 5967-8.]</w:t>
      </w:r>
    </w:p>
    <w:p>
      <w:pPr>
        <w:pStyle w:val="Heading5"/>
      </w:pPr>
      <w:bookmarkStart w:id="436" w:name="_Toc437515769"/>
      <w:bookmarkStart w:id="437" w:name="_Toc436906016"/>
      <w:r>
        <w:rPr>
          <w:rStyle w:val="CharSectno"/>
        </w:rPr>
        <w:t>116</w:t>
      </w:r>
      <w:r>
        <w:t>.</w:t>
      </w:r>
      <w:r>
        <w:tab/>
        <w:t>Exclusion of operation of section 103A(3) of the Act: vehicles</w:t>
      </w:r>
      <w:bookmarkEnd w:id="436"/>
      <w:bookmarkEnd w:id="437"/>
    </w:p>
    <w:p>
      <w:pPr>
        <w:pStyle w:val="Subsection"/>
      </w:pPr>
      <w:r>
        <w:tab/>
        <w:t>(1)</w:t>
      </w:r>
      <w:r>
        <w:tab/>
        <w:t xml:space="preserve">The operation of section 103A(3) of the Act is excluded in relation to driving or riding a vehicle contrary to regulation 51(1) if the vehicle is driven or ridden without the written permission of the CEO — </w:t>
      </w:r>
    </w:p>
    <w:p>
      <w:pPr>
        <w:pStyle w:val="Indenta"/>
      </w:pPr>
      <w:r>
        <w:tab/>
        <w:t>(a)</w:t>
      </w:r>
      <w:r>
        <w:tab/>
        <w:t>on recreational land or urban land; or</w:t>
      </w:r>
    </w:p>
    <w:p>
      <w:pPr>
        <w:pStyle w:val="Indenta"/>
      </w:pPr>
      <w:r>
        <w:tab/>
        <w:t>(b)</w:t>
      </w:r>
      <w:r>
        <w:tab/>
        <w:t>in a townsite; or</w:t>
      </w:r>
    </w:p>
    <w:p>
      <w:pPr>
        <w:pStyle w:val="Indenta"/>
      </w:pPr>
      <w:r>
        <w:tab/>
        <w:t>(c)</w:t>
      </w:r>
      <w:r>
        <w:tab/>
        <w:t xml:space="preserve">in Boonanaring Nature Reserve (Reserve No. 41805), Drummond Nature Reserve (Reserve No. 42808) or </w:t>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Subsection"/>
      </w:pPr>
      <w:r>
        <w:tab/>
        <w:t>(2)</w:t>
      </w:r>
      <w:r>
        <w:tab/>
        <w:t>The operation of section 103A(3) of the Act is excluded in relation to driving or riding a vehicle contrary to regulation 51(3)(a) if the vehicle is so driven or ridden without the written permission of the CEO.</w:t>
      </w:r>
    </w:p>
    <w:p>
      <w:pPr>
        <w:pStyle w:val="Footnotesection"/>
      </w:pPr>
      <w:r>
        <w:tab/>
        <w:t>[Regulation 116 inserted in Gazette 7 Dec 2012 p. 5968.]</w:t>
      </w:r>
    </w:p>
    <w:p>
      <w:pPr>
        <w:pStyle w:val="Heading5"/>
      </w:pPr>
      <w:bookmarkStart w:id="438" w:name="_Toc437515770"/>
      <w:bookmarkStart w:id="439" w:name="_Toc436906017"/>
      <w:r>
        <w:rPr>
          <w:rStyle w:val="CharSectno"/>
        </w:rPr>
        <w:t>117</w:t>
      </w:r>
      <w:r>
        <w:t>.</w:t>
      </w:r>
      <w:r>
        <w:tab/>
        <w:t>Exclusion of operation of section 103A(3) of the Act: vessel</w:t>
      </w:r>
      <w:bookmarkEnd w:id="438"/>
      <w:bookmarkEnd w:id="439"/>
    </w:p>
    <w:p>
      <w:pPr>
        <w:pStyle w:val="Subsection"/>
      </w:pPr>
      <w:r>
        <w:tab/>
      </w:r>
      <w:r>
        <w:tab/>
        <w:t>The operation of section 103A(3) of the Act is excluded in relation to navigating a vessel contrary to regulation 61(a) or 64(1)(c) or (2)(c) if the vessel is so navigated without the written permission of the CEO.</w:t>
      </w:r>
    </w:p>
    <w:p>
      <w:pPr>
        <w:pStyle w:val="Footnotesection"/>
      </w:pPr>
      <w:r>
        <w:tab/>
        <w:t>[Regulation 117 inserted in Gazette 7 Dec 2012 p. 5968.]</w:t>
      </w:r>
    </w:p>
    <w:p>
      <w:pPr>
        <w:pStyle w:val="Heading5"/>
      </w:pPr>
      <w:bookmarkStart w:id="440" w:name="_Toc437515771"/>
      <w:bookmarkStart w:id="441" w:name="_Toc436906018"/>
      <w:r>
        <w:rPr>
          <w:rStyle w:val="CharSectno"/>
        </w:rPr>
        <w:t>118</w:t>
      </w:r>
      <w:r>
        <w:t>.</w:t>
      </w:r>
      <w:r>
        <w:tab/>
        <w:t>Exclusion of operation of section 103A(3) of the Act: fire</w:t>
      </w:r>
      <w:bookmarkEnd w:id="440"/>
      <w:bookmarkEnd w:id="441"/>
    </w:p>
    <w:p>
      <w:pPr>
        <w:pStyle w:val="Subsection"/>
      </w:pPr>
      <w:r>
        <w:tab/>
        <w:t>(1)</w:t>
      </w:r>
      <w:r>
        <w:tab/>
        <w:t xml:space="preserve">The operation of section 103A(3) of the Act is excluded in relation to lighting or kindling a fire contrary to section 104(1) of the Act or regulation 39(2) if the fire is lit or kindled without the written permission of the CEO on or in any of the following — </w:t>
      </w:r>
    </w:p>
    <w:p>
      <w:pPr>
        <w:pStyle w:val="Indenta"/>
        <w:spacing w:before="60"/>
      </w:pPr>
      <w:r>
        <w:tab/>
        <w:t>(a)</w:t>
      </w:r>
      <w:r>
        <w:tab/>
        <w:t>recreational land;</w:t>
      </w:r>
    </w:p>
    <w:p>
      <w:pPr>
        <w:pStyle w:val="Indenta"/>
        <w:spacing w:before="60"/>
      </w:pPr>
      <w:r>
        <w:tab/>
        <w:t>(b)</w:t>
      </w:r>
      <w:r>
        <w:tab/>
        <w:t>a townsite;</w:t>
      </w:r>
    </w:p>
    <w:p>
      <w:pPr>
        <w:pStyle w:val="Indenta"/>
        <w:spacing w:before="60"/>
      </w:pPr>
      <w:r>
        <w:tab/>
        <w:t>(c)</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a"/>
        <w:spacing w:before="60"/>
      </w:pPr>
      <w:r>
        <w:tab/>
        <w:t>(d)</w:t>
      </w:r>
      <w:r>
        <w:tab/>
        <w:t>urban land.</w:t>
      </w:r>
    </w:p>
    <w:p>
      <w:pPr>
        <w:pStyle w:val="Subsection"/>
      </w:pPr>
      <w:r>
        <w:tab/>
        <w:t>(2)</w:t>
      </w:r>
      <w:r>
        <w:tab/>
        <w:t xml:space="preserve">In subregulation (1)(d) — </w:t>
      </w:r>
    </w:p>
    <w:p>
      <w:pPr>
        <w:pStyle w:val="Defstart"/>
      </w:pPr>
      <w:r>
        <w:tab/>
      </w:r>
      <w:r>
        <w:rPr>
          <w:rStyle w:val="CharDefText"/>
        </w:rPr>
        <w:t>urban land</w:t>
      </w:r>
      <w:r>
        <w:t xml:space="preserve"> does not include land in — </w:t>
      </w:r>
    </w:p>
    <w:p>
      <w:pPr>
        <w:pStyle w:val="Defpara"/>
        <w:spacing w:before="60"/>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spacing w:before="60"/>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spacing w:before="60"/>
      </w:pPr>
      <w:r>
        <w:tab/>
        <w:t>(c)</w:t>
      </w:r>
      <w:r>
        <w:tab/>
        <w:t>Lane Poole Reserve (Reserve No. 39827);</w:t>
      </w:r>
    </w:p>
    <w:p>
      <w:pPr>
        <w:pStyle w:val="Defpara"/>
        <w:spacing w:before="60"/>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spacing w:before="60"/>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spacing w:before="60"/>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Subsection"/>
      </w:pPr>
      <w:r>
        <w:tab/>
        <w:t>(3)</w:t>
      </w:r>
      <w:r>
        <w:tab/>
        <w:t xml:space="preserve">The operation of section 103A(3) of the Act is excluded in relation to lighting or kindling a fire contrary to section 104(1) of the Act or regulation 39(2) on land, defined in section 102(1) of the Act as </w:t>
      </w:r>
      <w:r>
        <w:rPr>
          <w:b/>
          <w:i/>
        </w:rPr>
        <w:t>land to which this Part applies</w:t>
      </w:r>
      <w:r>
        <w:t xml:space="preserve">, other than land referred to in subregulation (1), unless it is lit or kindled — </w:t>
      </w:r>
    </w:p>
    <w:p>
      <w:pPr>
        <w:pStyle w:val="Indenta"/>
        <w:spacing w:before="60"/>
      </w:pPr>
      <w:r>
        <w:tab/>
        <w:t>(a)</w:t>
      </w:r>
      <w:r>
        <w:tab/>
        <w:t>for the purpose of cooking food; or</w:t>
      </w:r>
    </w:p>
    <w:p>
      <w:pPr>
        <w:pStyle w:val="Indenta"/>
        <w:spacing w:before="60"/>
      </w:pPr>
      <w:r>
        <w:tab/>
        <w:t>(b)</w:t>
      </w:r>
      <w:r>
        <w:tab/>
        <w:t>for the purpose of a camp fire; or</w:t>
      </w:r>
    </w:p>
    <w:p>
      <w:pPr>
        <w:pStyle w:val="Indenta"/>
        <w:spacing w:before="60"/>
      </w:pPr>
      <w:r>
        <w:tab/>
        <w:t>(c)</w:t>
      </w:r>
      <w:r>
        <w:tab/>
        <w:t>for the purpose of a ceremonial activity, such as a smoking ceremony, during which activity the fire is confined to an area of less than 1 m</w:t>
      </w:r>
      <w:r>
        <w:rPr>
          <w:vertAlign w:val="superscript"/>
        </w:rPr>
        <w:t>2</w:t>
      </w:r>
      <w:r>
        <w:t>; or</w:t>
      </w:r>
    </w:p>
    <w:p>
      <w:pPr>
        <w:pStyle w:val="Indenta"/>
        <w:spacing w:before="60"/>
      </w:pPr>
      <w:r>
        <w:tab/>
        <w:t>(d)</w:t>
      </w:r>
      <w:r>
        <w:tab/>
        <w:t>for an Aboriginal customary purpose, other than a purpose referred to in paragraph (a), (b) or (c), with the written permission of the CEO.</w:t>
      </w:r>
    </w:p>
    <w:p>
      <w:pPr>
        <w:pStyle w:val="Subsection"/>
      </w:pPr>
      <w:r>
        <w:tab/>
        <w:t>(4)</w:t>
      </w:r>
      <w:r>
        <w:tab/>
        <w:t>The operation of section 103A(3) of the Act is excluded in relation to lighting or kindling a fire contrary to regulation 39(1)(b) if the fire is lit or kindled without the written permission of the CEO.</w:t>
      </w:r>
    </w:p>
    <w:p>
      <w:pPr>
        <w:pStyle w:val="Footnotesection"/>
      </w:pPr>
      <w:r>
        <w:tab/>
        <w:t>[Regulation 118 inserted in Gazette 7 Dec 2012 p. 5968-9.]</w:t>
      </w:r>
    </w:p>
    <w:p>
      <w:pPr>
        <w:pStyle w:val="Heading5"/>
      </w:pPr>
      <w:bookmarkStart w:id="442" w:name="_Toc437515772"/>
      <w:bookmarkStart w:id="443" w:name="_Toc436906019"/>
      <w:r>
        <w:rPr>
          <w:rStyle w:val="CharSectno"/>
        </w:rPr>
        <w:t>119</w:t>
      </w:r>
      <w:r>
        <w:t>.</w:t>
      </w:r>
      <w:r>
        <w:tab/>
        <w:t>Exclusion of operation of section 103A(3) of the Act: camping</w:t>
      </w:r>
      <w:bookmarkEnd w:id="442"/>
      <w:bookmarkEnd w:id="443"/>
    </w:p>
    <w:p>
      <w:pPr>
        <w:pStyle w:val="Subsection"/>
      </w:pPr>
      <w:r>
        <w:tab/>
        <w:t>(1)</w:t>
      </w:r>
      <w:r>
        <w:tab/>
        <w:t xml:space="preserve">The operation of section 103A(3) of the Act is excluded in relation to a person camping temporarily on CALM land contrary to regulation 66(1) if the person camps on the land — </w:t>
      </w:r>
    </w:p>
    <w:p>
      <w:pPr>
        <w:pStyle w:val="Indenta"/>
      </w:pPr>
      <w:r>
        <w:tab/>
        <w:t>(a)</w:t>
      </w:r>
      <w:r>
        <w:tab/>
        <w:t>without the written permission of the CEO; and</w:t>
      </w:r>
    </w:p>
    <w:p>
      <w:pPr>
        <w:pStyle w:val="Indenta"/>
      </w:pPr>
      <w:r>
        <w:tab/>
        <w:t>(b)</w:t>
      </w:r>
      <w:r>
        <w:tab/>
        <w:t>for more than 28 consecutive days, unless it is necessary to camp on the land for a longer period (not exceeding 84 consecutive days) for ceremonial purposes.</w:t>
      </w:r>
    </w:p>
    <w:p>
      <w:pPr>
        <w:pStyle w:val="Subsection"/>
      </w:pPr>
      <w:r>
        <w:tab/>
        <w:t>(2)</w:t>
      </w:r>
      <w:r>
        <w:tab/>
        <w:t xml:space="preserve">The operation of section 103A(3) of the Act is excluded in relation to a person camping temporarily on CALM land contrary to regulation 66(1) if the person camps on the land without the written permission of the CEO and the land is — </w:t>
      </w:r>
    </w:p>
    <w:p>
      <w:pPr>
        <w:pStyle w:val="Indenta"/>
      </w:pPr>
      <w:r>
        <w:tab/>
        <w:t>(a)</w:t>
      </w:r>
      <w:r>
        <w:tab/>
        <w:t>recreational land; or</w:t>
      </w:r>
    </w:p>
    <w:p>
      <w:pPr>
        <w:pStyle w:val="Indenta"/>
      </w:pPr>
      <w:r>
        <w:tab/>
        <w:t>(b)</w:t>
      </w:r>
      <w:r>
        <w:tab/>
        <w:t xml:space="preserve">in one of the following — </w:t>
      </w:r>
    </w:p>
    <w:p>
      <w:pPr>
        <w:pStyle w:val="Indenti"/>
      </w:pPr>
      <w:r>
        <w:tab/>
        <w:t>(i)</w:t>
      </w:r>
      <w:r>
        <w:tab/>
        <w:t>a townsite;</w:t>
      </w:r>
    </w:p>
    <w:p>
      <w:pPr>
        <w:pStyle w:val="Indenti"/>
      </w:pPr>
      <w:r>
        <w:tab/>
        <w:t>(ii)</w:t>
      </w:r>
      <w:r>
        <w:tab/>
        <w:t>Boonanaring Nature Reserve (Reserve No. 41805);</w:t>
      </w:r>
    </w:p>
    <w:p>
      <w:pPr>
        <w:pStyle w:val="Indenti"/>
      </w:pPr>
      <w:r>
        <w:tab/>
        <w:t>(iii)</w:t>
      </w:r>
      <w:r>
        <w:tab/>
        <w:t>Drummond Nature Reserve (Reserve No. 42808);</w:t>
      </w:r>
    </w:p>
    <w:p>
      <w:pPr>
        <w:pStyle w:val="Indenti"/>
      </w:pPr>
      <w:r>
        <w:tab/>
        <w:t>(iv)</w:t>
      </w:r>
      <w:r>
        <w:tab/>
      </w:r>
      <w:smartTag w:uri="urn:schemas-microsoft-com:office:smarttags" w:element="place">
        <w:smartTag w:uri="urn:schemas-microsoft-com:office:smarttags" w:element="PlaceName">
          <w:r>
            <w:t>Moore</w:t>
          </w:r>
        </w:smartTag>
        <w:r>
          <w:t xml:space="preserve"> </w:t>
        </w:r>
        <w:smartTag w:uri="urn:schemas-microsoft-com:office:smarttags" w:element="PlaceType">
          <w:r>
            <w:t>River</w:t>
          </w:r>
        </w:smartTag>
      </w:smartTag>
      <w:r>
        <w:t xml:space="preserve"> Nature Reserve (Reserve No. 41830);</w:t>
      </w:r>
    </w:p>
    <w:p>
      <w:pPr>
        <w:pStyle w:val="Indenti"/>
      </w:pPr>
      <w:r>
        <w:tab/>
        <w:t>(v)</w:t>
      </w:r>
      <w:r>
        <w:tab/>
      </w:r>
      <w:smartTag w:uri="urn:schemas-microsoft-com:office:smarttags" w:element="place">
        <w:smartTag w:uri="urn:schemas-microsoft-com:office:smarttags" w:element="PlaceName">
          <w:r>
            <w:t>Tunnel</w:t>
          </w:r>
        </w:smartTag>
        <w:r>
          <w:t xml:space="preserve"> </w:t>
        </w:r>
        <w:smartTag w:uri="urn:schemas-microsoft-com:office:smarttags" w:element="PlaceType">
          <w:r>
            <w:t>Creek</w:t>
          </w:r>
        </w:smartTag>
        <w:r>
          <w:t xml:space="preserve"> </w:t>
        </w:r>
        <w:smartTag w:uri="urn:schemas-microsoft-com:office:smarttags" w:element="PlaceType">
          <w:r>
            <w:t>National Park</w:t>
          </w:r>
        </w:smartTag>
      </w:smartTag>
      <w:r>
        <w:t>;</w:t>
      </w:r>
    </w:p>
    <w:p>
      <w:pPr>
        <w:pStyle w:val="Indenta"/>
      </w:pPr>
      <w:r>
        <w:tab/>
      </w:r>
      <w:r>
        <w:tab/>
        <w:t>or</w:t>
      </w:r>
    </w:p>
    <w:p>
      <w:pPr>
        <w:pStyle w:val="Indenta"/>
      </w:pPr>
      <w:r>
        <w:tab/>
        <w:t>(c)</w:t>
      </w:r>
      <w:r>
        <w:tab/>
        <w:t>urban land.</w:t>
      </w:r>
    </w:p>
    <w:p>
      <w:pPr>
        <w:pStyle w:val="Subsection"/>
        <w:keepNext/>
      </w:pPr>
      <w:r>
        <w:tab/>
        <w:t>(3)</w:t>
      </w:r>
      <w:r>
        <w:tab/>
        <w:t xml:space="preserve">In subregulation (2)(c) — </w:t>
      </w:r>
    </w:p>
    <w:p>
      <w:pPr>
        <w:pStyle w:val="Defstart"/>
        <w:keepNext/>
      </w:pPr>
      <w:r>
        <w:tab/>
      </w:r>
      <w:r>
        <w:rPr>
          <w:rStyle w:val="CharDefText"/>
        </w:rPr>
        <w:t>urban land</w:t>
      </w:r>
      <w:r>
        <w:t xml:space="preserve"> does not include land in — </w:t>
      </w:r>
    </w:p>
    <w:p>
      <w:pPr>
        <w:pStyle w:val="Defpara"/>
      </w:pPr>
      <w:r>
        <w:tab/>
        <w:t>(a)</w:t>
      </w:r>
      <w:r>
        <w:tab/>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r>
          <w:t xml:space="preserve"> </w:t>
        </w:r>
        <w:smartTag w:uri="urn:schemas-microsoft-com:office:smarttags" w:element="PlaceType">
          <w:r>
            <w:t>National Park</w:t>
          </w:r>
        </w:smartTag>
      </w:smartTag>
      <w:r>
        <w:t xml:space="preserve"> (Reserve No. 30192);</w:t>
      </w:r>
    </w:p>
    <w:p>
      <w:pPr>
        <w:pStyle w:val="Defpara"/>
      </w:pPr>
      <w:r>
        <w:tab/>
        <w:t>(b)</w:t>
      </w:r>
      <w:r>
        <w:tab/>
      </w:r>
      <w:smartTag w:uri="urn:schemas-microsoft-com:office:smarttags" w:element="PlaceName">
        <w:r>
          <w:t>Dwellingup</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14);</w:t>
      </w:r>
    </w:p>
    <w:p>
      <w:pPr>
        <w:pStyle w:val="Defpara"/>
      </w:pPr>
      <w:r>
        <w:tab/>
        <w:t>(c)</w:t>
      </w:r>
      <w:r>
        <w:tab/>
        <w:t>Lane Poole Reserve (Reserve No. 39827);</w:t>
      </w:r>
    </w:p>
    <w:p>
      <w:pPr>
        <w:pStyle w:val="Defpara"/>
      </w:pPr>
      <w:r>
        <w:tab/>
        <w:t>(d)</w:t>
      </w:r>
      <w:r>
        <w:tab/>
      </w:r>
      <w:smartTag w:uri="urn:schemas-microsoft-com:office:smarttags" w:element="PlaceName">
        <w:r>
          <w:t>Jarrahdale</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22);</w:t>
      </w:r>
    </w:p>
    <w:p>
      <w:pPr>
        <w:pStyle w:val="Defpara"/>
      </w:pPr>
      <w:r>
        <w:tab/>
        <w:t>(e)</w:t>
      </w:r>
      <w:r>
        <w:tab/>
      </w:r>
      <w:smartTag w:uri="urn:schemas-microsoft-com:office:smarttags" w:element="PlaceName">
        <w:r>
          <w:t>Moore</w:t>
        </w:r>
      </w:smartTag>
      <w:r>
        <w:t xml:space="preserve"> </w:t>
      </w:r>
      <w:smartTag w:uri="urn:schemas-microsoft-com:office:smarttags" w:element="PlaceType">
        <w:r>
          <w:t>River</w:t>
        </w:r>
      </w:smartTag>
      <w:r>
        <w:t xml:space="preserve"> </w:t>
      </w:r>
      <w:smartTag w:uri="urn:schemas-microsoft-com:office:smarttags" w:element="PlaceType">
        <w:r>
          <w:t>State</w:t>
        </w:r>
      </w:smartTag>
      <w:r>
        <w:t xml:space="preserve"> </w:t>
      </w:r>
      <w:smartTag w:uri="urn:schemas-microsoft-com:office:smarttags" w:element="PlaceType">
        <w:r>
          <w:t>Forest</w:t>
        </w:r>
      </w:smartTag>
      <w:r>
        <w:t xml:space="preserve"> (</w:t>
      </w:r>
      <w:smartTag w:uri="urn:schemas-microsoft-com:office:smarttags" w:element="place">
        <w:smartTag w:uri="urn:schemas-microsoft-com:office:smarttags" w:element="PlaceType">
          <w:r>
            <w:t>State</w:t>
          </w:r>
        </w:smartTag>
        <w:r>
          <w:t xml:space="preserve"> </w:t>
        </w:r>
        <w:smartTag w:uri="urn:schemas-microsoft-com:office:smarttags" w:element="PlaceType">
          <w:r>
            <w:t>Forest</w:t>
          </w:r>
        </w:smartTag>
      </w:smartTag>
      <w:r>
        <w:t xml:space="preserve"> 65);</w:t>
      </w:r>
    </w:p>
    <w:p>
      <w:pPr>
        <w:pStyle w:val="Defpara"/>
      </w:pPr>
      <w:r>
        <w:tab/>
        <w:t>(f)</w:t>
      </w:r>
      <w:r>
        <w:tab/>
      </w:r>
      <w:smartTag w:uri="urn:schemas-microsoft-com:office:smarttags" w:element="place">
        <w:smartTag w:uri="urn:schemas-microsoft-com:office:smarttags" w:element="PlaceName">
          <w:r>
            <w:t>Walyunga</w:t>
          </w:r>
        </w:smartTag>
        <w:r>
          <w:t xml:space="preserve"> </w:t>
        </w:r>
        <w:smartTag w:uri="urn:schemas-microsoft-com:office:smarttags" w:element="PlaceType">
          <w:r>
            <w:t>National Park</w:t>
          </w:r>
        </w:smartTag>
      </w:smartTag>
      <w:r>
        <w:t xml:space="preserve"> (Reserve No. 2065).</w:t>
      </w:r>
    </w:p>
    <w:p>
      <w:pPr>
        <w:pStyle w:val="Footnotesection"/>
      </w:pPr>
      <w:r>
        <w:tab/>
        <w:t>[Regulation 119 inserted in Gazette 7 Dec 2012 p. 5969-70.]</w:t>
      </w:r>
    </w:p>
    <w:p>
      <w:pPr>
        <w:pStyle w:val="Heading5"/>
      </w:pPr>
      <w:bookmarkStart w:id="444" w:name="_Toc437515773"/>
      <w:bookmarkStart w:id="445" w:name="_Toc436906020"/>
      <w:r>
        <w:rPr>
          <w:rStyle w:val="CharSectno"/>
        </w:rPr>
        <w:t>120</w:t>
      </w:r>
      <w:r>
        <w:t>.</w:t>
      </w:r>
      <w:r>
        <w:tab/>
        <w:t>Exclusion of operation of section 103A(3) of the Act: entering land</w:t>
      </w:r>
      <w:bookmarkEnd w:id="444"/>
      <w:bookmarkEnd w:id="445"/>
    </w:p>
    <w:p>
      <w:pPr>
        <w:pStyle w:val="Subsection"/>
      </w:pPr>
      <w:r>
        <w:tab/>
        <w:t>(1)</w:t>
      </w:r>
      <w:r>
        <w:tab/>
        <w:t>The operation of section 103A(3) of the Act is excluded in relation to entering land contrary to regulation 41(a), (b) and (c), 42 or 43 if the entry is made without the written permission of the CEO.</w:t>
      </w:r>
    </w:p>
    <w:p>
      <w:pPr>
        <w:pStyle w:val="Subsection"/>
      </w:pPr>
      <w:r>
        <w:tab/>
        <w:t>(2)</w:t>
      </w:r>
      <w:r>
        <w:tab/>
        <w:t>The operation of section 103A(3) of the Act is excluded in relation to entering land contrary to regulation 46(1) or 48 if the entry is made without the written permission of the CEO.</w:t>
      </w:r>
    </w:p>
    <w:p>
      <w:pPr>
        <w:pStyle w:val="Footnotesection"/>
      </w:pPr>
      <w:r>
        <w:tab/>
        <w:t>[Regulation 120 inserted in Gazette 7 Dec 2012 p. 5970.]</w:t>
      </w:r>
    </w:p>
    <w:p>
      <w:pPr>
        <w:pStyle w:val="Heading5"/>
      </w:pPr>
      <w:bookmarkStart w:id="446" w:name="_Toc437515774"/>
      <w:bookmarkStart w:id="447" w:name="_Toc436906021"/>
      <w:r>
        <w:rPr>
          <w:rStyle w:val="CharSectno"/>
        </w:rPr>
        <w:t>121</w:t>
      </w:r>
      <w:r>
        <w:t>.</w:t>
      </w:r>
      <w:r>
        <w:tab/>
        <w:t>Exclusion of operation of section 103A(3) of the Act: protected thing</w:t>
      </w:r>
      <w:bookmarkEnd w:id="446"/>
      <w:bookmarkEnd w:id="447"/>
    </w:p>
    <w:p>
      <w:pPr>
        <w:pStyle w:val="Subsection"/>
      </w:pPr>
      <w:r>
        <w:tab/>
        <w:t>(1)</w:t>
      </w:r>
      <w:r>
        <w:tab/>
        <w:t xml:space="preserve">In this regulation — </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fish</w:t>
      </w:r>
      <w:r>
        <w:t xml:space="preserve"> has the meaning given in the </w:t>
      </w:r>
      <w:r>
        <w:rPr>
          <w:i/>
        </w:rPr>
        <w:t>Fish Resources Management Act 1994</w:t>
      </w:r>
      <w:r>
        <w:t xml:space="preserve"> section 4(1);</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a camping area;</w:t>
      </w:r>
    </w:p>
    <w:p>
      <w:pPr>
        <w:pStyle w:val="Defpara"/>
      </w:pPr>
      <w:r>
        <w:tab/>
        <w:t>(d)</w:t>
      </w:r>
      <w:r>
        <w:tab/>
        <w:t>a visitor area.</w:t>
      </w:r>
    </w:p>
    <w:p>
      <w:pPr>
        <w:pStyle w:val="Subsection"/>
      </w:pPr>
      <w:r>
        <w:tab/>
        <w:t>(2)</w:t>
      </w:r>
      <w:r>
        <w:tab/>
        <w:t xml:space="preserve">Subject to subregulation (3), the operation of section 103A(3) of the Act is excluded in relation to — </w:t>
      </w:r>
    </w:p>
    <w:p>
      <w:pPr>
        <w:pStyle w:val="Indenta"/>
      </w:pPr>
      <w:r>
        <w:tab/>
        <w:t>(a)</w:t>
      </w:r>
      <w:r>
        <w:tab/>
        <w:t>taking fauna that is fish contrary to section 101C of the Act; and</w:t>
      </w:r>
    </w:p>
    <w:p>
      <w:pPr>
        <w:pStyle w:val="Indenta"/>
      </w:pPr>
      <w:r>
        <w:tab/>
        <w:t>(b)</w:t>
      </w:r>
      <w:r>
        <w:tab/>
        <w:t>taking flora or fauna other than fish contrary to section 101C of the Act if the flora or fauna is taken in a marine nature reserve or any land or water in a marine park classified as a sanctuary area.</w:t>
      </w:r>
    </w:p>
    <w:p>
      <w:pPr>
        <w:pStyle w:val="Subsection"/>
        <w:spacing w:before="140"/>
      </w:pPr>
      <w:r>
        <w:tab/>
        <w:t>(3)</w:t>
      </w:r>
      <w:r>
        <w:tab/>
        <w:t xml:space="preserve">Subregulation (2)(a) does not apply in relation to fish taken in accordance with the </w:t>
      </w:r>
      <w:r>
        <w:rPr>
          <w:i/>
        </w:rPr>
        <w:t>Fish Resources Management Act 1994</w:t>
      </w:r>
      <w:r>
        <w:t>.</w:t>
      </w:r>
    </w:p>
    <w:p>
      <w:pPr>
        <w:pStyle w:val="Subsection"/>
        <w:spacing w:before="140"/>
      </w:pPr>
      <w:r>
        <w:tab/>
        <w:t>(4)</w:t>
      </w:r>
      <w:r>
        <w:tab/>
        <w:t>The operation of section 103A(3) of the Act is excluded in relation to removing firewood contrary to section 103(1) of the Act if the firewood is removed without the written permission of the CEO.</w:t>
      </w:r>
    </w:p>
    <w:p>
      <w:pPr>
        <w:pStyle w:val="Subsection"/>
      </w:pPr>
      <w:r>
        <w:tab/>
        <w:t>(5A)</w:t>
      </w:r>
      <w:r>
        <w:tab/>
        <w:t>The operation of section 103A(3) of the Act is excluded in relation to taking fauna contrary to regulation 8(1) if the fauna is taken with a firearm other than a category A firearm or a category B firearm.</w:t>
      </w:r>
    </w:p>
    <w:p>
      <w:pPr>
        <w:pStyle w:val="Subsection"/>
        <w:spacing w:before="140"/>
      </w:pPr>
      <w:r>
        <w:tab/>
        <w:t>(5)</w:t>
      </w:r>
      <w:r>
        <w:tab/>
        <w:t xml:space="preserve">The operation of section 103A(3) of the Act is excluded in relation to taking fauna contrary to regulation 8(1) if the fauna is taken — </w:t>
      </w:r>
    </w:p>
    <w:p>
      <w:pPr>
        <w:pStyle w:val="Indenta"/>
        <w:spacing w:before="60"/>
      </w:pPr>
      <w:r>
        <w:tab/>
        <w:t>(a)</w:t>
      </w:r>
      <w:r>
        <w:tab/>
        <w:t>without the written permission of the CEO; and</w:t>
      </w:r>
    </w:p>
    <w:p>
      <w:pPr>
        <w:pStyle w:val="Indenta"/>
        <w:spacing w:before="60"/>
      </w:pPr>
      <w:r>
        <w:tab/>
        <w:t>(b)</w:t>
      </w:r>
      <w:r>
        <w:tab/>
        <w:t>on urban land or in a townsite.</w:t>
      </w:r>
    </w:p>
    <w:p>
      <w:pPr>
        <w:pStyle w:val="Subsection"/>
      </w:pPr>
      <w:r>
        <w:tab/>
        <w:t>(6A)</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(6B)</w:t>
      </w:r>
      <w:r>
        <w:tab/>
        <w:t>The operation of section 103A(3) of the Act is excluded in relation to taking fauna contrary to regulation 8(1) if the fauna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Subsection"/>
        <w:spacing w:before="140"/>
      </w:pPr>
      <w:r>
        <w:tab/>
        <w:t>(6)</w:t>
      </w:r>
      <w:r>
        <w:tab/>
        <w:t xml:space="preserve">The operation of section 103A(3) of the Act is excluded in relation to taking flora contrary to regulation 8(1) if the flora is taken — </w:t>
      </w:r>
    </w:p>
    <w:p>
      <w:pPr>
        <w:pStyle w:val="Indenta"/>
        <w:spacing w:before="60"/>
      </w:pPr>
      <w:r>
        <w:tab/>
        <w:t>(a)</w:t>
      </w:r>
      <w:r>
        <w:tab/>
        <w:t>without the written permission of the CEO; and</w:t>
      </w:r>
    </w:p>
    <w:p>
      <w:pPr>
        <w:pStyle w:val="Indenta"/>
        <w:spacing w:before="60"/>
      </w:pPr>
      <w:r>
        <w:tab/>
        <w:t>(b)</w:t>
      </w:r>
      <w:r>
        <w:tab/>
        <w:t>on recreational land, urban land or in a townsite.</w:t>
      </w:r>
    </w:p>
    <w:p>
      <w:pPr>
        <w:pStyle w:val="Subsection"/>
      </w:pPr>
      <w:r>
        <w:tab/>
        <w:t>(7A)</w:t>
      </w:r>
      <w:r>
        <w:tab/>
        <w:t>The operation of section 103A(3) of the Act is excluded in relation to taking a non</w:t>
      </w:r>
      <w:r>
        <w:noBreakHyphen/>
        <w:t>indigenous animal contrary to regulation 18 if the animal is taken with a firearm other than a category A firearm or a category B firearm.</w:t>
      </w:r>
    </w:p>
    <w:p>
      <w:pPr>
        <w:pStyle w:val="Subsection"/>
        <w:spacing w:before="130"/>
      </w:pPr>
      <w:r>
        <w:tab/>
        <w:t>(7)</w:t>
      </w:r>
      <w:r>
        <w:tab/>
        <w:t>The operation of section 103A(3) of the Act is excluded in relation to taking a non</w:t>
      </w:r>
      <w:r>
        <w:noBreakHyphen/>
        <w:t xml:space="preserve">indigenous animal contrary to regulation 18 if the animal is taken — </w:t>
      </w:r>
    </w:p>
    <w:p>
      <w:pPr>
        <w:pStyle w:val="Indenta"/>
        <w:spacing w:before="60"/>
      </w:pPr>
      <w:r>
        <w:tab/>
        <w:t>(a)</w:t>
      </w:r>
      <w:r>
        <w:tab/>
        <w:t>without the written permission of the CEO; and</w:t>
      </w:r>
    </w:p>
    <w:p>
      <w:pPr>
        <w:pStyle w:val="Indenta"/>
        <w:keepNext/>
        <w:spacing w:before="60"/>
      </w:pPr>
      <w:r>
        <w:tab/>
        <w:t>(b)</w:t>
      </w:r>
      <w:r>
        <w:tab/>
        <w:t>on urban land or in a townsite.</w:t>
      </w:r>
    </w:p>
    <w:p>
      <w:pPr>
        <w:pStyle w:val="Subsection"/>
      </w:pPr>
      <w:r>
        <w:tab/>
        <w:t>(8)</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land that is a relevant area or — </w:t>
      </w:r>
    </w:p>
    <w:p>
      <w:pPr>
        <w:pStyle w:val="Indenti"/>
      </w:pPr>
      <w:r>
        <w:tab/>
        <w:t>(i)</w:t>
      </w:r>
      <w:r>
        <w:tab/>
        <w:t>if the animal is taken with a category A firearm — within 1.5 km of a relevant area; or</w:t>
      </w:r>
    </w:p>
    <w:p>
      <w:pPr>
        <w:pStyle w:val="Indenti"/>
      </w:pPr>
      <w:r>
        <w:tab/>
        <w:t>(ii)</w:t>
      </w:r>
      <w:r>
        <w:tab/>
        <w:t>if the animal is taken with a category B firearm — within 3 km of a relevant area.</w:t>
      </w:r>
    </w:p>
    <w:p>
      <w:pPr>
        <w:pStyle w:val="Subsection"/>
      </w:pPr>
      <w:r>
        <w:tab/>
        <w:t>(9)</w:t>
      </w:r>
      <w:r>
        <w:tab/>
        <w:t>The operation of section 103A(3) of the Act is excluded in relation to taking a non</w:t>
      </w:r>
      <w:r>
        <w:noBreakHyphen/>
        <w:t>indigenous animal contrary to regulation 18 if the animal is taken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land that is a relevant area or within 1 km of a relevant area.</w:t>
      </w:r>
    </w:p>
    <w:p>
      <w:pPr>
        <w:pStyle w:val="Footnotesection"/>
        <w:spacing w:before="100"/>
      </w:pPr>
      <w:r>
        <w:tab/>
        <w:t>[Regulation 121 inserted in Gazette 7 Dec 2012 p. 5970-1; amended in Gazette 19 Sep 2014 p. 3331</w:t>
      </w:r>
      <w:r>
        <w:noBreakHyphen/>
        <w:t>3.]</w:t>
      </w:r>
    </w:p>
    <w:p>
      <w:pPr>
        <w:pStyle w:val="Heading5"/>
        <w:spacing w:before="200"/>
      </w:pPr>
      <w:bookmarkStart w:id="448" w:name="_Toc437515775"/>
      <w:bookmarkStart w:id="449" w:name="_Toc436906022"/>
      <w:r>
        <w:rPr>
          <w:rStyle w:val="CharSectno"/>
        </w:rPr>
        <w:t>122</w:t>
      </w:r>
      <w:r>
        <w:t>.</w:t>
      </w:r>
      <w:r>
        <w:tab/>
        <w:t>Permission of CEO</w:t>
      </w:r>
      <w:bookmarkEnd w:id="448"/>
      <w:bookmarkEnd w:id="449"/>
    </w:p>
    <w:p>
      <w:pPr>
        <w:pStyle w:val="Subsection"/>
        <w:spacing w:before="130"/>
      </w:pPr>
      <w:r>
        <w:tab/>
        <w:t>(1)</w:t>
      </w:r>
      <w:r>
        <w:tab/>
        <w:t xml:space="preserve">When giving written permission for the purpose of regulations 115 to 121, the CEO is to specify in the permission — </w:t>
      </w:r>
    </w:p>
    <w:p>
      <w:pPr>
        <w:pStyle w:val="Indenta"/>
        <w:spacing w:before="60"/>
      </w:pPr>
      <w:r>
        <w:tab/>
        <w:t>(a)</w:t>
      </w:r>
      <w:r>
        <w:tab/>
        <w:t>the person or persons or group, body or association of persons to whom the permission applies; and</w:t>
      </w:r>
    </w:p>
    <w:p>
      <w:pPr>
        <w:pStyle w:val="Indenta"/>
        <w:spacing w:before="60"/>
      </w:pPr>
      <w:r>
        <w:tab/>
        <w:t>(b)</w:t>
      </w:r>
      <w:r>
        <w:tab/>
        <w:t>the conditions, if any, subject to which the permission is given.</w:t>
      </w:r>
    </w:p>
    <w:p>
      <w:pPr>
        <w:pStyle w:val="Subsection"/>
        <w:spacing w:before="104"/>
      </w:pPr>
      <w:r>
        <w:tab/>
        <w:t>(2)</w:t>
      </w:r>
      <w:r>
        <w:tab/>
        <w:t xml:space="preserve">The permission has effect — </w:t>
      </w:r>
    </w:p>
    <w:p>
      <w:pPr>
        <w:pStyle w:val="Indenta"/>
        <w:spacing w:before="56"/>
      </w:pPr>
      <w:r>
        <w:tab/>
        <w:t>(a)</w:t>
      </w:r>
      <w:r>
        <w:tab/>
        <w:t>for the period of effect specified in the permission, unless sooner revoked by the CEO under regulation 123(2); or</w:t>
      </w:r>
    </w:p>
    <w:p>
      <w:pPr>
        <w:pStyle w:val="Indenta"/>
        <w:spacing w:before="56"/>
      </w:pPr>
      <w:r>
        <w:tab/>
        <w:t>(b)</w:t>
      </w:r>
      <w:r>
        <w:tab/>
        <w:t>if no period of effect is specified in the permission, until it is revoked by the CEO under regulation 123(2).</w:t>
      </w:r>
    </w:p>
    <w:p>
      <w:pPr>
        <w:pStyle w:val="Subsection"/>
        <w:spacing w:before="104"/>
      </w:pPr>
      <w:r>
        <w:tab/>
        <w:t>(3)</w:t>
      </w:r>
      <w:r>
        <w:tab/>
        <w:t xml:space="preserve">The permission has no effect — </w:t>
      </w:r>
    </w:p>
    <w:p>
      <w:pPr>
        <w:pStyle w:val="Indenta"/>
        <w:spacing w:before="56"/>
      </w:pPr>
      <w:r>
        <w:tab/>
        <w:t>(a)</w:t>
      </w:r>
      <w:r>
        <w:tab/>
        <w:t>in respect of any person to whom the permission applies who does not observe or perform a condition; and</w:t>
      </w:r>
    </w:p>
    <w:p>
      <w:pPr>
        <w:pStyle w:val="Indenta"/>
        <w:spacing w:before="56"/>
      </w:pPr>
      <w:r>
        <w:tab/>
        <w:t>(b)</w:t>
      </w:r>
      <w:r>
        <w:tab/>
        <w:t>during any period in which the condition is not observed or performed by that person.</w:t>
      </w:r>
    </w:p>
    <w:p>
      <w:pPr>
        <w:pStyle w:val="Footnotesection"/>
        <w:spacing w:before="70"/>
      </w:pPr>
      <w:r>
        <w:tab/>
        <w:t>[Regulation 122 inserted in Gazette 7 Dec 2012 p. 5971-2.]</w:t>
      </w:r>
    </w:p>
    <w:p>
      <w:pPr>
        <w:pStyle w:val="Heading5"/>
        <w:spacing w:before="170"/>
      </w:pPr>
      <w:bookmarkStart w:id="450" w:name="_Toc437515776"/>
      <w:bookmarkStart w:id="451" w:name="_Toc436906023"/>
      <w:r>
        <w:rPr>
          <w:rStyle w:val="CharSectno"/>
        </w:rPr>
        <w:t>123</w:t>
      </w:r>
      <w:r>
        <w:t>.</w:t>
      </w:r>
      <w:r>
        <w:tab/>
        <w:t>Variation and revocation of permission</w:t>
      </w:r>
      <w:bookmarkEnd w:id="450"/>
      <w:bookmarkEnd w:id="451"/>
    </w:p>
    <w:p>
      <w:pPr>
        <w:pStyle w:val="Subsection"/>
        <w:spacing w:before="104"/>
      </w:pPr>
      <w:r>
        <w:tab/>
        <w:t>(1)</w:t>
      </w:r>
      <w:r>
        <w:tab/>
        <w:t xml:space="preserve">If written permission for the purpose of regulations 115 to 121 (the </w:t>
      </w:r>
      <w:r>
        <w:rPr>
          <w:rStyle w:val="CharDefText"/>
        </w:rPr>
        <w:t>permission</w:t>
      </w:r>
      <w:r>
        <w:t xml:space="preserve">) is given subject to conditions, those conditions may be added to, cancelled, suspended or otherwise varied by written notice given by the CEO to the person or persons or group, body or association of persons to whom the permission applies (the </w:t>
      </w:r>
      <w:r>
        <w:rPr>
          <w:rStyle w:val="CharDefText"/>
        </w:rPr>
        <w:t>permission holder</w:t>
      </w:r>
      <w:r>
        <w:t>).</w:t>
      </w:r>
    </w:p>
    <w:p>
      <w:pPr>
        <w:pStyle w:val="Subsection"/>
        <w:spacing w:before="104"/>
      </w:pPr>
      <w:r>
        <w:tab/>
        <w:t>(2)</w:t>
      </w:r>
      <w:r>
        <w:tab/>
        <w:t>The CEO may at any time revoke the permission by written notice given to the permission holder.</w:t>
      </w:r>
    </w:p>
    <w:p>
      <w:pPr>
        <w:pStyle w:val="Subsection"/>
        <w:spacing w:before="104"/>
      </w:pPr>
      <w:r>
        <w:tab/>
        <w:t>(3)</w:t>
      </w:r>
      <w:r>
        <w:tab/>
        <w:t>If the CEO proposes to revoke the permission under subregulation (2), the CEO is to give the permission holder written notice of the proposal and the CEO’s reasons for the proposal.</w:t>
      </w:r>
    </w:p>
    <w:p>
      <w:pPr>
        <w:pStyle w:val="Subsection"/>
        <w:spacing w:before="104"/>
      </w:pPr>
      <w:r>
        <w:tab/>
        <w:t>(4)</w:t>
      </w:r>
      <w:r>
        <w:tab/>
        <w:t>The notice is to state that the permission holder may make written representations to the CEO concerning the proposal within 21 days after the notice is given.</w:t>
      </w:r>
    </w:p>
    <w:p>
      <w:pPr>
        <w:pStyle w:val="Subsection"/>
        <w:spacing w:before="104"/>
      </w:pPr>
      <w:r>
        <w:tab/>
        <w:t>(5)</w:t>
      </w:r>
      <w:r>
        <w:tab/>
        <w:t>The CEO is not to give effect to the proposal without considering any representations received within that period.</w:t>
      </w:r>
    </w:p>
    <w:p>
      <w:pPr>
        <w:pStyle w:val="Footnotesection"/>
        <w:spacing w:before="70"/>
      </w:pPr>
      <w:r>
        <w:tab/>
        <w:t>[Regulation 123 inserted in Gazette 7 Dec 2012 p. 5972.]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2" w:name="_Toc436903861"/>
      <w:bookmarkStart w:id="453" w:name="_Toc436905803"/>
      <w:bookmarkStart w:id="454" w:name="_Toc436906024"/>
      <w:bookmarkStart w:id="455" w:name="_Toc437515777"/>
      <w:r>
        <w:rPr>
          <w:rStyle w:val="CharSchNo"/>
        </w:rPr>
        <w:t>Schedule 1</w:t>
      </w:r>
      <w:r>
        <w:t xml:space="preserve"> — </w:t>
      </w:r>
      <w:r>
        <w:rPr>
          <w:rStyle w:val="CharSchText"/>
        </w:rPr>
        <w:t>Fees</w:t>
      </w:r>
      <w:bookmarkEnd w:id="452"/>
      <w:bookmarkEnd w:id="453"/>
      <w:bookmarkEnd w:id="454"/>
      <w:bookmarkEnd w:id="455"/>
    </w:p>
    <w:p>
      <w:pPr>
        <w:pStyle w:val="yShoulderClause"/>
        <w:ind w:left="3544"/>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456" w:name="_Toc436903862"/>
      <w:bookmarkStart w:id="457" w:name="_Toc436905804"/>
      <w:bookmarkStart w:id="458" w:name="_Toc436906025"/>
      <w:bookmarkStart w:id="459" w:name="_Toc437515778"/>
      <w:r>
        <w:rPr>
          <w:rStyle w:val="CharSDivNo"/>
        </w:rPr>
        <w:t>Division 1</w:t>
      </w:r>
      <w:r>
        <w:rPr>
          <w:snapToGrid w:val="0"/>
        </w:rPr>
        <w:t> — </w:t>
      </w:r>
      <w:r>
        <w:rPr>
          <w:rStyle w:val="CharSDivText"/>
        </w:rPr>
        <w:t>Daily entrance fees where an entrance fee is charged</w:t>
      </w:r>
      <w:bookmarkEnd w:id="456"/>
      <w:bookmarkEnd w:id="457"/>
      <w:bookmarkEnd w:id="458"/>
      <w:bookmarkEnd w:id="459"/>
    </w:p>
    <w:p>
      <w:pPr>
        <w:pStyle w:val="yFootnoteheading"/>
        <w:keepNext/>
        <w:keepLines/>
        <w:spacing w:after="60"/>
        <w:rPr>
          <w:snapToGrid w:val="0"/>
        </w:rPr>
      </w:pPr>
      <w:r>
        <w:tab/>
        <w:t>[Heading inserted in Gazette 27 Sep 2013 p. 4525.]</w:t>
      </w:r>
    </w:p>
    <w:tbl>
      <w:tblPr>
        <w:tblW w:w="0" w:type="auto"/>
        <w:tblInd w:w="227" w:type="dxa"/>
        <w:tblLayout w:type="fixed"/>
        <w:tblCellMar>
          <w:left w:w="85" w:type="dxa"/>
          <w:right w:w="85" w:type="dxa"/>
        </w:tblCellMar>
        <w:tblLook w:val="0000" w:firstRow="0" w:lastRow="0" w:firstColumn="0" w:lastColumn="0" w:noHBand="0" w:noVBand="0"/>
      </w:tblPr>
      <w:tblGrid>
        <w:gridCol w:w="709"/>
        <w:gridCol w:w="5269"/>
        <w:gridCol w:w="968"/>
      </w:tblGrid>
      <w:tr>
        <w:trPr>
          <w:cantSplit/>
          <w:tblHeader/>
        </w:trPr>
        <w:tc>
          <w:tcPr>
            <w:tcW w:w="709" w:type="dxa"/>
          </w:tcPr>
          <w:p>
            <w:pPr>
              <w:pStyle w:val="zyTableNAm"/>
            </w:pPr>
          </w:p>
        </w:tc>
        <w:tc>
          <w:tcPr>
            <w:tcW w:w="5269" w:type="dxa"/>
          </w:tcPr>
          <w:p>
            <w:pPr>
              <w:pStyle w:val="zyTableNAm"/>
            </w:pPr>
          </w:p>
        </w:tc>
        <w:tc>
          <w:tcPr>
            <w:tcW w:w="968" w:type="dxa"/>
          </w:tcPr>
          <w:p>
            <w:pPr>
              <w:pStyle w:val="yTableNAm"/>
              <w:jc w:val="center"/>
            </w:pPr>
            <w:r>
              <w:rPr>
                <w:b/>
              </w:rPr>
              <w:t>$</w:t>
            </w:r>
          </w:p>
        </w:tc>
      </w:tr>
      <w:tr>
        <w:trPr>
          <w:cantSplit/>
        </w:trPr>
        <w:tc>
          <w:tcPr>
            <w:tcW w:w="709" w:type="dxa"/>
          </w:tcPr>
          <w:p>
            <w:pPr>
              <w:pStyle w:val="yTableNAm"/>
            </w:pPr>
            <w:r>
              <w:t>1.</w:t>
            </w:r>
          </w:p>
        </w:tc>
        <w:tc>
          <w:tcPr>
            <w:tcW w:w="5269" w:type="dxa"/>
          </w:tcPr>
          <w:p>
            <w:pPr>
              <w:pStyle w:val="yTableNAm"/>
              <w:ind w:left="198" w:hanging="198"/>
            </w:pPr>
            <w:r>
              <w:t>*Daily entrance fee for non</w:t>
            </w:r>
            <w:r>
              <w:noBreakHyphen/>
              <w:t>tour motor vehicle that is a motorcycle</w:t>
            </w:r>
          </w:p>
        </w:tc>
        <w:tc>
          <w:tcPr>
            <w:tcW w:w="968" w:type="dxa"/>
            <w:vAlign w:val="bottom"/>
          </w:tcPr>
          <w:p>
            <w:pPr>
              <w:pStyle w:val="yTableNAm"/>
              <w:jc w:val="center"/>
            </w:pPr>
            <w:r>
              <w:t>6.00</w:t>
            </w:r>
          </w:p>
        </w:tc>
      </w:tr>
      <w:tr>
        <w:trPr>
          <w:cantSplit/>
        </w:trPr>
        <w:tc>
          <w:tcPr>
            <w:tcW w:w="709" w:type="dxa"/>
          </w:tcPr>
          <w:p>
            <w:pPr>
              <w:pStyle w:val="yTableNAm"/>
            </w:pPr>
            <w:r>
              <w:t>2.</w:t>
            </w:r>
          </w:p>
        </w:tc>
        <w:tc>
          <w:tcPr>
            <w:tcW w:w="5269" w:type="dxa"/>
          </w:tcPr>
          <w:p>
            <w:pPr>
              <w:pStyle w:val="yTableNAm"/>
              <w:ind w:left="198" w:hanging="198"/>
            </w:pPr>
            <w:r>
              <w:t>*Daily entrance fee for non</w:t>
            </w:r>
            <w:r>
              <w:noBreakHyphen/>
              <w:t>tour motor vehicle that is not a motorcycle (unless item 5 applies)</w:t>
            </w:r>
          </w:p>
        </w:tc>
        <w:tc>
          <w:tcPr>
            <w:tcW w:w="968" w:type="dxa"/>
            <w:vAlign w:val="bottom"/>
          </w:tcPr>
          <w:p>
            <w:pPr>
              <w:pStyle w:val="yTableNAm"/>
              <w:jc w:val="center"/>
            </w:pPr>
            <w:r>
              <w:t>12.00</w:t>
            </w:r>
          </w:p>
        </w:tc>
      </w:tr>
      <w:tr>
        <w:trPr>
          <w:cantSplit/>
        </w:trPr>
        <w:tc>
          <w:tcPr>
            <w:tcW w:w="709" w:type="dxa"/>
          </w:tcPr>
          <w:p>
            <w:pPr>
              <w:pStyle w:val="yTableNAm"/>
            </w:pPr>
            <w:r>
              <w:t>3.</w:t>
            </w:r>
          </w:p>
        </w:tc>
        <w:tc>
          <w:tcPr>
            <w:tcW w:w="5269" w:type="dxa"/>
          </w:tcPr>
          <w:p>
            <w:pPr>
              <w:pStyle w:val="yTableNAm"/>
              <w:ind w:left="198" w:hanging="198"/>
            </w:pPr>
            <w:r>
              <w:t>*Daily entrance for each occupant (6 years of age or older) of tour vehicle (unless entry is to Yanchep National Park or Nambung National Park, or item 6 applies)</w:t>
            </w:r>
          </w:p>
        </w:tc>
        <w:tc>
          <w:tcPr>
            <w:tcW w:w="968" w:type="dxa"/>
            <w:vAlign w:val="bottom"/>
          </w:tcPr>
          <w:p>
            <w:pPr>
              <w:pStyle w:val="yTableNAm"/>
              <w:jc w:val="center"/>
            </w:pPr>
            <w:r>
              <w:t>5.50</w:t>
            </w:r>
          </w:p>
        </w:tc>
      </w:tr>
      <w:tr>
        <w:trPr>
          <w:cantSplit/>
        </w:trPr>
        <w:tc>
          <w:tcPr>
            <w:tcW w:w="709" w:type="dxa"/>
          </w:tcPr>
          <w:p>
            <w:pPr>
              <w:pStyle w:val="yTableNAm"/>
            </w:pPr>
            <w:r>
              <w:t>4.</w:t>
            </w:r>
          </w:p>
        </w:tc>
        <w:tc>
          <w:tcPr>
            <w:tcW w:w="5269" w:type="dxa"/>
          </w:tcPr>
          <w:p>
            <w:pPr>
              <w:pStyle w:val="yTableNAm"/>
              <w:ind w:left="198" w:hanging="198"/>
            </w:pPr>
            <w:r>
              <w:t>Daily entrance for each occupant (6 years of age or older) of tour vehicle — Yanchep National Park, Nambung National Park</w:t>
            </w:r>
          </w:p>
        </w:tc>
        <w:tc>
          <w:tcPr>
            <w:tcW w:w="968" w:type="dxa"/>
            <w:vAlign w:val="bottom"/>
          </w:tcPr>
          <w:p>
            <w:pPr>
              <w:pStyle w:val="yTableNAm"/>
              <w:jc w:val="center"/>
            </w:pPr>
            <w:r>
              <w:t>5.50</w:t>
            </w:r>
          </w:p>
        </w:tc>
      </w:tr>
      <w:tr>
        <w:trPr>
          <w:cantSplit/>
        </w:trPr>
        <w:tc>
          <w:tcPr>
            <w:tcW w:w="709" w:type="dxa"/>
          </w:tcPr>
          <w:p>
            <w:pPr>
              <w:pStyle w:val="yTableNAm"/>
            </w:pPr>
            <w:r>
              <w:t>5.</w:t>
            </w:r>
          </w:p>
        </w:tc>
        <w:tc>
          <w:tcPr>
            <w:tcW w:w="5269" w:type="dxa"/>
          </w:tcPr>
          <w:p>
            <w:pPr>
              <w:pStyle w:val="yTableNAm"/>
              <w:ind w:left="198" w:hanging="198"/>
            </w:pPr>
            <w:r>
              <w:t>*Daily entrance concession fee for non</w:t>
            </w:r>
            <w:r>
              <w:noBreakHyphen/>
              <w:t xml:space="preserve">tour motor vehicle if the driver holds a concession card </w:t>
            </w:r>
          </w:p>
        </w:tc>
        <w:tc>
          <w:tcPr>
            <w:tcW w:w="968" w:type="dxa"/>
            <w:vAlign w:val="bottom"/>
          </w:tcPr>
          <w:p>
            <w:pPr>
              <w:pStyle w:val="yTableNAm"/>
              <w:jc w:val="center"/>
            </w:pPr>
            <w:r>
              <w:t>6.00</w:t>
            </w:r>
          </w:p>
        </w:tc>
      </w:tr>
      <w:tr>
        <w:trPr>
          <w:cantSplit/>
        </w:trPr>
        <w:tc>
          <w:tcPr>
            <w:tcW w:w="709" w:type="dxa"/>
          </w:tcPr>
          <w:p>
            <w:pPr>
              <w:pStyle w:val="yTableNAm"/>
            </w:pPr>
            <w:r>
              <w:t>6.</w:t>
            </w:r>
          </w:p>
        </w:tc>
        <w:tc>
          <w:tcPr>
            <w:tcW w:w="5269" w:type="dxa"/>
          </w:tcPr>
          <w:p>
            <w:pPr>
              <w:pStyle w:val="yTableNAm"/>
              <w:ind w:left="198" w:hanging="198"/>
            </w:pPr>
            <w:r>
              <w:t>*Daily entrance concession fee for occupant of tour vehicle if the occupant holds a concession card (except where tour vehicle is operating for profit)</w:t>
            </w:r>
          </w:p>
        </w:tc>
        <w:tc>
          <w:tcPr>
            <w:tcW w:w="968" w:type="dxa"/>
            <w:vAlign w:val="bottom"/>
          </w:tcPr>
          <w:p>
            <w:pPr>
              <w:pStyle w:val="yTableNAm"/>
              <w:jc w:val="center"/>
            </w:pPr>
            <w:r>
              <w:t>1.70</w:t>
            </w: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inserted in Gazette 27 Sep 2013 p. 4525-6.]</w:t>
      </w:r>
    </w:p>
    <w:p>
      <w:pPr>
        <w:pStyle w:val="yHeading3"/>
        <w:rPr>
          <w:rStyle w:val="CharSDivText"/>
        </w:rPr>
      </w:pPr>
      <w:bookmarkStart w:id="460" w:name="_Toc436903863"/>
      <w:bookmarkStart w:id="461" w:name="_Toc436905805"/>
      <w:bookmarkStart w:id="462" w:name="_Toc436906026"/>
      <w:bookmarkStart w:id="463" w:name="_Toc437515779"/>
      <w:r>
        <w:rPr>
          <w:rStyle w:val="CharSDivNo"/>
        </w:rPr>
        <w:t>Division 2</w:t>
      </w:r>
      <w:r>
        <w:rPr>
          <w:snapToGrid w:val="0"/>
        </w:rPr>
        <w:t> — </w:t>
      </w:r>
      <w:r>
        <w:rPr>
          <w:rStyle w:val="CharSDivText"/>
        </w:rPr>
        <w:t>Fees for passes providing extended entrance to CALM land</w:t>
      </w:r>
      <w:bookmarkEnd w:id="460"/>
      <w:bookmarkEnd w:id="461"/>
      <w:bookmarkEnd w:id="462"/>
      <w:bookmarkEnd w:id="463"/>
    </w:p>
    <w:p>
      <w:pPr>
        <w:pStyle w:val="yFootnoteheading"/>
        <w:keepNext/>
        <w:keepLines/>
        <w:spacing w:after="60"/>
        <w:rPr>
          <w:snapToGrid w:val="0"/>
        </w:rPr>
      </w:pPr>
      <w:r>
        <w:tab/>
        <w:t>[Heading inserted in Gazette 27 Sep 2013 p. 4526.]</w:t>
      </w:r>
    </w:p>
    <w:tbl>
      <w:tblPr>
        <w:tblW w:w="6946" w:type="dxa"/>
        <w:tblInd w:w="150" w:type="dxa"/>
        <w:tblLayout w:type="fixed"/>
        <w:tblCellMar>
          <w:left w:w="8" w:type="dxa"/>
          <w:right w:w="8" w:type="dxa"/>
        </w:tblCellMar>
        <w:tblLook w:val="0000" w:firstRow="0" w:lastRow="0" w:firstColumn="0" w:lastColumn="0" w:noHBand="0" w:noVBand="0"/>
      </w:tblPr>
      <w:tblGrid>
        <w:gridCol w:w="709"/>
        <w:gridCol w:w="5276"/>
        <w:gridCol w:w="961"/>
      </w:tblGrid>
      <w:tr>
        <w:trPr>
          <w:cantSplit/>
          <w:tblHeader/>
        </w:trPr>
        <w:tc>
          <w:tcPr>
            <w:tcW w:w="709" w:type="dxa"/>
          </w:tcPr>
          <w:p>
            <w:pPr>
              <w:pStyle w:val="zyTableNAm"/>
              <w:keepNext/>
            </w:pPr>
          </w:p>
        </w:tc>
        <w:tc>
          <w:tcPr>
            <w:tcW w:w="5276" w:type="dxa"/>
          </w:tcPr>
          <w:p>
            <w:pPr>
              <w:pStyle w:val="zyTableNAm"/>
              <w:keepNext/>
            </w:pPr>
          </w:p>
        </w:tc>
        <w:tc>
          <w:tcPr>
            <w:tcW w:w="961" w:type="dxa"/>
            <w:vAlign w:val="bottom"/>
          </w:tcPr>
          <w:p>
            <w:pPr>
              <w:pStyle w:val="yTableNAm"/>
              <w:keepNext/>
              <w:jc w:val="center"/>
            </w:pPr>
            <w:r>
              <w:rPr>
                <w:b/>
              </w:rPr>
              <w:t>$</w:t>
            </w:r>
          </w:p>
        </w:tc>
      </w:tr>
      <w:tr>
        <w:trPr>
          <w:cantSplit/>
        </w:trPr>
        <w:tc>
          <w:tcPr>
            <w:tcW w:w="709" w:type="dxa"/>
          </w:tcPr>
          <w:p>
            <w:pPr>
              <w:pStyle w:val="yTableNAm"/>
            </w:pPr>
            <w:r>
              <w:t>1.</w:t>
            </w:r>
          </w:p>
        </w:tc>
        <w:tc>
          <w:tcPr>
            <w:tcW w:w="5276" w:type="dxa"/>
          </w:tcPr>
          <w:p>
            <w:pPr>
              <w:pStyle w:val="yTableNAm"/>
            </w:pPr>
            <w:r>
              <w:t>For an annual pass for a non</w:t>
            </w:r>
            <w:r>
              <w:noBreakHyphen/>
              <w:t xml:space="preserve">tour motor vehicle with up to 12 occupants to all CALM land where an entrance fee is charged except the Monkey Mia Conservation Park </w:t>
            </w:r>
          </w:p>
        </w:tc>
        <w:tc>
          <w:tcPr>
            <w:tcW w:w="961" w:type="dxa"/>
            <w:vAlign w:val="bottom"/>
          </w:tcPr>
          <w:p>
            <w:pPr>
              <w:pStyle w:val="yTableNAm"/>
              <w:jc w:val="center"/>
            </w:pPr>
            <w:r>
              <w:t>88.00</w:t>
            </w:r>
          </w:p>
        </w:tc>
      </w:tr>
      <w:tr>
        <w:trPr>
          <w:cantSplit/>
        </w:trPr>
        <w:tc>
          <w:tcPr>
            <w:tcW w:w="709" w:type="dxa"/>
          </w:tcPr>
          <w:p>
            <w:pPr>
              <w:pStyle w:val="yTableNAm"/>
            </w:pPr>
            <w:r>
              <w:t>2.</w:t>
            </w:r>
          </w:p>
        </w:tc>
        <w:tc>
          <w:tcPr>
            <w:tcW w:w="5276" w:type="dxa"/>
          </w:tcPr>
          <w:p>
            <w:pPr>
              <w:pStyle w:val="yTableNAm"/>
            </w:pPr>
            <w:r>
              <w:t>For an annual concession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t>55.00</w:t>
            </w:r>
          </w:p>
        </w:tc>
      </w:tr>
      <w:tr>
        <w:trPr>
          <w:cantSplit/>
        </w:trPr>
        <w:tc>
          <w:tcPr>
            <w:tcW w:w="709" w:type="dxa"/>
          </w:tcPr>
          <w:p>
            <w:pPr>
              <w:pStyle w:val="zyTableNAm"/>
            </w:pPr>
          </w:p>
        </w:tc>
        <w:tc>
          <w:tcPr>
            <w:tcW w:w="5276" w:type="dxa"/>
          </w:tcPr>
          <w:p>
            <w:pPr>
              <w:pStyle w:val="yTableNAm"/>
            </w:pPr>
            <w:r>
              <w:t>Conditions on entry: the driver holds a concession card</w:t>
            </w:r>
          </w:p>
        </w:tc>
        <w:tc>
          <w:tcPr>
            <w:tcW w:w="961" w:type="dxa"/>
            <w:vAlign w:val="bottom"/>
          </w:tcPr>
          <w:p>
            <w:pPr>
              <w:pStyle w:val="yTableNAm"/>
              <w:jc w:val="center"/>
            </w:pPr>
          </w:p>
        </w:tc>
      </w:tr>
      <w:tr>
        <w:trPr>
          <w:cantSplit/>
        </w:trPr>
        <w:tc>
          <w:tcPr>
            <w:tcW w:w="709" w:type="dxa"/>
          </w:tcPr>
          <w:p>
            <w:pPr>
              <w:pStyle w:val="yTableNAm"/>
            </w:pPr>
            <w:r>
              <w:t>3.</w:t>
            </w:r>
          </w:p>
        </w:tc>
        <w:tc>
          <w:tcPr>
            <w:tcW w:w="5276" w:type="dxa"/>
          </w:tcPr>
          <w:p>
            <w:pPr>
              <w:pStyle w:val="yTableNAm"/>
            </w:pPr>
            <w:r>
              <w:t>For a 4 week pass for a non</w:t>
            </w:r>
            <w:r>
              <w:noBreakHyphen/>
              <w:t>tour motor vehicle with up to 12 occupants to all CALM land where an entrance fee is charged except the Monkey Mia Conservation Park</w:t>
            </w:r>
          </w:p>
        </w:tc>
        <w:tc>
          <w:tcPr>
            <w:tcW w:w="961" w:type="dxa"/>
            <w:vAlign w:val="bottom"/>
          </w:tcPr>
          <w:p>
            <w:pPr>
              <w:pStyle w:val="yTableNAm"/>
              <w:jc w:val="center"/>
            </w:pPr>
            <w:r>
              <w:br/>
            </w:r>
            <w:r>
              <w:br/>
              <w:t>44.00</w:t>
            </w:r>
          </w:p>
        </w:tc>
      </w:tr>
      <w:tr>
        <w:trPr>
          <w:cantSplit/>
        </w:trPr>
        <w:tc>
          <w:tcPr>
            <w:tcW w:w="709" w:type="dxa"/>
          </w:tcPr>
          <w:p>
            <w:pPr>
              <w:pStyle w:val="yTableNAm"/>
            </w:pPr>
            <w:r>
              <w:rPr>
                <w:sz w:val="24"/>
              </w:rPr>
              <w:br w:type="page"/>
            </w:r>
            <w:r>
              <w:t>4.</w:t>
            </w:r>
          </w:p>
        </w:tc>
        <w:tc>
          <w:tcPr>
            <w:tcW w:w="5276" w:type="dxa"/>
          </w:tcPr>
          <w:p>
            <w:pPr>
              <w:pStyle w:val="yTableNAm"/>
            </w:pPr>
            <w:r>
              <w:t>For an annual local pass for a non</w:t>
            </w:r>
            <w:r>
              <w:noBreakHyphen/>
              <w:t>tour vehicle with up to 12 occupants for any one national park or reserve or for any one of the following groups of national parks, conservation parks and reserves —</w:t>
            </w:r>
          </w:p>
          <w:p>
            <w:pPr>
              <w:pStyle w:val="yTableNAm"/>
              <w:tabs>
                <w:tab w:val="clear" w:pos="567"/>
                <w:tab w:val="left" w:pos="389"/>
                <w:tab w:val="left" w:pos="984"/>
              </w:tabs>
              <w:ind w:left="984" w:hanging="984"/>
            </w:pPr>
            <w:r>
              <w:tab/>
              <w:t>(a)</w:t>
            </w:r>
            <w:r>
              <w:tab/>
              <w:t>Walyunga, Avon Valley and John Forrest</w:t>
            </w:r>
          </w:p>
          <w:p>
            <w:pPr>
              <w:pStyle w:val="yTableNAm"/>
              <w:tabs>
                <w:tab w:val="clear" w:pos="567"/>
                <w:tab w:val="left" w:pos="389"/>
                <w:tab w:val="left" w:pos="984"/>
              </w:tabs>
              <w:ind w:left="984" w:hanging="984"/>
            </w:pPr>
            <w:r>
              <w:tab/>
              <w:t>(b)</w:t>
            </w:r>
            <w:r>
              <w:tab/>
              <w:t>Gloucester, Warren, Beedelup, Greater Beedelup, Shannon and D’Entrecasteaux</w:t>
            </w:r>
          </w:p>
          <w:p>
            <w:pPr>
              <w:pStyle w:val="yTableNAm"/>
              <w:tabs>
                <w:tab w:val="clear" w:pos="567"/>
                <w:tab w:val="left" w:pos="389"/>
                <w:tab w:val="left" w:pos="984"/>
              </w:tabs>
              <w:ind w:left="984" w:hanging="984"/>
            </w:pPr>
            <w:r>
              <w:tab/>
              <w:t>(c)</w:t>
            </w:r>
            <w:r>
              <w:tab/>
              <w:t>Stirling Range, Porongurup and Fitzgerald River</w:t>
            </w:r>
          </w:p>
          <w:p>
            <w:pPr>
              <w:pStyle w:val="yTableNAm"/>
              <w:tabs>
                <w:tab w:val="clear" w:pos="567"/>
                <w:tab w:val="left" w:pos="389"/>
                <w:tab w:val="left" w:pos="984"/>
              </w:tabs>
              <w:ind w:left="984" w:hanging="984"/>
            </w:pPr>
            <w:r>
              <w:tab/>
              <w:t>(d)</w:t>
            </w:r>
            <w:r>
              <w:tab/>
              <w:t>Stokes, Cape Le Grand, Cape Arid and Fitzgerald River</w:t>
            </w:r>
          </w:p>
          <w:p>
            <w:pPr>
              <w:pStyle w:val="yTableNAm"/>
              <w:tabs>
                <w:tab w:val="clear" w:pos="567"/>
                <w:tab w:val="left" w:pos="389"/>
                <w:tab w:val="left" w:pos="984"/>
              </w:tabs>
              <w:ind w:left="984" w:hanging="984"/>
            </w:pPr>
            <w:r>
              <w:tab/>
              <w:t>(e)</w:t>
            </w:r>
            <w:r>
              <w:tab/>
              <w:t>Karijini and Millstream</w:t>
            </w:r>
            <w:r>
              <w:noBreakHyphen/>
              <w:t>Chichester</w:t>
            </w:r>
          </w:p>
          <w:p>
            <w:pPr>
              <w:pStyle w:val="yTableNAm"/>
              <w:tabs>
                <w:tab w:val="clear" w:pos="567"/>
                <w:tab w:val="left" w:pos="389"/>
                <w:tab w:val="left" w:pos="984"/>
              </w:tabs>
              <w:ind w:left="984" w:hanging="984"/>
            </w:pPr>
            <w:r>
              <w:tab/>
              <w:t>(f)</w:t>
            </w:r>
            <w:r>
              <w:tab/>
              <w:t>Mirima, Purnululu and Mitchell River</w:t>
            </w:r>
          </w:p>
          <w:p>
            <w:pPr>
              <w:pStyle w:val="yTableNAm"/>
              <w:tabs>
                <w:tab w:val="clear" w:pos="567"/>
                <w:tab w:val="left" w:pos="389"/>
                <w:tab w:val="left" w:pos="984"/>
              </w:tabs>
              <w:ind w:left="984" w:hanging="984"/>
            </w:pPr>
            <w:r>
              <w:tab/>
              <w:t>(g)</w:t>
            </w:r>
            <w:r>
              <w:tab/>
              <w:t>Windjana, King Leopold Ranges and Tunnel Creek</w:t>
            </w:r>
          </w:p>
          <w:p>
            <w:pPr>
              <w:pStyle w:val="yTableNAm"/>
              <w:tabs>
                <w:tab w:val="clear" w:pos="567"/>
                <w:tab w:val="left" w:pos="389"/>
                <w:tab w:val="left" w:pos="984"/>
              </w:tabs>
              <w:ind w:left="984" w:hanging="984"/>
            </w:pPr>
            <w:r>
              <w:tab/>
              <w:t>(h)</w:t>
            </w:r>
            <w:r>
              <w:tab/>
              <w:t>Nambung and Lesueur</w:t>
            </w:r>
          </w:p>
        </w:tc>
        <w:tc>
          <w:tcPr>
            <w:tcW w:w="961" w:type="dxa"/>
            <w:vAlign w:val="bottom"/>
          </w:tcPr>
          <w:p>
            <w:pPr>
              <w:pStyle w:val="yTableNAm"/>
              <w:jc w:val="center"/>
            </w:pPr>
          </w:p>
          <w:p>
            <w:pPr>
              <w:pStyle w:val="yTableNAm"/>
              <w:jc w:val="center"/>
            </w:pPr>
          </w:p>
          <w:p>
            <w:pPr>
              <w:pStyle w:val="yTableNAm"/>
              <w:jc w:val="center"/>
            </w:pPr>
            <w:r>
              <w:br/>
            </w:r>
          </w:p>
          <w:p>
            <w:pPr>
              <w:pStyle w:val="yTableNAm"/>
              <w:jc w:val="center"/>
            </w:pPr>
          </w:p>
          <w:p>
            <w:pPr>
              <w:pStyle w:val="yTableNAm"/>
              <w:jc w:val="center"/>
            </w:pPr>
            <w:r>
              <w:br/>
            </w:r>
          </w:p>
          <w:p>
            <w:pPr>
              <w:pStyle w:val="yTableNAm"/>
              <w:jc w:val="center"/>
            </w:pPr>
          </w:p>
          <w:p>
            <w:pPr>
              <w:pStyle w:val="yTableNAm"/>
              <w:jc w:val="center"/>
            </w:pPr>
          </w:p>
          <w:p>
            <w:pPr>
              <w:pStyle w:val="yTableNAm"/>
              <w:jc w:val="center"/>
            </w:pPr>
            <w:r>
              <w:br/>
            </w:r>
          </w:p>
          <w:p>
            <w:pPr>
              <w:pStyle w:val="yTableNAm"/>
              <w:jc w:val="center"/>
            </w:pPr>
            <w:r>
              <w:t>22.00</w:t>
            </w:r>
          </w:p>
        </w:tc>
      </w:tr>
      <w:tr>
        <w:trPr>
          <w:cantSplit/>
        </w:trPr>
        <w:tc>
          <w:tcPr>
            <w:tcW w:w="709" w:type="dxa"/>
          </w:tcPr>
          <w:p>
            <w:pPr>
              <w:pStyle w:val="yTableNAm"/>
            </w:pPr>
            <w:r>
              <w:rPr>
                <w:sz w:val="24"/>
              </w:rPr>
              <w:t>5.</w:t>
            </w:r>
          </w:p>
        </w:tc>
        <w:tc>
          <w:tcPr>
            <w:tcW w:w="5276" w:type="dxa"/>
          </w:tcPr>
          <w:p>
            <w:pPr>
              <w:pStyle w:val="yTableNAm"/>
            </w:pPr>
            <w:r>
              <w:t>For an annual pass for a non</w:t>
            </w:r>
            <w:r>
              <w:noBreakHyphen/>
              <w:t>tour motor vehicle with up to 12 occupants to all CALM land where an entrance fee is charged, except the Monkey Mia Conservation Park, and an annual subscription to the magazine “Landscope”</w:t>
            </w:r>
          </w:p>
        </w:tc>
        <w:tc>
          <w:tcPr>
            <w:tcW w:w="961" w:type="dxa"/>
            <w:vAlign w:val="bottom"/>
          </w:tcPr>
          <w:p>
            <w:pPr>
              <w:pStyle w:val="yTableNAm"/>
              <w:jc w:val="center"/>
            </w:pPr>
            <w:r>
              <w:t>110.00</w:t>
            </w:r>
          </w:p>
        </w:tc>
      </w:tr>
      <w:tr>
        <w:trPr>
          <w:cantSplit/>
        </w:trPr>
        <w:tc>
          <w:tcPr>
            <w:tcW w:w="709" w:type="dxa"/>
          </w:tcPr>
          <w:p>
            <w:pPr>
              <w:pStyle w:val="yTableNAm"/>
            </w:pPr>
            <w:r>
              <w:t>6.</w:t>
            </w:r>
          </w:p>
        </w:tc>
        <w:tc>
          <w:tcPr>
            <w:tcW w:w="5276" w:type="dxa"/>
          </w:tcPr>
          <w:p>
            <w:pPr>
              <w:pStyle w:val="yTableNAm"/>
            </w:pPr>
            <w:r>
              <w:t>For a pass for one group entering the Yanchep National Park in one or more non</w:t>
            </w:r>
            <w:r>
              <w:noBreakHyphen/>
              <w:t>tour motor vehicles for the purposes of a wedding or other function</w:t>
            </w:r>
          </w:p>
        </w:tc>
        <w:tc>
          <w:tcPr>
            <w:tcW w:w="961" w:type="dxa"/>
            <w:vAlign w:val="bottom"/>
          </w:tcPr>
          <w:p>
            <w:pPr>
              <w:pStyle w:val="yTableNAm"/>
              <w:jc w:val="center"/>
            </w:pPr>
            <w:r>
              <w:t>100.00</w:t>
            </w:r>
          </w:p>
        </w:tc>
      </w:tr>
    </w:tbl>
    <w:p>
      <w:pPr>
        <w:pStyle w:val="yFootnotesection"/>
      </w:pPr>
      <w:r>
        <w:tab/>
        <w:t>[Division 2 inserted in Gazette 27 Sep 2013 p. 4526-7; amended in Gazette 19 Sep 2014 p. 3333.]</w:t>
      </w:r>
    </w:p>
    <w:p>
      <w:pPr>
        <w:pStyle w:val="yHeading3"/>
        <w:rPr>
          <w:snapToGrid w:val="0"/>
        </w:rPr>
      </w:pPr>
      <w:bookmarkStart w:id="464" w:name="_Toc436903864"/>
      <w:bookmarkStart w:id="465" w:name="_Toc436905806"/>
      <w:bookmarkStart w:id="466" w:name="_Toc436906027"/>
      <w:bookmarkStart w:id="467" w:name="_Toc437515780"/>
      <w:r>
        <w:rPr>
          <w:rStyle w:val="CharSDivNo"/>
        </w:rPr>
        <w:t>Division 3</w:t>
      </w:r>
      <w:r>
        <w:rPr>
          <w:snapToGrid w:val="0"/>
        </w:rPr>
        <w:t> — </w:t>
      </w:r>
      <w:r>
        <w:rPr>
          <w:rStyle w:val="CharSDivText"/>
        </w:rPr>
        <w:t>Daily entrance fees for Tree Top Walk</w:t>
      </w:r>
      <w:bookmarkEnd w:id="464"/>
      <w:bookmarkEnd w:id="465"/>
      <w:bookmarkEnd w:id="466"/>
      <w:bookmarkEnd w:id="467"/>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19.00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9.50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47.50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13.50</w:t>
            </w:r>
          </w:p>
        </w:tc>
      </w:tr>
    </w:tbl>
    <w:p>
      <w:pPr>
        <w:pStyle w:val="yFootnotesection"/>
      </w:pPr>
      <w:r>
        <w:tab/>
        <w:t>[Division 3 inserted in Gazette 27 Sep 2013 p. 4527; amended in Gazette 14 Jul 2015 p. 2788.]</w:t>
      </w:r>
    </w:p>
    <w:p>
      <w:pPr>
        <w:pStyle w:val="yHeading3"/>
        <w:rPr>
          <w:snapToGrid w:val="0"/>
        </w:rPr>
      </w:pPr>
      <w:bookmarkStart w:id="468" w:name="_Toc436903865"/>
      <w:bookmarkStart w:id="469" w:name="_Toc436905807"/>
      <w:bookmarkStart w:id="470" w:name="_Toc436906028"/>
      <w:bookmarkStart w:id="471" w:name="_Toc437515781"/>
      <w:r>
        <w:rPr>
          <w:rStyle w:val="CharSDivNo"/>
        </w:rPr>
        <w:t>Division 4</w:t>
      </w:r>
      <w:r>
        <w:rPr>
          <w:snapToGrid w:val="0"/>
        </w:rPr>
        <w:t> —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468"/>
      <w:bookmarkEnd w:id="469"/>
      <w:bookmarkEnd w:id="470"/>
      <w:bookmarkEnd w:id="471"/>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c>
          <w:tcPr>
            <w:tcW w:w="709" w:type="dxa"/>
          </w:tcPr>
          <w:p>
            <w:pPr>
              <w:pStyle w:val="yTableNAm"/>
            </w:pPr>
            <w:r>
              <w:t>1.</w:t>
            </w:r>
          </w:p>
        </w:tc>
        <w:tc>
          <w:tcPr>
            <w:tcW w:w="5245" w:type="dxa"/>
          </w:tcPr>
          <w:p>
            <w:pPr>
              <w:pStyle w:val="yTableNAm"/>
            </w:pPr>
            <w:r>
              <w:t>For person 16 years of age and over</w:t>
            </w:r>
          </w:p>
        </w:tc>
        <w:tc>
          <w:tcPr>
            <w:tcW w:w="992" w:type="dxa"/>
          </w:tcPr>
          <w:p>
            <w:pPr>
              <w:pStyle w:val="yTableNAm"/>
              <w:jc w:val="center"/>
            </w:pPr>
            <w:r>
              <w:t>40.00</w:t>
            </w:r>
          </w:p>
        </w:tc>
      </w:tr>
      <w:tr>
        <w:trPr>
          <w:cantSplit/>
        </w:trPr>
        <w:tc>
          <w:tcPr>
            <w:tcW w:w="709" w:type="dxa"/>
          </w:tcPr>
          <w:p>
            <w:pPr>
              <w:pStyle w:val="yTableNAm"/>
            </w:pPr>
            <w:r>
              <w:t>2.</w:t>
            </w:r>
          </w:p>
        </w:tc>
        <w:tc>
          <w:tcPr>
            <w:tcW w:w="5245" w:type="dxa"/>
          </w:tcPr>
          <w:p>
            <w:pPr>
              <w:pStyle w:val="yTableNAm"/>
            </w:pPr>
            <w:r>
              <w:t>For person of more than 5 and less than 16 years of age</w:t>
            </w:r>
          </w:p>
        </w:tc>
        <w:tc>
          <w:tcPr>
            <w:tcW w:w="992" w:type="dxa"/>
          </w:tcPr>
          <w:p>
            <w:pPr>
              <w:pStyle w:val="yTableNAm"/>
              <w:jc w:val="center"/>
            </w:pPr>
            <w:r>
              <w:t>10.00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tcPr>
          <w:p>
            <w:pPr>
              <w:pStyle w:val="yTableNAm"/>
              <w:jc w:val="center"/>
            </w:pPr>
            <w:r>
              <w:br/>
              <w:t>90.00</w:t>
            </w:r>
          </w:p>
        </w:tc>
      </w:tr>
      <w:t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29.00</w:t>
            </w:r>
          </w:p>
        </w:tc>
      </w:tr>
    </w:tbl>
    <w:p>
      <w:pPr>
        <w:pStyle w:val="yFootnotesection"/>
      </w:pPr>
      <w:r>
        <w:tab/>
        <w:t>[Division 4 inserted in Gazette 27 Sep 2013 p. 4527; amended in Gazette 14 Jul 2015 p. 2788.]</w:t>
      </w:r>
    </w:p>
    <w:p>
      <w:pPr>
        <w:pStyle w:val="yHeading3"/>
        <w:rPr>
          <w:snapToGrid w:val="0"/>
        </w:rPr>
      </w:pPr>
      <w:bookmarkStart w:id="472" w:name="_Toc436903866"/>
      <w:bookmarkStart w:id="473" w:name="_Toc436905808"/>
      <w:bookmarkStart w:id="474" w:name="_Toc436906029"/>
      <w:bookmarkStart w:id="475" w:name="_Toc437515782"/>
      <w:r>
        <w:rPr>
          <w:rStyle w:val="CharSDivNo"/>
        </w:rPr>
        <w:t>Division 5</w:t>
      </w:r>
      <w:r>
        <w:rPr>
          <w:snapToGrid w:val="0"/>
        </w:rPr>
        <w:t> — </w:t>
      </w:r>
      <w:r>
        <w:rPr>
          <w:rStyle w:val="CharSDivText"/>
        </w:rPr>
        <w:t>Horse riding</w:t>
      </w:r>
      <w:bookmarkEnd w:id="472"/>
      <w:bookmarkEnd w:id="473"/>
      <w:bookmarkEnd w:id="474"/>
      <w:bookmarkEnd w:id="475"/>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zyTableNAm"/>
            </w:pPr>
          </w:p>
        </w:tc>
        <w:tc>
          <w:tcPr>
            <w:tcW w:w="5245" w:type="dxa"/>
          </w:tcPr>
          <w:p>
            <w:pPr>
              <w:pStyle w:val="zyTableNAm"/>
            </w:pPr>
          </w:p>
        </w:tc>
        <w:tc>
          <w:tcPr>
            <w:tcW w:w="992" w:type="dxa"/>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 xml:space="preserve">Daily fee for one person </w:t>
            </w:r>
          </w:p>
        </w:tc>
        <w:tc>
          <w:tcPr>
            <w:tcW w:w="992" w:type="dxa"/>
          </w:tcPr>
          <w:p>
            <w:pPr>
              <w:pStyle w:val="yTableNAm"/>
              <w:jc w:val="center"/>
            </w:pPr>
            <w:r>
              <w:t>8.00</w:t>
            </w:r>
          </w:p>
        </w:tc>
      </w:tr>
      <w:tr>
        <w:tc>
          <w:tcPr>
            <w:tcW w:w="709" w:type="dxa"/>
          </w:tcPr>
          <w:p>
            <w:pPr>
              <w:pStyle w:val="yTableNAm"/>
            </w:pPr>
            <w:r>
              <w:t>2.</w:t>
            </w:r>
          </w:p>
        </w:tc>
        <w:tc>
          <w:tcPr>
            <w:tcW w:w="5245" w:type="dxa"/>
          </w:tcPr>
          <w:p>
            <w:pPr>
              <w:pStyle w:val="yTableNAm"/>
            </w:pPr>
            <w:r>
              <w:t>Annual pass for family</w:t>
            </w:r>
          </w:p>
        </w:tc>
        <w:tc>
          <w:tcPr>
            <w:tcW w:w="992" w:type="dxa"/>
          </w:tcPr>
          <w:p>
            <w:pPr>
              <w:pStyle w:val="yTableNAm"/>
              <w:jc w:val="center"/>
            </w:pPr>
            <w:r>
              <w:t>57.00</w:t>
            </w:r>
          </w:p>
        </w:tc>
      </w:tr>
    </w:tbl>
    <w:p>
      <w:pPr>
        <w:pStyle w:val="yFootnotesection"/>
      </w:pPr>
      <w:r>
        <w:tab/>
        <w:t>[Division 5 inserted in Gazette 27 Sep 2013 p. 4527; amended in Gazette 14 Jul 2015 p. 2788.]</w:t>
      </w:r>
    </w:p>
    <w:p>
      <w:pPr>
        <w:pStyle w:val="yHeading3"/>
        <w:rPr>
          <w:snapToGrid w:val="0"/>
        </w:rPr>
      </w:pPr>
      <w:bookmarkStart w:id="476" w:name="_Toc436903867"/>
      <w:bookmarkStart w:id="477" w:name="_Toc436905809"/>
      <w:bookmarkStart w:id="478" w:name="_Toc436906030"/>
      <w:bookmarkStart w:id="479" w:name="_Toc437515783"/>
      <w:r>
        <w:rPr>
          <w:rStyle w:val="CharSDivNo"/>
        </w:rPr>
        <w:t>Division 6</w:t>
      </w:r>
      <w:r>
        <w:rPr>
          <w:snapToGrid w:val="0"/>
        </w:rPr>
        <w:t> — </w:t>
      </w:r>
      <w:r>
        <w:rPr>
          <w:rStyle w:val="CharSDivText"/>
        </w:rPr>
        <w:t>Camping site fees</w:t>
      </w:r>
      <w:bookmarkEnd w:id="476"/>
      <w:bookmarkEnd w:id="477"/>
      <w:bookmarkEnd w:id="478"/>
      <w:bookmarkEnd w:id="479"/>
    </w:p>
    <w:p>
      <w:pPr>
        <w:pStyle w:val="yFootnoteheading"/>
        <w:keepNext/>
        <w:keepLines/>
        <w:spacing w:after="60"/>
        <w:rPr>
          <w:snapToGrid w:val="0"/>
        </w:rPr>
      </w:pPr>
      <w:r>
        <w:tab/>
        <w:t>[Heading inserted in Gazette 27 Sep 2013 p. 4527.]</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Fee per night</w:t>
            </w:r>
            <w:r>
              <w:rPr>
                <w:b/>
              </w:rPr>
              <w:br/>
              <w:t>$</w:t>
            </w:r>
          </w:p>
        </w:tc>
      </w:tr>
      <w:tr>
        <w:trPr>
          <w:cantSplit/>
        </w:trPr>
        <w:tc>
          <w:tcPr>
            <w:tcW w:w="709" w:type="dxa"/>
          </w:tcPr>
          <w:p>
            <w:pPr>
              <w:pStyle w:val="yTableNAm"/>
            </w:pPr>
            <w:r>
              <w:t>1.</w:t>
            </w:r>
          </w:p>
        </w:tc>
        <w:tc>
          <w:tcPr>
            <w:tcW w:w="5245" w:type="dxa"/>
          </w:tcPr>
          <w:p>
            <w:pPr>
              <w:pStyle w:val="yTableNAm"/>
            </w:pPr>
            <w:r>
              <w:t xml:space="preserve">Fee for site without facilities or with only basic facilities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7.50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5.50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 xml:space="preserve">2. </w:t>
            </w:r>
          </w:p>
        </w:tc>
        <w:tc>
          <w:tcPr>
            <w:tcW w:w="5245" w:type="dxa"/>
          </w:tcPr>
          <w:p>
            <w:pPr>
              <w:pStyle w:val="yTableNAm"/>
            </w:pPr>
            <w:r>
              <w:t xml:space="preserve">Fee for site with facilities such as ablutions or showers, camp kitchens or picnic shelters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t>10.00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6.60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3.</w:t>
            </w:r>
          </w:p>
        </w:tc>
        <w:tc>
          <w:tcPr>
            <w:tcW w:w="5245" w:type="dxa"/>
          </w:tcPr>
          <w:p>
            <w:pPr>
              <w:pStyle w:val="yTableNAm"/>
            </w:pPr>
            <w:r>
              <w:t xml:space="preserve">Fee for site in Windjana Gorge National Park, Purnululu National Park or King Leopold Ranges Conservation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br/>
            </w:r>
            <w:r>
              <w:br/>
              <w:t>12.00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8.80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2.20</w:t>
            </w:r>
          </w:p>
        </w:tc>
      </w:tr>
      <w:tr>
        <w:trPr>
          <w:cantSplit/>
        </w:trPr>
        <w:tc>
          <w:tcPr>
            <w:tcW w:w="709" w:type="dxa"/>
          </w:tcPr>
          <w:p>
            <w:pPr>
              <w:pStyle w:val="yTableNAm"/>
            </w:pPr>
            <w:r>
              <w:t>4.</w:t>
            </w:r>
          </w:p>
        </w:tc>
        <w:tc>
          <w:tcPr>
            <w:tcW w:w="5245" w:type="dxa"/>
          </w:tcPr>
          <w:p>
            <w:pPr>
              <w:pStyle w:val="yTableNAm"/>
            </w:pPr>
            <w:r>
              <w:t xml:space="preserve">Fee for site in Dirk Hartog Island National Park — </w:t>
            </w:r>
          </w:p>
          <w:p>
            <w:pPr>
              <w:pStyle w:val="yTableNAm"/>
              <w:tabs>
                <w:tab w:val="clear" w:pos="567"/>
                <w:tab w:val="left" w:pos="417"/>
              </w:tabs>
              <w:ind w:left="417" w:hanging="417"/>
            </w:pPr>
            <w:r>
              <w:tab/>
              <w:t>each person 16 years of age or over</w:t>
            </w:r>
          </w:p>
        </w:tc>
        <w:tc>
          <w:tcPr>
            <w:tcW w:w="992" w:type="dxa"/>
            <w:vAlign w:val="center"/>
          </w:tcPr>
          <w:p>
            <w:pPr>
              <w:pStyle w:val="yTableNAm"/>
              <w:jc w:val="center"/>
            </w:pPr>
          </w:p>
          <w:p>
            <w:pPr>
              <w:pStyle w:val="yTableNAm"/>
              <w:jc w:val="center"/>
            </w:pPr>
            <w:r>
              <w:t>19.00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16 years of age or over who holds a concession card</w:t>
            </w:r>
          </w:p>
        </w:tc>
        <w:tc>
          <w:tcPr>
            <w:tcW w:w="992" w:type="dxa"/>
            <w:vAlign w:val="center"/>
          </w:tcPr>
          <w:p>
            <w:pPr>
              <w:pStyle w:val="yTableNAm"/>
              <w:jc w:val="center"/>
            </w:pPr>
            <w:r>
              <w:br/>
              <w:t>13.50</w:t>
            </w:r>
          </w:p>
        </w:tc>
      </w:tr>
      <w:tr>
        <w:trPr>
          <w:cantSplit/>
        </w:trPr>
        <w:tc>
          <w:tcPr>
            <w:tcW w:w="709" w:type="dxa"/>
          </w:tcPr>
          <w:p>
            <w:pPr>
              <w:pStyle w:val="zyTableNAm"/>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center"/>
          </w:tcPr>
          <w:p>
            <w:pPr>
              <w:pStyle w:val="yTableNAm"/>
              <w:jc w:val="center"/>
            </w:pPr>
            <w:r>
              <w:br/>
              <w:t>2.00</w:t>
            </w:r>
          </w:p>
        </w:tc>
      </w:tr>
    </w:tbl>
    <w:p>
      <w:pPr>
        <w:pStyle w:val="yFootnotesection"/>
      </w:pPr>
      <w:r>
        <w:tab/>
        <w:t>[Division 6 inserted in Gazette 27 Sep 2013 p. 4527-8.]</w:t>
      </w:r>
    </w:p>
    <w:p>
      <w:pPr>
        <w:pStyle w:val="yHeading3"/>
      </w:pPr>
      <w:bookmarkStart w:id="480" w:name="_Toc436903868"/>
      <w:bookmarkStart w:id="481" w:name="_Toc436905810"/>
      <w:bookmarkStart w:id="482" w:name="_Toc436906031"/>
      <w:bookmarkStart w:id="483" w:name="_Toc437515784"/>
      <w:r>
        <w:rPr>
          <w:rStyle w:val="CharSDivNo"/>
        </w:rPr>
        <w:t>Division 7</w:t>
      </w:r>
      <w:r>
        <w:t> — </w:t>
      </w:r>
      <w:r>
        <w:rPr>
          <w:rStyle w:val="CharSDivText"/>
        </w:rPr>
        <w:t>Cave entrance fees</w:t>
      </w:r>
      <w:bookmarkEnd w:id="480"/>
      <w:bookmarkEnd w:id="481"/>
      <w:bookmarkEnd w:id="482"/>
      <w:bookmarkEnd w:id="483"/>
    </w:p>
    <w:p>
      <w:pPr>
        <w:pStyle w:val="yFootnoteheading"/>
        <w:keepNext/>
        <w:keepLines/>
        <w:spacing w:after="60"/>
        <w:rPr>
          <w:snapToGrid w:val="0"/>
        </w:rPr>
      </w:pPr>
      <w:r>
        <w:tab/>
        <w:t>[Heading inserted in Gazette 27 Sep 2013 p. 4528.]</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tblHeader/>
        </w:trPr>
        <w:tc>
          <w:tcPr>
            <w:tcW w:w="709" w:type="dxa"/>
          </w:tcPr>
          <w:p>
            <w:pPr>
              <w:pStyle w:val="yTable"/>
              <w:keepNext/>
              <w:keepLines/>
            </w:pPr>
          </w:p>
        </w:tc>
        <w:tc>
          <w:tcPr>
            <w:tcW w:w="5245" w:type="dxa"/>
          </w:tcPr>
          <w:p>
            <w:pPr>
              <w:pStyle w:val="yTable"/>
              <w:keepNext/>
              <w:keepLines/>
            </w:pPr>
          </w:p>
        </w:tc>
        <w:tc>
          <w:tcPr>
            <w:tcW w:w="992" w:type="dxa"/>
          </w:tcPr>
          <w:p>
            <w:pPr>
              <w:pStyle w:val="yTable"/>
              <w:keepNext/>
              <w:keepLines/>
              <w:jc w:val="center"/>
              <w:rPr>
                <w:b/>
                <w:bCs/>
              </w:rPr>
            </w:pPr>
            <w:r>
              <w:rPr>
                <w:b/>
                <w:bCs/>
              </w:rPr>
              <w:t>$</w:t>
            </w:r>
          </w:p>
        </w:tc>
      </w:tr>
      <w:tr>
        <w:tc>
          <w:tcPr>
            <w:tcW w:w="709" w:type="dxa"/>
          </w:tcPr>
          <w:p>
            <w:pPr>
              <w:pStyle w:val="yTableNAm"/>
            </w:pPr>
            <w:r>
              <w:t>1.</w:t>
            </w:r>
          </w:p>
        </w:tc>
        <w:tc>
          <w:tcPr>
            <w:tcW w:w="5245" w:type="dxa"/>
          </w:tcPr>
          <w:p>
            <w:pPr>
              <w:pStyle w:val="yTableNAm"/>
            </w:pPr>
            <w:r>
              <w:t xml:space="preserve">Crystal Cave, Yanchep National Park — </w:t>
            </w:r>
          </w:p>
          <w:p>
            <w:pPr>
              <w:pStyle w:val="yTableNAm"/>
              <w:tabs>
                <w:tab w:val="clear" w:pos="567"/>
                <w:tab w:val="left" w:pos="417"/>
              </w:tabs>
              <w:ind w:left="417" w:hanging="417"/>
            </w:pPr>
            <w:r>
              <w:tab/>
              <w:t>each person 16 years of age or over</w:t>
            </w:r>
          </w:p>
          <w:p>
            <w:pPr>
              <w:pStyle w:val="yTableNAm"/>
              <w:tabs>
                <w:tab w:val="clear" w:pos="567"/>
                <w:tab w:val="left" w:pos="417"/>
              </w:tabs>
              <w:ind w:left="417" w:hanging="417"/>
            </w:pPr>
            <w:r>
              <w:tab/>
              <w:t>each person of more than 5 and less than 16 years of age</w:t>
            </w:r>
          </w:p>
          <w:p>
            <w:pPr>
              <w:pStyle w:val="yTableNAm"/>
              <w:tabs>
                <w:tab w:val="clear" w:pos="567"/>
                <w:tab w:val="left" w:pos="417"/>
              </w:tabs>
              <w:ind w:left="417" w:hanging="417"/>
            </w:pPr>
            <w:r>
              <w:tab/>
              <w:t>a family (2 adults and 2 children of more than 5 and less than 16 years of age)</w:t>
            </w:r>
          </w:p>
          <w:p>
            <w:pPr>
              <w:pStyle w:val="yTableNAm"/>
              <w:tabs>
                <w:tab w:val="clear" w:pos="567"/>
                <w:tab w:val="left" w:pos="417"/>
              </w:tabs>
              <w:ind w:left="417" w:hanging="417"/>
            </w:pPr>
            <w:r>
              <w:tab/>
              <w:t>each person who holds a concession card</w:t>
            </w:r>
          </w:p>
        </w:tc>
        <w:tc>
          <w:tcPr>
            <w:tcW w:w="992" w:type="dxa"/>
          </w:tcPr>
          <w:p>
            <w:pPr>
              <w:pStyle w:val="yTableNAm"/>
              <w:jc w:val="center"/>
            </w:pPr>
          </w:p>
          <w:p>
            <w:pPr>
              <w:pStyle w:val="yTableNAm"/>
              <w:jc w:val="center"/>
            </w:pPr>
            <w:r>
              <w:t>14.00</w:t>
            </w:r>
          </w:p>
          <w:p>
            <w:pPr>
              <w:pStyle w:val="yTableNAm"/>
              <w:jc w:val="center"/>
            </w:pPr>
            <w:r>
              <w:br/>
              <w:t>7.00</w:t>
            </w:r>
          </w:p>
          <w:p>
            <w:pPr>
              <w:pStyle w:val="yTableNAm"/>
              <w:jc w:val="center"/>
            </w:pPr>
            <w:r>
              <w:br/>
              <w:t>35.00</w:t>
            </w:r>
          </w:p>
          <w:p>
            <w:pPr>
              <w:pStyle w:val="yTableNAm"/>
              <w:jc w:val="center"/>
              <w:rPr>
                <w:bCs/>
              </w:rPr>
            </w:pPr>
            <w:r>
              <w:t>11.00</w:t>
            </w:r>
          </w:p>
        </w:tc>
      </w:tr>
      <w:tr>
        <w:trPr>
          <w:cantSplit/>
        </w:trPr>
        <w:tc>
          <w:tcPr>
            <w:tcW w:w="709" w:type="dxa"/>
          </w:tcPr>
          <w:p>
            <w:pPr>
              <w:pStyle w:val="yTable"/>
            </w:pPr>
            <w:r>
              <w:t>2.</w:t>
            </w:r>
          </w:p>
        </w:tc>
        <w:tc>
          <w:tcPr>
            <w:tcW w:w="5245"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NAm"/>
              <w:tabs>
                <w:tab w:val="clear" w:pos="567"/>
                <w:tab w:val="left" w:pos="417"/>
              </w:tabs>
              <w:ind w:left="417" w:hanging="417"/>
            </w:pPr>
            <w:r>
              <w:tab/>
              <w:t>each person 16 years of age or over</w:t>
            </w:r>
          </w:p>
        </w:tc>
        <w:tc>
          <w:tcPr>
            <w:tcW w:w="992" w:type="dxa"/>
            <w:vAlign w:val="bottom"/>
          </w:tcPr>
          <w:p>
            <w:pPr>
              <w:pStyle w:val="yTableNAm"/>
              <w:jc w:val="center"/>
            </w:pPr>
            <w:r>
              <w:t>17.00</w:t>
            </w:r>
          </w:p>
        </w:tc>
      </w:tr>
      <w:tr>
        <w:tc>
          <w:tcPr>
            <w:tcW w:w="709" w:type="dxa"/>
          </w:tcPr>
          <w:p>
            <w:pPr>
              <w:pStyle w:val="yTable"/>
            </w:pPr>
          </w:p>
        </w:tc>
        <w:tc>
          <w:tcPr>
            <w:tcW w:w="5245" w:type="dxa"/>
          </w:tcPr>
          <w:p>
            <w:pPr>
              <w:pStyle w:val="yTableNAm"/>
              <w:tabs>
                <w:tab w:val="clear" w:pos="567"/>
                <w:tab w:val="left" w:pos="417"/>
              </w:tabs>
              <w:ind w:left="417" w:hanging="417"/>
            </w:pPr>
            <w:r>
              <w:tab/>
              <w:t>each person of more than 5 and less than 16 years of age</w:t>
            </w:r>
          </w:p>
        </w:tc>
        <w:tc>
          <w:tcPr>
            <w:tcW w:w="992" w:type="dxa"/>
            <w:vAlign w:val="bottom"/>
          </w:tcPr>
          <w:p>
            <w:pPr>
              <w:pStyle w:val="yTableNAm"/>
              <w:jc w:val="center"/>
            </w:pPr>
            <w:r>
              <w:t>8.50</w:t>
            </w:r>
          </w:p>
        </w:tc>
      </w:tr>
      <w:tr>
        <w:tc>
          <w:tcPr>
            <w:tcW w:w="709" w:type="dxa"/>
          </w:tcPr>
          <w:p>
            <w:pPr>
              <w:pStyle w:val="yTable"/>
            </w:pPr>
          </w:p>
        </w:tc>
        <w:tc>
          <w:tcPr>
            <w:tcW w:w="5245" w:type="dxa"/>
          </w:tcPr>
          <w:p>
            <w:pPr>
              <w:pStyle w:val="yTableNAm"/>
              <w:tabs>
                <w:tab w:val="clear" w:pos="567"/>
                <w:tab w:val="left" w:pos="417"/>
              </w:tabs>
              <w:ind w:left="417" w:hanging="417"/>
            </w:pPr>
            <w:r>
              <w:tab/>
              <w:t>a family (2 adults and 2 children of more than 5 and less than 16 years of age)</w:t>
            </w:r>
          </w:p>
        </w:tc>
        <w:tc>
          <w:tcPr>
            <w:tcW w:w="992" w:type="dxa"/>
            <w:vAlign w:val="bottom"/>
          </w:tcPr>
          <w:p>
            <w:pPr>
              <w:pStyle w:val="yTableNAm"/>
              <w:jc w:val="center"/>
            </w:pPr>
            <w:r>
              <w:t>44.00</w:t>
            </w:r>
          </w:p>
        </w:tc>
      </w:tr>
      <w:tr>
        <w:tc>
          <w:tcPr>
            <w:tcW w:w="709" w:type="dxa"/>
          </w:tcPr>
          <w:p>
            <w:pPr>
              <w:pStyle w:val="yTable"/>
            </w:pPr>
          </w:p>
        </w:tc>
        <w:tc>
          <w:tcPr>
            <w:tcW w:w="5245" w:type="dxa"/>
          </w:tcPr>
          <w:p>
            <w:pPr>
              <w:pStyle w:val="yTableNAm"/>
              <w:tabs>
                <w:tab w:val="clear" w:pos="567"/>
                <w:tab w:val="left" w:pos="417"/>
              </w:tabs>
              <w:ind w:left="417" w:hanging="417"/>
            </w:pPr>
            <w:r>
              <w:tab/>
              <w:t>each person who holds a concession card</w:t>
            </w:r>
          </w:p>
        </w:tc>
        <w:tc>
          <w:tcPr>
            <w:tcW w:w="992" w:type="dxa"/>
            <w:vAlign w:val="bottom"/>
          </w:tcPr>
          <w:p>
            <w:pPr>
              <w:pStyle w:val="yTableNAm"/>
              <w:jc w:val="center"/>
            </w:pPr>
            <w:r>
              <w:t>11.50</w:t>
            </w:r>
          </w:p>
        </w:tc>
      </w:tr>
    </w:tbl>
    <w:p>
      <w:pPr>
        <w:pStyle w:val="yFootnotesection"/>
      </w:pPr>
      <w:r>
        <w:tab/>
        <w:t>[Division 7 inserted in Gazette 27 Sep 2013 p. 4528; amended in Gazette 14 Jul 2015 p. 2788.]</w:t>
      </w:r>
    </w:p>
    <w:p>
      <w:pPr>
        <w:pStyle w:val="yHeading3"/>
      </w:pPr>
      <w:bookmarkStart w:id="484" w:name="_Toc436903869"/>
      <w:bookmarkStart w:id="485" w:name="_Toc436905811"/>
      <w:bookmarkStart w:id="486" w:name="_Toc436906032"/>
      <w:bookmarkStart w:id="487" w:name="_Toc437515785"/>
      <w:r>
        <w:rPr>
          <w:rStyle w:val="CharSDivNo"/>
        </w:rPr>
        <w:t>Division 8</w:t>
      </w:r>
      <w:r>
        <w:t> — </w:t>
      </w:r>
      <w:r>
        <w:rPr>
          <w:rStyle w:val="CharSDivText"/>
        </w:rPr>
        <w:t>Licence and permit fees</w:t>
      </w:r>
      <w:bookmarkEnd w:id="484"/>
      <w:bookmarkEnd w:id="485"/>
      <w:bookmarkEnd w:id="486"/>
      <w:bookmarkEnd w:id="487"/>
    </w:p>
    <w:p>
      <w:pPr>
        <w:pStyle w:val="yFootnoteheading"/>
        <w:keepNext/>
        <w:keepLines/>
        <w:spacing w:after="60"/>
        <w:rPr>
          <w:snapToGrid w:val="0"/>
        </w:rPr>
      </w:pPr>
      <w:r>
        <w:tab/>
        <w:t>[Heading inserted in Gazette 27 Sep 2013 p. 4528.]</w:t>
      </w:r>
    </w:p>
    <w:tbl>
      <w:tblPr>
        <w:tblW w:w="0" w:type="auto"/>
        <w:tblInd w:w="250" w:type="dxa"/>
        <w:tblLayout w:type="fixed"/>
        <w:tblCellMar>
          <w:bottom w:w="113" w:type="dxa"/>
        </w:tblCellMar>
        <w:tblLook w:val="0000" w:firstRow="0" w:lastRow="0" w:firstColumn="0" w:lastColumn="0" w:noHBand="0" w:noVBand="0"/>
      </w:tblPr>
      <w:tblGrid>
        <w:gridCol w:w="709"/>
        <w:gridCol w:w="5245"/>
        <w:gridCol w:w="992"/>
      </w:tblGrid>
      <w:tr>
        <w:trPr>
          <w:tblHeader/>
        </w:trPr>
        <w:tc>
          <w:tcPr>
            <w:tcW w:w="709" w:type="dxa"/>
          </w:tcPr>
          <w:p>
            <w:pPr>
              <w:pStyle w:val="zyTableNAm"/>
              <w:jc w:val="center"/>
              <w:rPr>
                <w:b/>
                <w:bCs/>
              </w:rPr>
            </w:pPr>
          </w:p>
        </w:tc>
        <w:tc>
          <w:tcPr>
            <w:tcW w:w="5245" w:type="dxa"/>
          </w:tcPr>
          <w:p>
            <w:pPr>
              <w:pStyle w:val="zyTableNAm"/>
              <w:jc w:val="center"/>
              <w:rPr>
                <w:b/>
                <w:bCs/>
              </w:rPr>
            </w:pPr>
          </w:p>
        </w:tc>
        <w:tc>
          <w:tcPr>
            <w:tcW w:w="992" w:type="dxa"/>
          </w:tcPr>
          <w:p>
            <w:pPr>
              <w:pStyle w:val="yTableNAm"/>
              <w:jc w:val="center"/>
            </w:pPr>
            <w:r>
              <w:rPr>
                <w:b/>
                <w:bCs/>
              </w:rPr>
              <w:t>$</w:t>
            </w:r>
          </w:p>
        </w:tc>
      </w:tr>
      <w:tr>
        <w:tc>
          <w:tcPr>
            <w:tcW w:w="709" w:type="dxa"/>
          </w:tcPr>
          <w:p>
            <w:pPr>
              <w:pStyle w:val="yTableNAm"/>
            </w:pPr>
            <w:r>
              <w:t>1.</w:t>
            </w:r>
          </w:p>
        </w:tc>
        <w:tc>
          <w:tcPr>
            <w:tcW w:w="5245" w:type="dxa"/>
          </w:tcPr>
          <w:p>
            <w:pPr>
              <w:pStyle w:val="yTableNAm"/>
            </w:pPr>
            <w:r>
              <w:t>Application for cave permit per person per half day (r. 49)</w:t>
            </w:r>
          </w:p>
        </w:tc>
        <w:tc>
          <w:tcPr>
            <w:tcW w:w="992" w:type="dxa"/>
          </w:tcPr>
          <w:p>
            <w:pPr>
              <w:pStyle w:val="yTableNAm"/>
              <w:jc w:val="center"/>
            </w:pPr>
            <w:r>
              <w:br/>
              <w:t>5.80</w:t>
            </w:r>
          </w:p>
        </w:tc>
      </w:tr>
      <w:tr>
        <w:tc>
          <w:tcPr>
            <w:tcW w:w="709" w:type="dxa"/>
          </w:tcPr>
          <w:p>
            <w:pPr>
              <w:pStyle w:val="yTableNAm"/>
            </w:pPr>
            <w:r>
              <w:t>2.</w:t>
            </w:r>
          </w:p>
        </w:tc>
        <w:tc>
          <w:tcPr>
            <w:tcW w:w="5245" w:type="dxa"/>
          </w:tcPr>
          <w:p>
            <w:pPr>
              <w:pStyle w:val="yTableNAm"/>
            </w:pPr>
            <w:r>
              <w:t>Application for scientific purposes licence (r. 83)</w:t>
            </w:r>
          </w:p>
        </w:tc>
        <w:tc>
          <w:tcPr>
            <w:tcW w:w="992" w:type="dxa"/>
            <w:vAlign w:val="center"/>
          </w:tcPr>
          <w:p>
            <w:pPr>
              <w:pStyle w:val="yTableNAm"/>
              <w:jc w:val="center"/>
            </w:pPr>
            <w:r>
              <w:t>25.00</w:t>
            </w:r>
          </w:p>
        </w:tc>
      </w:tr>
      <w:tr>
        <w:tc>
          <w:tcPr>
            <w:tcW w:w="709" w:type="dxa"/>
          </w:tcPr>
          <w:p>
            <w:pPr>
              <w:pStyle w:val="yTableNAm"/>
            </w:pPr>
            <w:r>
              <w:t>3.</w:t>
            </w:r>
          </w:p>
        </w:tc>
        <w:tc>
          <w:tcPr>
            <w:tcW w:w="5245" w:type="dxa"/>
          </w:tcPr>
          <w:p>
            <w:pPr>
              <w:pStyle w:val="yTableNAm"/>
            </w:pPr>
            <w:r>
              <w:t>Application for renewal of scientific purposes licence (r. 92)</w:t>
            </w:r>
          </w:p>
        </w:tc>
        <w:tc>
          <w:tcPr>
            <w:tcW w:w="992" w:type="dxa"/>
            <w:vAlign w:val="center"/>
          </w:tcPr>
          <w:p>
            <w:pPr>
              <w:pStyle w:val="yTableNAm"/>
              <w:jc w:val="center"/>
            </w:pPr>
            <w:r>
              <w:t>25.00</w:t>
            </w:r>
          </w:p>
        </w:tc>
      </w:tr>
      <w:tr>
        <w:tc>
          <w:tcPr>
            <w:tcW w:w="709" w:type="dxa"/>
          </w:tcPr>
          <w:p>
            <w:pPr>
              <w:pStyle w:val="yTableNAm"/>
            </w:pPr>
            <w:r>
              <w:t>4.</w:t>
            </w:r>
          </w:p>
        </w:tc>
        <w:tc>
          <w:tcPr>
            <w:tcW w:w="5245" w:type="dxa"/>
          </w:tcPr>
          <w:p>
            <w:pPr>
              <w:pStyle w:val="yTableNAm"/>
            </w:pPr>
            <w:r>
              <w:t>Application for commercial operations licence (r. 83)</w:t>
            </w:r>
          </w:p>
        </w:tc>
        <w:tc>
          <w:tcPr>
            <w:tcW w:w="992" w:type="dxa"/>
            <w:vAlign w:val="center"/>
          </w:tcPr>
          <w:p>
            <w:pPr>
              <w:pStyle w:val="yTableNAm"/>
              <w:jc w:val="center"/>
            </w:pPr>
            <w:r>
              <w:t>115.00</w:t>
            </w:r>
          </w:p>
        </w:tc>
      </w:tr>
      <w:tr>
        <w:tc>
          <w:tcPr>
            <w:tcW w:w="709" w:type="dxa"/>
          </w:tcPr>
          <w:p>
            <w:pPr>
              <w:pStyle w:val="yTableNAm"/>
            </w:pPr>
            <w:r>
              <w:t>5.</w:t>
            </w:r>
          </w:p>
        </w:tc>
        <w:tc>
          <w:tcPr>
            <w:tcW w:w="5245" w:type="dxa"/>
          </w:tcPr>
          <w:p>
            <w:pPr>
              <w:pStyle w:val="yTableNAm"/>
            </w:pPr>
            <w:r>
              <w:t>Application for renewal of commercial operations licence (r. 97)</w:t>
            </w:r>
          </w:p>
        </w:tc>
        <w:tc>
          <w:tcPr>
            <w:tcW w:w="992" w:type="dxa"/>
          </w:tcPr>
          <w:p>
            <w:pPr>
              <w:pStyle w:val="yTableNAm"/>
              <w:jc w:val="center"/>
            </w:pPr>
            <w:r>
              <w:br/>
              <w:t>100.00</w:t>
            </w:r>
          </w:p>
        </w:tc>
      </w:tr>
      <w:tr>
        <w:tc>
          <w:tcPr>
            <w:tcW w:w="709" w:type="dxa"/>
          </w:tcPr>
          <w:p>
            <w:pPr>
              <w:pStyle w:val="yTableNAm"/>
            </w:pPr>
            <w:r>
              <w:t>6.</w:t>
            </w:r>
            <w:r>
              <w:tab/>
            </w:r>
          </w:p>
        </w:tc>
        <w:tc>
          <w:tcPr>
            <w:tcW w:w="5245" w:type="dxa"/>
          </w:tcPr>
          <w:p>
            <w:pPr>
              <w:pStyle w:val="yTableNAm"/>
            </w:pPr>
            <w:r>
              <w:t>Application for private mooring licence (r. 83)</w:t>
            </w:r>
          </w:p>
        </w:tc>
        <w:tc>
          <w:tcPr>
            <w:tcW w:w="992" w:type="dxa"/>
            <w:vAlign w:val="bottom"/>
          </w:tcPr>
          <w:p>
            <w:pPr>
              <w:pStyle w:val="yTableNAm"/>
              <w:jc w:val="center"/>
            </w:pPr>
            <w:r>
              <w:t>50.00</w:t>
            </w:r>
          </w:p>
        </w:tc>
      </w:tr>
    </w:tbl>
    <w:p>
      <w:pPr>
        <w:pStyle w:val="yFootnotesection"/>
      </w:pPr>
      <w:r>
        <w:tab/>
        <w:t>[Division 8 inserted in Gazette 27 Sep 2013 p. 4528-9; amended in Gazette 24 Mar 2015 p. 1043; 14 Jul 2015 p. 2788.]</w:t>
      </w:r>
    </w:p>
    <w:p>
      <w:pPr>
        <w:pStyle w:val="yHeading3"/>
      </w:pPr>
      <w:bookmarkStart w:id="488" w:name="_Toc436903870"/>
      <w:bookmarkStart w:id="489" w:name="_Toc436905812"/>
      <w:bookmarkStart w:id="490" w:name="_Toc436906033"/>
      <w:bookmarkStart w:id="491" w:name="_Toc437515786"/>
      <w:r>
        <w:rPr>
          <w:rStyle w:val="CharSDivNo"/>
        </w:rPr>
        <w:t>Division 9</w:t>
      </w:r>
      <w:r>
        <w:t> — </w:t>
      </w:r>
      <w:r>
        <w:rPr>
          <w:rStyle w:val="CharSDivText"/>
        </w:rPr>
        <w:t>Fees for abseiling</w:t>
      </w:r>
      <w:bookmarkEnd w:id="488"/>
      <w:bookmarkEnd w:id="489"/>
      <w:bookmarkEnd w:id="490"/>
      <w:bookmarkEnd w:id="491"/>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keepNext/>
              <w:keepLines/>
            </w:pPr>
          </w:p>
        </w:tc>
        <w:tc>
          <w:tcPr>
            <w:tcW w:w="5245" w:type="dxa"/>
          </w:tcPr>
          <w:p>
            <w:pPr>
              <w:pStyle w:val="zyTableNAm"/>
              <w:keepNext/>
              <w:keepLines/>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Fee for abseiling other than at Wilyabrup Cliffs (r. 102A)</w:t>
            </w:r>
          </w:p>
          <w:p>
            <w:pPr>
              <w:pStyle w:val="yTableNAm"/>
              <w:tabs>
                <w:tab w:val="clear" w:pos="567"/>
                <w:tab w:val="left" w:pos="417"/>
              </w:tabs>
              <w:ind w:left="417" w:hanging="417"/>
            </w:pPr>
            <w:r>
              <w:tab/>
              <w:t>per person per half</w:t>
            </w:r>
            <w:r>
              <w:noBreakHyphen/>
              <w:t>day</w:t>
            </w:r>
          </w:p>
        </w:tc>
        <w:tc>
          <w:tcPr>
            <w:tcW w:w="992" w:type="dxa"/>
            <w:vAlign w:val="center"/>
          </w:tcPr>
          <w:p>
            <w:pPr>
              <w:pStyle w:val="yTableNAm"/>
              <w:jc w:val="center"/>
            </w:pPr>
          </w:p>
          <w:p>
            <w:pPr>
              <w:pStyle w:val="yTableNAm"/>
              <w:jc w:val="center"/>
            </w:pPr>
            <w:r>
              <w:t>9.00</w:t>
            </w:r>
          </w:p>
        </w:tc>
      </w:tr>
      <w:tr>
        <w:trPr>
          <w:cantSplit/>
        </w:trPr>
        <w:tc>
          <w:tcPr>
            <w:tcW w:w="709" w:type="dxa"/>
          </w:tcPr>
          <w:p>
            <w:pPr>
              <w:pStyle w:val="yTableNAm"/>
            </w:pPr>
            <w:r>
              <w:t>2.</w:t>
            </w:r>
          </w:p>
        </w:tc>
        <w:tc>
          <w:tcPr>
            <w:tcW w:w="5245" w:type="dxa"/>
          </w:tcPr>
          <w:p>
            <w:pPr>
              <w:pStyle w:val="yTableNAm"/>
            </w:pPr>
            <w:r>
              <w:t>Fee for abseiling at Wilyabrup Cliffs (r. 102A)</w:t>
            </w:r>
          </w:p>
        </w:tc>
        <w:tc>
          <w:tcPr>
            <w:tcW w:w="992" w:type="dxa"/>
          </w:tcPr>
          <w:p>
            <w:pPr>
              <w:pStyle w:val="yTableNAm"/>
              <w:jc w:val="center"/>
            </w:pPr>
            <w:r>
              <w:t>9.00</w:t>
            </w:r>
          </w:p>
        </w:tc>
      </w:tr>
    </w:tbl>
    <w:p>
      <w:pPr>
        <w:pStyle w:val="yFootnotesection"/>
      </w:pPr>
      <w:r>
        <w:tab/>
        <w:t>[Division 9 inserted in Gazette 27 Sep 2013 p. 4529; amended in Gazette 14 Jul 2015 p. 2788.]</w:t>
      </w:r>
    </w:p>
    <w:p>
      <w:pPr>
        <w:pStyle w:val="yHeading3"/>
      </w:pPr>
      <w:bookmarkStart w:id="492" w:name="_Toc436903871"/>
      <w:bookmarkStart w:id="493" w:name="_Toc436905813"/>
      <w:bookmarkStart w:id="494" w:name="_Toc436906034"/>
      <w:bookmarkStart w:id="495" w:name="_Toc437515787"/>
      <w:r>
        <w:rPr>
          <w:rStyle w:val="CharSDivNo"/>
        </w:rPr>
        <w:t>Division 10</w:t>
      </w:r>
      <w:r>
        <w:t> — </w:t>
      </w:r>
      <w:r>
        <w:rPr>
          <w:rStyle w:val="CharSDivText"/>
        </w:rPr>
        <w:t xml:space="preserve">Entrance fees for </w:t>
      </w:r>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Conservation Park</w:t>
      </w:r>
      <w:bookmarkEnd w:id="492"/>
      <w:bookmarkEnd w:id="493"/>
      <w:bookmarkEnd w:id="494"/>
      <w:bookmarkEnd w:id="495"/>
    </w:p>
    <w:p>
      <w:pPr>
        <w:pStyle w:val="yFootnoteheading"/>
        <w:keepNext/>
        <w:keepLines/>
        <w:spacing w:after="60"/>
        <w:rPr>
          <w:snapToGrid w:val="0"/>
        </w:rPr>
      </w:pPr>
      <w:r>
        <w:tab/>
        <w:t>[Heading inserted in Gazette 27 Sep 2013 p. 4529.]</w:t>
      </w:r>
    </w:p>
    <w:tbl>
      <w:tblPr>
        <w:tblW w:w="0" w:type="auto"/>
        <w:tblInd w:w="150" w:type="dxa"/>
        <w:tblLayout w:type="fixed"/>
        <w:tblCellMar>
          <w:left w:w="8" w:type="dxa"/>
          <w:right w:w="8" w:type="dxa"/>
        </w:tblCellMar>
        <w:tblLook w:val="0000" w:firstRow="0" w:lastRow="0" w:firstColumn="0" w:lastColumn="0" w:noHBand="0" w:noVBand="0"/>
      </w:tblPr>
      <w:tblGrid>
        <w:gridCol w:w="709"/>
        <w:gridCol w:w="5245"/>
        <w:gridCol w:w="992"/>
      </w:tblGrid>
      <w:tr>
        <w:trPr>
          <w:cantSplit/>
          <w:tblHeader/>
        </w:trPr>
        <w:tc>
          <w:tcPr>
            <w:tcW w:w="709" w:type="dxa"/>
          </w:tcPr>
          <w:p>
            <w:pPr>
              <w:pStyle w:val="zyTableNAm"/>
            </w:pPr>
          </w:p>
        </w:tc>
        <w:tc>
          <w:tcPr>
            <w:tcW w:w="5245" w:type="dxa"/>
          </w:tcPr>
          <w:p>
            <w:pPr>
              <w:pStyle w:val="zyTableNAm"/>
            </w:pPr>
          </w:p>
        </w:tc>
        <w:tc>
          <w:tcPr>
            <w:tcW w:w="992" w:type="dxa"/>
            <w:vAlign w:val="center"/>
          </w:tcPr>
          <w:p>
            <w:pPr>
              <w:pStyle w:val="yTableNAm"/>
              <w:jc w:val="center"/>
            </w:pPr>
            <w:r>
              <w:rPr>
                <w:b/>
              </w:rPr>
              <w:t>$</w:t>
            </w:r>
          </w:p>
        </w:tc>
      </w:tr>
      <w:tr>
        <w:trPr>
          <w:cantSplit/>
        </w:trPr>
        <w:tc>
          <w:tcPr>
            <w:tcW w:w="709" w:type="dxa"/>
          </w:tcPr>
          <w:p>
            <w:pPr>
              <w:pStyle w:val="yTableNAm"/>
            </w:pPr>
            <w:r>
              <w:t>1.</w:t>
            </w:r>
          </w:p>
        </w:tc>
        <w:tc>
          <w:tcPr>
            <w:tcW w:w="5245" w:type="dxa"/>
          </w:tcPr>
          <w:p>
            <w:pPr>
              <w:pStyle w:val="yTableNAm"/>
            </w:pPr>
            <w:r>
              <w:t>For person 16 years of age or over</w:t>
            </w:r>
          </w:p>
        </w:tc>
        <w:tc>
          <w:tcPr>
            <w:tcW w:w="992" w:type="dxa"/>
          </w:tcPr>
          <w:p>
            <w:pPr>
              <w:pStyle w:val="yTableNAm"/>
              <w:jc w:val="center"/>
            </w:pPr>
            <w:r>
              <w:t>10.00</w:t>
            </w:r>
          </w:p>
        </w:tc>
      </w:tr>
      <w:tr>
        <w:trPr>
          <w:cantSplit/>
        </w:trPr>
        <w:tc>
          <w:tcPr>
            <w:tcW w:w="709" w:type="dxa"/>
          </w:tcPr>
          <w:p>
            <w:pPr>
              <w:pStyle w:val="yTableNAm"/>
            </w:pPr>
            <w:r>
              <w:t>2.</w:t>
            </w:r>
          </w:p>
        </w:tc>
        <w:tc>
          <w:tcPr>
            <w:tcW w:w="5245" w:type="dxa"/>
          </w:tcPr>
          <w:p>
            <w:pPr>
              <w:pStyle w:val="yTableNAm"/>
            </w:pPr>
            <w:r>
              <w:t xml:space="preserve">For person of more than 5 and less than 16 years of age </w:t>
            </w:r>
          </w:p>
        </w:tc>
        <w:tc>
          <w:tcPr>
            <w:tcW w:w="992" w:type="dxa"/>
          </w:tcPr>
          <w:p>
            <w:pPr>
              <w:pStyle w:val="yTableNAm"/>
              <w:jc w:val="center"/>
            </w:pPr>
            <w:r>
              <w:t>4.00</w:t>
            </w:r>
          </w:p>
        </w:tc>
      </w:tr>
      <w:tr>
        <w:trPr>
          <w:cantSplit/>
        </w:trPr>
        <w:tc>
          <w:tcPr>
            <w:tcW w:w="709" w:type="dxa"/>
          </w:tcPr>
          <w:p>
            <w:pPr>
              <w:pStyle w:val="yTableNAm"/>
            </w:pPr>
            <w:r>
              <w:t>3.</w:t>
            </w:r>
          </w:p>
        </w:tc>
        <w:tc>
          <w:tcPr>
            <w:tcW w:w="5245" w:type="dxa"/>
          </w:tcPr>
          <w:p>
            <w:pPr>
              <w:pStyle w:val="yTableNAm"/>
            </w:pPr>
            <w:r>
              <w:t>For family (2 adults and 2 children of more than 5 and less than 16 years of age)</w:t>
            </w:r>
          </w:p>
        </w:tc>
        <w:tc>
          <w:tcPr>
            <w:tcW w:w="992" w:type="dxa"/>
            <w:vAlign w:val="center"/>
          </w:tcPr>
          <w:p>
            <w:pPr>
              <w:pStyle w:val="yTableNAm"/>
              <w:jc w:val="center"/>
            </w:pPr>
            <w:r>
              <w:br/>
              <w:t>24.00</w:t>
            </w:r>
          </w:p>
        </w:tc>
      </w:tr>
      <w:tr>
        <w:trPr>
          <w:cantSplit/>
        </w:trPr>
        <w:tc>
          <w:tcPr>
            <w:tcW w:w="709" w:type="dxa"/>
          </w:tcPr>
          <w:p>
            <w:pPr>
              <w:pStyle w:val="yTableNAm"/>
            </w:pPr>
            <w:r>
              <w:t>4.</w:t>
            </w:r>
          </w:p>
        </w:tc>
        <w:tc>
          <w:tcPr>
            <w:tcW w:w="5245" w:type="dxa"/>
          </w:tcPr>
          <w:p>
            <w:pPr>
              <w:pStyle w:val="yTableNAm"/>
            </w:pPr>
            <w:r>
              <w:t>For holder of a concession card</w:t>
            </w:r>
          </w:p>
        </w:tc>
        <w:tc>
          <w:tcPr>
            <w:tcW w:w="992" w:type="dxa"/>
          </w:tcPr>
          <w:p>
            <w:pPr>
              <w:pStyle w:val="yTableNAm"/>
              <w:jc w:val="center"/>
            </w:pPr>
            <w:r>
              <w:t>8.00</w:t>
            </w:r>
          </w:p>
        </w:tc>
      </w:tr>
      <w:tr>
        <w:trPr>
          <w:cantSplit/>
        </w:trPr>
        <w:tc>
          <w:tcPr>
            <w:tcW w:w="709" w:type="dxa"/>
          </w:tcPr>
          <w:p>
            <w:pPr>
              <w:pStyle w:val="yTableNAm"/>
            </w:pPr>
            <w:r>
              <w:t>5.</w:t>
            </w:r>
          </w:p>
        </w:tc>
        <w:tc>
          <w:tcPr>
            <w:tcW w:w="5245" w:type="dxa"/>
          </w:tcPr>
          <w:p>
            <w:pPr>
              <w:pStyle w:val="yTableNAm"/>
            </w:pPr>
            <w:r>
              <w:t>One month pass for person 16 years of age or over</w:t>
            </w:r>
          </w:p>
        </w:tc>
        <w:tc>
          <w:tcPr>
            <w:tcW w:w="992" w:type="dxa"/>
          </w:tcPr>
          <w:p>
            <w:pPr>
              <w:pStyle w:val="yTableNAm"/>
              <w:jc w:val="center"/>
            </w:pPr>
            <w:r>
              <w:t>16.00</w:t>
            </w:r>
          </w:p>
        </w:tc>
      </w:tr>
      <w:tr>
        <w:trPr>
          <w:cantSplit/>
        </w:trPr>
        <w:tc>
          <w:tcPr>
            <w:tcW w:w="709" w:type="dxa"/>
          </w:tcPr>
          <w:p>
            <w:pPr>
              <w:pStyle w:val="yTableNAm"/>
            </w:pPr>
            <w:r>
              <w:t>6.</w:t>
            </w:r>
          </w:p>
        </w:tc>
        <w:tc>
          <w:tcPr>
            <w:tcW w:w="5245" w:type="dxa"/>
          </w:tcPr>
          <w:p>
            <w:pPr>
              <w:pStyle w:val="yTableNAm"/>
            </w:pPr>
            <w:r>
              <w:t>One month pass for person of more than 5 and less than 16 years of age</w:t>
            </w:r>
          </w:p>
        </w:tc>
        <w:tc>
          <w:tcPr>
            <w:tcW w:w="992" w:type="dxa"/>
          </w:tcPr>
          <w:p>
            <w:pPr>
              <w:pStyle w:val="yTableNAm"/>
              <w:jc w:val="center"/>
            </w:pPr>
            <w:r>
              <w:br/>
              <w:t>6.50</w:t>
            </w:r>
          </w:p>
        </w:tc>
      </w:tr>
      <w:tr>
        <w:trPr>
          <w:cantSplit/>
        </w:trPr>
        <w:tc>
          <w:tcPr>
            <w:tcW w:w="709" w:type="dxa"/>
          </w:tcPr>
          <w:p>
            <w:pPr>
              <w:pStyle w:val="yTableNAm"/>
            </w:pPr>
            <w:r>
              <w:t>7.</w:t>
            </w:r>
          </w:p>
        </w:tc>
        <w:tc>
          <w:tcPr>
            <w:tcW w:w="5245" w:type="dxa"/>
          </w:tcPr>
          <w:p>
            <w:pPr>
              <w:pStyle w:val="yTableNAm"/>
            </w:pPr>
            <w:r>
              <w:t>One month pass for family (2 adults and 2 children of more than 5 and less than 16 years of age)</w:t>
            </w:r>
          </w:p>
        </w:tc>
        <w:tc>
          <w:tcPr>
            <w:tcW w:w="992" w:type="dxa"/>
          </w:tcPr>
          <w:p>
            <w:pPr>
              <w:pStyle w:val="yTableNAm"/>
              <w:jc w:val="center"/>
            </w:pPr>
            <w:r>
              <w:br/>
              <w:t>38.50</w:t>
            </w:r>
          </w:p>
        </w:tc>
      </w:tr>
      <w:tr>
        <w:trPr>
          <w:cantSplit/>
        </w:trPr>
        <w:tc>
          <w:tcPr>
            <w:tcW w:w="709" w:type="dxa"/>
          </w:tcPr>
          <w:p>
            <w:pPr>
              <w:pStyle w:val="yTableNAm"/>
            </w:pPr>
            <w:r>
              <w:t>8.</w:t>
            </w:r>
          </w:p>
        </w:tc>
        <w:tc>
          <w:tcPr>
            <w:tcW w:w="5245" w:type="dxa"/>
          </w:tcPr>
          <w:p>
            <w:pPr>
              <w:pStyle w:val="yTableNAm"/>
            </w:pPr>
            <w:r>
              <w:t>One month pass for holder of a concession card</w:t>
            </w:r>
          </w:p>
        </w:tc>
        <w:tc>
          <w:tcPr>
            <w:tcW w:w="992" w:type="dxa"/>
          </w:tcPr>
          <w:p>
            <w:pPr>
              <w:pStyle w:val="yTableNAm"/>
              <w:jc w:val="center"/>
            </w:pPr>
            <w:r>
              <w:t>13.00</w:t>
            </w:r>
          </w:p>
        </w:tc>
      </w:tr>
    </w:tbl>
    <w:p>
      <w:pPr>
        <w:pStyle w:val="yFootnotesection"/>
      </w:pPr>
      <w:r>
        <w:tab/>
        <w:t>[Division 10 inserted in Gazette 27 Sep 2013 p. 4529; amended in Gazette 14 Jul 2015 p. 2788.]</w:t>
      </w:r>
    </w:p>
    <w:p>
      <w:pPr>
        <w:pStyle w:val="yHeading3"/>
      </w:pPr>
      <w:bookmarkStart w:id="496" w:name="_Toc436903872"/>
      <w:bookmarkStart w:id="497" w:name="_Toc436905814"/>
      <w:bookmarkStart w:id="498" w:name="_Toc436906035"/>
      <w:bookmarkStart w:id="499" w:name="_Toc437515788"/>
      <w:r>
        <w:rPr>
          <w:rStyle w:val="CharSDivNo"/>
        </w:rPr>
        <w:t>Division 11</w:t>
      </w:r>
      <w:r>
        <w:rPr>
          <w:b w:val="0"/>
        </w:rPr>
        <w:t> — </w:t>
      </w:r>
      <w:r>
        <w:rPr>
          <w:rStyle w:val="CharSDivText"/>
        </w:rPr>
        <w:t>Apiary permit and licence fees</w:t>
      </w:r>
      <w:bookmarkEnd w:id="496"/>
      <w:bookmarkEnd w:id="497"/>
      <w:bookmarkEnd w:id="498"/>
      <w:bookmarkEnd w:id="499"/>
    </w:p>
    <w:p>
      <w:pPr>
        <w:pStyle w:val="yFootnoteheading"/>
        <w:keepNext/>
        <w:keepLines/>
      </w:pPr>
      <w:r>
        <w:tab/>
        <w:t>[Heading inserted in Gazette 3 Sep 2010 p. 4283.]</w:t>
      </w:r>
    </w:p>
    <w:tbl>
      <w:tblPr>
        <w:tblW w:w="0" w:type="auto"/>
        <w:tblInd w:w="85" w:type="dxa"/>
        <w:tblLayout w:type="fixed"/>
        <w:tblCellMar>
          <w:left w:w="85" w:type="dxa"/>
          <w:bottom w:w="57" w:type="dxa"/>
          <w:right w:w="85" w:type="dxa"/>
        </w:tblCellMar>
        <w:tblLook w:val="0000" w:firstRow="0" w:lastRow="0" w:firstColumn="0" w:lastColumn="0" w:noHBand="0" w:noVBand="0"/>
      </w:tblPr>
      <w:tblGrid>
        <w:gridCol w:w="652"/>
        <w:gridCol w:w="5444"/>
        <w:gridCol w:w="992"/>
      </w:tblGrid>
      <w:tr>
        <w:trPr>
          <w:tblHeader/>
        </w:trPr>
        <w:tc>
          <w:tcPr>
            <w:tcW w:w="652" w:type="dxa"/>
          </w:tcPr>
          <w:p>
            <w:pPr>
              <w:pStyle w:val="yTableNAm"/>
              <w:keepNext/>
              <w:keepLines/>
              <w:spacing w:before="60"/>
            </w:pPr>
          </w:p>
        </w:tc>
        <w:tc>
          <w:tcPr>
            <w:tcW w:w="5444" w:type="dxa"/>
          </w:tcPr>
          <w:p>
            <w:pPr>
              <w:pStyle w:val="yTableNAm"/>
              <w:keepNext/>
              <w:keepLines/>
              <w:spacing w:before="60"/>
            </w:pPr>
          </w:p>
        </w:tc>
        <w:tc>
          <w:tcPr>
            <w:tcW w:w="992" w:type="dxa"/>
            <w:vAlign w:val="bottom"/>
          </w:tcPr>
          <w:p>
            <w:pPr>
              <w:pStyle w:val="yTableNAm"/>
              <w:keepNext/>
              <w:keepLines/>
              <w:tabs>
                <w:tab w:val="clear" w:pos="567"/>
              </w:tabs>
              <w:spacing w:before="60"/>
              <w:jc w:val="center"/>
              <w:rPr>
                <w:b/>
                <w:bCs/>
              </w:rPr>
            </w:pPr>
            <w:r>
              <w:rPr>
                <w:b/>
                <w:bCs/>
              </w:rPr>
              <w:t>$</w:t>
            </w:r>
          </w:p>
        </w:tc>
      </w:tr>
      <w:tr>
        <w:trPr>
          <w:cantSplit/>
        </w:trPr>
        <w:tc>
          <w:tcPr>
            <w:tcW w:w="652" w:type="dxa"/>
          </w:tcPr>
          <w:p>
            <w:pPr>
              <w:pStyle w:val="yTableNAm"/>
              <w:spacing w:before="60"/>
            </w:pPr>
            <w:r>
              <w:t>1.</w:t>
            </w:r>
          </w:p>
        </w:tc>
        <w:tc>
          <w:tcPr>
            <w:tcW w:w="5444" w:type="dxa"/>
          </w:tcPr>
          <w:p>
            <w:pPr>
              <w:pStyle w:val="yTableNAm"/>
              <w:spacing w:before="60"/>
            </w:pPr>
            <w:r>
              <w:t xml:space="preserve">Application for grant of apiary authority where item 4 does not apply — </w:t>
            </w:r>
          </w:p>
          <w:p>
            <w:pPr>
              <w:pStyle w:val="yTableNAm"/>
              <w:spacing w:before="60"/>
              <w:ind w:left="567" w:hanging="567"/>
            </w:pPr>
            <w:r>
              <w:t>(a)</w:t>
            </w:r>
            <w:r>
              <w:tab/>
              <w:t>for apiary site in South</w:t>
            </w:r>
            <w:r>
              <w:noBreakHyphen/>
              <w:t>west zone</w:t>
            </w:r>
            <w:r>
              <w:br/>
              <w:t>(fee per 5 sites)</w:t>
            </w:r>
          </w:p>
          <w:p>
            <w:pPr>
              <w:pStyle w:val="yTableNAm"/>
              <w:spacing w:before="60"/>
              <w:ind w:left="567" w:hanging="567"/>
            </w:pPr>
            <w:r>
              <w:t>(b)</w:t>
            </w:r>
            <w:r>
              <w:tab/>
              <w:t>for apiary site outside the South</w:t>
            </w:r>
            <w:r>
              <w:noBreakHyphen/>
              <w:t xml:space="preserve">west zone </w:t>
            </w:r>
            <w:r>
              <w:br/>
              <w:t>(fee per 5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148.00</w:t>
            </w:r>
          </w:p>
          <w:p>
            <w:pPr>
              <w:pStyle w:val="yTableNAm"/>
              <w:tabs>
                <w:tab w:val="clear" w:pos="567"/>
              </w:tabs>
              <w:spacing w:before="60"/>
              <w:jc w:val="right"/>
            </w:pPr>
            <w:r>
              <w:br/>
              <w:t>71.00</w:t>
            </w:r>
          </w:p>
        </w:tc>
      </w:tr>
      <w:tr>
        <w:tc>
          <w:tcPr>
            <w:tcW w:w="652" w:type="dxa"/>
          </w:tcPr>
          <w:p>
            <w:pPr>
              <w:pStyle w:val="yTableNAm"/>
              <w:spacing w:before="60"/>
            </w:pPr>
            <w:r>
              <w:t>2.</w:t>
            </w:r>
          </w:p>
        </w:tc>
        <w:tc>
          <w:tcPr>
            <w:tcW w:w="5444" w:type="dxa"/>
          </w:tcPr>
          <w:p>
            <w:pPr>
              <w:pStyle w:val="yTableNAm"/>
              <w:spacing w:before="60"/>
              <w:rPr>
                <w:rStyle w:val="DraftersNotes"/>
              </w:rPr>
            </w:pPr>
            <w:r>
              <w:t>Application to transfer apiary authority</w:t>
            </w:r>
          </w:p>
        </w:tc>
        <w:tc>
          <w:tcPr>
            <w:tcW w:w="992" w:type="dxa"/>
            <w:vAlign w:val="bottom"/>
          </w:tcPr>
          <w:p>
            <w:pPr>
              <w:pStyle w:val="yTableNAm"/>
              <w:tabs>
                <w:tab w:val="clear" w:pos="567"/>
              </w:tabs>
              <w:spacing w:before="60"/>
              <w:jc w:val="right"/>
            </w:pPr>
            <w:r>
              <w:t>13.00</w:t>
            </w:r>
          </w:p>
        </w:tc>
      </w:tr>
      <w:tr>
        <w:tc>
          <w:tcPr>
            <w:tcW w:w="652" w:type="dxa"/>
          </w:tcPr>
          <w:p>
            <w:pPr>
              <w:pStyle w:val="yTableNAm"/>
              <w:spacing w:before="60"/>
            </w:pPr>
            <w:r>
              <w:t>3.</w:t>
            </w:r>
          </w:p>
        </w:tc>
        <w:tc>
          <w:tcPr>
            <w:tcW w:w="5444" w:type="dxa"/>
          </w:tcPr>
          <w:p>
            <w:pPr>
              <w:pStyle w:val="yTableNAm"/>
              <w:spacing w:before="60"/>
            </w:pPr>
            <w:r>
              <w:t xml:space="preserve">Application to vary apiary licence to change the site to which it relates — </w:t>
            </w:r>
          </w:p>
          <w:p>
            <w:pPr>
              <w:pStyle w:val="yTableNAm"/>
              <w:spacing w:before="60"/>
              <w:ind w:left="567" w:hanging="567"/>
            </w:pPr>
            <w:r>
              <w:t>(a)</w:t>
            </w:r>
            <w:r>
              <w:tab/>
              <w:t>where new site is in the South</w:t>
            </w:r>
            <w:r>
              <w:noBreakHyphen/>
              <w:t xml:space="preserve">west zone </w:t>
            </w:r>
            <w:r>
              <w:br/>
              <w:t>(fee per 5 new sites)</w:t>
            </w:r>
          </w:p>
          <w:p>
            <w:pPr>
              <w:pStyle w:val="yTableNAm"/>
              <w:spacing w:before="6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60"/>
              <w:jc w:val="right"/>
            </w:pPr>
            <w:r>
              <w:br/>
            </w:r>
          </w:p>
          <w:p>
            <w:pPr>
              <w:pStyle w:val="yTableNAm"/>
              <w:tabs>
                <w:tab w:val="clear" w:pos="567"/>
              </w:tabs>
              <w:spacing w:before="60"/>
              <w:jc w:val="right"/>
            </w:pPr>
            <w:r>
              <w:br/>
              <w:t>110.00</w:t>
            </w:r>
          </w:p>
          <w:p>
            <w:pPr>
              <w:pStyle w:val="yTableNAm"/>
              <w:tabs>
                <w:tab w:val="clear" w:pos="567"/>
              </w:tabs>
              <w:spacing w:before="60"/>
              <w:jc w:val="right"/>
            </w:pPr>
            <w:r>
              <w:br/>
              <w:t>55.00</w:t>
            </w:r>
          </w:p>
        </w:tc>
      </w:tr>
      <w:tr>
        <w:tc>
          <w:tcPr>
            <w:tcW w:w="652" w:type="dxa"/>
          </w:tcPr>
          <w:p>
            <w:pPr>
              <w:pStyle w:val="yTableNAm"/>
              <w:spacing w:before="80"/>
            </w:pPr>
            <w:r>
              <w:t>4.</w:t>
            </w:r>
          </w:p>
        </w:tc>
        <w:tc>
          <w:tcPr>
            <w:tcW w:w="5444"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992"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110.00</w:t>
            </w:r>
          </w:p>
          <w:p>
            <w:pPr>
              <w:pStyle w:val="yTableNAm"/>
              <w:tabs>
                <w:tab w:val="clear" w:pos="567"/>
              </w:tabs>
              <w:spacing w:before="80"/>
              <w:jc w:val="right"/>
            </w:pPr>
            <w:r>
              <w:br/>
              <w:t>55.00</w:t>
            </w:r>
          </w:p>
        </w:tc>
      </w:tr>
    </w:tbl>
    <w:p>
      <w:pPr>
        <w:pStyle w:val="yFootnotesection"/>
      </w:pPr>
      <w:r>
        <w:tab/>
        <w:t>[Division 11 inserted in Gazette 3 Sep 2010 p. 4283; amended in Gazette 14 Jul 2015 p. 2789.]</w:t>
      </w:r>
    </w:p>
    <w:p>
      <w:pPr>
        <w:pStyle w:val="yHeading3"/>
      </w:pPr>
      <w:bookmarkStart w:id="500" w:name="_Toc436903873"/>
      <w:bookmarkStart w:id="501" w:name="_Toc436905815"/>
      <w:bookmarkStart w:id="502" w:name="_Toc436906036"/>
      <w:bookmarkStart w:id="503" w:name="_Toc437515789"/>
      <w:r>
        <w:rPr>
          <w:rStyle w:val="CharSDivNo"/>
        </w:rPr>
        <w:t>Division 12</w:t>
      </w:r>
      <w:r>
        <w:rPr>
          <w:b w:val="0"/>
        </w:rPr>
        <w:t> — </w:t>
      </w:r>
      <w:r>
        <w:rPr>
          <w:rStyle w:val="CharSDivText"/>
        </w:rPr>
        <w:t>Landing fees for aircraft</w:t>
      </w:r>
      <w:bookmarkEnd w:id="500"/>
      <w:bookmarkEnd w:id="501"/>
      <w:bookmarkEnd w:id="502"/>
      <w:bookmarkEnd w:id="503"/>
    </w:p>
    <w:p>
      <w:pPr>
        <w:pStyle w:val="yFootnoteheading"/>
        <w:keepNext/>
        <w:keepLines/>
        <w:spacing w:after="60"/>
      </w:pPr>
      <w:r>
        <w:tab/>
        <w:t>[Heading inserted in Gazette 3 Dec 2010 p. 6052.]</w:t>
      </w:r>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992"/>
      </w:tblGrid>
      <w:tr>
        <w:tc>
          <w:tcPr>
            <w:tcW w:w="652" w:type="dxa"/>
          </w:tcPr>
          <w:p>
            <w:pPr>
              <w:pStyle w:val="yTableNAm"/>
            </w:pPr>
            <w:r>
              <w:t>1.</w:t>
            </w:r>
          </w:p>
        </w:tc>
        <w:tc>
          <w:tcPr>
            <w:tcW w:w="5444" w:type="dxa"/>
          </w:tcPr>
          <w:p>
            <w:pPr>
              <w:pStyle w:val="yTableNAm"/>
            </w:pPr>
            <w:r>
              <w:t>Daily landing fee for each occupant of an aircraft landing on an aircraft landing area</w:t>
            </w:r>
          </w:p>
        </w:tc>
        <w:tc>
          <w:tcPr>
            <w:tcW w:w="992" w:type="dxa"/>
          </w:tcPr>
          <w:p>
            <w:pPr>
              <w:pStyle w:val="yTableNAm"/>
              <w:jc w:val="right"/>
            </w:pPr>
            <w:r>
              <w:br/>
              <w:t>11.00</w:t>
            </w:r>
          </w:p>
        </w:tc>
      </w:tr>
    </w:tbl>
    <w:p>
      <w:pPr>
        <w:pStyle w:val="yFootnotesection"/>
      </w:pPr>
      <w:r>
        <w:tab/>
        <w:t>[Division 12 inserted in Gazette 3 Dec 2010 p. 6052.]</w:t>
      </w:r>
    </w:p>
    <w:p>
      <w:pPr>
        <w:pStyle w:val="yScheduleHeading"/>
      </w:pPr>
      <w:bookmarkStart w:id="504" w:name="_Toc436903874"/>
      <w:bookmarkStart w:id="505" w:name="_Toc436905816"/>
      <w:bookmarkStart w:id="506" w:name="_Toc436906037"/>
      <w:bookmarkStart w:id="507" w:name="_Toc437515790"/>
      <w:r>
        <w:rPr>
          <w:rStyle w:val="CharSchNo"/>
        </w:rPr>
        <w:t>Schedule 2</w:t>
      </w:r>
      <w:r>
        <w:t xml:space="preserve"> — </w:t>
      </w:r>
      <w:r>
        <w:rPr>
          <w:rStyle w:val="CharSchText"/>
        </w:rPr>
        <w:t>Offences to which modified penalties apply</w:t>
      </w:r>
      <w:bookmarkEnd w:id="504"/>
      <w:bookmarkEnd w:id="505"/>
      <w:bookmarkEnd w:id="506"/>
      <w:bookmarkEnd w:id="507"/>
    </w:p>
    <w:p>
      <w:pPr>
        <w:pStyle w:val="yShoulderClause"/>
      </w:pPr>
      <w:r>
        <w:t xml:space="preserve">[r. 112] </w:t>
      </w:r>
    </w:p>
    <w:p>
      <w:pPr>
        <w:pStyle w:val="yHeading3"/>
      </w:pPr>
      <w:bookmarkStart w:id="508" w:name="_Toc436903875"/>
      <w:bookmarkStart w:id="509" w:name="_Toc436905817"/>
      <w:bookmarkStart w:id="510" w:name="_Toc436906038"/>
      <w:bookmarkStart w:id="511" w:name="_Toc437515791"/>
      <w:r>
        <w:rPr>
          <w:rStyle w:val="CharSDivNo"/>
        </w:rPr>
        <w:t>Division 1</w:t>
      </w:r>
      <w:r>
        <w:rPr>
          <w:rStyle w:val="CharDivNo"/>
        </w:rPr>
        <w:t xml:space="preserve"> </w:t>
      </w:r>
      <w:r>
        <w:t xml:space="preserve">— </w:t>
      </w:r>
      <w:r>
        <w:rPr>
          <w:rStyle w:val="CharSDivText"/>
        </w:rPr>
        <w:t>Offences under the Act</w:t>
      </w:r>
      <w:bookmarkEnd w:id="508"/>
      <w:bookmarkEnd w:id="509"/>
      <w:bookmarkEnd w:id="510"/>
      <w:bookmarkEnd w:id="511"/>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512" w:name="_Toc436903876"/>
      <w:bookmarkStart w:id="513" w:name="_Toc436905818"/>
      <w:bookmarkStart w:id="514" w:name="_Toc436906039"/>
      <w:bookmarkStart w:id="515" w:name="_Toc437515792"/>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512"/>
      <w:bookmarkEnd w:id="513"/>
      <w:bookmarkEnd w:id="514"/>
      <w:bookmarkEnd w:id="51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pPr>
            <w:r>
              <w:t>10</w:t>
            </w:r>
          </w:p>
        </w:tc>
        <w:tc>
          <w:tcPr>
            <w:tcW w:w="3720" w:type="dxa"/>
          </w:tcPr>
          <w:p>
            <w:pPr>
              <w:pStyle w:val="yTable"/>
            </w:pPr>
            <w:r>
              <w:t>Feeding fauna</w:t>
            </w:r>
          </w:p>
        </w:tc>
        <w:tc>
          <w:tcPr>
            <w:tcW w:w="1200" w:type="dxa"/>
          </w:tcPr>
          <w:p>
            <w:pPr>
              <w:pStyle w:val="yTable"/>
              <w:tabs>
                <w:tab w:val="decimal" w:pos="766"/>
              </w:tabs>
            </w:pPr>
            <w:r>
              <w:rPr>
                <w:szCs w:val="22"/>
              </w:rPr>
              <w:t>100</w:t>
            </w:r>
          </w:p>
        </w:tc>
      </w:tr>
      <w:tr>
        <w:trPr>
          <w:cantSplit/>
        </w:trPr>
        <w:tc>
          <w:tcPr>
            <w:tcW w:w="840" w:type="dxa"/>
          </w:tcPr>
          <w:p>
            <w:pPr>
              <w:pStyle w:val="yTable"/>
            </w:pPr>
            <w:r>
              <w:t>4.</w:t>
            </w:r>
          </w:p>
        </w:tc>
        <w:tc>
          <w:tcPr>
            <w:tcW w:w="1320" w:type="dxa"/>
          </w:tcPr>
          <w:p>
            <w:pPr>
              <w:pStyle w:val="yTable"/>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5.</w:t>
            </w:r>
          </w:p>
        </w:tc>
        <w:tc>
          <w:tcPr>
            <w:tcW w:w="1320" w:type="dxa"/>
          </w:tcPr>
          <w:p>
            <w:pPr>
              <w:pStyle w:val="yTable"/>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w:t>
            </w:r>
          </w:p>
        </w:tc>
        <w:tc>
          <w:tcPr>
            <w:tcW w:w="1320" w:type="dxa"/>
          </w:tcPr>
          <w:p>
            <w:pPr>
              <w:pStyle w:val="yTable"/>
            </w:pPr>
            <w:r>
              <w:t>12(3)</w:t>
            </w:r>
          </w:p>
        </w:tc>
        <w:tc>
          <w:tcPr>
            <w:tcW w:w="3720" w:type="dxa"/>
          </w:tcPr>
          <w:p>
            <w:pPr>
              <w:pStyle w:val="yTable"/>
            </w:pPr>
            <w:r>
              <w:t>Possession of restricted device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6a.</w:t>
            </w:r>
          </w:p>
        </w:tc>
        <w:tc>
          <w:tcPr>
            <w:tcW w:w="1320" w:type="dxa"/>
          </w:tcPr>
          <w:p>
            <w:pPr>
              <w:pStyle w:val="yTable"/>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6B.</w:t>
            </w:r>
          </w:p>
        </w:tc>
        <w:tc>
          <w:tcPr>
            <w:tcW w:w="1320" w:type="dxa"/>
          </w:tcPr>
          <w:p>
            <w:pPr>
              <w:pStyle w:val="yTable"/>
            </w:pPr>
            <w:r>
              <w:t>13(1)</w:t>
            </w:r>
          </w:p>
        </w:tc>
        <w:tc>
          <w:tcPr>
            <w:tcW w:w="3720" w:type="dxa"/>
          </w:tcPr>
          <w:p>
            <w:pPr>
              <w:pStyle w:val="yTable"/>
            </w:pPr>
            <w:r>
              <w:t>Cultivating plants</w:t>
            </w:r>
          </w:p>
        </w:tc>
        <w:tc>
          <w:tcPr>
            <w:tcW w:w="1200" w:type="dxa"/>
            <w:vAlign w:val="bottom"/>
          </w:tcPr>
          <w:p>
            <w:pPr>
              <w:pStyle w:val="yTable"/>
              <w:tabs>
                <w:tab w:val="decimal" w:pos="766"/>
              </w:tabs>
            </w:pPr>
            <w:r>
              <w:t>200</w:t>
            </w:r>
          </w:p>
        </w:tc>
      </w:tr>
      <w:tr>
        <w:trPr>
          <w:cantSplit/>
        </w:trPr>
        <w:tc>
          <w:tcPr>
            <w:tcW w:w="840" w:type="dxa"/>
          </w:tcPr>
          <w:p>
            <w:pPr>
              <w:pStyle w:val="yTable"/>
            </w:pPr>
            <w:r>
              <w:t>6C.</w:t>
            </w:r>
          </w:p>
        </w:tc>
        <w:tc>
          <w:tcPr>
            <w:tcW w:w="1320" w:type="dxa"/>
          </w:tcPr>
          <w:p>
            <w:pPr>
              <w:pStyle w:val="yTable"/>
            </w:pPr>
            <w:r>
              <w:t>14(2)</w:t>
            </w:r>
          </w:p>
        </w:tc>
        <w:tc>
          <w:tcPr>
            <w:tcW w:w="3720" w:type="dxa"/>
          </w:tcPr>
          <w:p>
            <w:pPr>
              <w:pStyle w:val="yTable"/>
            </w:pPr>
            <w:r>
              <w:t>Failing to comply with direction to remove plants, equipment</w:t>
            </w:r>
          </w:p>
        </w:tc>
        <w:tc>
          <w:tcPr>
            <w:tcW w:w="1200" w:type="dxa"/>
            <w:vAlign w:val="bottom"/>
          </w:tcPr>
          <w:p>
            <w:pPr>
              <w:pStyle w:val="yTable"/>
              <w:tabs>
                <w:tab w:val="decimal" w:pos="766"/>
              </w:tabs>
            </w:pPr>
            <w:r>
              <w:br/>
              <w:t>200</w:t>
            </w:r>
          </w:p>
        </w:tc>
      </w:tr>
      <w:tr>
        <w:trPr>
          <w:cantSplit/>
        </w:trPr>
        <w:tc>
          <w:tcPr>
            <w:tcW w:w="840" w:type="dxa"/>
          </w:tcPr>
          <w:p>
            <w:pPr>
              <w:pStyle w:val="yTable"/>
            </w:pPr>
            <w:r>
              <w:t>7.</w:t>
            </w:r>
          </w:p>
        </w:tc>
        <w:tc>
          <w:tcPr>
            <w:tcW w:w="1320" w:type="dxa"/>
          </w:tcPr>
          <w:p>
            <w:pPr>
              <w:pStyle w:val="yTable"/>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8.</w:t>
            </w:r>
          </w:p>
        </w:tc>
        <w:tc>
          <w:tcPr>
            <w:tcW w:w="1320" w:type="dxa"/>
          </w:tcPr>
          <w:p>
            <w:pPr>
              <w:pStyle w:val="yTable"/>
            </w:pPr>
            <w: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9.</w:t>
            </w:r>
          </w:p>
        </w:tc>
        <w:tc>
          <w:tcPr>
            <w:tcW w:w="1320" w:type="dxa"/>
          </w:tcPr>
          <w:p>
            <w:pPr>
              <w:pStyle w:val="yTable"/>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10.</w:t>
            </w:r>
          </w:p>
        </w:tc>
        <w:tc>
          <w:tcPr>
            <w:tcW w:w="1320" w:type="dxa"/>
          </w:tcPr>
          <w:p>
            <w:pPr>
              <w:pStyle w:val="yTable"/>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11.</w:t>
            </w:r>
          </w:p>
        </w:tc>
        <w:tc>
          <w:tcPr>
            <w:tcW w:w="1320" w:type="dxa"/>
          </w:tcPr>
          <w:p>
            <w:pPr>
              <w:pStyle w:val="yTable"/>
            </w:pPr>
            <w:r>
              <w:t>19</w:t>
            </w:r>
          </w:p>
        </w:tc>
        <w:tc>
          <w:tcPr>
            <w:tcW w:w="3720" w:type="dxa"/>
          </w:tcPr>
          <w:p>
            <w:pPr>
              <w:pStyle w:val="yTable"/>
            </w:pPr>
            <w:r>
              <w:t>Failing to remove animal</w:t>
            </w:r>
          </w:p>
        </w:tc>
        <w:tc>
          <w:tcPr>
            <w:tcW w:w="1200" w:type="dxa"/>
          </w:tcPr>
          <w:p>
            <w:pPr>
              <w:pStyle w:val="yTable"/>
              <w:tabs>
                <w:tab w:val="decimal" w:pos="766"/>
              </w:tabs>
            </w:pPr>
            <w:r>
              <w:rPr>
                <w:szCs w:val="22"/>
              </w:rPr>
              <w:t>200</w:t>
            </w:r>
          </w:p>
        </w:tc>
      </w:tr>
      <w:tr>
        <w:trPr>
          <w:cantSplit/>
        </w:trPr>
        <w:tc>
          <w:tcPr>
            <w:tcW w:w="840" w:type="dxa"/>
          </w:tcPr>
          <w:p>
            <w:pPr>
              <w:pStyle w:val="yTable"/>
            </w:pPr>
            <w:r>
              <w:t>12.</w:t>
            </w:r>
          </w:p>
        </w:tc>
        <w:tc>
          <w:tcPr>
            <w:tcW w:w="1320" w:type="dxa"/>
          </w:tcPr>
          <w:p>
            <w:pPr>
              <w:pStyle w:val="yTable"/>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pPr>
            <w:r>
              <w:t>23(2)</w:t>
            </w:r>
          </w:p>
        </w:tc>
        <w:tc>
          <w:tcPr>
            <w:tcW w:w="3720" w:type="dxa"/>
          </w:tcPr>
          <w:p>
            <w:pPr>
              <w:pStyle w:val="yTable"/>
            </w:pPr>
            <w:r>
              <w:t>Swimming etc. in reservoir or tank</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17.</w:t>
            </w:r>
          </w:p>
        </w:tc>
        <w:tc>
          <w:tcPr>
            <w:tcW w:w="1320" w:type="dxa"/>
          </w:tcPr>
          <w:p>
            <w:pPr>
              <w:pStyle w:val="yTable"/>
            </w:pPr>
            <w:r>
              <w:t>24(1)</w:t>
            </w:r>
          </w:p>
        </w:tc>
        <w:tc>
          <w:tcPr>
            <w:tcW w:w="3720" w:type="dxa"/>
          </w:tcPr>
          <w:p>
            <w:pPr>
              <w:pStyle w:val="yTable"/>
            </w:pPr>
            <w:r>
              <w:t>Littering</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18.</w:t>
            </w:r>
          </w:p>
        </w:tc>
        <w:tc>
          <w:tcPr>
            <w:tcW w:w="1320" w:type="dxa"/>
          </w:tcPr>
          <w:p>
            <w:pPr>
              <w:pStyle w:val="yTable"/>
            </w:pPr>
            <w:r>
              <w:t>26</w:t>
            </w:r>
          </w:p>
        </w:tc>
        <w:tc>
          <w:tcPr>
            <w:tcW w:w="3720" w:type="dxa"/>
          </w:tcPr>
          <w:p>
            <w:pPr>
              <w:pStyle w:val="yTable"/>
            </w:pPr>
            <w:r>
              <w:t>Taking glass into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19.</w:t>
            </w:r>
          </w:p>
        </w:tc>
        <w:tc>
          <w:tcPr>
            <w:tcW w:w="1320" w:type="dxa"/>
          </w:tcPr>
          <w:p>
            <w:pPr>
              <w:pStyle w:val="yTable"/>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pPr>
            <w:r>
              <w:t>28</w:t>
            </w:r>
          </w:p>
        </w:tc>
        <w:tc>
          <w:tcPr>
            <w:tcW w:w="3720" w:type="dxa"/>
          </w:tcPr>
          <w:p>
            <w:pPr>
              <w:pStyle w:val="yTable"/>
            </w:pPr>
            <w:r>
              <w:t>Cleaning etc. fish in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21.</w:t>
            </w:r>
          </w:p>
        </w:tc>
        <w:tc>
          <w:tcPr>
            <w:tcW w:w="1320" w:type="dxa"/>
          </w:tcPr>
          <w:p>
            <w:pPr>
              <w:pStyle w:val="yTable"/>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pPr>
            <w:r>
              <w:t>32</w:t>
            </w:r>
          </w:p>
        </w:tc>
        <w:tc>
          <w:tcPr>
            <w:tcW w:w="3720" w:type="dxa"/>
          </w:tcPr>
          <w:p>
            <w:pPr>
              <w:pStyle w:val="yTable"/>
            </w:pPr>
            <w:r>
              <w:t>Sandboarding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w:t>
            </w:r>
          </w:p>
        </w:tc>
        <w:tc>
          <w:tcPr>
            <w:tcW w:w="1320" w:type="dxa"/>
          </w:tcPr>
          <w:p>
            <w:pPr>
              <w:pStyle w:val="yTable"/>
            </w:pPr>
            <w:r>
              <w:t>33</w:t>
            </w:r>
          </w:p>
        </w:tc>
        <w:tc>
          <w:tcPr>
            <w:tcW w:w="3720" w:type="dxa"/>
          </w:tcPr>
          <w:p>
            <w:pPr>
              <w:pStyle w:val="yTable"/>
            </w:pPr>
            <w:r>
              <w:t>Abseiling</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25a.</w:t>
            </w:r>
          </w:p>
        </w:tc>
        <w:tc>
          <w:tcPr>
            <w:tcW w:w="1320" w:type="dxa"/>
          </w:tcPr>
          <w:p>
            <w:pPr>
              <w:pStyle w:val="yTable"/>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35.</w:t>
            </w:r>
          </w:p>
        </w:tc>
        <w:tc>
          <w:tcPr>
            <w:tcW w:w="1320" w:type="dxa"/>
          </w:tcPr>
          <w:p>
            <w:pPr>
              <w:pStyle w:val="yTable"/>
            </w:pPr>
            <w:r>
              <w:t>46(1)</w:t>
            </w:r>
          </w:p>
        </w:tc>
        <w:tc>
          <w:tcPr>
            <w:tcW w:w="3720" w:type="dxa"/>
          </w:tcPr>
          <w:p>
            <w:pPr>
              <w:pStyle w:val="yTable"/>
            </w:pPr>
            <w:r>
              <w:t>Entering closed area</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36A.</w:t>
            </w:r>
          </w:p>
        </w:tc>
        <w:tc>
          <w:tcPr>
            <w:tcW w:w="1320" w:type="dxa"/>
          </w:tcPr>
          <w:p>
            <w:pPr>
              <w:pStyle w:val="yTable"/>
            </w:pPr>
            <w:r>
              <w:t>46(2)</w:t>
            </w:r>
          </w:p>
        </w:tc>
        <w:tc>
          <w:tcPr>
            <w:tcW w:w="3720" w:type="dxa"/>
          </w:tcPr>
          <w:p>
            <w:pPr>
              <w:pStyle w:val="yTable"/>
            </w:pPr>
            <w:r>
              <w:t>Failing to leave a closed area</w:t>
            </w:r>
          </w:p>
        </w:tc>
        <w:tc>
          <w:tcPr>
            <w:tcW w:w="1200" w:type="dxa"/>
            <w:vAlign w:val="bottom"/>
          </w:tcPr>
          <w:p>
            <w:pPr>
              <w:pStyle w:val="yTable"/>
              <w:tabs>
                <w:tab w:val="decimal" w:pos="766"/>
              </w:tabs>
            </w:pPr>
            <w:r>
              <w:t>200</w:t>
            </w:r>
          </w:p>
        </w:tc>
      </w:tr>
      <w:tr>
        <w:trPr>
          <w:cantSplit/>
        </w:trPr>
        <w:tc>
          <w:tcPr>
            <w:tcW w:w="840" w:type="dxa"/>
          </w:tcPr>
          <w:p>
            <w:pPr>
              <w:pStyle w:val="yTable"/>
            </w:pPr>
            <w:r>
              <w:t>36.</w:t>
            </w:r>
          </w:p>
        </w:tc>
        <w:tc>
          <w:tcPr>
            <w:tcW w:w="1320" w:type="dxa"/>
          </w:tcPr>
          <w:p>
            <w:pPr>
              <w:pStyle w:val="yTable"/>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39A.</w:t>
            </w:r>
          </w:p>
        </w:tc>
        <w:tc>
          <w:tcPr>
            <w:tcW w:w="1320" w:type="dxa"/>
          </w:tcPr>
          <w:p>
            <w:pPr>
              <w:pStyle w:val="yTable"/>
            </w:pPr>
            <w:r>
              <w:t>49A</w:t>
            </w:r>
          </w:p>
        </w:tc>
        <w:tc>
          <w:tcPr>
            <w:tcW w:w="3720" w:type="dxa"/>
          </w:tcPr>
          <w:p>
            <w:pPr>
              <w:pStyle w:val="yTable"/>
            </w:pPr>
            <w:r>
              <w:t xml:space="preserve">Accessing restricted area on foot </w:t>
            </w:r>
          </w:p>
        </w:tc>
        <w:tc>
          <w:tcPr>
            <w:tcW w:w="1200" w:type="dxa"/>
            <w:vAlign w:val="bottom"/>
          </w:tcPr>
          <w:p>
            <w:pPr>
              <w:pStyle w:val="yTable"/>
              <w:tabs>
                <w:tab w:val="decimal" w:pos="766"/>
              </w:tabs>
            </w:pPr>
            <w:r>
              <w:t>200</w:t>
            </w:r>
          </w:p>
        </w:tc>
      </w:tr>
      <w:tr>
        <w:trPr>
          <w:cantSplit/>
        </w:trPr>
        <w:tc>
          <w:tcPr>
            <w:tcW w:w="840" w:type="dxa"/>
          </w:tcPr>
          <w:p>
            <w:pPr>
              <w:pStyle w:val="yTable"/>
            </w:pPr>
            <w:r>
              <w:t>39.</w:t>
            </w:r>
          </w:p>
        </w:tc>
        <w:tc>
          <w:tcPr>
            <w:tcW w:w="1320" w:type="dxa"/>
          </w:tcPr>
          <w:p>
            <w:pPr>
              <w:pStyle w:val="yTable"/>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pPr>
            <w:r>
              <w:t>51(1)</w:t>
            </w:r>
          </w:p>
        </w:tc>
        <w:tc>
          <w:tcPr>
            <w:tcW w:w="3720" w:type="dxa"/>
          </w:tcPr>
          <w:p>
            <w:pPr>
              <w:pStyle w:val="yTable"/>
            </w:pPr>
            <w:r>
              <w:t>Unlawfully driving or using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41a.</w:t>
            </w:r>
          </w:p>
        </w:tc>
        <w:tc>
          <w:tcPr>
            <w:tcW w:w="1320" w:type="dxa"/>
          </w:tcPr>
          <w:p>
            <w:pPr>
              <w:pStyle w:val="yTable"/>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42a.</w:t>
            </w:r>
          </w:p>
        </w:tc>
        <w:tc>
          <w:tcPr>
            <w:tcW w:w="1320" w:type="dxa"/>
          </w:tcPr>
          <w:p>
            <w:pPr>
              <w:pStyle w:val="yTable"/>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pPr>
            <w:r>
              <w:t>54(1)</w:t>
            </w:r>
          </w:p>
        </w:tc>
        <w:tc>
          <w:tcPr>
            <w:tcW w:w="3720" w:type="dxa"/>
          </w:tcPr>
          <w:p>
            <w:pPr>
              <w:pStyle w:val="yTable"/>
            </w:pPr>
            <w:r>
              <w:t>Breaching traffic law</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44A.</w:t>
            </w:r>
          </w:p>
        </w:tc>
        <w:tc>
          <w:tcPr>
            <w:tcW w:w="1320" w:type="dxa"/>
          </w:tcPr>
          <w:p>
            <w:pPr>
              <w:pStyle w:val="yTable"/>
            </w:pPr>
            <w:r>
              <w:t>54(2)</w:t>
            </w:r>
          </w:p>
        </w:tc>
        <w:tc>
          <w:tcPr>
            <w:tcW w:w="3720" w:type="dxa"/>
          </w:tcPr>
          <w:p>
            <w:pPr>
              <w:pStyle w:val="yTable"/>
            </w:pPr>
            <w:r>
              <w:t>Driving a vehicle in a dangerous or careless manner</w:t>
            </w:r>
          </w:p>
        </w:tc>
        <w:tc>
          <w:tcPr>
            <w:tcW w:w="1200" w:type="dxa"/>
            <w:vAlign w:val="bottom"/>
          </w:tcPr>
          <w:p>
            <w:pPr>
              <w:pStyle w:val="yTable"/>
              <w:tabs>
                <w:tab w:val="decimal" w:pos="766"/>
              </w:tabs>
            </w:pPr>
            <w:r>
              <w:br/>
              <w:t>100</w:t>
            </w:r>
          </w:p>
        </w:tc>
      </w:tr>
      <w:tr>
        <w:trPr>
          <w:cantSplit/>
        </w:trPr>
        <w:tc>
          <w:tcPr>
            <w:tcW w:w="840" w:type="dxa"/>
          </w:tcPr>
          <w:p>
            <w:pPr>
              <w:pStyle w:val="yTable"/>
            </w:pPr>
            <w:r>
              <w:t>44.</w:t>
            </w:r>
          </w:p>
        </w:tc>
        <w:tc>
          <w:tcPr>
            <w:tcW w:w="1320" w:type="dxa"/>
          </w:tcPr>
          <w:p>
            <w:pPr>
              <w:pStyle w:val="yTable"/>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45.</w:t>
            </w:r>
          </w:p>
        </w:tc>
        <w:tc>
          <w:tcPr>
            <w:tcW w:w="1320" w:type="dxa"/>
          </w:tcPr>
          <w:p>
            <w:pPr>
              <w:pStyle w:val="yTable"/>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pPr>
            <w:r>
              <w:t>59(1)</w:t>
            </w:r>
          </w:p>
        </w:tc>
        <w:tc>
          <w:tcPr>
            <w:tcW w:w="3720" w:type="dxa"/>
          </w:tcPr>
          <w:p>
            <w:pPr>
              <w:pStyle w:val="yTable"/>
            </w:pPr>
            <w:r>
              <w:t>Unlawfully having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48A.</w:t>
            </w:r>
          </w:p>
        </w:tc>
        <w:tc>
          <w:tcPr>
            <w:tcW w:w="1320" w:type="dxa"/>
          </w:tcPr>
          <w:p>
            <w:pPr>
              <w:pStyle w:val="yTable"/>
            </w:pPr>
            <w:r>
              <w:t>59(3A)</w:t>
            </w:r>
          </w:p>
        </w:tc>
        <w:tc>
          <w:tcPr>
            <w:tcW w:w="3720" w:type="dxa"/>
          </w:tcPr>
          <w:p>
            <w:pPr>
              <w:pStyle w:val="yTable"/>
            </w:pPr>
            <w:r>
              <w:t>Unlawfully securing vessel to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50A.</w:t>
            </w:r>
          </w:p>
        </w:tc>
        <w:tc>
          <w:tcPr>
            <w:tcW w:w="1320" w:type="dxa"/>
          </w:tcPr>
          <w:p>
            <w:pPr>
              <w:pStyle w:val="yTable"/>
            </w:pPr>
            <w:r>
              <w:t>60A(4)</w:t>
            </w:r>
          </w:p>
        </w:tc>
        <w:tc>
          <w:tcPr>
            <w:tcW w:w="3720" w:type="dxa"/>
          </w:tcPr>
          <w:p>
            <w:pPr>
              <w:pStyle w:val="yTable"/>
            </w:pPr>
            <w:r>
              <w:t>Failure to comply with conditions of use of public mooring</w:t>
            </w:r>
          </w:p>
        </w:tc>
        <w:tc>
          <w:tcPr>
            <w:tcW w:w="1200" w:type="dxa"/>
          </w:tcPr>
          <w:p>
            <w:pPr>
              <w:pStyle w:val="yTable"/>
              <w:tabs>
                <w:tab w:val="decimal" w:pos="766"/>
              </w:tabs>
            </w:pPr>
            <w:r>
              <w:br/>
              <w:t>200</w:t>
            </w:r>
          </w:p>
        </w:tc>
      </w:tr>
      <w:tr>
        <w:trPr>
          <w:cantSplit/>
        </w:trPr>
        <w:tc>
          <w:tcPr>
            <w:tcW w:w="840" w:type="dxa"/>
          </w:tcPr>
          <w:p>
            <w:pPr>
              <w:pStyle w:val="yTable"/>
            </w:pPr>
            <w:r>
              <w:t>50B.</w:t>
            </w:r>
          </w:p>
        </w:tc>
        <w:tc>
          <w:tcPr>
            <w:tcW w:w="1320" w:type="dxa"/>
          </w:tcPr>
          <w:p>
            <w:pPr>
              <w:pStyle w:val="yTable"/>
            </w:pPr>
            <w:r>
              <w:t>60(2A)</w:t>
            </w:r>
          </w:p>
        </w:tc>
        <w:tc>
          <w:tcPr>
            <w:tcW w:w="3720" w:type="dxa"/>
          </w:tcPr>
          <w:p>
            <w:pPr>
              <w:pStyle w:val="yTable"/>
            </w:pPr>
            <w:r>
              <w:t>Anchoring vessel within 50 metres of mooring</w:t>
            </w:r>
          </w:p>
        </w:tc>
        <w:tc>
          <w:tcPr>
            <w:tcW w:w="1200" w:type="dxa"/>
          </w:tcPr>
          <w:p>
            <w:pPr>
              <w:pStyle w:val="yTable"/>
              <w:tabs>
                <w:tab w:val="decimal" w:pos="766"/>
              </w:tabs>
            </w:pPr>
            <w:r>
              <w:br/>
              <w:t>100</w:t>
            </w:r>
          </w:p>
        </w:tc>
      </w:tr>
      <w:tr>
        <w:trPr>
          <w:cantSplit/>
        </w:trPr>
        <w:tc>
          <w:tcPr>
            <w:tcW w:w="840" w:type="dxa"/>
          </w:tcPr>
          <w:p>
            <w:pPr>
              <w:pStyle w:val="yTable"/>
            </w:pPr>
            <w:r>
              <w:t>51.</w:t>
            </w:r>
          </w:p>
        </w:tc>
        <w:tc>
          <w:tcPr>
            <w:tcW w:w="1320" w:type="dxa"/>
          </w:tcPr>
          <w:p>
            <w:pPr>
              <w:pStyle w:val="yTable"/>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51a.</w:t>
            </w:r>
          </w:p>
        </w:tc>
        <w:tc>
          <w:tcPr>
            <w:tcW w:w="1320" w:type="dxa"/>
          </w:tcPr>
          <w:p>
            <w:pPr>
              <w:pStyle w:val="yTable"/>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51AA.</w:t>
            </w:r>
          </w:p>
        </w:tc>
        <w:tc>
          <w:tcPr>
            <w:tcW w:w="1320" w:type="dxa"/>
          </w:tcPr>
          <w:p>
            <w:pPr>
              <w:pStyle w:val="yTable"/>
            </w:pPr>
            <w:r>
              <w:t>61B(4)</w:t>
            </w:r>
          </w:p>
        </w:tc>
        <w:tc>
          <w:tcPr>
            <w:tcW w:w="3720" w:type="dxa"/>
          </w:tcPr>
          <w:p>
            <w:pPr>
              <w:pStyle w:val="yTable"/>
            </w:pPr>
            <w:r>
              <w:t>Operating vessel in excess of speed limit</w:t>
            </w:r>
          </w:p>
        </w:tc>
        <w:tc>
          <w:tcPr>
            <w:tcW w:w="1200" w:type="dxa"/>
            <w:vAlign w:val="bottom"/>
          </w:tcPr>
          <w:p>
            <w:pPr>
              <w:pStyle w:val="yTable"/>
              <w:tabs>
                <w:tab w:val="decimal" w:pos="766"/>
              </w:tabs>
            </w:pPr>
            <w:r>
              <w:t>200</w:t>
            </w:r>
          </w:p>
        </w:tc>
      </w:tr>
      <w:tr>
        <w:trPr>
          <w:cantSplit/>
        </w:trPr>
        <w:tc>
          <w:tcPr>
            <w:tcW w:w="840" w:type="dxa"/>
          </w:tcPr>
          <w:p>
            <w:pPr>
              <w:pStyle w:val="yTable"/>
            </w:pPr>
            <w:r>
              <w:t>51b.</w:t>
            </w:r>
          </w:p>
        </w:tc>
        <w:tc>
          <w:tcPr>
            <w:tcW w:w="1320" w:type="dxa"/>
          </w:tcPr>
          <w:p>
            <w:pPr>
              <w:pStyle w:val="yTable"/>
            </w:pPr>
            <w:r>
              <w:t>62(1)</w:t>
            </w:r>
          </w:p>
        </w:tc>
        <w:tc>
          <w:tcPr>
            <w:tcW w:w="3720" w:type="dxa"/>
          </w:tcPr>
          <w:p>
            <w:pPr>
              <w:pStyle w:val="yTable"/>
            </w:pPr>
            <w:r>
              <w:t>Unsafe navigation of vessels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51C.</w:t>
            </w:r>
          </w:p>
        </w:tc>
        <w:tc>
          <w:tcPr>
            <w:tcW w:w="1320" w:type="dxa"/>
          </w:tcPr>
          <w:p>
            <w:pPr>
              <w:pStyle w:val="yTable"/>
            </w:pPr>
            <w:r>
              <w:t>62(2)</w:t>
            </w:r>
          </w:p>
        </w:tc>
        <w:tc>
          <w:tcPr>
            <w:tcW w:w="3720" w:type="dxa"/>
          </w:tcPr>
          <w:p>
            <w:pPr>
              <w:pStyle w:val="yTable"/>
            </w:pPr>
            <w:r>
              <w:t>Navigating a vessel in a manner that causes nuisance etc.</w:t>
            </w:r>
          </w:p>
        </w:tc>
        <w:tc>
          <w:tcPr>
            <w:tcW w:w="1200" w:type="dxa"/>
            <w:vAlign w:val="bottom"/>
          </w:tcPr>
          <w:p>
            <w:pPr>
              <w:pStyle w:val="yTable"/>
              <w:tabs>
                <w:tab w:val="decimal" w:pos="766"/>
              </w:tabs>
            </w:pPr>
            <w:r>
              <w:br/>
              <w:t>100</w:t>
            </w:r>
          </w:p>
        </w:tc>
      </w:tr>
      <w:tr>
        <w:trPr>
          <w:cantSplit/>
        </w:trPr>
        <w:tc>
          <w:tcPr>
            <w:tcW w:w="840" w:type="dxa"/>
          </w:tcPr>
          <w:p>
            <w:pPr>
              <w:pStyle w:val="yTable"/>
            </w:pPr>
            <w:r>
              <w:t>52.</w:t>
            </w:r>
          </w:p>
        </w:tc>
        <w:tc>
          <w:tcPr>
            <w:tcW w:w="1320" w:type="dxa"/>
          </w:tcPr>
          <w:p>
            <w:pPr>
              <w:pStyle w:val="yTable"/>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53.</w:t>
            </w:r>
          </w:p>
        </w:tc>
        <w:tc>
          <w:tcPr>
            <w:tcW w:w="1320" w:type="dxa"/>
          </w:tcPr>
          <w:p>
            <w:pPr>
              <w:pStyle w:val="yTable"/>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pPr>
            <w:r>
              <w:t>66(1)</w:t>
            </w:r>
          </w:p>
        </w:tc>
        <w:tc>
          <w:tcPr>
            <w:tcW w:w="3720" w:type="dxa"/>
          </w:tcPr>
          <w:p>
            <w:pPr>
              <w:pStyle w:val="yTable"/>
            </w:pPr>
            <w:r>
              <w:t>Camping other than in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56.</w:t>
            </w:r>
          </w:p>
        </w:tc>
        <w:tc>
          <w:tcPr>
            <w:tcW w:w="1320" w:type="dxa"/>
          </w:tcPr>
          <w:p>
            <w:pPr>
              <w:pStyle w:val="yTable"/>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57.</w:t>
            </w:r>
          </w:p>
        </w:tc>
        <w:tc>
          <w:tcPr>
            <w:tcW w:w="1320" w:type="dxa"/>
          </w:tcPr>
          <w:p>
            <w:pPr>
              <w:pStyle w:val="yTable"/>
            </w:pPr>
            <w:r>
              <w:t>67(2)</w:t>
            </w:r>
          </w:p>
        </w:tc>
        <w:tc>
          <w:tcPr>
            <w:tcW w:w="3720" w:type="dxa"/>
          </w:tcPr>
          <w:p>
            <w:pPr>
              <w:pStyle w:val="yTable"/>
            </w:pPr>
            <w:r>
              <w:t>Failing to comply with direction to vacate camp</w:t>
            </w:r>
            <w:r>
              <w:rPr>
                <w:szCs w:val="22"/>
              </w:rPr>
              <w:t xml:space="preserve"> or not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64BA.</w:t>
            </w:r>
          </w:p>
        </w:tc>
        <w:tc>
          <w:tcPr>
            <w:tcW w:w="1320" w:type="dxa"/>
          </w:tcPr>
          <w:p>
            <w:pPr>
              <w:pStyle w:val="yTable"/>
            </w:pPr>
            <w:r>
              <w:t>72(2)</w:t>
            </w:r>
          </w:p>
        </w:tc>
        <w:tc>
          <w:tcPr>
            <w:tcW w:w="3720" w:type="dxa"/>
          </w:tcPr>
          <w:p>
            <w:pPr>
              <w:pStyle w:val="yTable"/>
            </w:pPr>
            <w:r>
              <w:t>Failing to comply with direction to cease behaviour</w:t>
            </w:r>
          </w:p>
        </w:tc>
        <w:tc>
          <w:tcPr>
            <w:tcW w:w="1200" w:type="dxa"/>
            <w:vAlign w:val="bottom"/>
          </w:tcPr>
          <w:p>
            <w:pPr>
              <w:pStyle w:val="yTable"/>
              <w:tabs>
                <w:tab w:val="decimal" w:pos="766"/>
              </w:tabs>
            </w:pPr>
            <w:r>
              <w:br/>
              <w:t>100</w:t>
            </w:r>
          </w:p>
        </w:tc>
      </w:tr>
      <w:tr>
        <w:trPr>
          <w:cantSplit/>
        </w:trPr>
        <w:tc>
          <w:tcPr>
            <w:tcW w:w="840" w:type="dxa"/>
          </w:tcPr>
          <w:p>
            <w:pPr>
              <w:pStyle w:val="yTable"/>
            </w:pPr>
            <w:r>
              <w:t>64BB.</w:t>
            </w:r>
          </w:p>
        </w:tc>
        <w:tc>
          <w:tcPr>
            <w:tcW w:w="1320" w:type="dxa"/>
          </w:tcPr>
          <w:p>
            <w:pPr>
              <w:pStyle w:val="yTable"/>
            </w:pPr>
            <w:r>
              <w:t>73(1)</w:t>
            </w:r>
          </w:p>
        </w:tc>
        <w:tc>
          <w:tcPr>
            <w:tcW w:w="3720" w:type="dxa"/>
          </w:tcPr>
          <w:p>
            <w:pPr>
              <w:pStyle w:val="yTable"/>
            </w:pPr>
            <w:r>
              <w:t>Behaving in a way that causes nuisance or offence etc.</w:t>
            </w:r>
          </w:p>
        </w:tc>
        <w:tc>
          <w:tcPr>
            <w:tcW w:w="1200" w:type="dxa"/>
            <w:vAlign w:val="bottom"/>
          </w:tcPr>
          <w:p>
            <w:pPr>
              <w:pStyle w:val="yTable"/>
              <w:tabs>
                <w:tab w:val="decimal" w:pos="766"/>
              </w:tabs>
            </w:pPr>
            <w:r>
              <w:br/>
              <w:t>100</w:t>
            </w:r>
          </w:p>
        </w:tc>
      </w:tr>
      <w:tr>
        <w:trPr>
          <w:cantSplit/>
        </w:trPr>
        <w:tc>
          <w:tcPr>
            <w:tcW w:w="840" w:type="dxa"/>
          </w:tcPr>
          <w:p>
            <w:pPr>
              <w:pStyle w:val="yTable"/>
            </w:pPr>
            <w:r>
              <w:t>64b.</w:t>
            </w:r>
          </w:p>
        </w:tc>
        <w:tc>
          <w:tcPr>
            <w:tcW w:w="1320" w:type="dxa"/>
          </w:tcPr>
          <w:p>
            <w:pPr>
              <w:pStyle w:val="yTable"/>
            </w:pPr>
            <w:r>
              <w:t>73(2)</w:t>
            </w:r>
          </w:p>
        </w:tc>
        <w:tc>
          <w:tcPr>
            <w:tcW w:w="3720" w:type="dxa"/>
          </w:tcPr>
          <w:p>
            <w:pPr>
              <w:pStyle w:val="yTable"/>
            </w:pPr>
            <w:r>
              <w:t>Failing to comply with signs</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64C.</w:t>
            </w:r>
          </w:p>
        </w:tc>
        <w:tc>
          <w:tcPr>
            <w:tcW w:w="1320" w:type="dxa"/>
          </w:tcPr>
          <w:p>
            <w:pPr>
              <w:pStyle w:val="yTable"/>
            </w:pPr>
            <w:r>
              <w:t>75(1)</w:t>
            </w:r>
          </w:p>
        </w:tc>
        <w:tc>
          <w:tcPr>
            <w:tcW w:w="3720" w:type="dxa"/>
          </w:tcPr>
          <w:p>
            <w:pPr>
              <w:pStyle w:val="yTable"/>
            </w:pPr>
            <w:r>
              <w:t>Entering or remaining on CALM land when seriously affected by alcohol or drugs etc.</w:t>
            </w:r>
          </w:p>
        </w:tc>
        <w:tc>
          <w:tcPr>
            <w:tcW w:w="1200" w:type="dxa"/>
            <w:vAlign w:val="bottom"/>
          </w:tcPr>
          <w:p>
            <w:pPr>
              <w:pStyle w:val="yTable"/>
              <w:tabs>
                <w:tab w:val="decimal" w:pos="766"/>
              </w:tabs>
            </w:pPr>
            <w:r>
              <w:br/>
            </w:r>
            <w:r>
              <w:br/>
              <w:t>100</w:t>
            </w:r>
          </w:p>
        </w:tc>
      </w:tr>
      <w:tr>
        <w:trPr>
          <w:cantSplit/>
        </w:trPr>
        <w:tc>
          <w:tcPr>
            <w:tcW w:w="840" w:type="dxa"/>
          </w:tcPr>
          <w:p>
            <w:pPr>
              <w:pStyle w:val="yTable"/>
            </w:pPr>
            <w:r>
              <w:t>65.</w:t>
            </w:r>
          </w:p>
        </w:tc>
        <w:tc>
          <w:tcPr>
            <w:tcW w:w="1320" w:type="dxa"/>
          </w:tcPr>
          <w:p>
            <w:pPr>
              <w:pStyle w:val="yTable"/>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rPr>
                <w:szCs w:val="22"/>
              </w:rPr>
              <w:t>100</w:t>
            </w:r>
          </w:p>
        </w:tc>
      </w:tr>
      <w:tr>
        <w:trPr>
          <w:cantSplit/>
        </w:trPr>
        <w:tc>
          <w:tcPr>
            <w:tcW w:w="840" w:type="dxa"/>
          </w:tcPr>
          <w:p>
            <w:pPr>
              <w:pStyle w:val="yTable"/>
            </w:pPr>
            <w:r>
              <w:t>65A.</w:t>
            </w:r>
          </w:p>
        </w:tc>
        <w:tc>
          <w:tcPr>
            <w:tcW w:w="1320" w:type="dxa"/>
          </w:tcPr>
          <w:p>
            <w:pPr>
              <w:pStyle w:val="yTable"/>
            </w:pPr>
            <w:r>
              <w:t>75(4)</w:t>
            </w:r>
          </w:p>
        </w:tc>
        <w:tc>
          <w:tcPr>
            <w:tcW w:w="3720" w:type="dxa"/>
          </w:tcPr>
          <w:p>
            <w:pPr>
              <w:pStyle w:val="yTable"/>
            </w:pPr>
            <w:r>
              <w:t>Failing to comply with a direction not to bring alcohol or intoxicating substance onto CALM land</w:t>
            </w:r>
          </w:p>
        </w:tc>
        <w:tc>
          <w:tcPr>
            <w:tcW w:w="1200" w:type="dxa"/>
            <w:vAlign w:val="bottom"/>
          </w:tcPr>
          <w:p>
            <w:pPr>
              <w:pStyle w:val="yTable"/>
              <w:tabs>
                <w:tab w:val="decimal" w:pos="766"/>
              </w:tabs>
            </w:pPr>
            <w:r>
              <w:br/>
            </w:r>
            <w:r>
              <w:br/>
              <w:t>100</w:t>
            </w:r>
          </w:p>
        </w:tc>
      </w:tr>
      <w:tr>
        <w:trPr>
          <w:cantSplit/>
        </w:trPr>
        <w:tc>
          <w:tcPr>
            <w:tcW w:w="840" w:type="dxa"/>
          </w:tcPr>
          <w:p>
            <w:pPr>
              <w:pStyle w:val="yTable"/>
            </w:pPr>
            <w:r>
              <w:t>66.</w:t>
            </w:r>
          </w:p>
        </w:tc>
        <w:tc>
          <w:tcPr>
            <w:tcW w:w="1320" w:type="dxa"/>
          </w:tcPr>
          <w:p>
            <w:pPr>
              <w:pStyle w:val="yTable"/>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66AA.</w:t>
            </w:r>
          </w:p>
        </w:tc>
        <w:tc>
          <w:tcPr>
            <w:tcW w:w="1320" w:type="dxa"/>
          </w:tcPr>
          <w:p>
            <w:pPr>
              <w:pStyle w:val="yTable"/>
            </w:pPr>
            <w:r>
              <w:t>76(3)</w:t>
            </w:r>
          </w:p>
        </w:tc>
        <w:tc>
          <w:tcPr>
            <w:tcW w:w="3720" w:type="dxa"/>
          </w:tcPr>
          <w:p>
            <w:pPr>
              <w:pStyle w:val="yTable"/>
            </w:pPr>
            <w:r>
              <w:t>Failing to comply with a direction to leave object</w:t>
            </w:r>
          </w:p>
        </w:tc>
        <w:tc>
          <w:tcPr>
            <w:tcW w:w="1200" w:type="dxa"/>
            <w:vAlign w:val="bottom"/>
          </w:tcPr>
          <w:p>
            <w:pPr>
              <w:pStyle w:val="yTable"/>
              <w:tabs>
                <w:tab w:val="decimal" w:pos="766"/>
              </w:tabs>
            </w:pPr>
            <w:r>
              <w:br/>
              <w:t>200</w:t>
            </w:r>
          </w:p>
        </w:tc>
      </w:tr>
      <w:tr>
        <w:trPr>
          <w:cantSplit/>
        </w:trPr>
        <w:tc>
          <w:tcPr>
            <w:tcW w:w="840" w:type="dxa"/>
          </w:tcPr>
          <w:p>
            <w:pPr>
              <w:pStyle w:val="yTable"/>
            </w:pPr>
            <w:r>
              <w:t>66a.</w:t>
            </w:r>
          </w:p>
        </w:tc>
        <w:tc>
          <w:tcPr>
            <w:tcW w:w="1320" w:type="dxa"/>
          </w:tcPr>
          <w:p>
            <w:pPr>
              <w:pStyle w:val="yTable"/>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67.</w:t>
            </w:r>
          </w:p>
        </w:tc>
        <w:tc>
          <w:tcPr>
            <w:tcW w:w="1320" w:type="dxa"/>
          </w:tcPr>
          <w:p>
            <w:pPr>
              <w:pStyle w:val="yTable"/>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68AA.</w:t>
            </w:r>
          </w:p>
        </w:tc>
        <w:tc>
          <w:tcPr>
            <w:tcW w:w="1320" w:type="dxa"/>
          </w:tcPr>
          <w:p>
            <w:pPr>
              <w:pStyle w:val="yTable"/>
            </w:pPr>
            <w:r>
              <w:t>93(5)</w:t>
            </w:r>
          </w:p>
        </w:tc>
        <w:tc>
          <w:tcPr>
            <w:tcW w:w="3720" w:type="dxa"/>
          </w:tcPr>
          <w:p>
            <w:pPr>
              <w:pStyle w:val="yTable"/>
            </w:pPr>
            <w:r>
              <w:t>Contravention of condition or restriction of scientific purposes licence</w:t>
            </w:r>
          </w:p>
        </w:tc>
        <w:tc>
          <w:tcPr>
            <w:tcW w:w="1200" w:type="dxa"/>
            <w:vAlign w:val="bottom"/>
          </w:tcPr>
          <w:p>
            <w:pPr>
              <w:pStyle w:val="yTable"/>
              <w:tabs>
                <w:tab w:val="decimal" w:pos="766"/>
              </w:tabs>
            </w:pPr>
            <w:r>
              <w:br/>
              <w:t>100</w:t>
            </w:r>
          </w:p>
        </w:tc>
      </w:tr>
      <w:tr>
        <w:trPr>
          <w:cantSplit/>
        </w:trPr>
        <w:tc>
          <w:tcPr>
            <w:tcW w:w="840" w:type="dxa"/>
          </w:tcPr>
          <w:p>
            <w:pPr>
              <w:pStyle w:val="yTable"/>
            </w:pPr>
            <w:r>
              <w:t>68.</w:t>
            </w:r>
          </w:p>
        </w:tc>
        <w:tc>
          <w:tcPr>
            <w:tcW w:w="1320" w:type="dxa"/>
          </w:tcPr>
          <w:p>
            <w:pPr>
              <w:pStyle w:val="yTable"/>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rPr>
                <w:szCs w:val="22"/>
              </w:rPr>
              <w:t>200</w:t>
            </w:r>
          </w:p>
        </w:tc>
      </w:tr>
      <w:tr>
        <w:trPr>
          <w:cantSplit/>
        </w:trPr>
        <w:tc>
          <w:tcPr>
            <w:tcW w:w="840" w:type="dxa"/>
          </w:tcPr>
          <w:p>
            <w:pPr>
              <w:pStyle w:val="yTable"/>
            </w:pPr>
            <w:r>
              <w:t>68A.</w:t>
            </w:r>
          </w:p>
        </w:tc>
        <w:tc>
          <w:tcPr>
            <w:tcW w:w="1320" w:type="dxa"/>
          </w:tcPr>
          <w:p>
            <w:pPr>
              <w:pStyle w:val="yTable"/>
            </w:pPr>
            <w:r>
              <w:t>98AF(3)</w:t>
            </w:r>
          </w:p>
        </w:tc>
        <w:tc>
          <w:tcPr>
            <w:tcW w:w="3720" w:type="dxa"/>
          </w:tcPr>
          <w:p>
            <w:pPr>
              <w:pStyle w:val="yTable"/>
            </w:pPr>
            <w:r>
              <w:t>Contravention of condition of rental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68B.</w:t>
            </w:r>
          </w:p>
        </w:tc>
        <w:tc>
          <w:tcPr>
            <w:tcW w:w="1320" w:type="dxa"/>
          </w:tcPr>
          <w:p>
            <w:pPr>
              <w:pStyle w:val="yTable"/>
            </w:pPr>
            <w:r>
              <w:t>98AL(4)</w:t>
            </w:r>
          </w:p>
        </w:tc>
        <w:tc>
          <w:tcPr>
            <w:tcW w:w="3720" w:type="dxa"/>
          </w:tcPr>
          <w:p>
            <w:pPr>
              <w:pStyle w:val="yTable"/>
            </w:pPr>
            <w:r>
              <w:t>Failing to have written consent of licence holder in possession</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68C.</w:t>
            </w:r>
          </w:p>
        </w:tc>
        <w:tc>
          <w:tcPr>
            <w:tcW w:w="1320" w:type="dxa"/>
          </w:tcPr>
          <w:p>
            <w:pPr>
              <w:pStyle w:val="yTable"/>
            </w:pPr>
            <w:r>
              <w:t>98AR(3)</w:t>
            </w:r>
          </w:p>
        </w:tc>
        <w:tc>
          <w:tcPr>
            <w:tcW w:w="3720" w:type="dxa"/>
          </w:tcPr>
          <w:p>
            <w:pPr>
              <w:pStyle w:val="yTable"/>
            </w:pPr>
            <w:r>
              <w:t>Contravention of condition of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68D.</w:t>
            </w:r>
          </w:p>
        </w:tc>
        <w:tc>
          <w:tcPr>
            <w:tcW w:w="1320" w:type="dxa"/>
          </w:tcPr>
          <w:p>
            <w:pPr>
              <w:pStyle w:val="yTable"/>
            </w:pPr>
            <w:r>
              <w:t>98AT(3)</w:t>
            </w:r>
          </w:p>
        </w:tc>
        <w:tc>
          <w:tcPr>
            <w:tcW w:w="3720" w:type="dxa"/>
          </w:tcPr>
          <w:p>
            <w:pPr>
              <w:pStyle w:val="yTable"/>
            </w:pPr>
            <w:r>
              <w:t>Failing to provide inspection report for mooring</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68E.</w:t>
            </w:r>
          </w:p>
        </w:tc>
        <w:tc>
          <w:tcPr>
            <w:tcW w:w="1320" w:type="dxa"/>
          </w:tcPr>
          <w:p>
            <w:pPr>
              <w:pStyle w:val="yTable"/>
            </w:pPr>
            <w:r>
              <w:t>98AU(3)</w:t>
            </w:r>
          </w:p>
        </w:tc>
        <w:tc>
          <w:tcPr>
            <w:tcW w:w="3720" w:type="dxa"/>
          </w:tcPr>
          <w:p>
            <w:pPr>
              <w:pStyle w:val="yTable"/>
            </w:pPr>
            <w:r>
              <w:t>Failing to comply with a requirement to repair, relocate or remove a private mooring</w:t>
            </w:r>
          </w:p>
        </w:tc>
        <w:tc>
          <w:tcPr>
            <w:tcW w:w="1200" w:type="dxa"/>
            <w:vAlign w:val="bottom"/>
          </w:tcPr>
          <w:p>
            <w:pPr>
              <w:pStyle w:val="yTable"/>
              <w:tabs>
                <w:tab w:val="decimal" w:pos="766"/>
              </w:tabs>
              <w:rPr>
                <w:szCs w:val="22"/>
              </w:rPr>
            </w:pPr>
            <w:r>
              <w:t>200</w:t>
            </w:r>
          </w:p>
        </w:tc>
      </w:tr>
      <w:tr>
        <w:trPr>
          <w:cantSplit/>
        </w:trPr>
        <w:tc>
          <w:tcPr>
            <w:tcW w:w="840" w:type="dxa"/>
          </w:tcPr>
          <w:p>
            <w:pPr>
              <w:pStyle w:val="yTable"/>
            </w:pPr>
            <w:r>
              <w:t>68F.</w:t>
            </w:r>
          </w:p>
        </w:tc>
        <w:tc>
          <w:tcPr>
            <w:tcW w:w="1320" w:type="dxa"/>
          </w:tcPr>
          <w:p>
            <w:pPr>
              <w:pStyle w:val="yTable"/>
            </w:pPr>
            <w:r>
              <w:t>98AW</w:t>
            </w:r>
          </w:p>
        </w:tc>
        <w:tc>
          <w:tcPr>
            <w:tcW w:w="3720" w:type="dxa"/>
          </w:tcPr>
          <w:p>
            <w:pPr>
              <w:pStyle w:val="yTable"/>
            </w:pPr>
            <w:r>
              <w:t>Failing to notify change of particulars for private mooring licence</w:t>
            </w:r>
          </w:p>
        </w:tc>
        <w:tc>
          <w:tcPr>
            <w:tcW w:w="1200" w:type="dxa"/>
            <w:vAlign w:val="bottom"/>
          </w:tcPr>
          <w:p>
            <w:pPr>
              <w:pStyle w:val="yTable"/>
              <w:tabs>
                <w:tab w:val="decimal" w:pos="766"/>
              </w:tabs>
              <w:rPr>
                <w:szCs w:val="22"/>
              </w:rPr>
            </w:pPr>
            <w:r>
              <w:t>100</w:t>
            </w:r>
          </w:p>
        </w:tc>
      </w:tr>
      <w:tr>
        <w:trPr>
          <w:cantSplit/>
        </w:trPr>
        <w:tc>
          <w:tcPr>
            <w:tcW w:w="840" w:type="dxa"/>
          </w:tcPr>
          <w:p>
            <w:pPr>
              <w:pStyle w:val="yTable"/>
            </w:pPr>
            <w:r>
              <w:t>69.</w:t>
            </w:r>
          </w:p>
        </w:tc>
        <w:tc>
          <w:tcPr>
            <w:tcW w:w="1320" w:type="dxa"/>
          </w:tcPr>
          <w:p>
            <w:pPr>
              <w:pStyle w:val="yTable"/>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left="-74"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left="-74"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left="-74"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left="-74"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left="-74"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left="-74"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left="-74"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left="-74"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left="-74"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left="-74"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keepLines/>
            </w:pPr>
            <w:r>
              <w:t>77.</w:t>
            </w:r>
          </w:p>
        </w:tc>
        <w:tc>
          <w:tcPr>
            <w:tcW w:w="1320" w:type="dxa"/>
          </w:tcPr>
          <w:p>
            <w:pPr>
              <w:pStyle w:val="yTable"/>
              <w:keepNext/>
              <w:keepLines/>
              <w:ind w:left="-74" w:firstLine="45"/>
            </w:pPr>
            <w:r>
              <w:t>109</w:t>
            </w:r>
          </w:p>
        </w:tc>
        <w:tc>
          <w:tcPr>
            <w:tcW w:w="3720" w:type="dxa"/>
          </w:tcPr>
          <w:p>
            <w:pPr>
              <w:pStyle w:val="yTable"/>
              <w:keepNext/>
              <w:keepLines/>
            </w:pPr>
            <w:r>
              <w:t>Failing to produce licence etc.</w:t>
            </w:r>
          </w:p>
        </w:tc>
        <w:tc>
          <w:tcPr>
            <w:tcW w:w="1200" w:type="dxa"/>
            <w:vAlign w:val="bottom"/>
          </w:tcPr>
          <w:p>
            <w:pPr>
              <w:pStyle w:val="yTable"/>
              <w:keepNext/>
              <w:keepLines/>
              <w:tabs>
                <w:tab w:val="decimal" w:pos="766"/>
              </w:tabs>
            </w:pPr>
            <w:r>
              <w:rPr>
                <w:szCs w:val="22"/>
              </w:rPr>
              <w:t>200</w:t>
            </w:r>
          </w:p>
        </w:tc>
      </w:tr>
      <w:tr>
        <w:trPr>
          <w:cantSplit/>
        </w:trPr>
        <w:tc>
          <w:tcPr>
            <w:tcW w:w="840" w:type="dxa"/>
          </w:tcPr>
          <w:p>
            <w:pPr>
              <w:pStyle w:val="yTable"/>
              <w:keepLines/>
            </w:pPr>
            <w:r>
              <w:t>78.</w:t>
            </w:r>
          </w:p>
        </w:tc>
        <w:tc>
          <w:tcPr>
            <w:tcW w:w="1320" w:type="dxa"/>
          </w:tcPr>
          <w:p>
            <w:pPr>
              <w:pStyle w:val="yTable"/>
              <w:keepNext/>
              <w:keepLines/>
              <w:ind w:left="-74" w:firstLine="45"/>
            </w:pPr>
            <w:r>
              <w:t>110</w:t>
            </w:r>
          </w:p>
        </w:tc>
        <w:tc>
          <w:tcPr>
            <w:tcW w:w="3720" w:type="dxa"/>
          </w:tcPr>
          <w:p>
            <w:pPr>
              <w:pStyle w:val="yTable"/>
              <w:keepNext/>
              <w:keepLines/>
            </w:pPr>
            <w:r>
              <w:t>Giving false or misleading information</w:t>
            </w:r>
          </w:p>
        </w:tc>
        <w:tc>
          <w:tcPr>
            <w:tcW w:w="1200" w:type="dxa"/>
            <w:vAlign w:val="bottom"/>
          </w:tcPr>
          <w:p>
            <w:pPr>
              <w:pStyle w:val="yTable"/>
              <w:keepNext/>
              <w:keepLines/>
              <w:tabs>
                <w:tab w:val="decimal" w:pos="766"/>
              </w:tabs>
            </w:pPr>
            <w:r>
              <w:rPr>
                <w:szCs w:val="22"/>
              </w:rPr>
              <w:t>200</w:t>
            </w:r>
          </w:p>
        </w:tc>
      </w:tr>
    </w:tbl>
    <w:p>
      <w:pPr>
        <w:pStyle w:val="yFootnotesection"/>
        <w:keepNext/>
      </w:pPr>
      <w:r>
        <w:tab/>
        <w:t>[Division 2 amended in Gazette 29 Sep 2006 p. 4331</w:t>
      </w:r>
      <w:r>
        <w:noBreakHyphen/>
        <w:t>3; 27 Feb 2007 p. 625</w:t>
      </w:r>
      <w:r>
        <w:noBreakHyphen/>
        <w:t>6; 3 Dec 2010 p. 6052; 19 Sep 2014 p. 3333</w:t>
      </w:r>
      <w:r>
        <w:noBreakHyphen/>
        <w:t>4 and 3336</w:t>
      </w:r>
      <w:r>
        <w:noBreakHyphen/>
        <w:t>7; 24 Mar 2015 p. 1043</w:t>
      </w:r>
      <w:r>
        <w:noBreakHyphen/>
        <w:t>4; 10 Nov 2015 p. 4606.]</w:t>
      </w:r>
    </w:p>
    <w:p>
      <w:pPr>
        <w:pStyle w:val="yHeading3"/>
        <w:rPr>
          <w:i/>
        </w:rPr>
      </w:pPr>
      <w:bookmarkStart w:id="516" w:name="_Toc436903877"/>
      <w:bookmarkStart w:id="517" w:name="_Toc436905819"/>
      <w:bookmarkStart w:id="518" w:name="_Toc436906040"/>
      <w:bookmarkStart w:id="519" w:name="_Toc437515793"/>
      <w:r>
        <w:rPr>
          <w:rStyle w:val="CharSDivNo"/>
        </w:rPr>
        <w:t>Division 3</w:t>
      </w:r>
      <w:r>
        <w:t xml:space="preserve"> — </w:t>
      </w:r>
      <w:r>
        <w:rPr>
          <w:rStyle w:val="CharSDivText"/>
        </w:rPr>
        <w:t xml:space="preserve">Offences under </w:t>
      </w:r>
      <w:r>
        <w:rPr>
          <w:rStyle w:val="CharSDivText"/>
          <w:i/>
        </w:rPr>
        <w:t>Forest Management Regulations 1993</w:t>
      </w:r>
      <w:bookmarkEnd w:id="516"/>
      <w:bookmarkEnd w:id="517"/>
      <w:bookmarkEnd w:id="518"/>
      <w:bookmarkEnd w:id="519"/>
    </w:p>
    <w:p>
      <w:pPr>
        <w:pStyle w:val="yFootnoteheading"/>
        <w:spacing w:after="60"/>
      </w:pPr>
      <w:r>
        <w:tab/>
        <w:t>[Heading inserted in Gazette 7 Dec 2012 p. 5972.]</w:t>
      </w:r>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keepNext/>
              <w:keepLines/>
              <w:jc w:val="center"/>
              <w:rPr>
                <w:b/>
              </w:rPr>
            </w:pPr>
          </w:p>
        </w:tc>
        <w:tc>
          <w:tcPr>
            <w:tcW w:w="1320" w:type="dxa"/>
            <w:vAlign w:val="center"/>
          </w:tcPr>
          <w:p>
            <w:pPr>
              <w:pStyle w:val="yTable"/>
              <w:keepNext/>
              <w:keepLines/>
              <w:rPr>
                <w:b/>
              </w:rPr>
            </w:pPr>
            <w:r>
              <w:rPr>
                <w:b/>
              </w:rPr>
              <w:t>Column 1</w:t>
            </w:r>
          </w:p>
        </w:tc>
        <w:tc>
          <w:tcPr>
            <w:tcW w:w="3720" w:type="dxa"/>
            <w:vAlign w:val="center"/>
          </w:tcPr>
          <w:p>
            <w:pPr>
              <w:pStyle w:val="yTable"/>
              <w:keepNext/>
              <w:keepLines/>
              <w:jc w:val="center"/>
              <w:rPr>
                <w:b/>
              </w:rPr>
            </w:pPr>
            <w:r>
              <w:rPr>
                <w:b/>
              </w:rPr>
              <w:t>Column 2</w:t>
            </w:r>
          </w:p>
        </w:tc>
        <w:tc>
          <w:tcPr>
            <w:tcW w:w="1200" w:type="dxa"/>
            <w:vAlign w:val="center"/>
          </w:tcPr>
          <w:p>
            <w:pPr>
              <w:pStyle w:val="yTable"/>
              <w:keepNext/>
              <w:keepLines/>
              <w:jc w:val="center"/>
              <w:rPr>
                <w:b/>
              </w:rPr>
            </w:pPr>
            <w:r>
              <w:rPr>
                <w:b/>
              </w:rPr>
              <w:t>Column 3</w:t>
            </w:r>
          </w:p>
        </w:tc>
      </w:tr>
      <w:tr>
        <w:trPr>
          <w:cantSplit/>
          <w:trHeight w:val="240"/>
          <w:tblHeader/>
        </w:trPr>
        <w:tc>
          <w:tcPr>
            <w:tcW w:w="840" w:type="dxa"/>
          </w:tcPr>
          <w:p>
            <w:pPr>
              <w:pStyle w:val="yTableNAm"/>
              <w:spacing w:before="60"/>
              <w:rPr>
                <w:b/>
              </w:rPr>
            </w:pPr>
            <w:r>
              <w:rPr>
                <w:b/>
              </w:rPr>
              <w:t>Item No.</w:t>
            </w:r>
          </w:p>
        </w:tc>
        <w:tc>
          <w:tcPr>
            <w:tcW w:w="1320" w:type="dxa"/>
          </w:tcPr>
          <w:p>
            <w:pPr>
              <w:pStyle w:val="yTableNAm"/>
              <w:spacing w:before="60"/>
            </w:pPr>
            <w:r>
              <w:rPr>
                <w:b/>
              </w:rPr>
              <w:t>Regulation creating offence</w:t>
            </w:r>
          </w:p>
        </w:tc>
        <w:tc>
          <w:tcPr>
            <w:tcW w:w="3720" w:type="dxa"/>
          </w:tcPr>
          <w:p>
            <w:pPr>
              <w:pStyle w:val="yTableNAm"/>
              <w:spacing w:before="60"/>
              <w:jc w:val="center"/>
            </w:pPr>
            <w:r>
              <w:rPr>
                <w:b/>
              </w:rPr>
              <w:t>Nature of offence</w:t>
            </w:r>
          </w:p>
        </w:tc>
        <w:tc>
          <w:tcPr>
            <w:tcW w:w="1200" w:type="dxa"/>
          </w:tcPr>
          <w:p>
            <w:pPr>
              <w:pStyle w:val="yTableNAm"/>
              <w:spacing w:before="60"/>
              <w:jc w:val="center"/>
            </w:pPr>
            <w:r>
              <w:rPr>
                <w:b/>
              </w:rPr>
              <w:t>Penalty</w:t>
            </w:r>
          </w:p>
          <w:p>
            <w:pPr>
              <w:pStyle w:val="yTableNAm"/>
              <w:spacing w:before="60"/>
              <w:jc w:val="center"/>
              <w:rPr>
                <w:b/>
              </w:rPr>
            </w:pPr>
            <w:r>
              <w:rPr>
                <w:b/>
              </w:rPr>
              <w:t>$</w:t>
            </w:r>
          </w:p>
        </w:tc>
      </w:tr>
      <w:tr>
        <w:trPr>
          <w:cantSplit/>
        </w:trPr>
        <w:tc>
          <w:tcPr>
            <w:tcW w:w="840" w:type="dxa"/>
          </w:tcPr>
          <w:p>
            <w:pPr>
              <w:pStyle w:val="yTableNAm"/>
              <w:spacing w:before="60"/>
            </w:pPr>
            <w:r>
              <w:t>1.</w:t>
            </w:r>
          </w:p>
        </w:tc>
        <w:tc>
          <w:tcPr>
            <w:tcW w:w="1320" w:type="dxa"/>
          </w:tcPr>
          <w:p>
            <w:pPr>
              <w:pStyle w:val="yTableNAm"/>
              <w:spacing w:before="60"/>
            </w:pPr>
            <w:r>
              <w:t>108</w:t>
            </w:r>
          </w:p>
        </w:tc>
        <w:tc>
          <w:tcPr>
            <w:tcW w:w="3720" w:type="dxa"/>
          </w:tcPr>
          <w:p>
            <w:pPr>
              <w:pStyle w:val="yTableNAm"/>
              <w:spacing w:before="60"/>
            </w:pPr>
            <w:r>
              <w:t>Entry, use, movement of potential carrier without authorisation or contrary to condition</w:t>
            </w:r>
          </w:p>
        </w:tc>
        <w:tc>
          <w:tcPr>
            <w:tcW w:w="1200" w:type="dxa"/>
            <w:vAlign w:val="bottom"/>
          </w:tcPr>
          <w:p>
            <w:pPr>
              <w:pStyle w:val="yTableNAm"/>
              <w:spacing w:before="60"/>
              <w:jc w:val="center"/>
            </w:pPr>
            <w:r>
              <w:t>200</w:t>
            </w:r>
          </w:p>
        </w:tc>
      </w:tr>
      <w:tr>
        <w:trPr>
          <w:cantSplit/>
          <w:trHeight w:val="360"/>
        </w:trPr>
        <w:tc>
          <w:tcPr>
            <w:tcW w:w="840" w:type="dxa"/>
          </w:tcPr>
          <w:p>
            <w:pPr>
              <w:pStyle w:val="yTableNAm"/>
              <w:spacing w:before="60"/>
            </w:pPr>
            <w:r>
              <w:t>2.</w:t>
            </w:r>
          </w:p>
        </w:tc>
        <w:tc>
          <w:tcPr>
            <w:tcW w:w="1320" w:type="dxa"/>
          </w:tcPr>
          <w:p>
            <w:pPr>
              <w:pStyle w:val="yTableNAm"/>
              <w:spacing w:before="60"/>
            </w:pPr>
            <w:r>
              <w:t>109</w:t>
            </w:r>
          </w:p>
        </w:tc>
        <w:tc>
          <w:tcPr>
            <w:tcW w:w="3720" w:type="dxa"/>
          </w:tcPr>
          <w:p>
            <w:pPr>
              <w:pStyle w:val="yTableNAm"/>
              <w:spacing w:before="60"/>
            </w:pPr>
            <w:r>
              <w:t>Entry, use, movement of potential carrier contrary to instruction or direction</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3.</w:t>
            </w:r>
          </w:p>
        </w:tc>
        <w:tc>
          <w:tcPr>
            <w:tcW w:w="1320" w:type="dxa"/>
          </w:tcPr>
          <w:p>
            <w:pPr>
              <w:pStyle w:val="yTableNAm"/>
              <w:spacing w:before="60"/>
            </w:pPr>
            <w:r>
              <w:t>111</w:t>
            </w:r>
          </w:p>
        </w:tc>
        <w:tc>
          <w:tcPr>
            <w:tcW w:w="3720" w:type="dxa"/>
          </w:tcPr>
          <w:p>
            <w:pPr>
              <w:pStyle w:val="yTableNAm"/>
              <w:spacing w:before="60"/>
            </w:pPr>
            <w:r>
              <w:t>Failure to carry or produce written authorisation in respect of potential carrier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4.</w:t>
            </w:r>
          </w:p>
        </w:tc>
        <w:tc>
          <w:tcPr>
            <w:tcW w:w="1320" w:type="dxa"/>
          </w:tcPr>
          <w:p>
            <w:pPr>
              <w:pStyle w:val="yTableNAm"/>
              <w:spacing w:before="60"/>
            </w:pPr>
            <w:r>
              <w:t>113</w:t>
            </w:r>
          </w:p>
        </w:tc>
        <w:tc>
          <w:tcPr>
            <w:tcW w:w="3720" w:type="dxa"/>
          </w:tcPr>
          <w:p>
            <w:pPr>
              <w:pStyle w:val="yTableNAm"/>
              <w:spacing w:before="60"/>
            </w:pPr>
            <w:r>
              <w:t>Failure to produce information relating to forest disease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5.</w:t>
            </w:r>
          </w:p>
        </w:tc>
        <w:tc>
          <w:tcPr>
            <w:tcW w:w="1320" w:type="dxa"/>
          </w:tcPr>
          <w:p>
            <w:pPr>
              <w:pStyle w:val="yTableNAm"/>
              <w:spacing w:before="60"/>
            </w:pPr>
            <w:r>
              <w:t>119</w:t>
            </w:r>
          </w:p>
        </w:tc>
        <w:tc>
          <w:tcPr>
            <w:tcW w:w="3720" w:type="dxa"/>
          </w:tcPr>
          <w:p>
            <w:pPr>
              <w:pStyle w:val="yTableNAm"/>
              <w:spacing w:before="60"/>
            </w:pPr>
            <w:r>
              <w:t>Failure to cleanse or disinfect infected carrier or potential carrier</w:t>
            </w:r>
          </w:p>
        </w:tc>
        <w:tc>
          <w:tcPr>
            <w:tcW w:w="1200" w:type="dxa"/>
            <w:vAlign w:val="bottom"/>
          </w:tcPr>
          <w:p>
            <w:pPr>
              <w:pStyle w:val="yTableNAm"/>
              <w:spacing w:before="60"/>
              <w:jc w:val="center"/>
            </w:pPr>
            <w:r>
              <w:t>200</w:t>
            </w:r>
          </w:p>
        </w:tc>
      </w:tr>
      <w:tr>
        <w:trPr>
          <w:cantSplit/>
        </w:trPr>
        <w:tc>
          <w:tcPr>
            <w:tcW w:w="840" w:type="dxa"/>
          </w:tcPr>
          <w:p>
            <w:pPr>
              <w:pStyle w:val="yTableNAm"/>
              <w:spacing w:before="60"/>
            </w:pPr>
            <w:r>
              <w:t>6.</w:t>
            </w:r>
          </w:p>
        </w:tc>
        <w:tc>
          <w:tcPr>
            <w:tcW w:w="1320" w:type="dxa"/>
          </w:tcPr>
          <w:p>
            <w:pPr>
              <w:pStyle w:val="yTableNAm"/>
              <w:spacing w:before="60"/>
            </w:pPr>
            <w:r>
              <w:t>123</w:t>
            </w:r>
          </w:p>
        </w:tc>
        <w:tc>
          <w:tcPr>
            <w:tcW w:w="3720" w:type="dxa"/>
          </w:tcPr>
          <w:p>
            <w:pPr>
              <w:pStyle w:val="yTableNAm"/>
              <w:spacing w:before="60"/>
            </w:pPr>
            <w:r>
              <w:t>Failure to give name and address on request</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7.</w:t>
            </w:r>
          </w:p>
        </w:tc>
        <w:tc>
          <w:tcPr>
            <w:tcW w:w="1320" w:type="dxa"/>
          </w:tcPr>
          <w:p>
            <w:pPr>
              <w:pStyle w:val="yTableNAm"/>
              <w:spacing w:before="60"/>
            </w:pPr>
            <w:r>
              <w:t>124</w:t>
            </w:r>
          </w:p>
        </w:tc>
        <w:tc>
          <w:tcPr>
            <w:tcW w:w="3720" w:type="dxa"/>
          </w:tcPr>
          <w:p>
            <w:pPr>
              <w:pStyle w:val="yTableNAm"/>
              <w:spacing w:before="60"/>
            </w:pPr>
            <w:r>
              <w:t>Failure to comply with request to stop or with signpost, or avoiding or breaking through barrier</w:t>
            </w:r>
          </w:p>
        </w:tc>
        <w:tc>
          <w:tcPr>
            <w:tcW w:w="1200" w:type="dxa"/>
            <w:vAlign w:val="bottom"/>
          </w:tcPr>
          <w:p>
            <w:pPr>
              <w:pStyle w:val="yTableNAm"/>
              <w:spacing w:before="60"/>
              <w:jc w:val="center"/>
            </w:pPr>
            <w:r>
              <w:t>150</w:t>
            </w:r>
          </w:p>
        </w:tc>
      </w:tr>
      <w:tr>
        <w:trPr>
          <w:cantSplit/>
        </w:trPr>
        <w:tc>
          <w:tcPr>
            <w:tcW w:w="840" w:type="dxa"/>
          </w:tcPr>
          <w:p>
            <w:pPr>
              <w:pStyle w:val="yTableNAm"/>
              <w:spacing w:before="60"/>
            </w:pPr>
            <w:r>
              <w:t>8.</w:t>
            </w:r>
          </w:p>
        </w:tc>
        <w:tc>
          <w:tcPr>
            <w:tcW w:w="1320" w:type="dxa"/>
          </w:tcPr>
          <w:p>
            <w:pPr>
              <w:pStyle w:val="yTableNAm"/>
              <w:spacing w:before="60"/>
            </w:pPr>
            <w:r>
              <w:t>125</w:t>
            </w:r>
          </w:p>
        </w:tc>
        <w:tc>
          <w:tcPr>
            <w:tcW w:w="3720" w:type="dxa"/>
          </w:tcPr>
          <w:p>
            <w:pPr>
              <w:pStyle w:val="yTableNAm"/>
              <w:spacing w:before="60"/>
            </w:pPr>
            <w:r>
              <w:t>Hindering, obstructing or failing to comply with direction of authorised person</w:t>
            </w:r>
          </w:p>
        </w:tc>
        <w:tc>
          <w:tcPr>
            <w:tcW w:w="1200" w:type="dxa"/>
            <w:vAlign w:val="bottom"/>
          </w:tcPr>
          <w:p>
            <w:pPr>
              <w:pStyle w:val="yTableNAm"/>
              <w:spacing w:before="60"/>
              <w:jc w:val="center"/>
            </w:pPr>
            <w:r>
              <w:t>150</w:t>
            </w:r>
          </w:p>
        </w:tc>
      </w:tr>
    </w:tbl>
    <w:p>
      <w:pPr>
        <w:pStyle w:val="yFootnotesection"/>
      </w:pPr>
      <w:r>
        <w:tab/>
        <w:t>[Division 3 inserted in Gazette 7 Dec 2012 p. 5972-3.]</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521" w:name="_Toc436903878"/>
      <w:bookmarkStart w:id="522" w:name="_Toc436905820"/>
      <w:bookmarkStart w:id="523" w:name="_Toc436906041"/>
      <w:bookmarkStart w:id="524" w:name="_Toc437515794"/>
      <w:r>
        <w:rPr>
          <w:rStyle w:val="CharSchNo"/>
        </w:rPr>
        <w:t>Schedule 3</w:t>
      </w:r>
      <w:r>
        <w:rPr>
          <w:rStyle w:val="CharSDivNo"/>
        </w:rPr>
        <w:t xml:space="preserve"> </w:t>
      </w:r>
      <w:r>
        <w:t>—</w:t>
      </w:r>
      <w:r>
        <w:rPr>
          <w:rStyle w:val="CharSDivText"/>
        </w:rPr>
        <w:t xml:space="preserve"> </w:t>
      </w:r>
      <w:r>
        <w:rPr>
          <w:rStyle w:val="CharSchText"/>
        </w:rPr>
        <w:t>Forms</w:t>
      </w:r>
      <w:bookmarkEnd w:id="521"/>
      <w:bookmarkEnd w:id="522"/>
      <w:bookmarkEnd w:id="523"/>
      <w:bookmarkEnd w:id="524"/>
    </w:p>
    <w:p>
      <w:pPr>
        <w:pStyle w:val="yShoulderClause"/>
      </w:pPr>
      <w:r>
        <w:t>[r. 112(3)]</w:t>
      </w:r>
    </w:p>
    <w:p>
      <w:pPr>
        <w:pStyle w:val="yTHeadingNAm"/>
      </w:pPr>
      <w:r>
        <w:rPr>
          <w:rStyle w:val="CharSClsNo"/>
          <w:bCs w:val="0"/>
        </w:rPr>
        <w:t>Form 1</w:t>
      </w:r>
      <w:r>
        <w:t xml:space="preserve"> — Infringement notice </w:t>
      </w:r>
      <w:del w:id="525" w:author="Master Repository Process" w:date="2021-07-31T20:44:00Z">
        <w:r>
          <w:delText>(</w:delText>
        </w:r>
      </w:del>
      <w:ins w:id="526" w:author="Master Repository Process" w:date="2021-07-31T20:44:00Z">
        <w:r>
          <w:t>[</w:t>
        </w:r>
      </w:ins>
      <w:r>
        <w:t>r.</w:t>
      </w:r>
      <w:del w:id="527" w:author="Master Repository Process" w:date="2021-07-31T20:44:00Z">
        <w:r>
          <w:delText> </w:delText>
        </w:r>
      </w:del>
      <w:ins w:id="528" w:author="Master Repository Process" w:date="2021-07-31T20:44:00Z">
        <w:r>
          <w:t xml:space="preserve"> </w:t>
        </w:r>
      </w:ins>
      <w:r>
        <w:t>112(3</w:t>
      </w:r>
      <w:del w:id="529" w:author="Master Repository Process" w:date="2021-07-31T20:44:00Z">
        <w:r>
          <w:delText>))</w:delText>
        </w:r>
      </w:del>
      <w:ins w:id="530" w:author="Master Repository Process" w:date="2021-07-31T20:44:00Z">
        <w:r>
          <w:t>)]</w:t>
        </w:r>
      </w:ins>
    </w:p>
    <w:tbl>
      <w:tblPr>
        <w:tblStyle w:val="TableGrid"/>
        <w:tblW w:w="6813"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764"/>
        <w:gridCol w:w="4364"/>
      </w:tblGrid>
      <w:tr>
        <w:trPr>
          <w:del w:id="531" w:author="Master Repository Process" w:date="2021-07-31T20:44:00Z"/>
        </w:trPr>
        <w:tc>
          <w:tcPr>
            <w:tcW w:w="5561" w:type="dxa"/>
            <w:tcBorders>
              <w:right w:val="single" w:sz="4" w:space="0" w:color="auto"/>
            </w:tcBorders>
          </w:tcPr>
          <w:p>
            <w:pPr>
              <w:pStyle w:val="yTableNAm"/>
              <w:rPr>
                <w:del w:id="532" w:author="Master Repository Process" w:date="2021-07-31T20:44:00Z"/>
              </w:rPr>
            </w:pPr>
          </w:p>
        </w:tc>
        <w:tc>
          <w:tcPr>
            <w:tcW w:w="1252" w:type="dxa"/>
            <w:tcBorders>
              <w:top w:val="single" w:sz="4" w:space="0" w:color="auto"/>
              <w:left w:val="single" w:sz="4" w:space="0" w:color="auto"/>
              <w:bottom w:val="single" w:sz="4" w:space="0" w:color="auto"/>
              <w:right w:val="single" w:sz="4" w:space="0" w:color="auto"/>
            </w:tcBorders>
          </w:tcPr>
          <w:p>
            <w:pPr>
              <w:pStyle w:val="yTableNAm"/>
              <w:rPr>
                <w:del w:id="533" w:author="Master Repository Process" w:date="2021-07-31T20:44:00Z"/>
                <w:sz w:val="18"/>
                <w:szCs w:val="18"/>
              </w:rPr>
            </w:pPr>
            <w:del w:id="534" w:author="Master Repository Process" w:date="2021-07-31T20:44:00Z">
              <w:r>
                <w:rPr>
                  <w:sz w:val="18"/>
                  <w:szCs w:val="18"/>
                </w:rPr>
                <w:delText>Number</w:delText>
              </w:r>
              <w:r>
                <w:rPr>
                  <w:sz w:val="18"/>
                  <w:szCs w:val="18"/>
                </w:rPr>
                <w:br/>
              </w:r>
            </w:del>
          </w:p>
        </w:tc>
      </w:tr>
      <w:tr>
        <w:trPr>
          <w:del w:id="535" w:author="Master Repository Process" w:date="2021-07-31T20:44:00Z"/>
        </w:trPr>
        <w:tc>
          <w:tcPr>
            <w:tcW w:w="6813" w:type="dxa"/>
            <w:gridSpan w:val="2"/>
          </w:tcPr>
          <w:p>
            <w:pPr>
              <w:pStyle w:val="yTableNAm"/>
              <w:rPr>
                <w:del w:id="536" w:author="Master Repository Process" w:date="2021-07-31T20:44:00Z"/>
                <w:sz w:val="18"/>
                <w:szCs w:val="18"/>
              </w:rPr>
            </w:pP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
        <w:gridCol w:w="297"/>
        <w:gridCol w:w="577"/>
        <w:gridCol w:w="169"/>
        <w:gridCol w:w="330"/>
        <w:gridCol w:w="444"/>
        <w:gridCol w:w="84"/>
        <w:gridCol w:w="42"/>
        <w:gridCol w:w="21"/>
        <w:gridCol w:w="11"/>
        <w:gridCol w:w="388"/>
        <w:gridCol w:w="746"/>
        <w:gridCol w:w="38"/>
        <w:gridCol w:w="245"/>
        <w:gridCol w:w="199"/>
        <w:gridCol w:w="664"/>
        <w:gridCol w:w="130"/>
        <w:gridCol w:w="53"/>
        <w:gridCol w:w="230"/>
        <w:gridCol w:w="158"/>
        <w:gridCol w:w="389"/>
        <w:gridCol w:w="304"/>
        <w:gridCol w:w="85"/>
        <w:gridCol w:w="388"/>
        <w:gridCol w:w="361"/>
        <w:gridCol w:w="384"/>
        <w:gridCol w:w="110"/>
        <w:gridCol w:w="155"/>
        <w:gridCol w:w="77"/>
        <w:gridCol w:w="39"/>
        <w:gridCol w:w="3"/>
        <w:gridCol w:w="385"/>
      </w:tblGrid>
      <w:tr>
        <w:trPr>
          <w:gridAfter w:val="2"/>
          <w:wAfter w:w="388" w:type="dxa"/>
          <w:cantSplit/>
          <w:trHeight w:val="282"/>
        </w:trPr>
        <w:tc>
          <w:tcPr>
            <w:tcW w:w="884" w:type="dxa"/>
            <w:gridSpan w:val="3"/>
            <w:tcBorders>
              <w:right w:val="single" w:sz="4" w:space="0" w:color="auto"/>
            </w:tcBorders>
            <w:cellDel w:id="537" w:author="Master Repository Process" w:date="2021-07-31T20:44:00Z"/>
          </w:tcPr>
          <w:p>
            <w:pPr>
              <w:pStyle w:val="yTableNAm"/>
              <w:rPr>
                <w:szCs w:val="22"/>
              </w:rPr>
            </w:pPr>
          </w:p>
        </w:tc>
        <w:tc>
          <w:tcPr>
            <w:tcW w:w="5529" w:type="dxa"/>
            <w:gridSpan w:val="19"/>
          </w:tcPr>
          <w:p>
            <w:pPr>
              <w:pStyle w:val="yTableNAm"/>
              <w:rPr>
                <w:del w:id="538" w:author="Master Repository Process" w:date="2021-07-31T20:44:00Z"/>
                <w:sz w:val="18"/>
                <w:szCs w:val="18"/>
              </w:rPr>
            </w:pPr>
            <w:del w:id="539" w:author="Master Repository Process" w:date="2021-07-31T20:44:00Z">
              <w:r>
                <w:rPr>
                  <w:b/>
                  <w:sz w:val="28"/>
                  <w:szCs w:val="28"/>
                </w:rPr>
                <w:delText>INFRINGEMENT NOTICE</w:delText>
              </w:r>
              <w:r>
                <w:rPr>
                  <w:sz w:val="18"/>
                  <w:szCs w:val="18"/>
                </w:rPr>
                <w:delText xml:space="preserve"> </w:delText>
              </w:r>
            </w:del>
          </w:p>
          <w:p>
            <w:pPr>
              <w:pStyle w:val="yTableNAm"/>
              <w:rPr>
                <w:ins w:id="540" w:author="Master Repository Process" w:date="2021-07-31T20:44:00Z"/>
              </w:rPr>
            </w:pPr>
            <w:del w:id="541" w:author="Master Repository Process" w:date="2021-07-31T20:44:00Z">
              <w:r>
                <w:rPr>
                  <w:sz w:val="18"/>
                  <w:szCs w:val="18"/>
                </w:rPr>
                <w:delText xml:space="preserve">For offences with modified penalties under the </w:delText>
              </w:r>
            </w:del>
            <w:ins w:id="542" w:author="Master Repository Process" w:date="2021-07-31T20:44:00Z">
              <w:r>
                <w:rPr>
                  <w:b/>
                </w:rPr>
                <w:br w:type="page"/>
              </w:r>
            </w:ins>
            <w:r>
              <w:rPr>
                <w:i/>
              </w:rPr>
              <w:t>Conservation and Land Management Act 1984</w:t>
            </w:r>
            <w:del w:id="543" w:author="Master Repository Process" w:date="2021-07-31T20:44:00Z">
              <w:r>
                <w:rPr>
                  <w:sz w:val="18"/>
                  <w:szCs w:val="18"/>
                </w:rPr>
                <w:delText xml:space="preserve">, </w:delText>
              </w:r>
            </w:del>
          </w:p>
          <w:p>
            <w:pPr>
              <w:pStyle w:val="yTableNAm"/>
              <w:rPr>
                <w:ins w:id="544" w:author="Master Repository Process" w:date="2021-07-31T20:44:00Z"/>
              </w:rPr>
            </w:pPr>
            <w:r>
              <w:rPr>
                <w:i/>
              </w:rPr>
              <w:t>Conservation and Land Management Regulations</w:t>
            </w:r>
            <w:del w:id="545" w:author="Master Repository Process" w:date="2021-07-31T20:44:00Z">
              <w:r>
                <w:rPr>
                  <w:i/>
                  <w:sz w:val="18"/>
                  <w:szCs w:val="18"/>
                </w:rPr>
                <w:delText xml:space="preserve"> </w:delText>
              </w:r>
            </w:del>
            <w:ins w:id="546" w:author="Master Repository Process" w:date="2021-07-31T20:44:00Z">
              <w:r>
                <w:rPr>
                  <w:i/>
                </w:rPr>
                <w:t> </w:t>
              </w:r>
            </w:ins>
            <w:r>
              <w:rPr>
                <w:i/>
              </w:rPr>
              <w:t>2002</w:t>
            </w:r>
            <w:del w:id="547" w:author="Master Repository Process" w:date="2021-07-31T20:44:00Z">
              <w:r>
                <w:rPr>
                  <w:i/>
                  <w:sz w:val="18"/>
                  <w:szCs w:val="18"/>
                </w:rPr>
                <w:delText xml:space="preserve"> </w:delText>
              </w:r>
              <w:r>
                <w:rPr>
                  <w:sz w:val="18"/>
                  <w:szCs w:val="18"/>
                </w:rPr>
                <w:delText xml:space="preserve">and </w:delText>
              </w:r>
            </w:del>
          </w:p>
          <w:p>
            <w:pPr>
              <w:pStyle w:val="yTableNAm"/>
              <w:rPr>
                <w:ins w:id="548" w:author="Master Repository Process" w:date="2021-07-31T20:44:00Z"/>
              </w:rPr>
            </w:pPr>
            <w:r>
              <w:rPr>
                <w:i/>
              </w:rPr>
              <w:t>Forest Management Regulations</w:t>
            </w:r>
            <w:del w:id="549" w:author="Master Repository Process" w:date="2021-07-31T20:44:00Z">
              <w:r>
                <w:rPr>
                  <w:i/>
                  <w:sz w:val="18"/>
                  <w:szCs w:val="18"/>
                </w:rPr>
                <w:delText xml:space="preserve"> </w:delText>
              </w:r>
            </w:del>
            <w:ins w:id="550" w:author="Master Repository Process" w:date="2021-07-31T20:44:00Z">
              <w:r>
                <w:rPr>
                  <w:i/>
                </w:rPr>
                <w:t> </w:t>
              </w:r>
            </w:ins>
            <w:r>
              <w:rPr>
                <w:i/>
              </w:rPr>
              <w:t>1993</w:t>
            </w:r>
          </w:p>
          <w:p>
            <w:pPr>
              <w:pStyle w:val="yTableNAm"/>
              <w:jc w:val="center"/>
              <w:rPr>
                <w:b/>
                <w:sz w:val="28"/>
                <w:szCs w:val="28"/>
              </w:rPr>
            </w:pPr>
            <w:ins w:id="551" w:author="Master Repository Process" w:date="2021-07-31T20:44:00Z">
              <w:r>
                <w:rPr>
                  <w:b/>
                  <w:sz w:val="28"/>
                  <w:szCs w:val="28"/>
                </w:rPr>
                <w:t>INFRINGEMENT NOTICE</w:t>
              </w:r>
            </w:ins>
          </w:p>
        </w:tc>
        <w:tc>
          <w:tcPr>
            <w:tcW w:w="1599" w:type="dxa"/>
            <w:gridSpan w:val="8"/>
          </w:tcPr>
          <w:p>
            <w:pPr>
              <w:pStyle w:val="yTableNAm"/>
            </w:pPr>
            <w:ins w:id="552" w:author="Master Repository Process" w:date="2021-07-31T20:44:00Z">
              <w:r>
                <w:t xml:space="preserve">Infringement </w:t>
              </w:r>
              <w:r>
                <w:br/>
                <w:t>notice no.</w:t>
              </w:r>
            </w:ins>
          </w:p>
        </w:tc>
      </w:tr>
      <w:tr>
        <w:trPr>
          <w:gridAfter w:val="2"/>
          <w:wAfter w:w="388" w:type="dxa"/>
          <w:cantSplit/>
          <w:trHeight w:val="150"/>
        </w:trPr>
        <w:tc>
          <w:tcPr>
            <w:tcW w:w="1985" w:type="dxa"/>
            <w:gridSpan w:val="10"/>
            <w:cellMerge w:id="553" w:author="Master Repository Process" w:date="2021-07-31T20:44:00Z" w:vMerge="rest"/>
          </w:tcPr>
          <w:p>
            <w:pPr>
              <w:pStyle w:val="yTableNAm"/>
              <w:rPr>
                <w:ins w:id="554" w:author="Master Repository Process" w:date="2021-07-31T20:44:00Z"/>
              </w:rPr>
            </w:pPr>
            <w:ins w:id="555" w:author="Master Repository Process" w:date="2021-07-31T20:44:00Z">
              <w:r>
                <w:rPr>
                  <w:b/>
                </w:rPr>
                <w:t>Alleged offender</w:t>
              </w:r>
            </w:ins>
          </w:p>
          <w:p>
            <w:pPr>
              <w:pStyle w:val="yTableNAm"/>
            </w:pPr>
            <w:ins w:id="556" w:author="Master Repository Process" w:date="2021-07-31T20:44:00Z">
              <w:r>
                <w:t>(not required if notice served under s. 114B or 114D)</w:t>
              </w:r>
            </w:ins>
          </w:p>
        </w:tc>
        <w:tc>
          <w:tcPr>
            <w:tcW w:w="1417" w:type="dxa"/>
            <w:gridSpan w:val="4"/>
            <w:cellIns w:id="557" w:author="Master Repository Process" w:date="2021-07-31T20:44:00Z"/>
          </w:tcPr>
          <w:p>
            <w:pPr>
              <w:pStyle w:val="yTableNAm"/>
            </w:pPr>
            <w:ins w:id="558" w:author="Master Repository Process" w:date="2021-07-31T20:44:00Z">
              <w:r>
                <w:t>Family name</w:t>
              </w:r>
            </w:ins>
          </w:p>
        </w:tc>
        <w:tc>
          <w:tcPr>
            <w:tcW w:w="3726" w:type="dxa"/>
            <w:gridSpan w:val="16"/>
            <w:cellIns w:id="559" w:author="Master Repository Process" w:date="2021-07-31T20:44:00Z"/>
          </w:tcPr>
          <w:p>
            <w:pPr>
              <w:pStyle w:val="yTableNAm"/>
            </w:pPr>
          </w:p>
        </w:tc>
      </w:tr>
      <w:tr>
        <w:trPr>
          <w:gridAfter w:val="2"/>
          <w:wAfter w:w="388" w:type="dxa"/>
          <w:cantSplit/>
          <w:trHeight w:val="150"/>
          <w:ins w:id="560" w:author="Master Repository Process" w:date="2021-07-31T20:44:00Z"/>
        </w:trPr>
        <w:tc>
          <w:tcPr>
            <w:tcW w:w="1985" w:type="dxa"/>
            <w:gridSpan w:val="10"/>
            <w:cellMerge w:id="561" w:author="Master Repository Process" w:date="2021-07-31T20:44:00Z" w:vMerge="cont"/>
          </w:tcPr>
          <w:p>
            <w:pPr>
              <w:pStyle w:val="zyTableNAm"/>
              <w:rPr>
                <w:ins w:id="562" w:author="Master Repository Process" w:date="2021-07-31T20:44:00Z"/>
                <w:b/>
              </w:rPr>
            </w:pPr>
          </w:p>
        </w:tc>
        <w:tc>
          <w:tcPr>
            <w:tcW w:w="1417" w:type="dxa"/>
            <w:gridSpan w:val="4"/>
          </w:tcPr>
          <w:p>
            <w:pPr>
              <w:pStyle w:val="yTableNAm"/>
              <w:rPr>
                <w:ins w:id="563" w:author="Master Repository Process" w:date="2021-07-31T20:44:00Z"/>
              </w:rPr>
            </w:pPr>
            <w:ins w:id="564" w:author="Master Repository Process" w:date="2021-07-31T20:44:00Z">
              <w:r>
                <w:t>Given names</w:t>
              </w:r>
            </w:ins>
          </w:p>
        </w:tc>
        <w:tc>
          <w:tcPr>
            <w:tcW w:w="3726" w:type="dxa"/>
            <w:gridSpan w:val="16"/>
          </w:tcPr>
          <w:p>
            <w:pPr>
              <w:pStyle w:val="yTableNAm"/>
              <w:rPr>
                <w:ins w:id="565" w:author="Master Repository Process" w:date="2021-07-31T20:44:00Z"/>
              </w:rPr>
            </w:pPr>
          </w:p>
        </w:tc>
      </w:tr>
      <w:tr>
        <w:trPr>
          <w:gridAfter w:val="2"/>
          <w:wAfter w:w="388" w:type="dxa"/>
          <w:cantSplit/>
          <w:trHeight w:val="150"/>
          <w:ins w:id="566" w:author="Master Repository Process" w:date="2021-07-31T20:44:00Z"/>
        </w:trPr>
        <w:tc>
          <w:tcPr>
            <w:tcW w:w="1985" w:type="dxa"/>
            <w:gridSpan w:val="10"/>
            <w:cellMerge w:id="567" w:author="Master Repository Process" w:date="2021-07-31T20:44:00Z" w:vMerge="cont"/>
          </w:tcPr>
          <w:p>
            <w:pPr>
              <w:pStyle w:val="zyTableNAm"/>
              <w:rPr>
                <w:ins w:id="568" w:author="Master Repository Process" w:date="2021-07-31T20:44:00Z"/>
                <w:b/>
              </w:rPr>
            </w:pPr>
          </w:p>
        </w:tc>
        <w:tc>
          <w:tcPr>
            <w:tcW w:w="1417" w:type="dxa"/>
            <w:gridSpan w:val="4"/>
          </w:tcPr>
          <w:p>
            <w:pPr>
              <w:pStyle w:val="yTableNAm"/>
              <w:rPr>
                <w:ins w:id="569" w:author="Master Repository Process" w:date="2021-07-31T20:44:00Z"/>
              </w:rPr>
            </w:pPr>
            <w:ins w:id="570" w:author="Master Repository Process" w:date="2021-07-31T20:44:00Z">
              <w:r>
                <w:t>Company/</w:t>
              </w:r>
              <w:r>
                <w:br/>
                <w:t>business trading as</w:t>
              </w:r>
            </w:ins>
          </w:p>
        </w:tc>
        <w:tc>
          <w:tcPr>
            <w:tcW w:w="3726" w:type="dxa"/>
            <w:gridSpan w:val="16"/>
          </w:tcPr>
          <w:p>
            <w:pPr>
              <w:pStyle w:val="yTableNAm"/>
              <w:rPr>
                <w:ins w:id="571" w:author="Master Repository Process" w:date="2021-07-31T20:44:00Z"/>
              </w:rPr>
            </w:pPr>
          </w:p>
        </w:tc>
      </w:tr>
      <w:tr>
        <w:trPr>
          <w:gridAfter w:val="2"/>
          <w:wAfter w:w="388" w:type="dxa"/>
          <w:cantSplit/>
          <w:trHeight w:val="150"/>
          <w:ins w:id="572" w:author="Master Repository Process" w:date="2021-07-31T20:44:00Z"/>
        </w:trPr>
        <w:tc>
          <w:tcPr>
            <w:tcW w:w="1985" w:type="dxa"/>
            <w:gridSpan w:val="10"/>
            <w:cellMerge w:id="573" w:author="Master Repository Process" w:date="2021-07-31T20:44:00Z" w:vMerge="cont"/>
          </w:tcPr>
          <w:p>
            <w:pPr>
              <w:pStyle w:val="zyTableNAm"/>
              <w:rPr>
                <w:ins w:id="574" w:author="Master Repository Process" w:date="2021-07-31T20:44:00Z"/>
                <w:b/>
              </w:rPr>
            </w:pPr>
          </w:p>
        </w:tc>
        <w:tc>
          <w:tcPr>
            <w:tcW w:w="1417" w:type="dxa"/>
            <w:gridSpan w:val="4"/>
          </w:tcPr>
          <w:p>
            <w:pPr>
              <w:pStyle w:val="yTableNAm"/>
              <w:rPr>
                <w:ins w:id="575" w:author="Master Repository Process" w:date="2021-07-31T20:44:00Z"/>
              </w:rPr>
            </w:pPr>
            <w:ins w:id="576" w:author="Master Repository Process" w:date="2021-07-31T20:44:00Z">
              <w:r>
                <w:t>ACN/ABN (if applicable)</w:t>
              </w:r>
            </w:ins>
          </w:p>
        </w:tc>
        <w:tc>
          <w:tcPr>
            <w:tcW w:w="3726" w:type="dxa"/>
            <w:gridSpan w:val="16"/>
          </w:tcPr>
          <w:p>
            <w:pPr>
              <w:pStyle w:val="yTableNAm"/>
              <w:rPr>
                <w:ins w:id="577" w:author="Master Repository Process" w:date="2021-07-31T20:44:00Z"/>
              </w:rPr>
            </w:pPr>
          </w:p>
        </w:tc>
      </w:tr>
      <w:tr>
        <w:trPr>
          <w:gridAfter w:val="2"/>
          <w:wAfter w:w="388" w:type="dxa"/>
          <w:cantSplit/>
          <w:trHeight w:val="906"/>
          <w:ins w:id="578" w:author="Master Repository Process" w:date="2021-07-31T20:44:00Z"/>
        </w:trPr>
        <w:tc>
          <w:tcPr>
            <w:tcW w:w="1985" w:type="dxa"/>
            <w:gridSpan w:val="10"/>
            <w:cellMerge w:id="579" w:author="Master Repository Process" w:date="2021-07-31T20:44:00Z" w:vMerge="cont"/>
          </w:tcPr>
          <w:p>
            <w:pPr>
              <w:pStyle w:val="zyTableNAm"/>
              <w:rPr>
                <w:ins w:id="580" w:author="Master Repository Process" w:date="2021-07-31T20:44:00Z"/>
              </w:rPr>
            </w:pPr>
          </w:p>
        </w:tc>
        <w:tc>
          <w:tcPr>
            <w:tcW w:w="1417" w:type="dxa"/>
            <w:gridSpan w:val="4"/>
          </w:tcPr>
          <w:p>
            <w:pPr>
              <w:pStyle w:val="yTableNAm"/>
              <w:rPr>
                <w:ins w:id="581" w:author="Master Repository Process" w:date="2021-07-31T20:44:00Z"/>
              </w:rPr>
            </w:pPr>
            <w:ins w:id="582" w:author="Master Repository Process" w:date="2021-07-31T20:44:00Z">
              <w:r>
                <w:t xml:space="preserve">Address </w:t>
              </w:r>
            </w:ins>
          </w:p>
        </w:tc>
        <w:tc>
          <w:tcPr>
            <w:tcW w:w="3726" w:type="dxa"/>
            <w:gridSpan w:val="16"/>
          </w:tcPr>
          <w:p>
            <w:pPr>
              <w:pStyle w:val="yTableNAm"/>
              <w:rPr>
                <w:ins w:id="583" w:author="Master Repository Process" w:date="2021-07-31T20:44:00Z"/>
              </w:rPr>
            </w:pPr>
          </w:p>
        </w:tc>
      </w:tr>
      <w:tr>
        <w:trPr>
          <w:gridAfter w:val="2"/>
          <w:wAfter w:w="388" w:type="dxa"/>
          <w:cantSplit/>
          <w:trHeight w:val="707"/>
          <w:ins w:id="584" w:author="Master Repository Process" w:date="2021-07-31T20:44:00Z"/>
        </w:trPr>
        <w:tc>
          <w:tcPr>
            <w:tcW w:w="1985" w:type="dxa"/>
            <w:gridSpan w:val="10"/>
          </w:tcPr>
          <w:p>
            <w:pPr>
              <w:pStyle w:val="zyTableNAm"/>
              <w:rPr>
                <w:ins w:id="585" w:author="Master Repository Process" w:date="2021-07-31T20:44:00Z"/>
                <w:b/>
              </w:rPr>
            </w:pPr>
          </w:p>
        </w:tc>
        <w:tc>
          <w:tcPr>
            <w:tcW w:w="5143" w:type="dxa"/>
            <w:gridSpan w:val="20"/>
          </w:tcPr>
          <w:p>
            <w:pPr>
              <w:pStyle w:val="yTableNAm"/>
              <w:ind w:left="581" w:hanging="581"/>
              <w:rPr>
                <w:ins w:id="586" w:author="Master Repository Process" w:date="2021-07-31T20:44:00Z"/>
              </w:rPr>
            </w:pPr>
            <w:ins w:id="587" w:author="Master Repository Process" w:date="2021-07-31T20:44:00Z">
              <w:r>
                <w:rPr>
                  <w:rFonts w:eastAsia="MS Mincho"/>
                </w:rPr>
                <w:sym w:font="ZapfDingbats" w:char="F072"/>
              </w:r>
              <w:r>
                <w:tab/>
                <w:t>The responsible person for vehicle or owner of vessel in relation to which offence occurred</w:t>
              </w:r>
            </w:ins>
          </w:p>
        </w:tc>
      </w:tr>
      <w:tr>
        <w:trPr>
          <w:gridAfter w:val="2"/>
          <w:wAfter w:w="388" w:type="dxa"/>
          <w:cantSplit/>
          <w:trHeight w:val="702"/>
          <w:ins w:id="588" w:author="Master Repository Process" w:date="2021-07-31T20:44:00Z"/>
        </w:trPr>
        <w:tc>
          <w:tcPr>
            <w:tcW w:w="1985" w:type="dxa"/>
            <w:gridSpan w:val="10"/>
          </w:tcPr>
          <w:p>
            <w:pPr>
              <w:pStyle w:val="yTableNAm"/>
              <w:rPr>
                <w:ins w:id="589" w:author="Master Repository Process" w:date="2021-07-31T20:44:00Z"/>
              </w:rPr>
            </w:pPr>
            <w:ins w:id="590" w:author="Master Repository Process" w:date="2021-07-31T20:44:00Z">
              <w:r>
                <w:rPr>
                  <w:b/>
                </w:rPr>
                <w:t>Vehicle/vessel registration no.</w:t>
              </w:r>
            </w:ins>
          </w:p>
        </w:tc>
        <w:tc>
          <w:tcPr>
            <w:tcW w:w="5143" w:type="dxa"/>
            <w:gridSpan w:val="20"/>
          </w:tcPr>
          <w:p>
            <w:pPr>
              <w:pStyle w:val="yTableNAm"/>
              <w:rPr>
                <w:ins w:id="591" w:author="Master Repository Process" w:date="2021-07-31T20:44:00Z"/>
              </w:rPr>
            </w:pPr>
          </w:p>
        </w:tc>
      </w:tr>
      <w:tr>
        <w:trPr>
          <w:gridAfter w:val="2"/>
          <w:wAfter w:w="388" w:type="dxa"/>
          <w:cantSplit/>
          <w:trHeight w:val="150"/>
          <w:ins w:id="592" w:author="Master Repository Process" w:date="2021-07-31T20:44:00Z"/>
        </w:trPr>
        <w:tc>
          <w:tcPr>
            <w:tcW w:w="1985" w:type="dxa"/>
            <w:gridSpan w:val="10"/>
            <w:vMerge w:val="restart"/>
          </w:tcPr>
          <w:p>
            <w:pPr>
              <w:pStyle w:val="yTableNAm"/>
              <w:rPr>
                <w:ins w:id="593" w:author="Master Repository Process" w:date="2021-07-31T20:44:00Z"/>
              </w:rPr>
            </w:pPr>
            <w:ins w:id="594" w:author="Master Repository Process" w:date="2021-07-31T20:44:00Z">
              <w:r>
                <w:rPr>
                  <w:b/>
                </w:rPr>
                <w:t>Details of alleged offence</w:t>
              </w:r>
            </w:ins>
          </w:p>
        </w:tc>
        <w:tc>
          <w:tcPr>
            <w:tcW w:w="2280" w:type="dxa"/>
            <w:gridSpan w:val="6"/>
          </w:tcPr>
          <w:p>
            <w:pPr>
              <w:pStyle w:val="yTableNAm"/>
              <w:rPr>
                <w:ins w:id="595" w:author="Master Repository Process" w:date="2021-07-31T20:44:00Z"/>
              </w:rPr>
            </w:pPr>
            <w:ins w:id="596" w:author="Master Repository Process" w:date="2021-07-31T20:44:00Z">
              <w:r>
                <w:t>Date:</w:t>
              </w:r>
              <w:r>
                <w:tab/>
                <w:t>/</w:t>
              </w:r>
              <w:r>
                <w:tab/>
                <w:t>/20</w:t>
              </w:r>
            </w:ins>
          </w:p>
        </w:tc>
        <w:tc>
          <w:tcPr>
            <w:tcW w:w="2863" w:type="dxa"/>
            <w:gridSpan w:val="14"/>
          </w:tcPr>
          <w:p>
            <w:pPr>
              <w:pStyle w:val="yTableNAm"/>
              <w:rPr>
                <w:ins w:id="597" w:author="Master Repository Process" w:date="2021-07-31T20:44:00Z"/>
              </w:rPr>
            </w:pPr>
            <w:ins w:id="598" w:author="Master Repository Process" w:date="2021-07-31T20:44:00Z">
              <w:r>
                <w:t>Time:</w:t>
              </w:r>
              <w:r>
                <w:tab/>
                <w:t>am/pm</w:t>
              </w:r>
            </w:ins>
          </w:p>
        </w:tc>
      </w:tr>
      <w:tr>
        <w:trPr>
          <w:gridAfter w:val="2"/>
          <w:wAfter w:w="388" w:type="dxa"/>
          <w:cantSplit/>
          <w:trHeight w:val="1139"/>
          <w:ins w:id="599" w:author="Master Repository Process" w:date="2021-07-31T20:44:00Z"/>
        </w:trPr>
        <w:tc>
          <w:tcPr>
            <w:tcW w:w="1985" w:type="dxa"/>
            <w:gridSpan w:val="10"/>
            <w:vMerge/>
          </w:tcPr>
          <w:p>
            <w:pPr>
              <w:pStyle w:val="zyTableNAm"/>
              <w:rPr>
                <w:ins w:id="600" w:author="Master Repository Process" w:date="2021-07-31T20:44:00Z"/>
              </w:rPr>
            </w:pPr>
          </w:p>
        </w:tc>
        <w:tc>
          <w:tcPr>
            <w:tcW w:w="5143" w:type="dxa"/>
            <w:gridSpan w:val="20"/>
          </w:tcPr>
          <w:p>
            <w:pPr>
              <w:pStyle w:val="yTableNAm"/>
              <w:rPr>
                <w:ins w:id="601" w:author="Master Repository Process" w:date="2021-07-31T20:44:00Z"/>
              </w:rPr>
            </w:pPr>
            <w:ins w:id="602" w:author="Master Repository Process" w:date="2021-07-31T20:44:00Z">
              <w:r>
                <w:t>Place</w:t>
              </w:r>
            </w:ins>
          </w:p>
          <w:p>
            <w:pPr>
              <w:pStyle w:val="yTableNAm"/>
              <w:rPr>
                <w:ins w:id="603" w:author="Master Repository Process" w:date="2021-07-31T20:44:00Z"/>
              </w:rPr>
            </w:pPr>
            <w:ins w:id="604" w:author="Master Repository Process" w:date="2021-07-31T20:44:00Z">
              <w:r>
                <w:t>Near</w:t>
              </w:r>
            </w:ins>
          </w:p>
          <w:p>
            <w:pPr>
              <w:pStyle w:val="yTableNAm"/>
              <w:rPr>
                <w:ins w:id="605" w:author="Master Repository Process" w:date="2021-07-31T20:44:00Z"/>
              </w:rPr>
            </w:pPr>
            <w:ins w:id="606" w:author="Master Repository Process" w:date="2021-07-31T20:44:00Z">
              <w:r>
                <w:t>Locality/tenure</w:t>
              </w:r>
            </w:ins>
          </w:p>
        </w:tc>
      </w:tr>
      <w:tr>
        <w:trPr>
          <w:gridAfter w:val="2"/>
          <w:wAfter w:w="388" w:type="dxa"/>
          <w:cantSplit/>
          <w:trHeight w:val="150"/>
          <w:ins w:id="607" w:author="Master Repository Process" w:date="2021-07-31T20:44:00Z"/>
        </w:trPr>
        <w:tc>
          <w:tcPr>
            <w:tcW w:w="1985" w:type="dxa"/>
            <w:gridSpan w:val="10"/>
            <w:vMerge/>
          </w:tcPr>
          <w:p>
            <w:pPr>
              <w:pStyle w:val="zyTableNAm"/>
              <w:rPr>
                <w:ins w:id="608" w:author="Master Repository Process" w:date="2021-07-31T20:44:00Z"/>
              </w:rPr>
            </w:pPr>
          </w:p>
        </w:tc>
        <w:tc>
          <w:tcPr>
            <w:tcW w:w="2693" w:type="dxa"/>
            <w:gridSpan w:val="9"/>
          </w:tcPr>
          <w:p>
            <w:pPr>
              <w:pStyle w:val="yTableNAm"/>
              <w:rPr>
                <w:ins w:id="609" w:author="Master Repository Process" w:date="2021-07-31T20:44:00Z"/>
              </w:rPr>
            </w:pPr>
            <w:ins w:id="610" w:author="Master Repository Process" w:date="2021-07-31T20:44:00Z">
              <w:r>
                <w:t>Act/regulation contravened:</w:t>
              </w:r>
            </w:ins>
          </w:p>
        </w:tc>
        <w:tc>
          <w:tcPr>
            <w:tcW w:w="2450" w:type="dxa"/>
            <w:gridSpan w:val="11"/>
          </w:tcPr>
          <w:p>
            <w:pPr>
              <w:pStyle w:val="yTableNAm"/>
              <w:rPr>
                <w:ins w:id="611" w:author="Master Repository Process" w:date="2021-07-31T20:44:00Z"/>
              </w:rPr>
            </w:pPr>
            <w:ins w:id="612" w:author="Master Repository Process" w:date="2021-07-31T20:44:00Z">
              <w:r>
                <w:t>Section/</w:t>
              </w:r>
              <w:r>
                <w:br/>
                <w:t>regulation:</w:t>
              </w:r>
            </w:ins>
          </w:p>
        </w:tc>
      </w:tr>
      <w:tr>
        <w:trPr>
          <w:gridAfter w:val="2"/>
          <w:wAfter w:w="388" w:type="dxa"/>
          <w:cantSplit/>
          <w:trHeight w:val="150"/>
          <w:ins w:id="613" w:author="Master Repository Process" w:date="2021-07-31T20:44:00Z"/>
        </w:trPr>
        <w:tc>
          <w:tcPr>
            <w:tcW w:w="1985" w:type="dxa"/>
            <w:gridSpan w:val="10"/>
            <w:vMerge/>
          </w:tcPr>
          <w:p>
            <w:pPr>
              <w:pStyle w:val="zyTableNAm"/>
              <w:rPr>
                <w:ins w:id="614" w:author="Master Repository Process" w:date="2021-07-31T20:44:00Z"/>
              </w:rPr>
            </w:pPr>
          </w:p>
        </w:tc>
        <w:tc>
          <w:tcPr>
            <w:tcW w:w="5143" w:type="dxa"/>
            <w:gridSpan w:val="20"/>
          </w:tcPr>
          <w:p>
            <w:pPr>
              <w:pStyle w:val="yTableNAm"/>
              <w:rPr>
                <w:ins w:id="615" w:author="Master Repository Process" w:date="2021-07-31T20:44:00Z"/>
              </w:rPr>
            </w:pPr>
            <w:ins w:id="616" w:author="Master Repository Process" w:date="2021-07-31T20:44:00Z">
              <w:r>
                <w:t>Details of offence:</w:t>
              </w:r>
            </w:ins>
          </w:p>
        </w:tc>
      </w:tr>
      <w:tr>
        <w:trPr>
          <w:gridAfter w:val="2"/>
          <w:wAfter w:w="388" w:type="dxa"/>
          <w:cantSplit/>
          <w:ins w:id="617" w:author="Master Repository Process" w:date="2021-07-31T20:44:00Z"/>
        </w:trPr>
        <w:tc>
          <w:tcPr>
            <w:tcW w:w="1985" w:type="dxa"/>
            <w:gridSpan w:val="10"/>
          </w:tcPr>
          <w:p>
            <w:pPr>
              <w:pStyle w:val="yTableNAm"/>
              <w:rPr>
                <w:ins w:id="618" w:author="Master Repository Process" w:date="2021-07-31T20:44:00Z"/>
              </w:rPr>
            </w:pPr>
            <w:ins w:id="619" w:author="Master Repository Process" w:date="2021-07-31T20:44:00Z">
              <w:r>
                <w:rPr>
                  <w:b/>
                </w:rPr>
                <w:t>Date</w:t>
              </w:r>
            </w:ins>
          </w:p>
        </w:tc>
        <w:tc>
          <w:tcPr>
            <w:tcW w:w="2410" w:type="dxa"/>
            <w:gridSpan w:val="7"/>
          </w:tcPr>
          <w:p>
            <w:pPr>
              <w:pStyle w:val="yTableNAm"/>
              <w:rPr>
                <w:ins w:id="620" w:author="Master Repository Process" w:date="2021-07-31T20:44:00Z"/>
              </w:rPr>
            </w:pPr>
            <w:ins w:id="621" w:author="Master Repository Process" w:date="2021-07-31T20:44:00Z">
              <w:r>
                <w:t>Date of notice:</w:t>
              </w:r>
            </w:ins>
          </w:p>
        </w:tc>
        <w:tc>
          <w:tcPr>
            <w:tcW w:w="2733" w:type="dxa"/>
            <w:gridSpan w:val="13"/>
          </w:tcPr>
          <w:p>
            <w:pPr>
              <w:pStyle w:val="yTableNAm"/>
              <w:rPr>
                <w:ins w:id="622" w:author="Master Repository Process" w:date="2021-07-31T20:44:00Z"/>
              </w:rPr>
            </w:pPr>
            <w:ins w:id="623" w:author="Master Repository Process" w:date="2021-07-31T20:44:00Z">
              <w:r>
                <w:t>Time of notice:</w:t>
              </w:r>
            </w:ins>
          </w:p>
        </w:tc>
      </w:tr>
      <w:tr>
        <w:trPr>
          <w:gridAfter w:val="2"/>
          <w:wAfter w:w="388" w:type="dxa"/>
          <w:cantSplit/>
          <w:ins w:id="624" w:author="Master Repository Process" w:date="2021-07-31T20:44:00Z"/>
        </w:trPr>
        <w:tc>
          <w:tcPr>
            <w:tcW w:w="1985" w:type="dxa"/>
            <w:gridSpan w:val="10"/>
            <w:vMerge w:val="restart"/>
          </w:tcPr>
          <w:p>
            <w:pPr>
              <w:pStyle w:val="yTableNAm"/>
              <w:rPr>
                <w:ins w:id="625" w:author="Master Repository Process" w:date="2021-07-31T20:44:00Z"/>
              </w:rPr>
            </w:pPr>
            <w:ins w:id="626" w:author="Master Repository Process" w:date="2021-07-31T20:44:00Z">
              <w:r>
                <w:rPr>
                  <w:b/>
                </w:rPr>
                <w:t>Issuing officer</w:t>
              </w:r>
            </w:ins>
          </w:p>
        </w:tc>
        <w:tc>
          <w:tcPr>
            <w:tcW w:w="2410" w:type="dxa"/>
            <w:gridSpan w:val="7"/>
          </w:tcPr>
          <w:p>
            <w:pPr>
              <w:pStyle w:val="yTableNAm"/>
              <w:rPr>
                <w:ins w:id="627" w:author="Master Repository Process" w:date="2021-07-31T20:44:00Z"/>
              </w:rPr>
            </w:pPr>
            <w:ins w:id="628" w:author="Master Repository Process" w:date="2021-07-31T20:44:00Z">
              <w:r>
                <w:t>Surname:</w:t>
              </w:r>
            </w:ins>
          </w:p>
        </w:tc>
        <w:tc>
          <w:tcPr>
            <w:tcW w:w="2733" w:type="dxa"/>
            <w:gridSpan w:val="13"/>
          </w:tcPr>
          <w:p>
            <w:pPr>
              <w:pStyle w:val="yTableNAm"/>
              <w:rPr>
                <w:ins w:id="629" w:author="Master Repository Process" w:date="2021-07-31T20:44:00Z"/>
              </w:rPr>
            </w:pPr>
            <w:ins w:id="630" w:author="Master Repository Process" w:date="2021-07-31T20:44:00Z">
              <w:r>
                <w:t>Number:</w:t>
              </w:r>
            </w:ins>
          </w:p>
        </w:tc>
      </w:tr>
      <w:tr>
        <w:trPr>
          <w:gridAfter w:val="2"/>
          <w:wAfter w:w="388" w:type="dxa"/>
          <w:cantSplit/>
          <w:ins w:id="631" w:author="Master Repository Process" w:date="2021-07-31T20:44:00Z"/>
        </w:trPr>
        <w:tc>
          <w:tcPr>
            <w:tcW w:w="1985" w:type="dxa"/>
            <w:gridSpan w:val="10"/>
            <w:vMerge/>
          </w:tcPr>
          <w:p>
            <w:pPr>
              <w:pStyle w:val="zyTableNAm"/>
              <w:rPr>
                <w:ins w:id="632" w:author="Master Repository Process" w:date="2021-07-31T20:44:00Z"/>
              </w:rPr>
            </w:pPr>
          </w:p>
        </w:tc>
        <w:tc>
          <w:tcPr>
            <w:tcW w:w="5143" w:type="dxa"/>
            <w:gridSpan w:val="20"/>
          </w:tcPr>
          <w:p>
            <w:pPr>
              <w:pStyle w:val="yTableNAm"/>
              <w:rPr>
                <w:ins w:id="633" w:author="Master Repository Process" w:date="2021-07-31T20:44:00Z"/>
              </w:rPr>
            </w:pPr>
            <w:ins w:id="634" w:author="Master Repository Process" w:date="2021-07-31T20:44:00Z">
              <w:r>
                <w:t>Signature:</w:t>
              </w:r>
            </w:ins>
          </w:p>
        </w:tc>
      </w:tr>
      <w:tr>
        <w:trPr>
          <w:gridAfter w:val="2"/>
          <w:wAfter w:w="388" w:type="dxa"/>
          <w:cantSplit/>
          <w:trHeight w:val="604"/>
          <w:ins w:id="635" w:author="Master Repository Process" w:date="2021-07-31T20:44:00Z"/>
        </w:trPr>
        <w:tc>
          <w:tcPr>
            <w:tcW w:w="1985" w:type="dxa"/>
            <w:gridSpan w:val="10"/>
          </w:tcPr>
          <w:p>
            <w:pPr>
              <w:pStyle w:val="yTableNAm"/>
              <w:rPr>
                <w:ins w:id="636" w:author="Master Repository Process" w:date="2021-07-31T20:44:00Z"/>
              </w:rPr>
            </w:pPr>
            <w:ins w:id="637" w:author="Master Repository Process" w:date="2021-07-31T20:44:00Z">
              <w:r>
                <w:rPr>
                  <w:b/>
                </w:rPr>
                <w:t>Modified penalty</w:t>
              </w:r>
            </w:ins>
          </w:p>
        </w:tc>
        <w:tc>
          <w:tcPr>
            <w:tcW w:w="5143" w:type="dxa"/>
            <w:gridSpan w:val="20"/>
          </w:tcPr>
          <w:p>
            <w:pPr>
              <w:pStyle w:val="yTableNAm"/>
              <w:rPr>
                <w:ins w:id="638" w:author="Master Repository Process" w:date="2021-07-31T20:44:00Z"/>
              </w:rPr>
            </w:pPr>
            <w:ins w:id="639" w:author="Master Repository Process" w:date="2021-07-31T20:44:00Z">
              <w:r>
                <w:t>$_____</w:t>
              </w:r>
            </w:ins>
          </w:p>
        </w:tc>
      </w:tr>
      <w:tr>
        <w:trPr>
          <w:gridAfter w:val="2"/>
          <w:wAfter w:w="388" w:type="dxa"/>
          <w:cantSplit/>
          <w:trHeight w:val="604"/>
          <w:ins w:id="640" w:author="Master Repository Process" w:date="2021-07-31T20:44:00Z"/>
        </w:trPr>
        <w:tc>
          <w:tcPr>
            <w:tcW w:w="1985" w:type="dxa"/>
            <w:gridSpan w:val="10"/>
          </w:tcPr>
          <w:p>
            <w:pPr>
              <w:pStyle w:val="yTableNAm"/>
              <w:rPr>
                <w:ins w:id="641" w:author="Master Repository Process" w:date="2021-07-31T20:44:00Z"/>
              </w:rPr>
            </w:pPr>
            <w:ins w:id="642" w:author="Master Repository Process" w:date="2021-07-31T20:44:00Z">
              <w:r>
                <w:rPr>
                  <w:b/>
                </w:rPr>
                <w:t>TAKE NOTICE</w:t>
              </w:r>
            </w:ins>
          </w:p>
        </w:tc>
        <w:tc>
          <w:tcPr>
            <w:tcW w:w="5143" w:type="dxa"/>
            <w:gridSpan w:val="20"/>
          </w:tcPr>
          <w:p>
            <w:pPr>
              <w:pStyle w:val="yTableNAm"/>
              <w:rPr>
                <w:ins w:id="643" w:author="Master Repository Process" w:date="2021-07-31T20:44:00Z"/>
              </w:rPr>
            </w:pPr>
            <w:ins w:id="644" w:author="Master Repository Process" w:date="2021-07-31T20:44:00Z">
              <w:r>
                <w:t>It is alleged that you have committed the above offence/that you are the responsible person for the vehicle/vessel in relation to which the above offence occurred.</w:t>
              </w:r>
            </w:ins>
          </w:p>
          <w:p>
            <w:pPr>
              <w:pStyle w:val="yTableNAm"/>
              <w:rPr>
                <w:ins w:id="645" w:author="Master Repository Process" w:date="2021-07-31T20:44:00Z"/>
              </w:rPr>
            </w:pPr>
            <w:ins w:id="646" w:author="Master Repository Process" w:date="2021-07-31T20:44:00Z">
              <w:r>
                <w:rPr>
                  <w:b/>
                </w:rPr>
                <w:t>If you do not want to be prosecuted in court for the offence</w:t>
              </w:r>
              <w:r>
                <w:t>, the modified penalty must be paid to the CEO within 28 days after the date of this notice.</w:t>
              </w:r>
            </w:ins>
          </w:p>
          <w:p>
            <w:pPr>
              <w:pStyle w:val="yTableNAm"/>
              <w:rPr>
                <w:ins w:id="647" w:author="Master Repository Process" w:date="2021-07-31T20:44:00Z"/>
              </w:rPr>
            </w:pPr>
            <w:ins w:id="648" w:author="Master Repository Process" w:date="2021-07-31T20:44:00Z">
              <w:r>
                <w:t xml:space="preserve">If the modified penalty is not paid within 28 days, you may be prosecuted or enforcement action may be taken under the </w:t>
              </w:r>
              <w:r>
                <w:rPr>
                  <w:i/>
                </w:rPr>
                <w:t>Fines, Penalties and Infringement Notices Enforcement Act 1994</w:t>
              </w:r>
              <w:r>
                <w:t>.  Under that Act, some or all of the following action may be taken:</w:t>
              </w:r>
            </w:ins>
          </w:p>
          <w:p>
            <w:pPr>
              <w:pStyle w:val="yTableNAm"/>
              <w:rPr>
                <w:ins w:id="649" w:author="Master Repository Process" w:date="2021-07-31T20:44:00Z"/>
              </w:rPr>
            </w:pPr>
            <w:ins w:id="650" w:author="Master Repository Process" w:date="2021-07-31T20:44:00Z">
              <w:r>
                <w:t>your driver’s licence may be suspended; your vehicle licence may be suspended or cancelled; your details may be published on a website; your vehicle may be immobilised or have its number plates removed; and your property may be seized and sold.</w:t>
              </w:r>
            </w:ins>
          </w:p>
          <w:p>
            <w:pPr>
              <w:pStyle w:val="yTableNAm"/>
              <w:rPr>
                <w:ins w:id="651" w:author="Master Repository Process" w:date="2021-07-31T20:44:00Z"/>
              </w:rPr>
            </w:pPr>
            <w:ins w:id="652" w:author="Master Repository Process" w:date="2021-07-31T20:44:00Z">
              <w:r>
                <w:t>Paying the modified penalty will not be regarded as an admission for the purposes of any civil or criminal court case.</w:t>
              </w:r>
            </w:ins>
          </w:p>
          <w:p>
            <w:pPr>
              <w:pStyle w:val="yTableNAm"/>
              <w:rPr>
                <w:ins w:id="653" w:author="Master Repository Process" w:date="2021-07-31T20:44:00Z"/>
                <w:b/>
              </w:rPr>
            </w:pPr>
            <w:ins w:id="654" w:author="Master Repository Process" w:date="2021-07-31T20:44:00Z">
              <w:r>
                <w:rPr>
                  <w:b/>
                </w:rPr>
                <w:t>If you want this matter to be dealt with by prosecution in court:</w:t>
              </w:r>
            </w:ins>
          </w:p>
          <w:p>
            <w:pPr>
              <w:pStyle w:val="yTableNAm"/>
              <w:rPr>
                <w:ins w:id="655" w:author="Master Repository Process" w:date="2021-07-31T20:44:00Z"/>
              </w:rPr>
            </w:pPr>
            <w:ins w:id="656" w:author="Master Repository Process" w:date="2021-07-31T20:44:00Z">
              <w:r>
                <w:t>Lodge a request online using the form provided at www.dpaw.wa.gov.au</w:t>
              </w:r>
            </w:ins>
          </w:p>
          <w:p>
            <w:pPr>
              <w:pStyle w:val="yTableNAm"/>
              <w:rPr>
                <w:ins w:id="657" w:author="Master Repository Process" w:date="2021-07-31T20:44:00Z"/>
              </w:rPr>
            </w:pPr>
            <w:ins w:id="658" w:author="Master Repository Process" w:date="2021-07-31T20:44:00Z">
              <w:r>
                <w:t>OR</w:t>
              </w:r>
            </w:ins>
          </w:p>
          <w:p>
            <w:pPr>
              <w:pStyle w:val="yTableNAm"/>
              <w:rPr>
                <w:ins w:id="659" w:author="Master Repository Process" w:date="2021-07-31T20:44:00Z"/>
              </w:rPr>
            </w:pPr>
            <w:ins w:id="660" w:author="Master Repository Process" w:date="2021-07-31T20:44:00Z">
              <w:r>
                <w:t xml:space="preserve">Sign and date here: </w:t>
              </w:r>
            </w:ins>
          </w:p>
          <w:p>
            <w:pPr>
              <w:pStyle w:val="yTableNAm"/>
              <w:rPr>
                <w:ins w:id="661" w:author="Master Repository Process" w:date="2021-07-31T20:44:00Z"/>
              </w:rPr>
            </w:pPr>
            <w:ins w:id="662" w:author="Master Repository Process" w:date="2021-07-31T20:44:00Z">
              <w:r>
                <w:t xml:space="preserve">__________________________________     /    /20   </w:t>
              </w:r>
              <w:r>
                <w:br/>
                <w:t xml:space="preserve">and post this notice to the CEO at the address below. </w:t>
              </w:r>
            </w:ins>
          </w:p>
        </w:tc>
      </w:tr>
      <w:tr>
        <w:trPr>
          <w:gridAfter w:val="2"/>
          <w:wAfter w:w="388" w:type="dxa"/>
          <w:cantSplit/>
          <w:trHeight w:val="401"/>
          <w:ins w:id="663" w:author="Master Repository Process" w:date="2021-07-31T20:44:00Z"/>
        </w:trPr>
        <w:tc>
          <w:tcPr>
            <w:tcW w:w="1985" w:type="dxa"/>
            <w:gridSpan w:val="10"/>
          </w:tcPr>
          <w:p>
            <w:pPr>
              <w:pStyle w:val="yTableNAm"/>
              <w:rPr>
                <w:ins w:id="664" w:author="Master Repository Process" w:date="2021-07-31T20:44:00Z"/>
              </w:rPr>
            </w:pPr>
          </w:p>
        </w:tc>
        <w:tc>
          <w:tcPr>
            <w:tcW w:w="5143" w:type="dxa"/>
            <w:gridSpan w:val="20"/>
          </w:tcPr>
          <w:p>
            <w:pPr>
              <w:pStyle w:val="yTableNAm"/>
              <w:rPr>
                <w:ins w:id="665" w:author="Master Repository Process" w:date="2021-07-31T20:44:00Z"/>
              </w:rPr>
            </w:pPr>
            <w:ins w:id="666" w:author="Master Repository Process" w:date="2021-07-31T20:44:00Z">
              <w:r>
                <w:t>If you consider that you have good reason to have this notice withdrawn, you can write to the CEO at the address below requesting that this notice be withdrawn and setting out why you consider that this notice should be withdrawn. Your letter must be received not later than 28 days after the date of this notice.</w:t>
              </w:r>
            </w:ins>
          </w:p>
        </w:tc>
      </w:tr>
      <w:tr>
        <w:trPr>
          <w:cantSplit/>
          <w:trHeight w:val="401"/>
        </w:trPr>
        <w:tc>
          <w:tcPr>
            <w:tcW w:w="1985" w:type="dxa"/>
          </w:tcPr>
          <w:p>
            <w:pPr>
              <w:pStyle w:val="yTableNAm"/>
            </w:pPr>
            <w:del w:id="667" w:author="Master Repository Process" w:date="2021-07-31T20:44:00Z">
              <w:r>
                <w:rPr>
                  <w:sz w:val="18"/>
                  <w:szCs w:val="18"/>
                </w:rPr>
                <w:delText>Male</w:delText>
              </w:r>
            </w:del>
            <w:ins w:id="668" w:author="Master Repository Process" w:date="2021-07-31T20:44:00Z">
              <w:r>
                <w:rPr>
                  <w:b/>
                </w:rPr>
                <w:t>If infringement notice served on responsible person for a vehicle or owner of a vessel</w:t>
              </w:r>
            </w:ins>
          </w:p>
        </w:tc>
        <w:tc>
          <w:tcPr>
            <w:tcW w:w="297" w:type="dxa"/>
            <w:tcBorders>
              <w:top w:val="single" w:sz="4" w:space="0" w:color="auto"/>
              <w:left w:val="single" w:sz="4" w:space="0" w:color="auto"/>
              <w:bottom w:val="single" w:sz="4" w:space="0" w:color="auto"/>
              <w:right w:val="single" w:sz="4" w:space="0" w:color="auto"/>
            </w:tcBorders>
            <w:cellDel w:id="669" w:author="Master Repository Process" w:date="2021-07-31T20:44:00Z"/>
          </w:tcPr>
          <w:p>
            <w:pPr>
              <w:pStyle w:val="yTableNAm"/>
              <w:rPr>
                <w:sz w:val="18"/>
                <w:szCs w:val="18"/>
              </w:rPr>
            </w:pPr>
          </w:p>
        </w:tc>
        <w:tc>
          <w:tcPr>
            <w:tcW w:w="746" w:type="dxa"/>
            <w:gridSpan w:val="2"/>
            <w:tcBorders>
              <w:top w:val="single" w:sz="4" w:space="0" w:color="auto"/>
              <w:left w:val="single" w:sz="4" w:space="0" w:color="auto"/>
              <w:bottom w:val="single" w:sz="4" w:space="0" w:color="auto"/>
              <w:right w:val="single" w:sz="4" w:space="0" w:color="auto"/>
            </w:tcBorders>
            <w:cellDel w:id="670" w:author="Master Repository Process" w:date="2021-07-31T20:44:00Z"/>
          </w:tcPr>
          <w:p>
            <w:pPr>
              <w:pStyle w:val="yTableNAm"/>
              <w:rPr>
                <w:sz w:val="18"/>
                <w:szCs w:val="18"/>
              </w:rPr>
            </w:pPr>
            <w:del w:id="671" w:author="Master Repository Process" w:date="2021-07-31T20:44:00Z">
              <w:r>
                <w:rPr>
                  <w:sz w:val="18"/>
                  <w:szCs w:val="18"/>
                </w:rPr>
                <w:delText>Female</w:delText>
              </w:r>
            </w:del>
          </w:p>
        </w:tc>
        <w:tc>
          <w:tcPr>
            <w:tcW w:w="330" w:type="dxa"/>
            <w:tcBorders>
              <w:top w:val="single" w:sz="4" w:space="0" w:color="auto"/>
              <w:left w:val="single" w:sz="4" w:space="0" w:color="auto"/>
              <w:bottom w:val="single" w:sz="4" w:space="0" w:color="auto"/>
              <w:right w:val="single" w:sz="4" w:space="0" w:color="auto"/>
            </w:tcBorders>
            <w:cellDel w:id="672" w:author="Master Repository Process" w:date="2021-07-31T20:44:00Z"/>
          </w:tcPr>
          <w:p>
            <w:pPr>
              <w:pStyle w:val="yTableNAm"/>
              <w:rPr>
                <w:sz w:val="18"/>
                <w:szCs w:val="18"/>
              </w:rPr>
            </w:pPr>
          </w:p>
        </w:tc>
        <w:tc>
          <w:tcPr>
            <w:tcW w:w="444" w:type="dxa"/>
            <w:tcBorders>
              <w:left w:val="single" w:sz="4" w:space="0" w:color="auto"/>
              <w:right w:val="single" w:sz="4" w:space="0" w:color="auto"/>
            </w:tcBorders>
            <w:cellDel w:id="673" w:author="Master Repository Process" w:date="2021-07-31T20:44:00Z"/>
          </w:tcPr>
          <w:p>
            <w:pPr>
              <w:pStyle w:val="yTableNAm"/>
              <w:rPr>
                <w:sz w:val="18"/>
                <w:szCs w:val="18"/>
              </w:rPr>
            </w:pPr>
          </w:p>
        </w:tc>
        <w:tc>
          <w:tcPr>
            <w:tcW w:w="847" w:type="dxa"/>
            <w:tcBorders>
              <w:top w:val="single" w:sz="4" w:space="0" w:color="auto"/>
              <w:left w:val="single" w:sz="4" w:space="0" w:color="auto"/>
              <w:bottom w:val="single" w:sz="4" w:space="0" w:color="auto"/>
              <w:right w:val="single" w:sz="4" w:space="0" w:color="auto"/>
            </w:tcBorders>
            <w:cellDel w:id="674" w:author="Master Repository Process" w:date="2021-07-31T20:44:00Z"/>
          </w:tcPr>
          <w:p>
            <w:pPr>
              <w:pStyle w:val="yTableNAm"/>
              <w:rPr>
                <w:sz w:val="18"/>
                <w:szCs w:val="18"/>
              </w:rPr>
            </w:pPr>
            <w:del w:id="675" w:author="Master Repository Process" w:date="2021-07-31T20:44:00Z">
              <w:r>
                <w:rPr>
                  <w:sz w:val="18"/>
                  <w:szCs w:val="18"/>
                </w:rPr>
                <w:delText>D.O.B</w:delText>
              </w:r>
            </w:del>
          </w:p>
        </w:tc>
        <w:tc>
          <w:tcPr>
            <w:tcW w:w="388" w:type="dxa"/>
            <w:tcBorders>
              <w:top w:val="single" w:sz="4" w:space="0" w:color="auto"/>
              <w:left w:val="single" w:sz="4" w:space="0" w:color="auto"/>
              <w:bottom w:val="single" w:sz="4" w:space="0" w:color="auto"/>
              <w:right w:val="single" w:sz="4" w:space="0" w:color="auto"/>
            </w:tcBorders>
            <w:cellDel w:id="676" w:author="Master Repository Process" w:date="2021-07-31T20:44:00Z"/>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cellDel w:id="677" w:author="Master Repository Process" w:date="2021-07-31T20:44:00Z"/>
          </w:tcPr>
          <w:p>
            <w:pPr>
              <w:pStyle w:val="yTableNAm"/>
              <w:rPr>
                <w:sz w:val="18"/>
                <w:szCs w:val="18"/>
              </w:rPr>
            </w:pPr>
          </w:p>
        </w:tc>
        <w:tc>
          <w:tcPr>
            <w:tcW w:w="389" w:type="dxa"/>
            <w:tcBorders>
              <w:top w:val="single" w:sz="4" w:space="0" w:color="auto"/>
              <w:left w:val="single" w:sz="4" w:space="0" w:color="auto"/>
              <w:bottom w:val="single" w:sz="4" w:space="0" w:color="auto"/>
              <w:right w:val="single" w:sz="4" w:space="0" w:color="auto"/>
            </w:tcBorders>
            <w:cellDel w:id="678" w:author="Master Repository Process" w:date="2021-07-31T20:44:00Z"/>
          </w:tcPr>
          <w:p>
            <w:pPr>
              <w:pStyle w:val="yTableNAm"/>
              <w:rPr>
                <w:sz w:val="18"/>
                <w:szCs w:val="18"/>
              </w:rPr>
            </w:pPr>
          </w:p>
        </w:tc>
        <w:tc>
          <w:tcPr>
            <w:tcW w:w="388" w:type="dxa"/>
            <w:tcBorders>
              <w:left w:val="single" w:sz="4" w:space="0" w:color="auto"/>
              <w:right w:val="single" w:sz="4" w:space="0" w:color="auto"/>
            </w:tcBorders>
            <w:cellDel w:id="679" w:author="Master Repository Process" w:date="2021-07-31T20:44:00Z"/>
          </w:tcPr>
          <w:p>
            <w:pPr>
              <w:pStyle w:val="yTableNAm"/>
              <w:rPr>
                <w:sz w:val="18"/>
                <w:szCs w:val="18"/>
              </w:rPr>
            </w:pPr>
          </w:p>
        </w:tc>
        <w:tc>
          <w:tcPr>
            <w:tcW w:w="5143" w:type="dxa"/>
            <w:gridSpan w:val="14"/>
          </w:tcPr>
          <w:p>
            <w:pPr>
              <w:pStyle w:val="yTableNAm"/>
              <w:rPr>
                <w:ins w:id="680" w:author="Master Repository Process" w:date="2021-07-31T20:44:00Z"/>
              </w:rPr>
            </w:pPr>
            <w:del w:id="681" w:author="Master Repository Process" w:date="2021-07-31T20:44:00Z">
              <w:r>
                <w:rPr>
                  <w:sz w:val="18"/>
                  <w:szCs w:val="18"/>
                </w:rPr>
                <w:delText>Date of Service</w:delText>
              </w:r>
            </w:del>
            <w:ins w:id="682" w:author="Master Repository Process" w:date="2021-07-31T20:44:00Z">
              <w:r>
                <w:t>As the responsible person/owner you will be presumed to have been the driver or person in charge of the vehicle/vessel unless within 28 days after the date of this notice:</w:t>
              </w:r>
            </w:ins>
          </w:p>
          <w:p>
            <w:pPr>
              <w:pStyle w:val="yTableNAm"/>
              <w:ind w:left="595" w:hanging="595"/>
              <w:rPr>
                <w:ins w:id="683" w:author="Master Repository Process" w:date="2021-07-31T20:44:00Z"/>
              </w:rPr>
            </w:pPr>
            <w:ins w:id="684" w:author="Master Repository Process" w:date="2021-07-31T20:44:00Z">
              <w:r>
                <w:t>(a)</w:t>
              </w:r>
              <w:r>
                <w:tab/>
                <w:t>the modified penalty is paid; or</w:t>
              </w:r>
            </w:ins>
          </w:p>
          <w:p>
            <w:pPr>
              <w:pStyle w:val="yTableNAm"/>
              <w:ind w:left="595" w:hanging="595"/>
              <w:rPr>
                <w:ins w:id="685" w:author="Master Repository Process" w:date="2021-07-31T20:44:00Z"/>
              </w:rPr>
            </w:pPr>
            <w:ins w:id="686" w:author="Master Repository Process" w:date="2021-07-31T20:44:00Z">
              <w:r>
                <w:t>(b)</w:t>
              </w:r>
              <w:r>
                <w:tab/>
                <w:t>you supply the CEO with the following information:</w:t>
              </w:r>
            </w:ins>
          </w:p>
          <w:p>
            <w:pPr>
              <w:pStyle w:val="yTableNAm"/>
              <w:rPr>
                <w:ins w:id="687" w:author="Master Repository Process" w:date="2021-07-31T20:44:00Z"/>
              </w:rPr>
            </w:pPr>
            <w:ins w:id="688" w:author="Master Repository Process" w:date="2021-07-31T20:44:00Z">
              <w:r>
                <w:t>the name and address of the driver or person in charge of the vehicle/vessel at the time of the alleged offence</w:t>
              </w:r>
            </w:ins>
          </w:p>
          <w:p>
            <w:pPr>
              <w:pStyle w:val="yTableNAm"/>
              <w:rPr>
                <w:ins w:id="689" w:author="Master Repository Process" w:date="2021-07-31T20:44:00Z"/>
              </w:rPr>
            </w:pPr>
            <w:ins w:id="690" w:author="Master Repository Process" w:date="2021-07-31T20:44:00Z">
              <w:r>
                <w:t>or</w:t>
              </w:r>
            </w:ins>
          </w:p>
          <w:p>
            <w:pPr>
              <w:pStyle w:val="yTableNAm"/>
              <w:rPr>
                <w:ins w:id="691" w:author="Master Repository Process" w:date="2021-07-31T20:44:00Z"/>
              </w:rPr>
            </w:pPr>
            <w:ins w:id="692" w:author="Master Repository Process" w:date="2021-07-31T20:44:00Z">
              <w:r>
                <w:t>information showing that at the time of the alleged offence the vehicle/vessel had been stolen or unlawfully taken or was being unlawfully used.</w:t>
              </w:r>
            </w:ins>
          </w:p>
          <w:p>
            <w:pPr>
              <w:pStyle w:val="yTableNAm"/>
            </w:pPr>
            <w:ins w:id="693" w:author="Master Repository Process" w:date="2021-07-31T20:44:00Z">
              <w:r>
                <w:t xml:space="preserve">For further information see the </w:t>
              </w:r>
              <w:r>
                <w:rPr>
                  <w:i/>
                </w:rPr>
                <w:t>Conservation and Land Management Act 1984</w:t>
              </w:r>
              <w:r>
                <w:t xml:space="preserve"> sections 114A</w:t>
              </w:r>
              <w:r>
                <w:noBreakHyphen/>
                <w:t>114E (www.slp.wa.gov.au).</w:t>
              </w:r>
            </w:ins>
          </w:p>
        </w:tc>
        <w:tc>
          <w:tcPr>
            <w:tcW w:w="384" w:type="dxa"/>
            <w:tcBorders>
              <w:top w:val="single" w:sz="4" w:space="0" w:color="auto"/>
              <w:left w:val="single" w:sz="4" w:space="0" w:color="auto"/>
              <w:bottom w:val="single" w:sz="4" w:space="0" w:color="auto"/>
              <w:right w:val="single" w:sz="4" w:space="0" w:color="auto"/>
            </w:tcBorders>
            <w:cellDel w:id="694" w:author="Master Repository Process" w:date="2021-07-31T20:44:00Z"/>
          </w:tcPr>
          <w:p>
            <w:pPr>
              <w:pStyle w:val="yTableNAm"/>
              <w:rPr>
                <w:sz w:val="18"/>
                <w:szCs w:val="18"/>
              </w:rPr>
            </w:pPr>
          </w:p>
        </w:tc>
        <w:tc>
          <w:tcPr>
            <w:tcW w:w="384" w:type="dxa"/>
            <w:gridSpan w:val="5"/>
            <w:tcBorders>
              <w:top w:val="single" w:sz="4" w:space="0" w:color="auto"/>
              <w:left w:val="single" w:sz="4" w:space="0" w:color="auto"/>
              <w:bottom w:val="single" w:sz="4" w:space="0" w:color="auto"/>
              <w:right w:val="single" w:sz="4" w:space="0" w:color="auto"/>
            </w:tcBorders>
            <w:cellDel w:id="695" w:author="Master Repository Process" w:date="2021-07-31T20:44:00Z"/>
          </w:tcPr>
          <w:p>
            <w:pPr>
              <w:pStyle w:val="yTableNAm"/>
              <w:rPr>
                <w:sz w:val="18"/>
                <w:szCs w:val="18"/>
              </w:rPr>
            </w:pPr>
          </w:p>
        </w:tc>
        <w:tc>
          <w:tcPr>
            <w:tcW w:w="385" w:type="dxa"/>
            <w:tcBorders>
              <w:top w:val="single" w:sz="4" w:space="0" w:color="auto"/>
              <w:left w:val="single" w:sz="4" w:space="0" w:color="auto"/>
              <w:bottom w:val="single" w:sz="4" w:space="0" w:color="auto"/>
              <w:right w:val="single" w:sz="4" w:space="0" w:color="auto"/>
            </w:tcBorders>
            <w:cellDel w:id="696" w:author="Master Repository Process" w:date="2021-07-31T20:44:00Z"/>
          </w:tcPr>
          <w:p>
            <w:pPr>
              <w:pStyle w:val="yTableNAm"/>
              <w:rPr>
                <w:sz w:val="18"/>
                <w:szCs w:val="18"/>
              </w:rPr>
            </w:pPr>
          </w:p>
        </w:tc>
      </w:tr>
      <w:tr>
        <w:trPr>
          <w:gridAfter w:val="2"/>
          <w:wAfter w:w="388" w:type="dxa"/>
          <w:cantSplit/>
          <w:trHeight w:val="401"/>
        </w:trPr>
        <w:tc>
          <w:tcPr>
            <w:tcW w:w="1985" w:type="dxa"/>
            <w:gridSpan w:val="10"/>
            <w:vMerge w:val="restart"/>
            <w:cellIns w:id="697" w:author="Master Repository Process" w:date="2021-07-31T20:44:00Z"/>
          </w:tcPr>
          <w:p>
            <w:pPr>
              <w:pStyle w:val="yTableNAm"/>
              <w:rPr>
                <w:ins w:id="698" w:author="Master Repository Process" w:date="2021-07-31T20:44:00Z"/>
              </w:rPr>
            </w:pPr>
            <w:ins w:id="699" w:author="Master Repository Process" w:date="2021-07-31T20:44:00Z">
              <w:r>
                <w:rPr>
                  <w:b/>
                  <w:spacing w:val="-6"/>
                </w:rPr>
                <w:t>How to pay</w:t>
              </w:r>
            </w:ins>
          </w:p>
          <w:p>
            <w:pPr>
              <w:pStyle w:val="yTableNAm"/>
              <w:rPr>
                <w:b/>
              </w:rPr>
            </w:pPr>
            <w:ins w:id="700" w:author="Master Repository Process" w:date="2021-07-31T20:44:00Z">
              <w:r>
                <w:rPr>
                  <w:b/>
                </w:rPr>
                <w:t>Note: for payment in person you MUST ensure that you provide your INFRINGEMENT NOTICE NUMBER</w:t>
              </w:r>
            </w:ins>
          </w:p>
        </w:tc>
        <w:tc>
          <w:tcPr>
            <w:tcW w:w="1134" w:type="dxa"/>
            <w:gridSpan w:val="2"/>
            <w:cellIns w:id="701" w:author="Master Repository Process" w:date="2021-07-31T20:44:00Z"/>
          </w:tcPr>
          <w:p>
            <w:pPr>
              <w:pStyle w:val="yTableNAm"/>
            </w:pPr>
            <w:ins w:id="702" w:author="Master Repository Process" w:date="2021-07-31T20:44:00Z">
              <w:r>
                <w:t>By post</w:t>
              </w:r>
            </w:ins>
          </w:p>
        </w:tc>
        <w:tc>
          <w:tcPr>
            <w:tcW w:w="4009" w:type="dxa"/>
          </w:tcPr>
          <w:p>
            <w:pPr>
              <w:pStyle w:val="yTableNAm"/>
              <w:rPr>
                <w:ins w:id="703" w:author="Master Repository Process" w:date="2021-07-31T20:44:00Z"/>
              </w:rPr>
            </w:pPr>
            <w:del w:id="704" w:author="Master Repository Process" w:date="2021-07-31T20:44:00Z">
              <w:r>
                <w:rPr>
                  <w:sz w:val="14"/>
                  <w:szCs w:val="14"/>
                </w:rPr>
                <w:delText>(tick</w:delText>
              </w:r>
            </w:del>
            <w:ins w:id="705" w:author="Master Repository Process" w:date="2021-07-31T20:44:00Z">
              <w:r>
                <w:t>Tick the</w:t>
              </w:r>
            </w:ins>
            <w:r>
              <w:t xml:space="preserve"> relevant box</w:t>
            </w:r>
            <w:del w:id="706" w:author="Master Repository Process" w:date="2021-07-31T20:44:00Z">
              <w:r>
                <w:rPr>
                  <w:sz w:val="14"/>
                  <w:szCs w:val="14"/>
                </w:rPr>
                <w:delText>)</w:delText>
              </w:r>
            </w:del>
            <w:ins w:id="707" w:author="Master Repository Process" w:date="2021-07-31T20:44:00Z">
              <w:r>
                <w:t xml:space="preserve"> below and post payment to:</w:t>
              </w:r>
            </w:ins>
          </w:p>
          <w:p>
            <w:pPr>
              <w:pStyle w:val="yTableNAm"/>
              <w:rPr>
                <w:ins w:id="708" w:author="Master Repository Process" w:date="2021-07-31T20:44:00Z"/>
              </w:rPr>
            </w:pPr>
            <w:ins w:id="709" w:author="Master Repository Process" w:date="2021-07-31T20:44:00Z">
              <w:r>
                <w:t>Chief Executive Officer</w:t>
              </w:r>
              <w:r>
                <w:br/>
                <w:t>Department of Parks and Wildlife</w:t>
              </w:r>
              <w:r>
                <w:br/>
                <w:t>Locked Bag 104</w:t>
              </w:r>
              <w:r>
                <w:br/>
                <w:t>Bentley DC</w:t>
              </w:r>
            </w:ins>
          </w:p>
          <w:p>
            <w:pPr>
              <w:pStyle w:val="yTableNAm"/>
              <w:rPr>
                <w:ins w:id="710" w:author="Master Repository Process" w:date="2021-07-31T20:44:00Z"/>
              </w:rPr>
            </w:pPr>
            <w:ins w:id="711" w:author="Master Repository Process" w:date="2021-07-31T20:44:00Z">
              <w:r>
                <w:t>Bentley  WA  6983.</w:t>
              </w:r>
            </w:ins>
          </w:p>
          <w:p>
            <w:pPr>
              <w:pStyle w:val="yTableNAm"/>
              <w:tabs>
                <w:tab w:val="clear" w:pos="567"/>
                <w:tab w:val="left" w:pos="301"/>
              </w:tabs>
              <w:ind w:left="315" w:hanging="315"/>
            </w:pPr>
            <w:ins w:id="712" w:author="Master Repository Process" w:date="2021-07-31T20:44:00Z">
              <w:r>
                <w:rPr>
                  <w:rFonts w:eastAsia="MS Mincho"/>
                </w:rPr>
                <w:sym w:font="ZapfDingbats" w:char="F072"/>
              </w:r>
              <w:r>
                <w:tab/>
                <w:t>A cheque or money order (payable to ‘Chief Executive Officer, Department of Parks and Wildlife’) for the modified penalty is enclosed.</w:t>
              </w:r>
            </w:ins>
          </w:p>
        </w:tc>
        <w:tc>
          <w:tcPr>
            <w:tcW w:w="444" w:type="dxa"/>
            <w:gridSpan w:val="2"/>
            <w:cellDel w:id="713" w:author="Master Repository Process" w:date="2021-07-31T20:44:00Z"/>
          </w:tcPr>
          <w:p>
            <w:pPr>
              <w:pStyle w:val="yTableNAm"/>
              <w:rPr>
                <w:sz w:val="14"/>
                <w:szCs w:val="14"/>
              </w:rPr>
            </w:pPr>
          </w:p>
        </w:tc>
        <w:tc>
          <w:tcPr>
            <w:tcW w:w="847" w:type="dxa"/>
            <w:gridSpan w:val="3"/>
            <w:cellDel w:id="714" w:author="Master Repository Process" w:date="2021-07-31T20:44:00Z"/>
          </w:tcPr>
          <w:p>
            <w:pPr>
              <w:pStyle w:val="yTableNAm"/>
              <w:rPr>
                <w:sz w:val="14"/>
                <w:szCs w:val="14"/>
              </w:rPr>
            </w:pPr>
          </w:p>
        </w:tc>
        <w:tc>
          <w:tcPr>
            <w:tcW w:w="388" w:type="dxa"/>
            <w:gridSpan w:val="2"/>
            <w:cellDel w:id="715" w:author="Master Repository Process" w:date="2021-07-31T20:44:00Z"/>
          </w:tcPr>
          <w:p>
            <w:pPr>
              <w:pStyle w:val="yTableNAm"/>
              <w:rPr>
                <w:b/>
                <w:sz w:val="14"/>
                <w:szCs w:val="14"/>
              </w:rPr>
            </w:pPr>
            <w:del w:id="716" w:author="Master Repository Process" w:date="2021-07-31T20:44:00Z">
              <w:r>
                <w:rPr>
                  <w:b/>
                  <w:sz w:val="14"/>
                  <w:szCs w:val="14"/>
                </w:rPr>
                <w:delText>D</w:delText>
              </w:r>
            </w:del>
          </w:p>
        </w:tc>
        <w:tc>
          <w:tcPr>
            <w:tcW w:w="389" w:type="dxa"/>
            <w:cellDel w:id="717" w:author="Master Repository Process" w:date="2021-07-31T20:44:00Z"/>
          </w:tcPr>
          <w:p>
            <w:pPr>
              <w:pStyle w:val="yTableNAm"/>
              <w:rPr>
                <w:b/>
                <w:sz w:val="14"/>
                <w:szCs w:val="14"/>
              </w:rPr>
            </w:pPr>
            <w:del w:id="718" w:author="Master Repository Process" w:date="2021-07-31T20:44:00Z">
              <w:r>
                <w:rPr>
                  <w:b/>
                  <w:sz w:val="14"/>
                  <w:szCs w:val="14"/>
                </w:rPr>
                <w:delText>M</w:delText>
              </w:r>
            </w:del>
          </w:p>
        </w:tc>
        <w:tc>
          <w:tcPr>
            <w:tcW w:w="389" w:type="dxa"/>
            <w:gridSpan w:val="2"/>
            <w:cellDel w:id="719" w:author="Master Repository Process" w:date="2021-07-31T20:44:00Z"/>
          </w:tcPr>
          <w:p>
            <w:pPr>
              <w:pStyle w:val="yTableNAm"/>
              <w:rPr>
                <w:b/>
                <w:sz w:val="14"/>
                <w:szCs w:val="14"/>
              </w:rPr>
            </w:pPr>
            <w:del w:id="720" w:author="Master Repository Process" w:date="2021-07-31T20:44:00Z">
              <w:r>
                <w:rPr>
                  <w:b/>
                  <w:sz w:val="14"/>
                  <w:szCs w:val="14"/>
                </w:rPr>
                <w:delText>Y</w:delText>
              </w:r>
            </w:del>
          </w:p>
        </w:tc>
        <w:tc>
          <w:tcPr>
            <w:tcW w:w="388" w:type="dxa"/>
            <w:cellDel w:id="721" w:author="Master Repository Process" w:date="2021-07-31T20:44:00Z"/>
          </w:tcPr>
          <w:p>
            <w:pPr>
              <w:pStyle w:val="yTableNAm"/>
              <w:rPr>
                <w:sz w:val="14"/>
                <w:szCs w:val="14"/>
              </w:rPr>
            </w:pPr>
          </w:p>
        </w:tc>
        <w:tc>
          <w:tcPr>
            <w:tcW w:w="855" w:type="dxa"/>
            <w:gridSpan w:val="3"/>
            <w:cellDel w:id="722" w:author="Master Repository Process" w:date="2021-07-31T20:44:00Z"/>
          </w:tcPr>
          <w:p>
            <w:pPr>
              <w:pStyle w:val="yTableNAm"/>
              <w:rPr>
                <w:sz w:val="14"/>
                <w:szCs w:val="14"/>
              </w:rPr>
            </w:pPr>
          </w:p>
        </w:tc>
        <w:tc>
          <w:tcPr>
            <w:tcW w:w="384" w:type="dxa"/>
            <w:cellDel w:id="723" w:author="Master Repository Process" w:date="2021-07-31T20:44:00Z"/>
          </w:tcPr>
          <w:p>
            <w:pPr>
              <w:pStyle w:val="yTableNAm"/>
              <w:rPr>
                <w:b/>
                <w:sz w:val="14"/>
                <w:szCs w:val="14"/>
              </w:rPr>
            </w:pPr>
            <w:del w:id="724" w:author="Master Repository Process" w:date="2021-07-31T20:44:00Z">
              <w:r>
                <w:rPr>
                  <w:b/>
                  <w:sz w:val="14"/>
                  <w:szCs w:val="14"/>
                </w:rPr>
                <w:delText>D</w:delText>
              </w:r>
            </w:del>
          </w:p>
        </w:tc>
        <w:tc>
          <w:tcPr>
            <w:tcW w:w="384" w:type="dxa"/>
            <w:cellDel w:id="725" w:author="Master Repository Process" w:date="2021-07-31T20:44:00Z"/>
          </w:tcPr>
          <w:p>
            <w:pPr>
              <w:pStyle w:val="yTableNAm"/>
              <w:rPr>
                <w:b/>
                <w:sz w:val="14"/>
                <w:szCs w:val="14"/>
              </w:rPr>
            </w:pPr>
            <w:del w:id="726" w:author="Master Repository Process" w:date="2021-07-31T20:44:00Z">
              <w:r>
                <w:rPr>
                  <w:b/>
                  <w:sz w:val="14"/>
                  <w:szCs w:val="14"/>
                </w:rPr>
                <w:delText>M</w:delText>
              </w:r>
            </w:del>
          </w:p>
        </w:tc>
        <w:tc>
          <w:tcPr>
            <w:tcW w:w="385" w:type="dxa"/>
            <w:cellDel w:id="727" w:author="Master Repository Process" w:date="2021-07-31T20:44:00Z"/>
          </w:tcPr>
          <w:p>
            <w:pPr>
              <w:pStyle w:val="yTableNAm"/>
              <w:rPr>
                <w:b/>
                <w:sz w:val="14"/>
                <w:szCs w:val="14"/>
              </w:rPr>
            </w:pPr>
            <w:del w:id="728" w:author="Master Repository Process" w:date="2021-07-31T20:44:00Z">
              <w:r>
                <w:rPr>
                  <w:b/>
                  <w:sz w:val="14"/>
                  <w:szCs w:val="14"/>
                </w:rPr>
                <w:delText>Y</w:delText>
              </w:r>
            </w:del>
          </w:p>
        </w:tc>
      </w:tr>
      <w:tr>
        <w:trPr>
          <w:gridAfter w:val="2"/>
          <w:wAfter w:w="388" w:type="dxa"/>
          <w:cantSplit/>
          <w:trHeight w:val="401"/>
          <w:ins w:id="729" w:author="Master Repository Process" w:date="2021-07-31T20:44:00Z"/>
        </w:trPr>
        <w:tc>
          <w:tcPr>
            <w:tcW w:w="1985" w:type="dxa"/>
            <w:gridSpan w:val="10"/>
            <w:vMerge/>
          </w:tcPr>
          <w:p>
            <w:pPr>
              <w:pStyle w:val="zyTableNAm"/>
              <w:rPr>
                <w:ins w:id="730" w:author="Master Repository Process" w:date="2021-07-31T20:44:00Z"/>
              </w:rPr>
            </w:pPr>
          </w:p>
        </w:tc>
        <w:tc>
          <w:tcPr>
            <w:tcW w:w="1134" w:type="dxa"/>
            <w:gridSpan w:val="2"/>
          </w:tcPr>
          <w:p>
            <w:pPr>
              <w:pStyle w:val="yTableNAm"/>
              <w:rPr>
                <w:ins w:id="731" w:author="Master Repository Process" w:date="2021-07-31T20:44:00Z"/>
              </w:rPr>
            </w:pPr>
            <w:ins w:id="732" w:author="Master Repository Process" w:date="2021-07-31T20:44:00Z">
              <w:r>
                <w:t>In person</w:t>
              </w:r>
            </w:ins>
          </w:p>
        </w:tc>
        <w:tc>
          <w:tcPr>
            <w:tcW w:w="4009" w:type="dxa"/>
            <w:gridSpan w:val="18"/>
          </w:tcPr>
          <w:p>
            <w:pPr>
              <w:pStyle w:val="yTableNAm"/>
              <w:rPr>
                <w:ins w:id="733" w:author="Master Repository Process" w:date="2021-07-31T20:44:00Z"/>
              </w:rPr>
            </w:pPr>
            <w:ins w:id="734" w:author="Master Repository Process" w:date="2021-07-31T20:44:00Z">
              <w:r>
                <w:rPr>
                  <w:rFonts w:eastAsia="MS Mincho"/>
                </w:rPr>
                <w:t>At any Commonwealth Bank</w:t>
              </w:r>
            </w:ins>
          </w:p>
        </w:tc>
      </w:tr>
    </w:tbl>
    <w:p>
      <w:pPr>
        <w:pStyle w:val="yMiscellaneousBody"/>
        <w:tabs>
          <w:tab w:val="left" w:pos="426"/>
          <w:tab w:val="left" w:pos="1134"/>
          <w:tab w:val="left" w:pos="4111"/>
        </w:tabs>
        <w:ind w:left="142"/>
        <w:rPr>
          <w:del w:id="735" w:author="Master Repository Process" w:date="2021-07-31T20:44:00Z"/>
          <w:sz w:val="18"/>
          <w:szCs w:val="18"/>
        </w:rPr>
      </w:pPr>
      <w:del w:id="736" w:author="Master Repository Process" w:date="2021-07-31T20:44:00Z">
        <w:r>
          <w:rPr>
            <w:sz w:val="18"/>
            <w:szCs w:val="18"/>
          </w:rPr>
          <w:delText>1.</w:delText>
        </w:r>
        <w:r>
          <w:rPr>
            <w:sz w:val="18"/>
            <w:szCs w:val="18"/>
          </w:rPr>
          <w:tab/>
          <w:delText>To:..........................................................................................................................................</w:delText>
        </w:r>
      </w:del>
    </w:p>
    <w:p>
      <w:pPr>
        <w:pStyle w:val="yMiscellaneousBody"/>
        <w:tabs>
          <w:tab w:val="left" w:pos="426"/>
          <w:tab w:val="left" w:pos="1134"/>
          <w:tab w:val="left" w:pos="3969"/>
        </w:tabs>
        <w:spacing w:before="0"/>
        <w:ind w:left="142"/>
        <w:rPr>
          <w:del w:id="737" w:author="Master Repository Process" w:date="2021-07-31T20:44:00Z"/>
          <w:sz w:val="18"/>
          <w:szCs w:val="18"/>
        </w:rPr>
      </w:pPr>
      <w:del w:id="738" w:author="Master Repository Process" w:date="2021-07-31T20:44:00Z">
        <w:r>
          <w:rPr>
            <w:sz w:val="18"/>
            <w:szCs w:val="18"/>
          </w:rPr>
          <w:tab/>
        </w:r>
        <w:r>
          <w:rPr>
            <w:sz w:val="18"/>
            <w:szCs w:val="18"/>
          </w:rPr>
          <w:tab/>
          <w:delText>Surname (Block letters)</w:delText>
        </w:r>
        <w:r>
          <w:rPr>
            <w:sz w:val="18"/>
            <w:szCs w:val="18"/>
          </w:rPr>
          <w:tab/>
          <w:delText>Other names in full</w:delText>
        </w:r>
      </w:del>
    </w:p>
    <w:p>
      <w:pPr>
        <w:pStyle w:val="yMiscellaneousBody"/>
        <w:tabs>
          <w:tab w:val="left" w:pos="426"/>
          <w:tab w:val="left" w:pos="1134"/>
          <w:tab w:val="left" w:pos="4111"/>
        </w:tabs>
        <w:ind w:left="142"/>
        <w:rPr>
          <w:del w:id="739" w:author="Master Repository Process" w:date="2021-07-31T20:44:00Z"/>
          <w:sz w:val="18"/>
          <w:szCs w:val="18"/>
        </w:rPr>
      </w:pPr>
      <w:del w:id="740" w:author="Master Repository Process" w:date="2021-07-31T20:44:00Z">
        <w:r>
          <w:rPr>
            <w:sz w:val="18"/>
            <w:szCs w:val="18"/>
          </w:rPr>
          <w:delText>Address:........................................................................................................................................</w:delText>
        </w:r>
      </w:del>
    </w:p>
    <w:p>
      <w:pPr>
        <w:pStyle w:val="yMiscellaneousBody"/>
        <w:tabs>
          <w:tab w:val="left" w:pos="426"/>
          <w:tab w:val="left" w:pos="1134"/>
          <w:tab w:val="left" w:pos="3969"/>
          <w:tab w:val="left" w:pos="5387"/>
        </w:tabs>
        <w:spacing w:before="0"/>
        <w:ind w:left="142"/>
        <w:rPr>
          <w:del w:id="741" w:author="Master Repository Process" w:date="2021-07-31T20:44:00Z"/>
          <w:sz w:val="18"/>
          <w:szCs w:val="18"/>
        </w:rPr>
      </w:pPr>
      <w:del w:id="742" w:author="Master Repository Process" w:date="2021-07-31T20:44:00Z">
        <w:r>
          <w:rPr>
            <w:sz w:val="18"/>
            <w:szCs w:val="18"/>
          </w:rPr>
          <w:tab/>
        </w:r>
        <w:r>
          <w:rPr>
            <w:sz w:val="18"/>
            <w:szCs w:val="18"/>
          </w:rPr>
          <w:tab/>
          <w:delText>Number and Street</w:delText>
        </w:r>
        <w:r>
          <w:rPr>
            <w:sz w:val="18"/>
            <w:szCs w:val="18"/>
          </w:rPr>
          <w:tab/>
          <w:delText>Suburb</w:delText>
        </w:r>
        <w:r>
          <w:rPr>
            <w:sz w:val="18"/>
            <w:szCs w:val="18"/>
          </w:rPr>
          <w:tab/>
          <w:delText>Postcode</w:delText>
        </w:r>
      </w:del>
    </w:p>
    <w:p>
      <w:pPr>
        <w:pStyle w:val="yMiscellaneousBody"/>
        <w:tabs>
          <w:tab w:val="left" w:pos="426"/>
          <w:tab w:val="left" w:pos="1134"/>
          <w:tab w:val="left" w:pos="3969"/>
          <w:tab w:val="left" w:pos="5387"/>
        </w:tabs>
        <w:ind w:left="142"/>
        <w:rPr>
          <w:del w:id="743" w:author="Master Repository Process" w:date="2021-07-31T20:44:00Z"/>
          <w:sz w:val="18"/>
          <w:szCs w:val="18"/>
        </w:rPr>
      </w:pPr>
      <w:del w:id="744" w:author="Master Repository Process" w:date="2021-07-31T20:44:00Z">
        <w:r>
          <w:rPr>
            <w:sz w:val="18"/>
            <w:szCs w:val="18"/>
          </w:rPr>
          <w:delText>2.</w:delText>
        </w:r>
        <w:r>
          <w:rPr>
            <w:sz w:val="18"/>
            <w:szCs w:val="18"/>
          </w:rPr>
          <w:tab/>
          <w:delText>It is alleged that at ......... hours on the ...... day of ................. 20....., on ...........................</w:delText>
        </w:r>
      </w:del>
    </w:p>
    <w:p>
      <w:pPr>
        <w:pStyle w:val="yMiscellaneousBody"/>
        <w:tabs>
          <w:tab w:val="left" w:pos="426"/>
          <w:tab w:val="left" w:pos="1843"/>
          <w:tab w:val="left" w:pos="3119"/>
          <w:tab w:val="left" w:pos="3969"/>
          <w:tab w:val="left" w:pos="4962"/>
          <w:tab w:val="left" w:pos="5529"/>
        </w:tabs>
        <w:spacing w:before="0"/>
        <w:ind w:left="142"/>
        <w:rPr>
          <w:del w:id="745" w:author="Master Repository Process" w:date="2021-07-31T20:44:00Z"/>
          <w:sz w:val="14"/>
          <w:szCs w:val="14"/>
        </w:rPr>
      </w:pPr>
      <w:del w:id="746" w:author="Master Repository Process" w:date="2021-07-31T20:44:00Z">
        <w:r>
          <w:rPr>
            <w:sz w:val="14"/>
            <w:szCs w:val="14"/>
          </w:rPr>
          <w:tab/>
        </w:r>
        <w:r>
          <w:rPr>
            <w:sz w:val="14"/>
            <w:szCs w:val="14"/>
          </w:rPr>
          <w:tab/>
          <w:delText>(time)</w:delText>
        </w:r>
        <w:r>
          <w:rPr>
            <w:sz w:val="14"/>
            <w:szCs w:val="14"/>
          </w:rPr>
          <w:tab/>
          <w:delText xml:space="preserve">  (date)</w:delText>
        </w:r>
        <w:r>
          <w:rPr>
            <w:sz w:val="14"/>
            <w:szCs w:val="14"/>
          </w:rPr>
          <w:tab/>
          <w:delText xml:space="preserve"> (month)</w:delText>
        </w:r>
        <w:r>
          <w:rPr>
            <w:sz w:val="14"/>
            <w:szCs w:val="14"/>
          </w:rPr>
          <w:tab/>
          <w:delText xml:space="preserve"> (year)</w:delText>
        </w:r>
        <w:r>
          <w:rPr>
            <w:sz w:val="14"/>
            <w:szCs w:val="14"/>
          </w:rPr>
          <w:tab/>
          <w:delText xml:space="preserve">(Name/No of Park/ </w:delText>
        </w:r>
      </w:del>
    </w:p>
    <w:p>
      <w:pPr>
        <w:pStyle w:val="yMiscellaneousBody"/>
        <w:tabs>
          <w:tab w:val="left" w:pos="426"/>
          <w:tab w:val="left" w:pos="1843"/>
          <w:tab w:val="left" w:pos="3261"/>
          <w:tab w:val="left" w:pos="4111"/>
          <w:tab w:val="left" w:pos="5103"/>
          <w:tab w:val="left" w:pos="5529"/>
        </w:tabs>
        <w:spacing w:before="0"/>
        <w:ind w:left="142"/>
        <w:rPr>
          <w:del w:id="747" w:author="Master Repository Process" w:date="2021-07-31T20:44:00Z"/>
          <w:sz w:val="14"/>
          <w:szCs w:val="14"/>
        </w:rPr>
      </w:pPr>
      <w:del w:id="748" w:author="Master Repository Process" w:date="2021-07-31T20:44:00Z">
        <w:r>
          <w:rPr>
            <w:sz w:val="14"/>
            <w:szCs w:val="14"/>
          </w:rPr>
          <w:tab/>
        </w:r>
        <w:r>
          <w:rPr>
            <w:sz w:val="14"/>
            <w:szCs w:val="14"/>
          </w:rPr>
          <w:tab/>
        </w:r>
        <w:r>
          <w:rPr>
            <w:sz w:val="14"/>
            <w:szCs w:val="14"/>
          </w:rPr>
          <w:tab/>
        </w:r>
        <w:r>
          <w:rPr>
            <w:sz w:val="14"/>
            <w:szCs w:val="14"/>
          </w:rPr>
          <w:tab/>
        </w:r>
        <w:r>
          <w:rPr>
            <w:sz w:val="14"/>
            <w:szCs w:val="14"/>
          </w:rPr>
          <w:tab/>
        </w:r>
        <w:r>
          <w:rPr>
            <w:sz w:val="14"/>
            <w:szCs w:val="14"/>
          </w:rPr>
          <w:tab/>
          <w:delText>Reserve/Forest Block)</w:delText>
        </w:r>
      </w:del>
    </w:p>
    <w:p>
      <w:pPr>
        <w:pStyle w:val="yMiscellaneousBody"/>
        <w:tabs>
          <w:tab w:val="left" w:pos="426"/>
          <w:tab w:val="left" w:pos="1134"/>
          <w:tab w:val="left" w:pos="4111"/>
        </w:tabs>
        <w:ind w:left="142"/>
        <w:rPr>
          <w:del w:id="749" w:author="Master Repository Process" w:date="2021-07-31T20:44:00Z"/>
          <w:sz w:val="18"/>
          <w:szCs w:val="18"/>
        </w:rPr>
      </w:pPr>
      <w:del w:id="750" w:author="Master Repository Process" w:date="2021-07-31T20:44:00Z">
        <w:r>
          <w:rPr>
            <w:sz w:val="18"/>
            <w:szCs w:val="18"/>
          </w:rPr>
          <w:tab/>
          <w:delText>....................... (....................... District), you committed the offence(s) indicated hereunder:</w:delText>
        </w:r>
      </w:del>
    </w:p>
    <w:p>
      <w:pPr>
        <w:pStyle w:val="yMiscellaneousBody"/>
        <w:tabs>
          <w:tab w:val="left" w:pos="1701"/>
        </w:tabs>
        <w:spacing w:before="0"/>
        <w:ind w:left="142"/>
        <w:rPr>
          <w:del w:id="751" w:author="Master Repository Process" w:date="2021-07-31T20:44:00Z"/>
          <w:sz w:val="14"/>
          <w:szCs w:val="14"/>
        </w:rPr>
      </w:pPr>
      <w:del w:id="752" w:author="Master Repository Process" w:date="2021-07-31T20:44:00Z">
        <w:r>
          <w:rPr>
            <w:sz w:val="18"/>
            <w:szCs w:val="18"/>
          </w:rPr>
          <w:tab/>
        </w:r>
        <w:r>
          <w:rPr>
            <w:sz w:val="14"/>
            <w:szCs w:val="14"/>
          </w:rPr>
          <w:delText>(insert name of District)</w:delText>
        </w:r>
      </w:del>
    </w:p>
    <w:tbl>
      <w:tblPr>
        <w:tblStyle w:val="TableGrid"/>
        <w:tblW w:w="0" w:type="auto"/>
        <w:tblInd w:w="250" w:type="dxa"/>
        <w:tblLook w:val="01E0" w:firstRow="1" w:lastRow="1" w:firstColumn="1" w:lastColumn="1" w:noHBand="0" w:noVBand="0"/>
      </w:tblPr>
      <w:tblGrid>
        <w:gridCol w:w="1559"/>
        <w:gridCol w:w="1134"/>
        <w:gridCol w:w="3119"/>
        <w:gridCol w:w="992"/>
      </w:tblGrid>
      <w:tr>
        <w:trPr>
          <w:trHeight w:val="365"/>
          <w:del w:id="753" w:author="Master Repository Process" w:date="2021-07-31T20:44:00Z"/>
        </w:trPr>
        <w:tc>
          <w:tcPr>
            <w:tcW w:w="1559" w:type="dxa"/>
          </w:tcPr>
          <w:p>
            <w:pPr>
              <w:pStyle w:val="yTableNAm"/>
              <w:rPr>
                <w:del w:id="754" w:author="Master Repository Process" w:date="2021-07-31T20:44:00Z"/>
                <w:sz w:val="18"/>
                <w:szCs w:val="18"/>
              </w:rPr>
            </w:pPr>
            <w:del w:id="755" w:author="Master Repository Process" w:date="2021-07-31T20:44:00Z">
              <w:r>
                <w:rPr>
                  <w:b/>
                  <w:sz w:val="18"/>
                  <w:szCs w:val="18"/>
                </w:rPr>
                <w:delText>Legislation</w:delText>
              </w:r>
              <w:r>
                <w:rPr>
                  <w:sz w:val="18"/>
                  <w:szCs w:val="18"/>
                </w:rPr>
                <w:br/>
                <w:delText>(circle selection)</w:delText>
              </w:r>
            </w:del>
          </w:p>
        </w:tc>
        <w:tc>
          <w:tcPr>
            <w:tcW w:w="1134" w:type="dxa"/>
          </w:tcPr>
          <w:p>
            <w:pPr>
              <w:pStyle w:val="yTableNAm"/>
              <w:rPr>
                <w:del w:id="756" w:author="Master Repository Process" w:date="2021-07-31T20:44:00Z"/>
                <w:b/>
                <w:sz w:val="18"/>
                <w:szCs w:val="18"/>
              </w:rPr>
            </w:pPr>
            <w:del w:id="757" w:author="Master Repository Process" w:date="2021-07-31T20:44:00Z">
              <w:r>
                <w:rPr>
                  <w:b/>
                  <w:sz w:val="18"/>
                  <w:szCs w:val="18"/>
                </w:rPr>
                <w:delText>Section/</w:delText>
              </w:r>
              <w:r>
                <w:rPr>
                  <w:b/>
                  <w:sz w:val="18"/>
                  <w:szCs w:val="18"/>
                </w:rPr>
                <w:br/>
                <w:delText>Regulation</w:delText>
              </w:r>
            </w:del>
          </w:p>
        </w:tc>
        <w:tc>
          <w:tcPr>
            <w:tcW w:w="3119" w:type="dxa"/>
          </w:tcPr>
          <w:p>
            <w:pPr>
              <w:pStyle w:val="yTableNAm"/>
              <w:rPr>
                <w:del w:id="758" w:author="Master Repository Process" w:date="2021-07-31T20:44:00Z"/>
                <w:b/>
                <w:sz w:val="18"/>
                <w:szCs w:val="18"/>
              </w:rPr>
            </w:pPr>
            <w:del w:id="759" w:author="Master Repository Process" w:date="2021-07-31T20:44:00Z">
              <w:r>
                <w:rPr>
                  <w:b/>
                  <w:sz w:val="18"/>
                  <w:szCs w:val="18"/>
                </w:rPr>
                <w:delText>Description of Offence</w:delText>
              </w:r>
            </w:del>
          </w:p>
        </w:tc>
        <w:tc>
          <w:tcPr>
            <w:tcW w:w="992" w:type="dxa"/>
          </w:tcPr>
          <w:p>
            <w:pPr>
              <w:pStyle w:val="yTableNAm"/>
              <w:jc w:val="center"/>
              <w:rPr>
                <w:del w:id="760" w:author="Master Repository Process" w:date="2021-07-31T20:44:00Z"/>
                <w:b/>
                <w:sz w:val="18"/>
                <w:szCs w:val="18"/>
              </w:rPr>
            </w:pPr>
            <w:del w:id="761" w:author="Master Repository Process" w:date="2021-07-31T20:44:00Z">
              <w:r>
                <w:rPr>
                  <w:b/>
                  <w:sz w:val="18"/>
                  <w:szCs w:val="18"/>
                </w:rPr>
                <w:delText>Penalty</w:delText>
              </w:r>
              <w:r>
                <w:rPr>
                  <w:b/>
                  <w:sz w:val="18"/>
                  <w:szCs w:val="18"/>
                </w:rPr>
                <w:br/>
                <w:delText>$</w:delText>
              </w:r>
            </w:del>
          </w:p>
        </w:tc>
      </w:tr>
      <w:tr>
        <w:trPr>
          <w:trHeight w:val="365"/>
          <w:del w:id="762" w:author="Master Repository Process" w:date="2021-07-31T20:44:00Z"/>
        </w:trPr>
        <w:tc>
          <w:tcPr>
            <w:tcW w:w="1559" w:type="dxa"/>
          </w:tcPr>
          <w:p>
            <w:pPr>
              <w:pStyle w:val="yTableNAm"/>
              <w:rPr>
                <w:del w:id="763" w:author="Master Repository Process" w:date="2021-07-31T20:44:00Z"/>
                <w:sz w:val="18"/>
                <w:szCs w:val="18"/>
              </w:rPr>
            </w:pPr>
            <w:del w:id="764" w:author="Master Repository Process" w:date="2021-07-31T20:44:00Z">
              <w:r>
                <w:rPr>
                  <w:sz w:val="18"/>
                  <w:szCs w:val="18"/>
                </w:rPr>
                <w:delText>CALM Act</w:delText>
              </w:r>
            </w:del>
          </w:p>
          <w:p>
            <w:pPr>
              <w:pStyle w:val="yTableNAm"/>
              <w:rPr>
                <w:del w:id="765" w:author="Master Repository Process" w:date="2021-07-31T20:44:00Z"/>
                <w:sz w:val="18"/>
                <w:szCs w:val="18"/>
              </w:rPr>
            </w:pPr>
            <w:del w:id="766" w:author="Master Repository Process" w:date="2021-07-31T20:44:00Z">
              <w:r>
                <w:rPr>
                  <w:sz w:val="18"/>
                  <w:szCs w:val="18"/>
                </w:rPr>
                <w:delText>CALM Regs</w:delText>
              </w:r>
            </w:del>
          </w:p>
          <w:p>
            <w:pPr>
              <w:pStyle w:val="yTableNAm"/>
              <w:rPr>
                <w:del w:id="767" w:author="Master Repository Process" w:date="2021-07-31T20:44:00Z"/>
                <w:sz w:val="18"/>
                <w:szCs w:val="18"/>
              </w:rPr>
            </w:pPr>
            <w:del w:id="768" w:author="Master Repository Process" w:date="2021-07-31T20:44:00Z">
              <w:r>
                <w:rPr>
                  <w:sz w:val="18"/>
                  <w:szCs w:val="18"/>
                </w:rPr>
                <w:delText>Forest Management Regs</w:delText>
              </w:r>
            </w:del>
          </w:p>
        </w:tc>
        <w:tc>
          <w:tcPr>
            <w:tcW w:w="1134" w:type="dxa"/>
          </w:tcPr>
          <w:p>
            <w:pPr>
              <w:pStyle w:val="yTableNAm"/>
              <w:rPr>
                <w:del w:id="769" w:author="Master Repository Process" w:date="2021-07-31T20:44:00Z"/>
                <w:sz w:val="18"/>
                <w:szCs w:val="18"/>
              </w:rPr>
            </w:pPr>
          </w:p>
        </w:tc>
        <w:tc>
          <w:tcPr>
            <w:tcW w:w="3119" w:type="dxa"/>
          </w:tcPr>
          <w:p>
            <w:pPr>
              <w:pStyle w:val="yTableNAm"/>
              <w:rPr>
                <w:del w:id="770" w:author="Master Repository Process" w:date="2021-07-31T20:44:00Z"/>
                <w:sz w:val="18"/>
                <w:szCs w:val="18"/>
              </w:rPr>
            </w:pPr>
          </w:p>
        </w:tc>
        <w:tc>
          <w:tcPr>
            <w:tcW w:w="992" w:type="dxa"/>
          </w:tcPr>
          <w:p>
            <w:pPr>
              <w:pStyle w:val="yTableNAm"/>
              <w:rPr>
                <w:del w:id="771" w:author="Master Repository Process" w:date="2021-07-31T20:44:00Z"/>
                <w:b/>
                <w:sz w:val="18"/>
                <w:szCs w:val="18"/>
              </w:rPr>
            </w:pPr>
          </w:p>
        </w:tc>
      </w:tr>
    </w:tbl>
    <w:p>
      <w:pPr>
        <w:pStyle w:val="yMiscellaneousBody"/>
        <w:tabs>
          <w:tab w:val="left" w:pos="426"/>
          <w:tab w:val="left" w:pos="3402"/>
        </w:tabs>
        <w:spacing w:before="240"/>
        <w:ind w:left="142"/>
        <w:rPr>
          <w:del w:id="772" w:author="Master Repository Process" w:date="2021-07-31T20:44:00Z"/>
          <w:sz w:val="18"/>
          <w:szCs w:val="18"/>
        </w:rPr>
      </w:pPr>
      <w:del w:id="773" w:author="Master Repository Process" w:date="2021-07-31T20:44:00Z">
        <w:r>
          <w:rPr>
            <w:sz w:val="18"/>
            <w:szCs w:val="18"/>
          </w:rPr>
          <w:delText>...............................................</w:delText>
        </w:r>
        <w:r>
          <w:rPr>
            <w:sz w:val="18"/>
            <w:szCs w:val="18"/>
          </w:rPr>
          <w:tab/>
          <w:delText>...............................................</w:delText>
        </w:r>
        <w:r>
          <w:rPr>
            <w:sz w:val="18"/>
            <w:szCs w:val="18"/>
          </w:rPr>
          <w:br/>
          <w:delText>Signature of Issuing officer</w:delText>
        </w:r>
        <w:r>
          <w:rPr>
            <w:sz w:val="18"/>
            <w:szCs w:val="18"/>
          </w:rPr>
          <w:tab/>
          <w:delText>Print Name of Issuing officer</w:delText>
        </w:r>
      </w:del>
    </w:p>
    <w:p>
      <w:pPr>
        <w:pStyle w:val="yMiscellaneousBody"/>
        <w:tabs>
          <w:tab w:val="left" w:pos="426"/>
          <w:tab w:val="left" w:pos="3402"/>
        </w:tabs>
        <w:spacing w:before="240"/>
        <w:ind w:left="567" w:hanging="425"/>
        <w:rPr>
          <w:del w:id="774" w:author="Master Repository Process" w:date="2021-07-31T20:44:00Z"/>
          <w:b/>
          <w:sz w:val="18"/>
          <w:szCs w:val="18"/>
        </w:rPr>
      </w:pPr>
      <w:del w:id="775" w:author="Master Repository Process" w:date="2021-07-31T20:44:00Z">
        <w:r>
          <w:rPr>
            <w:b/>
            <w:sz w:val="18"/>
            <w:szCs w:val="18"/>
            <w:u w:val="single"/>
          </w:rPr>
          <w:delText>Note</w:delText>
        </w:r>
        <w:r>
          <w:rPr>
            <w:b/>
            <w:sz w:val="18"/>
            <w:szCs w:val="18"/>
          </w:rPr>
          <w:delText>. At the discretion of the Department of Environment and Conservation</w:delText>
        </w:r>
        <w:r>
          <w:rPr>
            <w:b/>
            <w:sz w:val="18"/>
            <w:szCs w:val="18"/>
            <w:vertAlign w:val="superscript"/>
          </w:rPr>
          <w:delText> 5</w:delText>
        </w:r>
        <w:r>
          <w:rPr>
            <w:b/>
            <w:sz w:val="18"/>
            <w:szCs w:val="18"/>
          </w:rPr>
          <w:delText xml:space="preserve"> this infringement notice may be withdrawn and other action taken.</w:delText>
        </w:r>
      </w:del>
    </w:p>
    <w:p>
      <w:pPr>
        <w:pStyle w:val="yMiscellaneousBody"/>
        <w:keepNext/>
        <w:keepLines/>
        <w:tabs>
          <w:tab w:val="left" w:pos="426"/>
          <w:tab w:val="left" w:pos="3402"/>
        </w:tabs>
        <w:spacing w:before="240"/>
        <w:ind w:left="142"/>
        <w:rPr>
          <w:del w:id="776" w:author="Master Repository Process" w:date="2021-07-31T20:44:00Z"/>
          <w:b/>
          <w:sz w:val="18"/>
          <w:szCs w:val="18"/>
        </w:rPr>
      </w:pPr>
      <w:del w:id="777" w:author="Master Repository Process" w:date="2021-07-31T20:44:00Z">
        <w:r>
          <w:rPr>
            <w:b/>
            <w:sz w:val="18"/>
            <w:szCs w:val="18"/>
          </w:rPr>
          <w:delText>WHAT YOU MUST DO</w:delText>
        </w:r>
      </w:del>
    </w:p>
    <w:p>
      <w:pPr>
        <w:pStyle w:val="yMiscellaneousBody"/>
        <w:keepNext/>
        <w:keepLines/>
        <w:tabs>
          <w:tab w:val="left" w:pos="426"/>
        </w:tabs>
        <w:spacing w:before="120"/>
        <w:ind w:left="426" w:hanging="284"/>
        <w:rPr>
          <w:del w:id="778" w:author="Master Repository Process" w:date="2021-07-31T20:44:00Z"/>
          <w:sz w:val="18"/>
          <w:szCs w:val="18"/>
        </w:rPr>
      </w:pPr>
      <w:del w:id="779" w:author="Master Repository Process" w:date="2021-07-31T20:44:00Z">
        <w:r>
          <w:rPr>
            <w:sz w:val="18"/>
            <w:szCs w:val="18"/>
          </w:rPr>
          <w:delText>1.</w:delText>
        </w:r>
        <w:r>
          <w:rPr>
            <w:sz w:val="18"/>
            <w:szCs w:val="18"/>
          </w:rPr>
          <w:tab/>
          <w:delText>You may pay the full sum of the modified penalty for the offence specified on this notice within 21 days of the giving of this notice.</w:delText>
        </w:r>
      </w:del>
    </w:p>
    <w:p>
      <w:pPr>
        <w:pStyle w:val="yMiscellaneousBody"/>
        <w:tabs>
          <w:tab w:val="left" w:pos="426"/>
        </w:tabs>
        <w:spacing w:before="120"/>
        <w:ind w:left="426" w:hanging="284"/>
        <w:rPr>
          <w:del w:id="780" w:author="Master Repository Process" w:date="2021-07-31T20:44:00Z"/>
          <w:sz w:val="18"/>
          <w:szCs w:val="18"/>
        </w:rPr>
      </w:pPr>
      <w:del w:id="781" w:author="Master Repository Process" w:date="2021-07-31T20:44:00Z">
        <w:r>
          <w:rPr>
            <w:sz w:val="18"/>
            <w:szCs w:val="18"/>
          </w:rPr>
          <w:delText>2.</w:delText>
        </w:r>
        <w:r>
          <w:rPr>
            <w:sz w:val="18"/>
            <w:szCs w:val="18"/>
          </w:rPr>
          <w:tab/>
          <w:delText>Payment may be made by either posting your copy of this infringement notice along with a cheque, money order or postal note for the sum of the modified penalty shown above to the Chief Executive Officer, Department of Environment and Conservation</w:delText>
        </w:r>
        <w:r>
          <w:rPr>
            <w:sz w:val="18"/>
            <w:szCs w:val="18"/>
            <w:vertAlign w:val="superscript"/>
          </w:rPr>
          <w:delText> 5</w:delText>
        </w:r>
        <w:r>
          <w:rPr>
            <w:sz w:val="18"/>
            <w:szCs w:val="18"/>
          </w:rPr>
          <w:delText>, Locked Bag 104, Bentley Delivery Centre WA 6983, or presenting this notice at any office of the Department of Environment and Conservation</w:delText>
        </w:r>
        <w:r>
          <w:rPr>
            <w:sz w:val="18"/>
            <w:szCs w:val="18"/>
            <w:vertAlign w:val="superscript"/>
          </w:rPr>
          <w:delText> 5</w:delText>
        </w:r>
        <w:r>
          <w:rPr>
            <w:sz w:val="18"/>
            <w:szCs w:val="18"/>
          </w:rPr>
          <w:delText xml:space="preserve"> and paying the modified penalty indicated on the notice. Part payment of the amount of the penalty will not be accepted.</w:delText>
        </w:r>
      </w:del>
    </w:p>
    <w:p>
      <w:pPr>
        <w:pStyle w:val="yMiscellaneousBody"/>
        <w:tabs>
          <w:tab w:val="left" w:pos="426"/>
        </w:tabs>
        <w:spacing w:before="120"/>
        <w:ind w:left="426" w:hanging="284"/>
        <w:rPr>
          <w:del w:id="782" w:author="Master Repository Process" w:date="2021-07-31T20:44:00Z"/>
          <w:sz w:val="18"/>
          <w:szCs w:val="18"/>
        </w:rPr>
      </w:pPr>
      <w:del w:id="783" w:author="Master Repository Process" w:date="2021-07-31T20:44:00Z">
        <w:r>
          <w:rPr>
            <w:sz w:val="18"/>
            <w:szCs w:val="18"/>
          </w:rPr>
          <w:delText>3.</w:delText>
        </w:r>
        <w:r>
          <w:rPr>
            <w:sz w:val="18"/>
            <w:szCs w:val="18"/>
          </w:rPr>
          <w:tab/>
          <w:delText xml:space="preserve">Alternatively, you may elect to have this matter dealt with before a Court of Summary Jurisdiction by completing the Court Election on the reverse side of the notice and forwarding it to — </w:delText>
        </w:r>
      </w:del>
    </w:p>
    <w:p>
      <w:pPr>
        <w:pStyle w:val="yMiscellaneousBody"/>
        <w:tabs>
          <w:tab w:val="left" w:pos="426"/>
        </w:tabs>
        <w:spacing w:before="120"/>
        <w:ind w:left="426" w:hanging="284"/>
        <w:rPr>
          <w:del w:id="784" w:author="Master Repository Process" w:date="2021-07-31T20:44:00Z"/>
          <w:sz w:val="18"/>
          <w:szCs w:val="18"/>
        </w:rPr>
      </w:pPr>
      <w:del w:id="785" w:author="Master Repository Process" w:date="2021-07-31T20:44:00Z">
        <w:r>
          <w:rPr>
            <w:sz w:val="18"/>
            <w:szCs w:val="18"/>
          </w:rPr>
          <w:tab/>
          <w:delText>The Chief Wildlife Officer</w:delText>
        </w:r>
      </w:del>
    </w:p>
    <w:p>
      <w:pPr>
        <w:pStyle w:val="yMiscellaneousBody"/>
        <w:tabs>
          <w:tab w:val="left" w:pos="426"/>
        </w:tabs>
        <w:spacing w:before="0"/>
        <w:ind w:left="426" w:hanging="284"/>
        <w:rPr>
          <w:del w:id="786" w:author="Master Repository Process" w:date="2021-07-31T20:44:00Z"/>
          <w:sz w:val="18"/>
          <w:szCs w:val="18"/>
        </w:rPr>
      </w:pPr>
      <w:del w:id="787" w:author="Master Repository Process" w:date="2021-07-31T20:44:00Z">
        <w:r>
          <w:rPr>
            <w:sz w:val="18"/>
            <w:szCs w:val="18"/>
          </w:rPr>
          <w:tab/>
          <w:delText>Nature Protection Branch</w:delText>
        </w:r>
      </w:del>
    </w:p>
    <w:p>
      <w:pPr>
        <w:pStyle w:val="yMiscellaneousBody"/>
        <w:tabs>
          <w:tab w:val="left" w:pos="426"/>
        </w:tabs>
        <w:spacing w:before="0"/>
        <w:ind w:left="426" w:hanging="284"/>
        <w:rPr>
          <w:del w:id="788" w:author="Master Repository Process" w:date="2021-07-31T20:44:00Z"/>
          <w:sz w:val="18"/>
          <w:szCs w:val="18"/>
          <w:vertAlign w:val="superscript"/>
        </w:rPr>
      </w:pPr>
      <w:del w:id="789" w:author="Master Repository Process" w:date="2021-07-31T20:44:00Z">
        <w:r>
          <w:rPr>
            <w:sz w:val="18"/>
            <w:szCs w:val="18"/>
          </w:rPr>
          <w:tab/>
          <w:delText>Department of Conservation and Environment</w:delText>
        </w:r>
        <w:r>
          <w:rPr>
            <w:sz w:val="18"/>
            <w:szCs w:val="18"/>
            <w:vertAlign w:val="superscript"/>
          </w:rPr>
          <w:delText> 5</w:delText>
        </w:r>
      </w:del>
    </w:p>
    <w:p>
      <w:pPr>
        <w:pStyle w:val="yMiscellaneousBody"/>
        <w:tabs>
          <w:tab w:val="left" w:pos="426"/>
        </w:tabs>
        <w:spacing w:before="0"/>
        <w:ind w:left="426" w:hanging="284"/>
        <w:rPr>
          <w:del w:id="790" w:author="Master Repository Process" w:date="2021-07-31T20:44:00Z"/>
          <w:sz w:val="18"/>
          <w:szCs w:val="18"/>
        </w:rPr>
      </w:pPr>
      <w:del w:id="791" w:author="Master Repository Process" w:date="2021-07-31T20:44:00Z">
        <w:r>
          <w:rPr>
            <w:sz w:val="18"/>
            <w:szCs w:val="18"/>
          </w:rPr>
          <w:tab/>
          <w:delText>Locked Bag 104</w:delText>
        </w:r>
      </w:del>
    </w:p>
    <w:p>
      <w:pPr>
        <w:pStyle w:val="yMiscellaneousBody"/>
        <w:tabs>
          <w:tab w:val="left" w:pos="426"/>
        </w:tabs>
        <w:spacing w:before="0"/>
        <w:ind w:left="426" w:hanging="284"/>
        <w:rPr>
          <w:del w:id="792" w:author="Master Repository Process" w:date="2021-07-31T20:44:00Z"/>
          <w:sz w:val="18"/>
          <w:szCs w:val="18"/>
        </w:rPr>
      </w:pPr>
      <w:del w:id="793" w:author="Master Repository Process" w:date="2021-07-31T20:44:00Z">
        <w:r>
          <w:rPr>
            <w:sz w:val="18"/>
            <w:szCs w:val="18"/>
          </w:rPr>
          <w:tab/>
          <w:delText>Bentley Delivery Centre WA 6983</w:delText>
        </w:r>
      </w:del>
    </w:p>
    <w:p>
      <w:pPr>
        <w:pStyle w:val="yMiscellaneousBody"/>
        <w:spacing w:before="120"/>
        <w:ind w:left="142"/>
        <w:rPr>
          <w:del w:id="794" w:author="Master Repository Process" w:date="2021-07-31T20:44:00Z"/>
          <w:sz w:val="18"/>
          <w:szCs w:val="18"/>
        </w:rPr>
      </w:pPr>
      <w:del w:id="795" w:author="Master Repository Process" w:date="2021-07-31T20:44:00Z">
        <w:r>
          <w:rPr>
            <w:sz w:val="18"/>
            <w:szCs w:val="18"/>
          </w:rPr>
          <w:delText>If this modified penalty is not paid within 21 days of the date of this notice, court proceedings may be taken against you.</w:delText>
        </w:r>
      </w:del>
    </w:p>
    <w:p>
      <w:pPr>
        <w:pStyle w:val="yMiscellaneousBody"/>
        <w:spacing w:before="120"/>
        <w:ind w:left="142"/>
        <w:rPr>
          <w:del w:id="796" w:author="Master Repository Process" w:date="2021-07-31T20:44:00Z"/>
          <w:sz w:val="18"/>
          <w:szCs w:val="18"/>
        </w:rPr>
      </w:pPr>
      <w:del w:id="797" w:author="Master Repository Process" w:date="2021-07-31T20:44:00Z">
        <w:r>
          <w:rPr>
            <w:sz w:val="18"/>
            <w:szCs w:val="18"/>
          </w:rPr>
          <w:delText>Failure to pursue one of the above options within the time specified may incur additional administrative charges and action may be taken to suspend your Motor Drivers Licence until the modified penalty and any additional charges incurred have been paid in full.</w:delText>
        </w:r>
      </w:del>
    </w:p>
    <w:p>
      <w:pPr>
        <w:pStyle w:val="yMiscellaneousBody"/>
        <w:spacing w:before="120"/>
        <w:ind w:left="142"/>
        <w:rPr>
          <w:del w:id="798" w:author="Master Repository Process" w:date="2021-07-31T20:44:00Z"/>
          <w:sz w:val="18"/>
          <w:szCs w:val="18"/>
        </w:rPr>
      </w:pPr>
      <w:del w:id="799" w:author="Master Repository Process" w:date="2021-07-31T20:44:00Z">
        <w:r>
          <w:rPr>
            <w:sz w:val="18"/>
            <w:szCs w:val="18"/>
          </w:rPr>
          <w:delText>[</w:delText>
        </w:r>
        <w:r>
          <w:rPr>
            <w:i/>
            <w:sz w:val="18"/>
            <w:szCs w:val="18"/>
          </w:rPr>
          <w:delText>reverse of notice</w:delText>
        </w:r>
        <w:r>
          <w:rPr>
            <w:sz w:val="18"/>
            <w:szCs w:val="18"/>
          </w:rPr>
          <w:delText>]</w:delText>
        </w:r>
      </w:del>
    </w:p>
    <w:p>
      <w:pPr>
        <w:pStyle w:val="yMiscellaneousBody"/>
        <w:spacing w:before="120"/>
        <w:ind w:left="142"/>
        <w:jc w:val="center"/>
        <w:rPr>
          <w:del w:id="800" w:author="Master Repository Process" w:date="2021-07-31T20:44:00Z"/>
          <w:sz w:val="18"/>
          <w:szCs w:val="18"/>
        </w:rPr>
      </w:pPr>
      <w:del w:id="801" w:author="Master Repository Process" w:date="2021-07-31T20:44:00Z">
        <w:r>
          <w:rPr>
            <w:sz w:val="18"/>
            <w:szCs w:val="18"/>
          </w:rPr>
          <w:delText>I elect to have this matter heard by a Court.</w:delText>
        </w:r>
      </w:del>
    </w:p>
    <w:p>
      <w:pPr>
        <w:pStyle w:val="yMiscellaneousBody"/>
        <w:spacing w:before="120"/>
        <w:ind w:left="142"/>
        <w:jc w:val="center"/>
        <w:rPr>
          <w:del w:id="802" w:author="Master Repository Process" w:date="2021-07-31T20:44:00Z"/>
          <w:sz w:val="18"/>
          <w:szCs w:val="18"/>
        </w:rPr>
      </w:pPr>
      <w:del w:id="803" w:author="Master Repository Process" w:date="2021-07-31T20:44:00Z">
        <w:r>
          <w:rPr>
            <w:sz w:val="18"/>
            <w:szCs w:val="18"/>
          </w:rPr>
          <w:delText>Please issue a summons to me.</w:delText>
        </w:r>
      </w:del>
    </w:p>
    <w:p>
      <w:pPr>
        <w:pStyle w:val="yMiscellaneousBody"/>
        <w:spacing w:before="120"/>
        <w:ind w:left="142"/>
        <w:jc w:val="center"/>
        <w:rPr>
          <w:del w:id="804" w:author="Master Repository Process" w:date="2021-07-31T20:44:00Z"/>
          <w:sz w:val="18"/>
          <w:szCs w:val="18"/>
        </w:rPr>
      </w:pPr>
      <w:del w:id="805" w:author="Master Repository Process" w:date="2021-07-31T20:44:00Z">
        <w:r>
          <w:rPr>
            <w:sz w:val="18"/>
            <w:szCs w:val="18"/>
          </w:rPr>
          <w:delText>(Please use block letters)</w:delText>
        </w:r>
      </w:del>
    </w:p>
    <w:p>
      <w:pPr>
        <w:pStyle w:val="yMiscellaneousBody"/>
        <w:spacing w:before="120"/>
        <w:ind w:left="142"/>
        <w:jc w:val="center"/>
        <w:rPr>
          <w:del w:id="806" w:author="Master Repository Process" w:date="2021-07-31T20:44:00Z"/>
          <w:sz w:val="18"/>
          <w:szCs w:val="18"/>
        </w:rPr>
      </w:pPr>
      <w:del w:id="807" w:author="Master Repository Process" w:date="2021-07-31T20:44:00Z">
        <w:r>
          <w:rPr>
            <w:sz w:val="18"/>
            <w:szCs w:val="18"/>
          </w:rPr>
          <w:delText>Surname/Family Name</w:delText>
        </w:r>
        <w:r>
          <w:rPr>
            <w:sz w:val="18"/>
            <w:szCs w:val="18"/>
          </w:rPr>
          <w:tab/>
          <w:delText>________________________________________________</w:delText>
        </w:r>
      </w:del>
    </w:p>
    <w:p>
      <w:pPr>
        <w:pStyle w:val="yMiscellaneousBody"/>
        <w:spacing w:before="120"/>
        <w:ind w:left="142"/>
        <w:jc w:val="center"/>
        <w:rPr>
          <w:del w:id="808" w:author="Master Repository Process" w:date="2021-07-31T20:44:00Z"/>
          <w:sz w:val="18"/>
          <w:szCs w:val="18"/>
        </w:rPr>
      </w:pPr>
      <w:del w:id="809" w:author="Master Repository Process" w:date="2021-07-31T20:44:00Z">
        <w:r>
          <w:rPr>
            <w:sz w:val="18"/>
            <w:szCs w:val="18"/>
          </w:rPr>
          <w:delText>Given Names</w:delText>
        </w:r>
        <w:r>
          <w:rPr>
            <w:sz w:val="18"/>
            <w:szCs w:val="18"/>
          </w:rPr>
          <w:tab/>
        </w:r>
        <w:r>
          <w:rPr>
            <w:sz w:val="18"/>
            <w:szCs w:val="18"/>
          </w:rPr>
          <w:tab/>
          <w:delText>________________________________________________</w:delText>
        </w:r>
      </w:del>
    </w:p>
    <w:p>
      <w:pPr>
        <w:pStyle w:val="yMiscellaneousBody"/>
        <w:spacing w:before="120"/>
        <w:ind w:left="142"/>
        <w:jc w:val="center"/>
        <w:rPr>
          <w:del w:id="810" w:author="Master Repository Process" w:date="2021-07-31T20:44:00Z"/>
          <w:sz w:val="18"/>
          <w:szCs w:val="18"/>
        </w:rPr>
      </w:pPr>
      <w:del w:id="811" w:author="Master Repository Process" w:date="2021-07-31T20:44:00Z">
        <w:r>
          <w:rPr>
            <w:sz w:val="18"/>
            <w:szCs w:val="18"/>
          </w:rPr>
          <w:delText xml:space="preserve">Address </w:delText>
        </w:r>
        <w:r>
          <w:rPr>
            <w:sz w:val="18"/>
            <w:szCs w:val="18"/>
          </w:rPr>
          <w:tab/>
        </w:r>
        <w:r>
          <w:rPr>
            <w:sz w:val="18"/>
            <w:szCs w:val="18"/>
          </w:rPr>
          <w:tab/>
          <w:delText>________________________________________________</w:delText>
        </w:r>
      </w:del>
    </w:p>
    <w:p>
      <w:pPr>
        <w:pStyle w:val="yMiscellaneousBody"/>
        <w:spacing w:before="120"/>
        <w:ind w:left="142"/>
        <w:jc w:val="center"/>
        <w:rPr>
          <w:del w:id="812" w:author="Master Repository Process" w:date="2021-07-31T20:44:00Z"/>
          <w:sz w:val="18"/>
          <w:szCs w:val="18"/>
        </w:rPr>
      </w:pPr>
      <w:del w:id="813" w:author="Master Repository Process" w:date="2021-07-31T20:44:00Z">
        <w:r>
          <w:rPr>
            <w:sz w:val="18"/>
            <w:szCs w:val="18"/>
          </w:rPr>
          <w:tab/>
        </w:r>
        <w:r>
          <w:rPr>
            <w:sz w:val="18"/>
            <w:szCs w:val="18"/>
          </w:rPr>
          <w:tab/>
          <w:delText>______________________________Postcode __________</w:delText>
        </w:r>
      </w:del>
    </w:p>
    <w:p>
      <w:pPr>
        <w:pStyle w:val="yMiscellaneousBody"/>
        <w:spacing w:before="120"/>
        <w:ind w:left="142"/>
        <w:jc w:val="center"/>
        <w:rPr>
          <w:del w:id="814" w:author="Master Repository Process" w:date="2021-07-31T20:44:00Z"/>
          <w:sz w:val="18"/>
          <w:szCs w:val="18"/>
        </w:rPr>
      </w:pPr>
      <w:del w:id="815" w:author="Master Repository Process" w:date="2021-07-31T20:44:00Z">
        <w:r>
          <w:rPr>
            <w:sz w:val="18"/>
            <w:szCs w:val="18"/>
          </w:rPr>
          <w:delText xml:space="preserve">Signature </w:delText>
        </w:r>
        <w:r>
          <w:rPr>
            <w:sz w:val="18"/>
            <w:szCs w:val="18"/>
          </w:rPr>
          <w:tab/>
        </w:r>
        <w:r>
          <w:rPr>
            <w:sz w:val="18"/>
            <w:szCs w:val="18"/>
          </w:rPr>
          <w:tab/>
          <w:delText>________________________________________________</w:delText>
        </w:r>
      </w:del>
    </w:p>
    <w:p>
      <w:pPr>
        <w:pStyle w:val="yMiscellaneousBody"/>
        <w:spacing w:before="120"/>
        <w:ind w:left="142"/>
        <w:jc w:val="center"/>
        <w:rPr>
          <w:del w:id="816" w:author="Master Repository Process" w:date="2021-07-31T20:44:00Z"/>
          <w:sz w:val="18"/>
          <w:szCs w:val="18"/>
        </w:rPr>
      </w:pPr>
      <w:del w:id="817" w:author="Master Repository Process" w:date="2021-07-31T20:44:00Z">
        <w:r>
          <w:rPr>
            <w:sz w:val="18"/>
            <w:szCs w:val="18"/>
          </w:rPr>
          <w:delText xml:space="preserve">Date </w:delText>
        </w:r>
        <w:r>
          <w:rPr>
            <w:sz w:val="18"/>
            <w:szCs w:val="18"/>
          </w:rPr>
          <w:tab/>
          <w:delText>_____/ _______/ _______</w:delText>
        </w:r>
      </w:del>
    </w:p>
    <w:p>
      <w:pPr>
        <w:pStyle w:val="yFootnotesection"/>
      </w:pPr>
      <w:r>
        <w:tab/>
        <w:t xml:space="preserve">[Form 1 inserted in Gazette </w:t>
      </w:r>
      <w:del w:id="818" w:author="Master Repository Process" w:date="2021-07-31T20:44:00Z">
        <w:r>
          <w:delText>7</w:delText>
        </w:r>
      </w:del>
      <w:ins w:id="819" w:author="Master Repository Process" w:date="2021-07-31T20:44:00Z">
        <w:r>
          <w:t>11</w:t>
        </w:r>
      </w:ins>
      <w:r>
        <w:t> Dec </w:t>
      </w:r>
      <w:del w:id="820" w:author="Master Repository Process" w:date="2021-07-31T20:44:00Z">
        <w:r>
          <w:delText>2012</w:delText>
        </w:r>
      </w:del>
      <w:ins w:id="821" w:author="Master Repository Process" w:date="2021-07-31T20:44:00Z">
        <w:r>
          <w:t>2015</w:t>
        </w:r>
      </w:ins>
      <w:r>
        <w:t xml:space="preserve"> p. </w:t>
      </w:r>
      <w:del w:id="822" w:author="Master Repository Process" w:date="2021-07-31T20:44:00Z">
        <w:r>
          <w:delText>5973-4</w:delText>
        </w:r>
      </w:del>
      <w:ins w:id="823" w:author="Master Repository Process" w:date="2021-07-31T20:44:00Z">
        <w:r>
          <w:t>4954</w:t>
        </w:r>
        <w:r>
          <w:noBreakHyphen/>
          <w:t>6</w:t>
        </w:r>
      </w:ins>
      <w:r>
        <w:t>.]</w:t>
      </w:r>
    </w:p>
    <w:p>
      <w:pPr>
        <w:pStyle w:val="yMiscellaneousBody"/>
        <w:pageBreakBefore/>
        <w:jc w:val="center"/>
      </w:pPr>
      <w:r>
        <w:rPr>
          <w:rStyle w:val="CharSClsNo"/>
          <w:b/>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w:t>
      </w:r>
    </w:p>
    <w:p>
      <w:pPr>
        <w:pStyle w:val="yMiscellaneousBody"/>
        <w:rPr>
          <w:snapToGrid w:val="0"/>
        </w:rPr>
      </w:pPr>
      <w:r>
        <w:rPr>
          <w:snapToGrid w:val="0"/>
        </w:rPr>
        <w:t xml:space="preserve">                                                                                        Date ......./......./.......</w:t>
      </w:r>
    </w:p>
    <w:p>
      <w:pPr>
        <w:pStyle w:val="yMiscellaneousBody"/>
        <w:spacing w:before="0"/>
        <w:rPr>
          <w:snapToGrid w:val="0"/>
        </w:rPr>
      </w:pPr>
      <w:r>
        <w:rPr>
          <w:snapToGrid w:val="0"/>
        </w:rPr>
        <w:t>To ............................................................................................................... (name) of ............................................................................................................................ ................................................................................................................. (address)</w:t>
      </w:r>
    </w:p>
    <w:p>
      <w:pPr>
        <w:pStyle w:val="yMiscellaneousBody"/>
        <w:rPr>
          <w:snapToGrid w:val="0"/>
        </w:rPr>
      </w:pPr>
    </w:p>
    <w:p>
      <w:pPr>
        <w:pStyle w:val="yMiscellaneousBody"/>
        <w:rPr>
          <w:snapToGrid w:val="0"/>
        </w:rPr>
      </w:pPr>
      <w:r>
        <w:rPr>
          <w:snapToGrid w:val="0"/>
        </w:rPr>
        <w:t>1. Infringement Notice No. .......................... Date ......./......./....... for the alleged offence of .............................................................................................................. ......................................................................................................................... and specifying the modified penalty of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vertAlign w:val="superscript"/>
        </w:rPr>
      </w:pPr>
      <w:r>
        <w:t>Department of Environment and Conservation</w:t>
      </w:r>
      <w:r>
        <w:rPr>
          <w:vertAlign w:val="superscript"/>
        </w:rPr>
        <w:t> 5</w:t>
      </w:r>
    </w:p>
    <w:p>
      <w:pPr>
        <w:pStyle w:val="yFootnotesection"/>
      </w:pPr>
      <w:r>
        <w:tab/>
        <w:t>[Form 2 amended in Gazette 29 Sep 2006 p. 4333.]</w:t>
      </w:r>
    </w:p>
    <w:p>
      <w:pPr>
        <w:pStyle w:val="yTHeadingNAm"/>
        <w:pageBreakBefore/>
        <w:spacing w:before="0" w:after="0"/>
      </w:pPr>
      <w:r>
        <w:rPr>
          <w:rStyle w:val="CharSClsNo"/>
        </w:rPr>
        <w:t>Form 3</w:t>
      </w:r>
      <w:r>
        <w:t xml:space="preserve"> — Apiary permit</w:t>
      </w:r>
    </w:p>
    <w:p>
      <w:pPr>
        <w:pStyle w:val="yTableNAm"/>
        <w:spacing w:before="0"/>
        <w:jc w:val="right"/>
        <w:rPr>
          <w:sz w:val="17"/>
          <w:szCs w:val="17"/>
        </w:rPr>
      </w:pPr>
      <w:r>
        <w:rPr>
          <w:sz w:val="17"/>
          <w:szCs w:val="17"/>
        </w:rPr>
        <w:t>Regulation 98D(1)</w:t>
      </w:r>
    </w:p>
    <w:p>
      <w:pPr>
        <w:pStyle w:val="yTableNAm"/>
        <w:jc w:val="center"/>
        <w:rPr>
          <w:i/>
          <w:sz w:val="17"/>
          <w:szCs w:val="17"/>
        </w:rPr>
      </w:pPr>
      <w:r>
        <w:rPr>
          <w:i/>
          <w:sz w:val="17"/>
          <w:szCs w:val="17"/>
        </w:rPr>
        <w:t>CONSERVATION AND LAND MANAGEMENT REGULATIONS 2002</w:t>
      </w:r>
    </w:p>
    <w:p>
      <w:pPr>
        <w:pStyle w:val="yTableNAm"/>
        <w:jc w:val="center"/>
        <w:rPr>
          <w:sz w:val="17"/>
          <w:szCs w:val="17"/>
        </w:rPr>
      </w:pPr>
      <w:r>
        <w:rPr>
          <w:sz w:val="17"/>
          <w:szCs w:val="17"/>
        </w:rPr>
        <w:t>APIARY PERMIT</w:t>
      </w:r>
    </w:p>
    <w:tbl>
      <w:tblPr>
        <w:tblStyle w:val="TableGrid"/>
        <w:tblW w:w="0" w:type="auto"/>
        <w:tblInd w:w="5188" w:type="dxa"/>
        <w:tblCellMar>
          <w:left w:w="28" w:type="dxa"/>
          <w:right w:w="28" w:type="dxa"/>
        </w:tblCellMar>
        <w:tblLook w:val="04A0" w:firstRow="1" w:lastRow="0" w:firstColumn="1" w:lastColumn="0" w:noHBand="0" w:noVBand="1"/>
      </w:tblPr>
      <w:tblGrid>
        <w:gridCol w:w="1888"/>
      </w:tblGrid>
      <w:tr>
        <w:tc>
          <w:tcPr>
            <w:tcW w:w="1888" w:type="dxa"/>
          </w:tcPr>
          <w:p>
            <w:pPr>
              <w:pStyle w:val="yTableNAm"/>
              <w:spacing w:before="60" w:after="40"/>
              <w:rPr>
                <w:sz w:val="17"/>
                <w:szCs w:val="17"/>
              </w:rPr>
            </w:pPr>
            <w:r>
              <w:rPr>
                <w:sz w:val="17"/>
                <w:szCs w:val="17"/>
              </w:rPr>
              <w:t>Permit No. ____________</w:t>
            </w:r>
          </w:p>
        </w:tc>
      </w:tr>
    </w:tbl>
    <w:p>
      <w:pPr>
        <w:rPr>
          <w:sz w:val="12"/>
          <w:szCs w:val="12"/>
        </w:rPr>
      </w:pPr>
    </w:p>
    <w:tbl>
      <w:tblPr>
        <w:tblStyle w:val="TableGrid"/>
        <w:tblW w:w="0" w:type="auto"/>
        <w:tblCellMar>
          <w:left w:w="28" w:type="dxa"/>
          <w:right w:w="28" w:type="dxa"/>
        </w:tblCellMar>
        <w:tblLook w:val="04A0" w:firstRow="1" w:lastRow="0" w:firstColumn="1" w:lastColumn="0" w:noHBand="0" w:noVBand="1"/>
      </w:tblPr>
      <w:tblGrid>
        <w:gridCol w:w="7083"/>
      </w:tblGrid>
      <w:tr>
        <w:tc>
          <w:tcPr>
            <w:tcW w:w="7047" w:type="dxa"/>
          </w:tcPr>
          <w:p>
            <w:pPr>
              <w:pStyle w:val="yTableNAm"/>
              <w:tabs>
                <w:tab w:val="clear" w:pos="567"/>
              </w:tabs>
              <w:spacing w:before="60"/>
              <w:rPr>
                <w:sz w:val="17"/>
                <w:szCs w:val="17"/>
              </w:rPr>
            </w:pPr>
            <w:r>
              <w:rPr>
                <w:sz w:val="17"/>
                <w:szCs w:val="17"/>
              </w:rPr>
              <w:t>I____________________________________________________________ Reg Brand____________</w:t>
            </w:r>
          </w:p>
          <w:p>
            <w:pPr>
              <w:pStyle w:val="yTableNAm"/>
              <w:tabs>
                <w:tab w:val="clear" w:pos="567"/>
              </w:tabs>
              <w:spacing w:before="60" w:after="40"/>
              <w:rPr>
                <w:sz w:val="17"/>
                <w:szCs w:val="17"/>
              </w:rPr>
            </w:pPr>
            <w:r>
              <w:rPr>
                <w:sz w:val="17"/>
                <w:szCs w:val="17"/>
              </w:rPr>
              <w:t>of_________________________________________________________________________________</w:t>
            </w:r>
          </w:p>
        </w:tc>
      </w:tr>
    </w:tbl>
    <w:p>
      <w:pPr>
        <w:pStyle w:val="yTableNAm"/>
        <w:spacing w:before="0"/>
        <w:rPr>
          <w:sz w:val="17"/>
          <w:szCs w:val="17"/>
        </w:rPr>
      </w:pPr>
      <w:r>
        <w:rPr>
          <w:sz w:val="17"/>
          <w:szCs w:val="17"/>
        </w:rPr>
        <w:t xml:space="preserve">is authorised, subject to the </w:t>
      </w:r>
      <w:r>
        <w:rPr>
          <w:i/>
          <w:sz w:val="17"/>
          <w:szCs w:val="17"/>
        </w:rPr>
        <w:t>Conservation and Land Management Regulations 2002</w:t>
      </w:r>
      <w:r>
        <w:rPr>
          <w:sz w:val="17"/>
          <w:szCs w:val="17"/>
        </w:rPr>
        <w:t xml:space="preserve"> —</w:t>
      </w:r>
    </w:p>
    <w:p>
      <w:pPr>
        <w:pStyle w:val="yTableNAm"/>
        <w:spacing w:before="60"/>
        <w:rPr>
          <w:sz w:val="17"/>
          <w:szCs w:val="17"/>
        </w:rPr>
      </w:pPr>
      <w:r>
        <w:rPr>
          <w:sz w:val="17"/>
          <w:szCs w:val="17"/>
        </w:rPr>
        <w:t>a) to occupy the land described below for the purpose of operating an apiary; and</w:t>
      </w:r>
      <w:r>
        <w:rPr>
          <w:sz w:val="17"/>
          <w:szCs w:val="17"/>
        </w:rPr>
        <w:br/>
        <w:t>b) to remove honey, bees-wax and pollen from that land</w:t>
      </w:r>
    </w:p>
    <w:p>
      <w:pPr>
        <w:pStyle w:val="yTableNAm"/>
        <w:spacing w:before="60"/>
        <w:rPr>
          <w:sz w:val="17"/>
          <w:szCs w:val="17"/>
        </w:rPr>
      </w:pPr>
      <w:r>
        <w:rPr>
          <w:sz w:val="17"/>
          <w:szCs w:val="17"/>
        </w:rPr>
        <w:t>In accordance with the terms and conditions and any limitations set out below, and not otherwise.</w:t>
      </w:r>
    </w:p>
    <w:p>
      <w:pPr>
        <w:pStyle w:val="yTableNAm"/>
        <w:spacing w:before="60" w:after="60"/>
        <w:rPr>
          <w:i/>
          <w:sz w:val="17"/>
          <w:szCs w:val="17"/>
        </w:rPr>
      </w:pPr>
      <w:r>
        <w:rPr>
          <w:i/>
          <w:sz w:val="17"/>
          <w:szCs w:val="17"/>
        </w:rPr>
        <w:t>Note: The authority conferred by this permit is of no effect at any time when a term, condition or limitation of the permit is not being complied with.</w:t>
      </w:r>
    </w:p>
    <w:tbl>
      <w:tblPr>
        <w:tblStyle w:val="TableGrid"/>
        <w:tblW w:w="7047" w:type="dxa"/>
        <w:tblLayout w:type="fixed"/>
        <w:tblCellMar>
          <w:left w:w="28" w:type="dxa"/>
          <w:right w:w="28" w:type="dxa"/>
        </w:tblCellMar>
        <w:tblLook w:val="04A0" w:firstRow="1" w:lastRow="0" w:firstColumn="1" w:lastColumn="0" w:noHBand="0" w:noVBand="1"/>
      </w:tblPr>
      <w:tblGrid>
        <w:gridCol w:w="76"/>
        <w:gridCol w:w="2440"/>
        <w:gridCol w:w="90"/>
        <w:gridCol w:w="964"/>
        <w:gridCol w:w="425"/>
        <w:gridCol w:w="142"/>
        <w:gridCol w:w="2834"/>
        <w:gridCol w:w="76"/>
      </w:tblGrid>
      <w:tr>
        <w:tc>
          <w:tcPr>
            <w:tcW w:w="7047" w:type="dxa"/>
            <w:gridSpan w:val="8"/>
            <w:tcBorders>
              <w:top w:val="single" w:sz="4" w:space="0" w:color="auto"/>
              <w:bottom w:val="nil"/>
            </w:tcBorders>
          </w:tcPr>
          <w:p>
            <w:pPr>
              <w:spacing w:before="40" w:after="20"/>
              <w:ind w:left="85"/>
              <w:rPr>
                <w:sz w:val="17"/>
                <w:szCs w:val="17"/>
              </w:rPr>
            </w:pPr>
            <w:r>
              <w:rPr>
                <w:sz w:val="17"/>
                <w:szCs w:val="17"/>
              </w:rPr>
              <w:t>Site that may be occupied</w:t>
            </w:r>
          </w:p>
        </w:tc>
      </w:tr>
      <w:tr>
        <w:tc>
          <w:tcPr>
            <w:tcW w:w="76" w:type="dxa"/>
            <w:tcBorders>
              <w:top w:val="nil"/>
              <w:bottom w:val="nil"/>
            </w:tcBorders>
          </w:tcPr>
          <w:p>
            <w:pPr>
              <w:rPr>
                <w:sz w:val="16"/>
                <w:szCs w:val="16"/>
              </w:rPr>
            </w:pPr>
          </w:p>
        </w:tc>
        <w:tc>
          <w:tcPr>
            <w:tcW w:w="2440" w:type="dxa"/>
            <w:tcBorders>
              <w:top w:val="single" w:sz="4" w:space="0" w:color="auto"/>
              <w:bottom w:val="single" w:sz="4" w:space="0" w:color="auto"/>
              <w:right w:val="nil"/>
            </w:tcBorders>
          </w:tcPr>
          <w:p>
            <w:pPr>
              <w:pStyle w:val="yTableNAm"/>
              <w:spacing w:before="40"/>
              <w:rPr>
                <w:sz w:val="17"/>
                <w:szCs w:val="17"/>
              </w:rPr>
            </w:pPr>
            <w:r>
              <w:rPr>
                <w:sz w:val="17"/>
                <w:szCs w:val="17"/>
              </w:rPr>
              <w:t>DEC REGION/DISTRICT</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Forest Block</w:t>
            </w:r>
          </w:p>
          <w:p>
            <w:pPr>
              <w:pStyle w:val="yTableNAm"/>
              <w:spacing w:before="40"/>
              <w:rPr>
                <w:sz w:val="17"/>
                <w:szCs w:val="17"/>
              </w:rPr>
            </w:pPr>
            <w:r>
              <w:rPr>
                <w:sz w:val="17"/>
                <w:szCs w:val="17"/>
              </w:rPr>
              <w:t>_________________________</w:t>
            </w:r>
          </w:p>
          <w:p>
            <w:pPr>
              <w:pStyle w:val="yTableNAm"/>
              <w:spacing w:before="40"/>
              <w:rPr>
                <w:sz w:val="17"/>
                <w:szCs w:val="17"/>
              </w:rPr>
            </w:pPr>
            <w:r>
              <w:rPr>
                <w:sz w:val="17"/>
                <w:szCs w:val="17"/>
              </w:rPr>
              <w:t>DEC Apiary Zone</w:t>
            </w:r>
          </w:p>
          <w:p>
            <w:pPr>
              <w:pStyle w:val="yTableNAm"/>
              <w:spacing w:before="40"/>
              <w:rPr>
                <w:sz w:val="17"/>
                <w:szCs w:val="17"/>
              </w:rPr>
            </w:pPr>
            <w:r>
              <w:rPr>
                <w:sz w:val="17"/>
                <w:szCs w:val="17"/>
              </w:rPr>
              <w:t>_________________________</w:t>
            </w:r>
          </w:p>
        </w:tc>
        <w:tc>
          <w:tcPr>
            <w:tcW w:w="1479" w:type="dxa"/>
            <w:gridSpan w:val="3"/>
            <w:tcBorders>
              <w:top w:val="single" w:sz="4" w:space="0" w:color="auto"/>
              <w:left w:val="nil"/>
              <w:bottom w:val="single" w:sz="4" w:space="0" w:color="auto"/>
              <w:right w:val="nil"/>
            </w:tcBorders>
          </w:tcPr>
          <w:p>
            <w:pPr>
              <w:pStyle w:val="yTableNAm"/>
              <w:spacing w:before="40"/>
              <w:rPr>
                <w:sz w:val="17"/>
                <w:szCs w:val="17"/>
              </w:rPr>
            </w:pPr>
            <w:r>
              <w:rPr>
                <w:sz w:val="17"/>
                <w:szCs w:val="17"/>
              </w:rPr>
              <w:t>DEC Plan &amp; Ref</w:t>
            </w:r>
          </w:p>
          <w:p>
            <w:pPr>
              <w:spacing w:before="40"/>
              <w:rPr>
                <w:sz w:val="17"/>
                <w:szCs w:val="17"/>
              </w:rPr>
            </w:pPr>
            <w:r>
              <w:rPr>
                <w:sz w:val="17"/>
                <w:szCs w:val="17"/>
              </w:rPr>
              <w:t>________________</w:t>
            </w:r>
          </w:p>
          <w:p>
            <w:pPr>
              <w:spacing w:before="40"/>
              <w:rPr>
                <w:sz w:val="17"/>
                <w:szCs w:val="17"/>
              </w:rPr>
            </w:pPr>
            <w:r>
              <w:rPr>
                <w:sz w:val="17"/>
                <w:szCs w:val="17"/>
              </w:rPr>
              <w:t>or COG Map Ref</w:t>
            </w:r>
          </w:p>
          <w:p>
            <w:pPr>
              <w:spacing w:before="40"/>
              <w:rPr>
                <w:sz w:val="17"/>
                <w:szCs w:val="17"/>
              </w:rPr>
            </w:pPr>
            <w:r>
              <w:rPr>
                <w:sz w:val="17"/>
                <w:szCs w:val="17"/>
              </w:rPr>
              <w:t>________________</w:t>
            </w:r>
          </w:p>
          <w:p>
            <w:pPr>
              <w:spacing w:before="40"/>
              <w:rPr>
                <w:sz w:val="17"/>
                <w:szCs w:val="17"/>
              </w:rPr>
            </w:pPr>
            <w:r>
              <w:rPr>
                <w:sz w:val="17"/>
                <w:szCs w:val="17"/>
              </w:rPr>
              <w:t>Nearest Road/Track</w:t>
            </w:r>
          </w:p>
          <w:p>
            <w:pPr>
              <w:spacing w:before="40" w:after="40"/>
              <w:rPr>
                <w:sz w:val="17"/>
                <w:szCs w:val="17"/>
              </w:rPr>
            </w:pPr>
            <w:r>
              <w:rPr>
                <w:sz w:val="17"/>
                <w:szCs w:val="17"/>
              </w:rPr>
              <w:t>________________</w:t>
            </w:r>
          </w:p>
        </w:tc>
        <w:tc>
          <w:tcPr>
            <w:tcW w:w="2976" w:type="dxa"/>
            <w:gridSpan w:val="2"/>
            <w:tcBorders>
              <w:top w:val="single" w:sz="4" w:space="0" w:color="auto"/>
              <w:left w:val="nil"/>
              <w:bottom w:val="single" w:sz="4" w:space="0" w:color="auto"/>
            </w:tcBorders>
          </w:tcPr>
          <w:p>
            <w:pPr>
              <w:pStyle w:val="yTableNAm"/>
              <w:spacing w:before="40"/>
              <w:jc w:val="center"/>
              <w:rPr>
                <w:sz w:val="17"/>
                <w:szCs w:val="17"/>
              </w:rPr>
            </w:pPr>
            <w:r>
              <w:rPr>
                <w:sz w:val="17"/>
                <w:szCs w:val="17"/>
              </w:rPr>
              <w:t>Land Tenure</w:t>
            </w:r>
          </w:p>
          <w:p>
            <w:pPr>
              <w:pStyle w:val="yTableNAm"/>
              <w:spacing w:before="40"/>
              <w:rPr>
                <w:sz w:val="17"/>
                <w:szCs w:val="17"/>
              </w:rPr>
            </w:pPr>
          </w:p>
          <w:p>
            <w:pPr>
              <w:pStyle w:val="yTableNAm"/>
              <w:spacing w:before="40"/>
              <w:ind w:right="57"/>
              <w:jc w:val="right"/>
              <w:rPr>
                <w:sz w:val="17"/>
                <w:szCs w:val="17"/>
              </w:rPr>
            </w:pPr>
            <w:r>
              <w:rPr>
                <w:sz w:val="17"/>
                <w:szCs w:val="17"/>
              </w:rPr>
              <w:t>________________________________</w:t>
            </w:r>
          </w:p>
          <w:p>
            <w:pPr>
              <w:pStyle w:val="yTableNAm"/>
              <w:spacing w:before="80"/>
              <w:ind w:right="57"/>
              <w:jc w:val="right"/>
              <w:rPr>
                <w:sz w:val="17"/>
                <w:szCs w:val="17"/>
              </w:rPr>
            </w:pPr>
            <w:r>
              <w:rPr>
                <w:sz w:val="17"/>
                <w:szCs w:val="17"/>
              </w:rPr>
              <w:t>GPS Reading — Map Location</w:t>
            </w:r>
            <w:r>
              <w:rPr>
                <w:sz w:val="17"/>
                <w:szCs w:val="17"/>
              </w:rPr>
              <w:br/>
              <w:t>Longitude__________________</w:t>
            </w:r>
            <w:r>
              <w:rPr>
                <w:sz w:val="17"/>
                <w:szCs w:val="17"/>
              </w:rPr>
              <w:br/>
              <w:t>Latitude__________________</w:t>
            </w:r>
          </w:p>
        </w:tc>
        <w:tc>
          <w:tcPr>
            <w:tcW w:w="76" w:type="dxa"/>
            <w:tcBorders>
              <w:top w:val="nil"/>
              <w:bottom w:val="nil"/>
            </w:tcBorders>
          </w:tcPr>
          <w:p>
            <w:pPr>
              <w:ind w:left="-170" w:right="-311"/>
              <w:rPr>
                <w:sz w:val="17"/>
                <w:szCs w:val="17"/>
              </w:rPr>
            </w:pPr>
          </w:p>
          <w:p>
            <w:pPr>
              <w:rPr>
                <w:sz w:val="17"/>
                <w:szCs w:val="17"/>
              </w:rPr>
            </w:pPr>
          </w:p>
          <w:p>
            <w:pPr>
              <w:rPr>
                <w:sz w:val="17"/>
                <w:szCs w:val="17"/>
              </w:rPr>
            </w:pPr>
          </w:p>
        </w:tc>
      </w:tr>
      <w:tr>
        <w:tc>
          <w:tcPr>
            <w:tcW w:w="76" w:type="dxa"/>
            <w:tcBorders>
              <w:top w:val="nil"/>
              <w:bottom w:val="nil"/>
              <w:right w:val="nil"/>
            </w:tcBorders>
          </w:tcPr>
          <w:p>
            <w:pPr>
              <w:rPr>
                <w:sz w:val="16"/>
                <w:szCs w:val="16"/>
              </w:rPr>
            </w:pPr>
          </w:p>
        </w:tc>
        <w:tc>
          <w:tcPr>
            <w:tcW w:w="2440" w:type="dxa"/>
            <w:tcBorders>
              <w:top w:val="single" w:sz="4" w:space="0" w:color="auto"/>
              <w:left w:val="nil"/>
              <w:bottom w:val="single" w:sz="4" w:space="0" w:color="auto"/>
              <w:right w:val="nil"/>
            </w:tcBorders>
          </w:tcPr>
          <w:p>
            <w:pPr>
              <w:rPr>
                <w:sz w:val="17"/>
                <w:szCs w:val="17"/>
              </w:rPr>
            </w:pPr>
            <w:r>
              <w:rPr>
                <w:sz w:val="17"/>
                <w:szCs w:val="17"/>
              </w:rPr>
              <w:t>Conditions to be followed</w:t>
            </w:r>
          </w:p>
        </w:tc>
        <w:tc>
          <w:tcPr>
            <w:tcW w:w="1479" w:type="dxa"/>
            <w:gridSpan w:val="3"/>
            <w:tcBorders>
              <w:top w:val="single" w:sz="4" w:space="0" w:color="auto"/>
              <w:left w:val="nil"/>
              <w:bottom w:val="single" w:sz="4" w:space="0" w:color="auto"/>
              <w:right w:val="nil"/>
            </w:tcBorders>
          </w:tcPr>
          <w:p>
            <w:pPr>
              <w:rPr>
                <w:sz w:val="17"/>
                <w:szCs w:val="17"/>
              </w:rPr>
            </w:pPr>
          </w:p>
        </w:tc>
        <w:tc>
          <w:tcPr>
            <w:tcW w:w="142" w:type="dxa"/>
            <w:tcBorders>
              <w:top w:val="single" w:sz="4" w:space="0" w:color="auto"/>
              <w:left w:val="nil"/>
              <w:bottom w:val="nil"/>
              <w:right w:val="nil"/>
            </w:tcBorders>
          </w:tcPr>
          <w:p>
            <w:pPr>
              <w:rPr>
                <w:sz w:val="17"/>
                <w:szCs w:val="17"/>
              </w:rPr>
            </w:pPr>
          </w:p>
        </w:tc>
        <w:tc>
          <w:tcPr>
            <w:tcW w:w="2834" w:type="dxa"/>
            <w:tcBorders>
              <w:top w:val="single" w:sz="4" w:space="0" w:color="auto"/>
              <w:left w:val="nil"/>
              <w:bottom w:val="single" w:sz="4" w:space="0" w:color="auto"/>
              <w:right w:val="nil"/>
            </w:tcBorders>
          </w:tcPr>
          <w:p>
            <w:pPr>
              <w:rPr>
                <w:sz w:val="17"/>
                <w:szCs w:val="17"/>
              </w:rPr>
            </w:pPr>
            <w:r>
              <w:rPr>
                <w:sz w:val="17"/>
                <w:szCs w:val="17"/>
              </w:rPr>
              <w:t>Authority to Issue Permit</w:t>
            </w:r>
          </w:p>
        </w:tc>
        <w:tc>
          <w:tcPr>
            <w:tcW w:w="76" w:type="dxa"/>
            <w:tcBorders>
              <w:top w:val="nil"/>
              <w:left w:val="nil"/>
              <w:bottom w:val="nil"/>
            </w:tcBorders>
          </w:tcPr>
          <w:p>
            <w:pPr>
              <w:ind w:left="-170" w:right="-311"/>
              <w:rPr>
                <w:sz w:val="17"/>
                <w:szCs w:val="17"/>
              </w:rPr>
            </w:pPr>
          </w:p>
        </w:tc>
      </w:tr>
      <w:tr>
        <w:trPr>
          <w:trHeight w:val="428"/>
        </w:trPr>
        <w:tc>
          <w:tcPr>
            <w:tcW w:w="76" w:type="dxa"/>
            <w:vMerge w:val="restart"/>
            <w:tcBorders>
              <w:top w:val="nil"/>
              <w:bottom w:val="nil"/>
            </w:tcBorders>
          </w:tcPr>
          <w:p>
            <w:pPr>
              <w:rPr>
                <w:sz w:val="16"/>
                <w:szCs w:val="16"/>
              </w:rPr>
            </w:pPr>
          </w:p>
        </w:tc>
        <w:tc>
          <w:tcPr>
            <w:tcW w:w="2440" w:type="dxa"/>
            <w:vMerge w:val="restart"/>
            <w:tcBorders>
              <w:top w:val="single" w:sz="4" w:space="0" w:color="auto"/>
              <w:right w:val="nil"/>
            </w:tcBorders>
          </w:tcPr>
          <w:p>
            <w:pPr>
              <w:spacing w:before="60"/>
              <w:rPr>
                <w:sz w:val="17"/>
                <w:szCs w:val="17"/>
              </w:rPr>
            </w:pPr>
            <w:r>
              <w:rPr>
                <w:sz w:val="17"/>
                <w:szCs w:val="17"/>
              </w:rPr>
              <w:t>DRA Permit</w:t>
            </w:r>
          </w:p>
          <w:p>
            <w:pPr>
              <w:spacing w:before="60"/>
              <w:ind w:left="256" w:hanging="256"/>
              <w:rPr>
                <w:sz w:val="17"/>
                <w:szCs w:val="17"/>
              </w:rPr>
            </w:pPr>
            <w:r>
              <w:rPr>
                <w:sz w:val="17"/>
                <w:szCs w:val="17"/>
              </w:rPr>
              <w:t>Water Catchment</w:t>
            </w:r>
            <w:r>
              <w:rPr>
                <w:sz w:val="17"/>
                <w:szCs w:val="17"/>
              </w:rPr>
              <w:br/>
              <w:t>Catchment Area</w:t>
            </w:r>
          </w:p>
          <w:p>
            <w:pPr>
              <w:spacing w:before="60"/>
              <w:rPr>
                <w:sz w:val="17"/>
                <w:szCs w:val="17"/>
              </w:rPr>
            </w:pPr>
            <w:r>
              <w:rPr>
                <w:sz w:val="17"/>
                <w:szCs w:val="17"/>
              </w:rPr>
              <w:t>Pastoral Lease</w:t>
            </w:r>
          </w:p>
          <w:p>
            <w:pPr>
              <w:spacing w:before="60"/>
              <w:rPr>
                <w:sz w:val="17"/>
                <w:szCs w:val="17"/>
              </w:rPr>
            </w:pPr>
            <w:r>
              <w:rPr>
                <w:sz w:val="17"/>
                <w:szCs w:val="17"/>
              </w:rPr>
              <w:t>Special Conditions</w:t>
            </w:r>
          </w:p>
          <w:p>
            <w:pPr>
              <w:spacing w:before="60"/>
              <w:rPr>
                <w:sz w:val="17"/>
                <w:szCs w:val="17"/>
              </w:rPr>
            </w:pPr>
            <w:r>
              <w:rPr>
                <w:sz w:val="17"/>
                <w:szCs w:val="17"/>
              </w:rPr>
              <w:t>Standard Apiary Site Conditions</w:t>
            </w:r>
          </w:p>
        </w:tc>
        <w:tc>
          <w:tcPr>
            <w:tcW w:w="1479" w:type="dxa"/>
            <w:gridSpan w:val="3"/>
            <w:vMerge w:val="restart"/>
            <w:tcBorders>
              <w:top w:val="single" w:sz="4" w:space="0" w:color="auto"/>
              <w:left w:val="nil"/>
            </w:tcBorders>
          </w:tcPr>
          <w:p>
            <w:pPr>
              <w:spacing w:before="60"/>
              <w:rPr>
                <w:sz w:val="17"/>
                <w:szCs w:val="17"/>
              </w:rPr>
            </w:pPr>
            <w:r>
              <w:rPr>
                <w:sz w:val="17"/>
                <w:szCs w:val="17"/>
              </w:rPr>
              <w:t>________________</w:t>
            </w:r>
          </w:p>
          <w:p>
            <w:pPr>
              <w:spacing w:before="60"/>
              <w:rPr>
                <w:sz w:val="17"/>
                <w:szCs w:val="17"/>
              </w:rPr>
            </w:pPr>
            <w:r>
              <w:rPr>
                <w:sz w:val="17"/>
                <w:szCs w:val="17"/>
              </w:rPr>
              <w:t>________________</w:t>
            </w:r>
          </w:p>
          <w:p>
            <w:pPr>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p>
            <w:pPr>
              <w:spacing w:before="60"/>
              <w:rPr>
                <w:sz w:val="17"/>
                <w:szCs w:val="17"/>
              </w:rPr>
            </w:pPr>
            <w:r>
              <w:rPr>
                <w:sz w:val="17"/>
                <w:szCs w:val="17"/>
              </w:rPr>
              <w:t>________________</w:t>
            </w:r>
          </w:p>
        </w:tc>
        <w:tc>
          <w:tcPr>
            <w:tcW w:w="142" w:type="dxa"/>
            <w:tcBorders>
              <w:top w:val="nil"/>
              <w:bottom w:val="nil"/>
            </w:tcBorders>
          </w:tcPr>
          <w:p>
            <w:pPr>
              <w:rPr>
                <w:sz w:val="17"/>
                <w:szCs w:val="17"/>
              </w:rPr>
            </w:pPr>
          </w:p>
        </w:tc>
        <w:tc>
          <w:tcPr>
            <w:tcW w:w="2834" w:type="dxa"/>
            <w:tcBorders>
              <w:top w:val="single" w:sz="4" w:space="0" w:color="auto"/>
              <w:bottom w:val="single" w:sz="4" w:space="0" w:color="auto"/>
            </w:tcBorders>
          </w:tcPr>
          <w:p>
            <w:pPr>
              <w:tabs>
                <w:tab w:val="left" w:pos="2240"/>
              </w:tabs>
              <w:spacing w:before="60"/>
              <w:rPr>
                <w:sz w:val="17"/>
                <w:szCs w:val="17"/>
              </w:rPr>
            </w:pPr>
            <w:r>
              <w:rPr>
                <w:sz w:val="17"/>
                <w:szCs w:val="17"/>
              </w:rPr>
              <w:t xml:space="preserve">Apiary Batch Number </w:t>
            </w:r>
            <w:r>
              <w:rPr>
                <w:sz w:val="17"/>
                <w:szCs w:val="17"/>
              </w:rPr>
              <w:tab/>
              <w:t>______</w:t>
            </w:r>
          </w:p>
          <w:p>
            <w:pPr>
              <w:tabs>
                <w:tab w:val="left" w:pos="2240"/>
              </w:tabs>
              <w:spacing w:before="60"/>
              <w:rPr>
                <w:sz w:val="17"/>
                <w:szCs w:val="17"/>
              </w:rPr>
            </w:pPr>
            <w:r>
              <w:rPr>
                <w:sz w:val="17"/>
                <w:szCs w:val="17"/>
              </w:rPr>
              <w:t>Conservation Commission</w:t>
            </w:r>
            <w:r>
              <w:rPr>
                <w:sz w:val="17"/>
                <w:szCs w:val="17"/>
              </w:rPr>
              <w:tab/>
              <w:t>______</w:t>
            </w:r>
          </w:p>
          <w:p>
            <w:pPr>
              <w:tabs>
                <w:tab w:val="left" w:pos="2240"/>
              </w:tabs>
              <w:spacing w:before="60" w:after="60"/>
              <w:rPr>
                <w:sz w:val="17"/>
                <w:szCs w:val="17"/>
              </w:rPr>
            </w:pPr>
            <w:r>
              <w:rPr>
                <w:sz w:val="17"/>
                <w:szCs w:val="17"/>
              </w:rPr>
              <w:t xml:space="preserve">Minister for the Environment </w:t>
            </w:r>
            <w:r>
              <w:rPr>
                <w:sz w:val="17"/>
                <w:szCs w:val="17"/>
              </w:rPr>
              <w:br/>
              <w:t>or his Delegate’s Approval</w:t>
            </w:r>
            <w:r>
              <w:rPr>
                <w:sz w:val="17"/>
                <w:szCs w:val="17"/>
              </w:rPr>
              <w:tab/>
              <w:t>______</w:t>
            </w:r>
          </w:p>
        </w:tc>
        <w:tc>
          <w:tcPr>
            <w:tcW w:w="76" w:type="dxa"/>
            <w:tcBorders>
              <w:top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right w:val="nil"/>
            </w:tcBorders>
          </w:tcPr>
          <w:p>
            <w:pPr>
              <w:rPr>
                <w:sz w:val="17"/>
                <w:szCs w:val="17"/>
              </w:rPr>
            </w:pPr>
          </w:p>
        </w:tc>
        <w:tc>
          <w:tcPr>
            <w:tcW w:w="1479" w:type="dxa"/>
            <w:gridSpan w:val="3"/>
            <w:vMerge/>
            <w:tcBorders>
              <w:left w:val="nil"/>
            </w:tcBorders>
          </w:tcPr>
          <w:p>
            <w:pPr>
              <w:rPr>
                <w:sz w:val="17"/>
                <w:szCs w:val="17"/>
              </w:rPr>
            </w:pPr>
          </w:p>
        </w:tc>
        <w:tc>
          <w:tcPr>
            <w:tcW w:w="142" w:type="dxa"/>
            <w:tcBorders>
              <w:top w:val="nil"/>
              <w:bottom w:val="nil"/>
              <w:right w:val="nil"/>
            </w:tcBorders>
          </w:tcPr>
          <w:p>
            <w:pPr>
              <w:rPr>
                <w:sz w:val="17"/>
                <w:szCs w:val="17"/>
              </w:rPr>
            </w:pPr>
          </w:p>
        </w:tc>
        <w:tc>
          <w:tcPr>
            <w:tcW w:w="2834" w:type="dxa"/>
            <w:tcBorders>
              <w:left w:val="nil"/>
              <w:right w:val="nil"/>
            </w:tcBorders>
          </w:tcPr>
          <w:p>
            <w:pPr>
              <w:rPr>
                <w:sz w:val="17"/>
                <w:szCs w:val="17"/>
              </w:rPr>
            </w:pPr>
            <w:r>
              <w:rPr>
                <w:sz w:val="17"/>
                <w:szCs w:val="17"/>
              </w:rPr>
              <w:t>Rental</w:t>
            </w:r>
          </w:p>
        </w:tc>
        <w:tc>
          <w:tcPr>
            <w:tcW w:w="76" w:type="dxa"/>
            <w:tcBorders>
              <w:top w:val="nil"/>
              <w:left w:val="nil"/>
              <w:bottom w:val="nil"/>
            </w:tcBorders>
          </w:tcPr>
          <w:p>
            <w:pPr>
              <w:ind w:left="-170" w:right="-311"/>
              <w:rPr>
                <w:sz w:val="17"/>
                <w:szCs w:val="17"/>
              </w:rPr>
            </w:pPr>
          </w:p>
        </w:tc>
      </w:tr>
      <w:tr>
        <w:tc>
          <w:tcPr>
            <w:tcW w:w="76" w:type="dxa"/>
            <w:vMerge/>
            <w:tcBorders>
              <w:top w:val="nil"/>
              <w:bottom w:val="nil"/>
            </w:tcBorders>
          </w:tcPr>
          <w:p>
            <w:pPr>
              <w:rPr>
                <w:sz w:val="16"/>
                <w:szCs w:val="16"/>
              </w:rPr>
            </w:pPr>
          </w:p>
        </w:tc>
        <w:tc>
          <w:tcPr>
            <w:tcW w:w="2440" w:type="dxa"/>
            <w:vMerge/>
            <w:tcBorders>
              <w:bottom w:val="single" w:sz="4" w:space="0" w:color="auto"/>
              <w:right w:val="nil"/>
            </w:tcBorders>
          </w:tcPr>
          <w:p>
            <w:pPr>
              <w:rPr>
                <w:sz w:val="17"/>
                <w:szCs w:val="17"/>
              </w:rPr>
            </w:pPr>
          </w:p>
        </w:tc>
        <w:tc>
          <w:tcPr>
            <w:tcW w:w="1479" w:type="dxa"/>
            <w:gridSpan w:val="3"/>
            <w:vMerge/>
            <w:tcBorders>
              <w:left w:val="nil"/>
              <w:bottom w:val="single" w:sz="4" w:space="0" w:color="auto"/>
            </w:tcBorders>
          </w:tcPr>
          <w:p>
            <w:pPr>
              <w:rPr>
                <w:sz w:val="17"/>
                <w:szCs w:val="17"/>
              </w:rPr>
            </w:pPr>
          </w:p>
        </w:tc>
        <w:tc>
          <w:tcPr>
            <w:tcW w:w="142" w:type="dxa"/>
            <w:tcBorders>
              <w:top w:val="nil"/>
              <w:bottom w:val="nil"/>
            </w:tcBorders>
          </w:tcPr>
          <w:p>
            <w:pPr>
              <w:rPr>
                <w:sz w:val="17"/>
                <w:szCs w:val="17"/>
              </w:rPr>
            </w:pPr>
          </w:p>
        </w:tc>
        <w:tc>
          <w:tcPr>
            <w:tcW w:w="2834" w:type="dxa"/>
            <w:tcBorders>
              <w:bottom w:val="single" w:sz="4" w:space="0" w:color="auto"/>
            </w:tcBorders>
          </w:tcPr>
          <w:p>
            <w:pPr>
              <w:tabs>
                <w:tab w:val="left" w:pos="2240"/>
              </w:tabs>
              <w:spacing w:before="40"/>
              <w:rPr>
                <w:sz w:val="17"/>
                <w:szCs w:val="17"/>
              </w:rPr>
            </w:pPr>
            <w:r>
              <w:rPr>
                <w:sz w:val="12"/>
                <w:szCs w:val="12"/>
              </w:rPr>
              <w:t xml:space="preserve">per annum, subject to review </w:t>
            </w:r>
            <w:r>
              <w:rPr>
                <w:sz w:val="17"/>
                <w:szCs w:val="17"/>
              </w:rPr>
              <w:tab/>
              <w:t>______</w:t>
            </w:r>
          </w:p>
          <w:p>
            <w:pPr>
              <w:rPr>
                <w:sz w:val="12"/>
                <w:szCs w:val="12"/>
              </w:rPr>
            </w:pPr>
            <w:r>
              <w:rPr>
                <w:sz w:val="12"/>
                <w:szCs w:val="12"/>
              </w:rPr>
              <w:t>from time to time</w:t>
            </w: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2"/>
                <w:szCs w:val="12"/>
              </w:rPr>
            </w:pPr>
          </w:p>
        </w:tc>
        <w:tc>
          <w:tcPr>
            <w:tcW w:w="2440" w:type="dxa"/>
            <w:tcBorders>
              <w:left w:val="nil"/>
              <w:right w:val="nil"/>
            </w:tcBorders>
          </w:tcPr>
          <w:p>
            <w:pPr>
              <w:rPr>
                <w:sz w:val="12"/>
                <w:szCs w:val="12"/>
              </w:rPr>
            </w:pPr>
          </w:p>
        </w:tc>
        <w:tc>
          <w:tcPr>
            <w:tcW w:w="1479" w:type="dxa"/>
            <w:gridSpan w:val="3"/>
            <w:tcBorders>
              <w:left w:val="nil"/>
              <w:right w:val="nil"/>
            </w:tcBorders>
          </w:tcPr>
          <w:p>
            <w:pPr>
              <w:rPr>
                <w:sz w:val="12"/>
                <w:szCs w:val="12"/>
              </w:rPr>
            </w:pPr>
          </w:p>
        </w:tc>
        <w:tc>
          <w:tcPr>
            <w:tcW w:w="142" w:type="dxa"/>
            <w:tcBorders>
              <w:top w:val="nil"/>
              <w:left w:val="nil"/>
              <w:right w:val="nil"/>
            </w:tcBorders>
          </w:tcPr>
          <w:p>
            <w:pPr>
              <w:rPr>
                <w:sz w:val="12"/>
                <w:szCs w:val="12"/>
              </w:rPr>
            </w:pPr>
          </w:p>
        </w:tc>
        <w:tc>
          <w:tcPr>
            <w:tcW w:w="2834" w:type="dxa"/>
            <w:tcBorders>
              <w:left w:val="nil"/>
              <w:right w:val="nil"/>
            </w:tcBorders>
          </w:tcPr>
          <w:p>
            <w:pPr>
              <w:tabs>
                <w:tab w:val="left" w:pos="2240"/>
              </w:tabs>
              <w:rPr>
                <w:sz w:val="12"/>
                <w:szCs w:val="12"/>
              </w:rPr>
            </w:pPr>
          </w:p>
        </w:tc>
        <w:tc>
          <w:tcPr>
            <w:tcW w:w="76" w:type="dxa"/>
            <w:tcBorders>
              <w:top w:val="nil"/>
              <w:left w:val="nil"/>
              <w:bottom w:val="nil"/>
            </w:tcBorders>
          </w:tcPr>
          <w:p>
            <w:pPr>
              <w:ind w:left="-170" w:right="-311"/>
              <w:rPr>
                <w:sz w:val="12"/>
                <w:szCs w:val="12"/>
              </w:rPr>
            </w:pPr>
          </w:p>
        </w:tc>
      </w:tr>
      <w:tr>
        <w:tc>
          <w:tcPr>
            <w:tcW w:w="76" w:type="dxa"/>
            <w:tcBorders>
              <w:top w:val="nil"/>
              <w:bottom w:val="nil"/>
            </w:tcBorders>
          </w:tcPr>
          <w:p>
            <w:pPr>
              <w:rPr>
                <w:sz w:val="17"/>
                <w:szCs w:val="17"/>
              </w:rPr>
            </w:pPr>
          </w:p>
        </w:tc>
        <w:tc>
          <w:tcPr>
            <w:tcW w:w="6895" w:type="dxa"/>
            <w:gridSpan w:val="6"/>
          </w:tcPr>
          <w:p>
            <w:pPr>
              <w:rPr>
                <w:sz w:val="17"/>
                <w:szCs w:val="17"/>
              </w:rPr>
            </w:pPr>
            <w:r>
              <w:rPr>
                <w:sz w:val="17"/>
                <w:szCs w:val="17"/>
              </w:rPr>
              <w:t>Special Conditions</w:t>
            </w:r>
          </w:p>
          <w:p>
            <w:pPr>
              <w:spacing w:before="180"/>
              <w:rPr>
                <w:sz w:val="17"/>
                <w:szCs w:val="17"/>
              </w:rPr>
            </w:pPr>
          </w:p>
          <w:p>
            <w:pPr>
              <w:rPr>
                <w:sz w:val="17"/>
                <w:szCs w:val="17"/>
              </w:rPr>
            </w:pPr>
          </w:p>
          <w:p>
            <w:pPr>
              <w:rPr>
                <w:sz w:val="17"/>
                <w:szCs w:val="17"/>
              </w:rPr>
            </w:pPr>
          </w:p>
        </w:tc>
        <w:tc>
          <w:tcPr>
            <w:tcW w:w="76" w:type="dxa"/>
            <w:tcBorders>
              <w:top w:val="nil"/>
              <w:bottom w:val="nil"/>
            </w:tcBorders>
          </w:tcPr>
          <w:p>
            <w:pPr>
              <w:ind w:left="-170" w:right="-311"/>
              <w:rPr>
                <w:sz w:val="17"/>
                <w:szCs w:val="17"/>
              </w:rPr>
            </w:pPr>
          </w:p>
        </w:tc>
      </w:tr>
      <w:tr>
        <w:tc>
          <w:tcPr>
            <w:tcW w:w="76" w:type="dxa"/>
            <w:tcBorders>
              <w:top w:val="nil"/>
              <w:bottom w:val="nil"/>
              <w:right w:val="nil"/>
            </w:tcBorders>
          </w:tcPr>
          <w:p>
            <w:pPr>
              <w:rPr>
                <w:sz w:val="17"/>
                <w:szCs w:val="17"/>
              </w:rPr>
            </w:pPr>
          </w:p>
        </w:tc>
        <w:tc>
          <w:tcPr>
            <w:tcW w:w="6895" w:type="dxa"/>
            <w:gridSpan w:val="6"/>
            <w:tcBorders>
              <w:left w:val="nil"/>
              <w:bottom w:val="single" w:sz="4" w:space="0" w:color="auto"/>
              <w:right w:val="nil"/>
            </w:tcBorders>
          </w:tcPr>
          <w:p>
            <w:pPr>
              <w:rPr>
                <w:sz w:val="17"/>
                <w:szCs w:val="17"/>
              </w:rPr>
            </w:pPr>
            <w:r>
              <w:rPr>
                <w:sz w:val="17"/>
                <w:szCs w:val="17"/>
              </w:rPr>
              <w:t>Period during which site may be occupied</w:t>
            </w:r>
          </w:p>
        </w:tc>
        <w:tc>
          <w:tcPr>
            <w:tcW w:w="76" w:type="dxa"/>
            <w:tcBorders>
              <w:top w:val="nil"/>
              <w:left w:val="nil"/>
              <w:bottom w:val="nil"/>
            </w:tcBorders>
          </w:tcPr>
          <w:p>
            <w:pPr>
              <w:ind w:left="-170" w:right="-311"/>
              <w:rPr>
                <w:sz w:val="17"/>
                <w:szCs w:val="17"/>
              </w:rPr>
            </w:pPr>
          </w:p>
        </w:tc>
      </w:tr>
      <w:tr>
        <w:tc>
          <w:tcPr>
            <w:tcW w:w="76" w:type="dxa"/>
            <w:tcBorders>
              <w:top w:val="nil"/>
              <w:bottom w:val="nil"/>
            </w:tcBorders>
          </w:tcPr>
          <w:p>
            <w:pPr>
              <w:rPr>
                <w:sz w:val="17"/>
                <w:szCs w:val="17"/>
              </w:rPr>
            </w:pPr>
          </w:p>
        </w:tc>
        <w:tc>
          <w:tcPr>
            <w:tcW w:w="3494" w:type="dxa"/>
            <w:gridSpan w:val="3"/>
            <w:tcBorders>
              <w:bottom w:val="single" w:sz="4" w:space="0" w:color="auto"/>
              <w:right w:val="nil"/>
            </w:tcBorders>
          </w:tcPr>
          <w:p>
            <w:pPr>
              <w:rPr>
                <w:sz w:val="17"/>
                <w:szCs w:val="17"/>
              </w:rPr>
            </w:pPr>
            <w:r>
              <w:rPr>
                <w:sz w:val="17"/>
                <w:szCs w:val="17"/>
              </w:rPr>
              <w:t>First day of Period: _______________________</w:t>
            </w:r>
          </w:p>
        </w:tc>
        <w:tc>
          <w:tcPr>
            <w:tcW w:w="3401" w:type="dxa"/>
            <w:gridSpan w:val="3"/>
            <w:tcBorders>
              <w:left w:val="nil"/>
              <w:bottom w:val="single" w:sz="4" w:space="0" w:color="auto"/>
            </w:tcBorders>
          </w:tcPr>
          <w:p>
            <w:pPr>
              <w:spacing w:after="40"/>
              <w:rPr>
                <w:sz w:val="17"/>
                <w:szCs w:val="17"/>
              </w:rPr>
            </w:pPr>
            <w:r>
              <w:rPr>
                <w:sz w:val="17"/>
                <w:szCs w:val="17"/>
              </w:rPr>
              <w:t>Last day of Period: _______________________</w:t>
            </w:r>
          </w:p>
        </w:tc>
        <w:tc>
          <w:tcPr>
            <w:tcW w:w="76" w:type="dxa"/>
            <w:tcBorders>
              <w:top w:val="nil"/>
              <w:bottom w:val="nil"/>
            </w:tcBorders>
          </w:tcPr>
          <w:p>
            <w:pPr>
              <w:ind w:left="-170" w:right="-311"/>
              <w:rPr>
                <w:sz w:val="17"/>
                <w:szCs w:val="17"/>
              </w:rPr>
            </w:pPr>
          </w:p>
        </w:tc>
      </w:tr>
      <w:tr>
        <w:tc>
          <w:tcPr>
            <w:tcW w:w="76" w:type="dxa"/>
            <w:tcBorders>
              <w:top w:val="nil"/>
              <w:bottom w:val="single" w:sz="4" w:space="0" w:color="auto"/>
              <w:right w:val="nil"/>
            </w:tcBorders>
          </w:tcPr>
          <w:p>
            <w:pPr>
              <w:rPr>
                <w:sz w:val="12"/>
                <w:szCs w:val="12"/>
              </w:rPr>
            </w:pPr>
          </w:p>
        </w:tc>
        <w:tc>
          <w:tcPr>
            <w:tcW w:w="2530" w:type="dxa"/>
            <w:gridSpan w:val="2"/>
            <w:tcBorders>
              <w:top w:val="single" w:sz="4" w:space="0" w:color="auto"/>
              <w:left w:val="nil"/>
              <w:bottom w:val="single" w:sz="4" w:space="0" w:color="auto"/>
              <w:right w:val="nil"/>
            </w:tcBorders>
          </w:tcPr>
          <w:p>
            <w:pPr>
              <w:rPr>
                <w:sz w:val="12"/>
                <w:szCs w:val="12"/>
              </w:rPr>
            </w:pPr>
          </w:p>
        </w:tc>
        <w:tc>
          <w:tcPr>
            <w:tcW w:w="964" w:type="dxa"/>
            <w:tcBorders>
              <w:top w:val="single" w:sz="4" w:space="0" w:color="auto"/>
              <w:left w:val="nil"/>
              <w:bottom w:val="single" w:sz="4" w:space="0" w:color="auto"/>
              <w:right w:val="nil"/>
            </w:tcBorders>
          </w:tcPr>
          <w:p>
            <w:pPr>
              <w:rPr>
                <w:sz w:val="12"/>
                <w:szCs w:val="12"/>
              </w:rPr>
            </w:pPr>
          </w:p>
        </w:tc>
        <w:tc>
          <w:tcPr>
            <w:tcW w:w="3401" w:type="dxa"/>
            <w:gridSpan w:val="3"/>
            <w:tcBorders>
              <w:top w:val="nil"/>
              <w:left w:val="nil"/>
              <w:bottom w:val="single" w:sz="4" w:space="0" w:color="auto"/>
              <w:right w:val="nil"/>
            </w:tcBorders>
          </w:tcPr>
          <w:p>
            <w:pPr>
              <w:rPr>
                <w:sz w:val="12"/>
                <w:szCs w:val="12"/>
              </w:rPr>
            </w:pPr>
          </w:p>
        </w:tc>
        <w:tc>
          <w:tcPr>
            <w:tcW w:w="76" w:type="dxa"/>
            <w:tcBorders>
              <w:top w:val="nil"/>
              <w:left w:val="nil"/>
              <w:bottom w:val="single" w:sz="4" w:space="0" w:color="auto"/>
            </w:tcBorders>
          </w:tcPr>
          <w:p>
            <w:pPr>
              <w:ind w:left="-170" w:right="-311"/>
              <w:rPr>
                <w:sz w:val="12"/>
                <w:szCs w:val="12"/>
              </w:rPr>
            </w:pPr>
          </w:p>
        </w:tc>
      </w:tr>
      <w:tr>
        <w:tc>
          <w:tcPr>
            <w:tcW w:w="7047" w:type="dxa"/>
            <w:gridSpan w:val="8"/>
            <w:tcBorders>
              <w:left w:val="nil"/>
              <w:bottom w:val="nil"/>
              <w:right w:val="nil"/>
            </w:tcBorders>
          </w:tcPr>
          <w:p>
            <w:pPr>
              <w:rPr>
                <w:sz w:val="12"/>
                <w:szCs w:val="12"/>
              </w:rPr>
            </w:pPr>
            <w:r>
              <w:rPr>
                <w:sz w:val="12"/>
                <w:szCs w:val="12"/>
              </w:rPr>
              <w:t>This permit is not valid without the signature of the Director General or his delegate.</w:t>
            </w:r>
          </w:p>
          <w:p>
            <w:pPr>
              <w:rPr>
                <w:sz w:val="17"/>
                <w:szCs w:val="17"/>
              </w:rPr>
            </w:pPr>
          </w:p>
          <w:p>
            <w:pPr>
              <w:tabs>
                <w:tab w:val="left" w:pos="5103"/>
              </w:tabs>
              <w:rPr>
                <w:sz w:val="17"/>
                <w:szCs w:val="17"/>
              </w:rPr>
            </w:pPr>
            <w:r>
              <w:rPr>
                <w:sz w:val="17"/>
                <w:szCs w:val="17"/>
              </w:rPr>
              <w:t>____________________________________________________</w:t>
            </w:r>
            <w:r>
              <w:rPr>
                <w:sz w:val="17"/>
                <w:szCs w:val="17"/>
              </w:rPr>
              <w:tab/>
              <w:t>______________________</w:t>
            </w:r>
          </w:p>
          <w:p>
            <w:pPr>
              <w:tabs>
                <w:tab w:val="left" w:pos="4820"/>
                <w:tab w:val="left" w:pos="5954"/>
              </w:tabs>
              <w:rPr>
                <w:sz w:val="17"/>
                <w:szCs w:val="17"/>
              </w:rPr>
            </w:pPr>
            <w:r>
              <w:rPr>
                <w:sz w:val="17"/>
                <w:szCs w:val="17"/>
              </w:rPr>
              <w:t>DIRECTOR GENERAL</w:t>
            </w:r>
            <w:r>
              <w:rPr>
                <w:sz w:val="17"/>
                <w:szCs w:val="17"/>
              </w:rPr>
              <w:tab/>
            </w:r>
            <w:r>
              <w:rPr>
                <w:sz w:val="17"/>
                <w:szCs w:val="17"/>
              </w:rPr>
              <w:tab/>
              <w:t>Date</w:t>
            </w:r>
          </w:p>
          <w:p>
            <w:pPr>
              <w:rPr>
                <w:sz w:val="17"/>
                <w:szCs w:val="17"/>
                <w:vertAlign w:val="superscript"/>
              </w:rPr>
            </w:pPr>
            <w:r>
              <w:rPr>
                <w:sz w:val="17"/>
                <w:szCs w:val="17"/>
              </w:rPr>
              <w:t>DEPARTMENT OF ENVIRONMENT AND CONSERVATION</w:t>
            </w:r>
            <w:r>
              <w:rPr>
                <w:sz w:val="17"/>
                <w:szCs w:val="17"/>
                <w:vertAlign w:val="superscript"/>
              </w:rPr>
              <w:t> 5</w:t>
            </w:r>
          </w:p>
        </w:tc>
      </w:tr>
    </w:tbl>
    <w:p>
      <w:pPr>
        <w:pStyle w:val="yFootnotesection"/>
        <w:spacing w:before="60"/>
      </w:pPr>
      <w:r>
        <w:tab/>
        <w:t>[Form 3 inserted in Gazette 3 Sep 2010 p. 4284.]</w:t>
      </w:r>
    </w:p>
    <w:p>
      <w:pPr>
        <w:pStyle w:val="CentredBaseLine"/>
        <w:spacing w:before="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824" w:name="_Toc436903879"/>
      <w:bookmarkStart w:id="825" w:name="_Toc436905821"/>
      <w:bookmarkStart w:id="826" w:name="_Toc436906042"/>
      <w:bookmarkStart w:id="827" w:name="_Toc437515795"/>
      <w:r>
        <w:t>Notes</w:t>
      </w:r>
      <w:bookmarkEnd w:id="824"/>
      <w:bookmarkEnd w:id="825"/>
      <w:bookmarkEnd w:id="826"/>
      <w:bookmarkEnd w:id="827"/>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828" w:name="_Toc437515796"/>
      <w:bookmarkStart w:id="829" w:name="_Toc436906043"/>
      <w:r>
        <w:t>Compilation table</w:t>
      </w:r>
      <w:bookmarkEnd w:id="828"/>
      <w:bookmarkEnd w:id="8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Conservation and Land Management Regulations 2002</w:t>
            </w:r>
          </w:p>
        </w:tc>
        <w:tc>
          <w:tcPr>
            <w:tcW w:w="1276" w:type="dxa"/>
            <w:tcBorders>
              <w:top w:val="single" w:sz="8" w:space="0" w:color="auto"/>
            </w:tcBorders>
          </w:tcPr>
          <w:p>
            <w:pPr>
              <w:pStyle w:val="nTable"/>
              <w:spacing w:after="40"/>
            </w:pPr>
            <w:r>
              <w:t>3 May 2002 p. 2233</w:t>
            </w:r>
            <w:r>
              <w:noBreakHyphen/>
              <w:t>308</w:t>
            </w:r>
          </w:p>
        </w:tc>
        <w:tc>
          <w:tcPr>
            <w:tcW w:w="2693" w:type="dxa"/>
            <w:tcBorders>
              <w:top w:val="single" w:sz="8" w:space="0" w:color="auto"/>
            </w:tcBorders>
          </w:tcPr>
          <w:p>
            <w:pPr>
              <w:pStyle w:val="nTable"/>
              <w:spacing w:after="40"/>
            </w:pPr>
            <w:r>
              <w:t>3 May 2002</w:t>
            </w:r>
          </w:p>
        </w:tc>
      </w:tr>
      <w:tr>
        <w:tc>
          <w:tcPr>
            <w:tcW w:w="3119" w:type="dxa"/>
          </w:tcPr>
          <w:p>
            <w:pPr>
              <w:pStyle w:val="nTable"/>
              <w:spacing w:after="40"/>
              <w:rPr>
                <w:i/>
              </w:rPr>
            </w:pPr>
            <w:r>
              <w:rPr>
                <w:i/>
              </w:rPr>
              <w:t>Conservation and Land Management Amendment Regulations 2002</w:t>
            </w:r>
          </w:p>
        </w:tc>
        <w:tc>
          <w:tcPr>
            <w:tcW w:w="1276" w:type="dxa"/>
          </w:tcPr>
          <w:p>
            <w:pPr>
              <w:pStyle w:val="nTable"/>
              <w:spacing w:after="40"/>
            </w:pPr>
            <w:r>
              <w:t>4 Oct 2002 p. 5065</w:t>
            </w:r>
            <w:r>
              <w:noBreakHyphen/>
              <w:t>6</w:t>
            </w:r>
          </w:p>
        </w:tc>
        <w:tc>
          <w:tcPr>
            <w:tcW w:w="2693" w:type="dxa"/>
          </w:tcPr>
          <w:p>
            <w:pPr>
              <w:pStyle w:val="nTable"/>
              <w:spacing w:after="40"/>
            </w:pPr>
            <w:r>
              <w:t>4 Oct 2002</w:t>
            </w:r>
          </w:p>
        </w:tc>
      </w:tr>
      <w:tr>
        <w:tc>
          <w:tcPr>
            <w:tcW w:w="3119" w:type="dxa"/>
          </w:tcPr>
          <w:p>
            <w:pPr>
              <w:pStyle w:val="nTable"/>
              <w:spacing w:after="40"/>
              <w:rPr>
                <w:i/>
              </w:rPr>
            </w:pPr>
            <w:r>
              <w:rPr>
                <w:i/>
              </w:rPr>
              <w:t>Conservation and Land Management Amendment Regulations 2004</w:t>
            </w:r>
          </w:p>
        </w:tc>
        <w:tc>
          <w:tcPr>
            <w:tcW w:w="1276" w:type="dxa"/>
          </w:tcPr>
          <w:p>
            <w:pPr>
              <w:pStyle w:val="nTable"/>
              <w:spacing w:after="40"/>
            </w:pPr>
            <w:r>
              <w:t>4 May 2004 p. 1383</w:t>
            </w:r>
          </w:p>
        </w:tc>
        <w:tc>
          <w:tcPr>
            <w:tcW w:w="2693" w:type="dxa"/>
          </w:tcPr>
          <w:p>
            <w:pPr>
              <w:pStyle w:val="nTable"/>
              <w:spacing w:after="40"/>
            </w:pPr>
            <w:r>
              <w:t>4 May 2004</w:t>
            </w:r>
          </w:p>
        </w:tc>
      </w:tr>
      <w:tr>
        <w:tc>
          <w:tcPr>
            <w:tcW w:w="3119" w:type="dxa"/>
          </w:tcPr>
          <w:p>
            <w:pPr>
              <w:pStyle w:val="nTable"/>
              <w:spacing w:after="40"/>
              <w:rPr>
                <w:i/>
              </w:rPr>
            </w:pPr>
            <w:r>
              <w:rPr>
                <w:i/>
              </w:rPr>
              <w:t>Conservation and Land Management Amendment Regulations (No. 2) 2004</w:t>
            </w:r>
          </w:p>
        </w:tc>
        <w:tc>
          <w:tcPr>
            <w:tcW w:w="1276" w:type="dxa"/>
          </w:tcPr>
          <w:p>
            <w:pPr>
              <w:pStyle w:val="nTable"/>
              <w:spacing w:after="40"/>
            </w:pPr>
            <w:r>
              <w:t>27 Jul 2004 p. 3077</w:t>
            </w:r>
            <w:r>
              <w:noBreakHyphen/>
              <w:t>8</w:t>
            </w:r>
          </w:p>
        </w:tc>
        <w:tc>
          <w:tcPr>
            <w:tcW w:w="2693" w:type="dxa"/>
          </w:tcPr>
          <w:p>
            <w:pPr>
              <w:pStyle w:val="nTable"/>
              <w:spacing w:after="40"/>
            </w:pPr>
            <w:r>
              <w:t>27 Jul 2004</w:t>
            </w:r>
          </w:p>
        </w:tc>
      </w:tr>
      <w:tr>
        <w:tc>
          <w:tcPr>
            <w:tcW w:w="3119" w:type="dxa"/>
          </w:tcPr>
          <w:p>
            <w:pPr>
              <w:pStyle w:val="nTable"/>
              <w:spacing w:after="40"/>
              <w:rPr>
                <w:i/>
              </w:rPr>
            </w:pPr>
            <w:r>
              <w:rPr>
                <w:i/>
              </w:rPr>
              <w:t>Conservation and Land Management Amendment Regulations 2006</w:t>
            </w:r>
          </w:p>
        </w:tc>
        <w:tc>
          <w:tcPr>
            <w:tcW w:w="1276" w:type="dxa"/>
          </w:tcPr>
          <w:p>
            <w:pPr>
              <w:pStyle w:val="nTable"/>
              <w:spacing w:after="40"/>
            </w:pPr>
            <w:r>
              <w:t>29 Sep 2006 p. 4297</w:t>
            </w:r>
            <w:r>
              <w:noBreakHyphen/>
              <w:t>334</w:t>
            </w:r>
          </w:p>
        </w:tc>
        <w:tc>
          <w:tcPr>
            <w:tcW w:w="2693" w:type="dxa"/>
          </w:tcPr>
          <w:p>
            <w:pPr>
              <w:pStyle w:val="nTable"/>
              <w:spacing w:after="40"/>
            </w:pPr>
            <w:r>
              <w:t>29 Sep 2006 (see r. 2)</w:t>
            </w:r>
          </w:p>
        </w:tc>
      </w:tr>
      <w:tr>
        <w:trPr>
          <w:cantSplit/>
        </w:trPr>
        <w:tc>
          <w:tcPr>
            <w:tcW w:w="7088" w:type="dxa"/>
            <w:gridSpan w:val="3"/>
          </w:tcPr>
          <w:p>
            <w:pPr>
              <w:pStyle w:val="nTable"/>
              <w:spacing w:after="40"/>
            </w:pPr>
            <w:r>
              <w:rPr>
                <w:b/>
                <w:bCs/>
              </w:rPr>
              <w:t xml:space="preserve">Reprint 1:  The </w:t>
            </w:r>
            <w:r>
              <w:rPr>
                <w:b/>
                <w:bCs/>
                <w:i/>
              </w:rPr>
              <w:t>Conservation and Land Management Regulations 2002</w:t>
            </w:r>
            <w:r>
              <w:rPr>
                <w:b/>
                <w:bCs/>
              </w:rPr>
              <w:t xml:space="preserve"> as at 3 Nov 2006</w:t>
            </w:r>
            <w:r>
              <w:t xml:space="preserve"> (includes amendments listed above)</w:t>
            </w:r>
          </w:p>
        </w:tc>
      </w:tr>
      <w:tr>
        <w:tc>
          <w:tcPr>
            <w:tcW w:w="3119" w:type="dxa"/>
          </w:tcPr>
          <w:p>
            <w:pPr>
              <w:pStyle w:val="nTable"/>
              <w:spacing w:after="40"/>
              <w:rPr>
                <w:i/>
              </w:rPr>
            </w:pPr>
            <w:r>
              <w:rPr>
                <w:i/>
              </w:rPr>
              <w:t>Conservation and Land Management Amendment Regulations 2007</w:t>
            </w:r>
          </w:p>
        </w:tc>
        <w:tc>
          <w:tcPr>
            <w:tcW w:w="1276" w:type="dxa"/>
          </w:tcPr>
          <w:p>
            <w:pPr>
              <w:pStyle w:val="nTable"/>
              <w:spacing w:after="40"/>
            </w:pPr>
            <w:r>
              <w:t>27 Feb 2007 p. 625</w:t>
            </w:r>
            <w:r>
              <w:noBreakHyphen/>
              <w:t>6</w:t>
            </w:r>
          </w:p>
        </w:tc>
        <w:tc>
          <w:tcPr>
            <w:tcW w:w="2693" w:type="dxa"/>
          </w:tcPr>
          <w:p>
            <w:pPr>
              <w:pStyle w:val="nTable"/>
              <w:spacing w:after="40"/>
            </w:pPr>
            <w:r>
              <w:t>27 Feb 2007</w:t>
            </w:r>
          </w:p>
        </w:tc>
      </w:tr>
      <w:tr>
        <w:tc>
          <w:tcPr>
            <w:tcW w:w="3119" w:type="dxa"/>
          </w:tcPr>
          <w:p>
            <w:pPr>
              <w:pStyle w:val="nTable"/>
              <w:spacing w:after="40"/>
              <w:rPr>
                <w:i/>
              </w:rPr>
            </w:pPr>
            <w:r>
              <w:rPr>
                <w:i/>
              </w:rPr>
              <w:t>Conservation and Land Management Amendment Regulations (No. 2) 2007</w:t>
            </w:r>
          </w:p>
        </w:tc>
        <w:tc>
          <w:tcPr>
            <w:tcW w:w="1276" w:type="dxa"/>
          </w:tcPr>
          <w:p>
            <w:pPr>
              <w:pStyle w:val="nTable"/>
              <w:spacing w:after="40"/>
            </w:pPr>
            <w:r>
              <w:t>29 Jan 2008 p. 241</w:t>
            </w:r>
            <w:r>
              <w:noBreakHyphen/>
              <w:t>2</w:t>
            </w:r>
          </w:p>
        </w:tc>
        <w:tc>
          <w:tcPr>
            <w:tcW w:w="2693" w:type="dxa"/>
          </w:tcPr>
          <w:p>
            <w:pPr>
              <w:pStyle w:val="nTable"/>
              <w:spacing w:after="40"/>
            </w:pPr>
            <w:r>
              <w:t>r. 1 and 2: 29 Jan 2008 (see r. 2(a));</w:t>
            </w:r>
            <w:r>
              <w:br/>
              <w:t>Regulations other than r. 1 and 2: 30 Jan 2008 (see r. 2(b))</w:t>
            </w:r>
          </w:p>
        </w:tc>
      </w:tr>
      <w:tr>
        <w:tc>
          <w:tcPr>
            <w:tcW w:w="3119" w:type="dxa"/>
          </w:tcPr>
          <w:p>
            <w:pPr>
              <w:pStyle w:val="nTable"/>
              <w:spacing w:after="40"/>
              <w:rPr>
                <w:i/>
              </w:rPr>
            </w:pPr>
            <w:r>
              <w:rPr>
                <w:i/>
              </w:rPr>
              <w:t xml:space="preserve">Financial Management (Transitional Provisions) Regulations 2009 </w:t>
            </w:r>
            <w:r>
              <w:rPr>
                <w:iCs/>
              </w:rPr>
              <w:t>r. 3</w:t>
            </w:r>
            <w:r>
              <w:rPr>
                <w:i/>
              </w:rPr>
              <w:t xml:space="preserve"> </w:t>
            </w:r>
            <w:r>
              <w:rPr>
                <w:iCs/>
                <w:vertAlign w:val="superscript"/>
              </w:rPr>
              <w:t>6</w:t>
            </w:r>
          </w:p>
        </w:tc>
        <w:tc>
          <w:tcPr>
            <w:tcW w:w="1276" w:type="dxa"/>
          </w:tcPr>
          <w:p>
            <w:pPr>
              <w:pStyle w:val="nTable"/>
              <w:spacing w:after="40"/>
            </w:pPr>
            <w:r>
              <w:t>27 Feb 2009 p. 529</w:t>
            </w:r>
            <w:r>
              <w:noBreakHyphen/>
              <w:t>30</w:t>
            </w:r>
          </w:p>
        </w:tc>
        <w:tc>
          <w:tcPr>
            <w:tcW w:w="2693" w:type="dxa"/>
          </w:tcPr>
          <w:p>
            <w:pPr>
              <w:pStyle w:val="nTable"/>
              <w:spacing w:after="40"/>
            </w:pPr>
            <w:r>
              <w:t>28 Feb 2009 (see r. 2(b))</w:t>
            </w:r>
          </w:p>
        </w:tc>
      </w:tr>
      <w:tr>
        <w:tc>
          <w:tcPr>
            <w:tcW w:w="3119" w:type="dxa"/>
          </w:tcPr>
          <w:p>
            <w:pPr>
              <w:pStyle w:val="nTable"/>
              <w:spacing w:after="40"/>
              <w:rPr>
                <w:i/>
              </w:rPr>
            </w:pPr>
            <w:r>
              <w:rPr>
                <w:i/>
              </w:rPr>
              <w:t>Conservation and Land Management Amendment Regulations 2009</w:t>
            </w:r>
          </w:p>
        </w:tc>
        <w:tc>
          <w:tcPr>
            <w:tcW w:w="1276" w:type="dxa"/>
          </w:tcPr>
          <w:p>
            <w:pPr>
              <w:pStyle w:val="nTable"/>
              <w:spacing w:after="40"/>
            </w:pPr>
            <w:r>
              <w:t>28 Aug 2009 p. 3354</w:t>
            </w:r>
            <w:r>
              <w:noBreakHyphen/>
              <w:t>7</w:t>
            </w:r>
          </w:p>
        </w:tc>
        <w:tc>
          <w:tcPr>
            <w:tcW w:w="2693" w:type="dxa"/>
          </w:tcPr>
          <w:p>
            <w:pPr>
              <w:pStyle w:val="nTable"/>
              <w:spacing w:after="40"/>
            </w:pPr>
            <w:r>
              <w:t>r. 1 and 2: 28 Aug 2009 (see r. 2(a));</w:t>
            </w:r>
            <w:r>
              <w:br/>
              <w:t>Regulations other than r. 1 and 2: 1 Sep 2009 (see r. 2(b))</w:t>
            </w:r>
          </w:p>
        </w:tc>
      </w:tr>
      <w:tr>
        <w:tc>
          <w:tcPr>
            <w:tcW w:w="3119" w:type="dxa"/>
          </w:tcPr>
          <w:p>
            <w:pPr>
              <w:pStyle w:val="nTable"/>
              <w:spacing w:after="40"/>
              <w:rPr>
                <w:i/>
              </w:rPr>
            </w:pPr>
            <w:r>
              <w:rPr>
                <w:i/>
              </w:rPr>
              <w:t>Conservation and Land Management Amendment Regulations (No. 2) 2010</w:t>
            </w:r>
          </w:p>
        </w:tc>
        <w:tc>
          <w:tcPr>
            <w:tcW w:w="1276" w:type="dxa"/>
          </w:tcPr>
          <w:p>
            <w:pPr>
              <w:pStyle w:val="nTable"/>
              <w:spacing w:after="40"/>
            </w:pPr>
            <w:r>
              <w:t>3 Sep 2010 p. 4278</w:t>
            </w:r>
            <w:r>
              <w:noBreakHyphen/>
              <w:t>84</w:t>
            </w:r>
          </w:p>
        </w:tc>
        <w:tc>
          <w:tcPr>
            <w:tcW w:w="2693" w:type="dxa"/>
          </w:tcPr>
          <w:p>
            <w:pPr>
              <w:pStyle w:val="nTable"/>
              <w:spacing w:after="40"/>
            </w:pPr>
            <w:r>
              <w:rPr>
                <w:snapToGrid w:val="0"/>
              </w:rPr>
              <w:t>r. 1 and 2: 3 Sep 2010 (see r. 2(a));</w:t>
            </w:r>
            <w:r>
              <w:rPr>
                <w:snapToGrid w:val="0"/>
              </w:rPr>
              <w:br/>
              <w:t xml:space="preserve">Regulations other than r. 1 and 2: 4 Sep 2010 (see r. 2(b) and </w:t>
            </w:r>
            <w:r>
              <w:rPr>
                <w:i/>
                <w:iCs/>
                <w:snapToGrid w:val="0"/>
              </w:rPr>
              <w:t>Gazette</w:t>
            </w:r>
            <w:r>
              <w:rPr>
                <w:snapToGrid w:val="0"/>
              </w:rPr>
              <w:t xml:space="preserve"> 3 Sep 2010 p. 4273)</w:t>
            </w:r>
          </w:p>
        </w:tc>
      </w:tr>
      <w:tr>
        <w:trPr>
          <w:cantSplit/>
        </w:trPr>
        <w:tc>
          <w:tcPr>
            <w:tcW w:w="7088" w:type="dxa"/>
            <w:gridSpan w:val="3"/>
          </w:tcPr>
          <w:p>
            <w:pPr>
              <w:pStyle w:val="nTable"/>
              <w:spacing w:after="40"/>
              <w:rPr>
                <w:snapToGrid w:val="0"/>
                <w:spacing w:val="-2"/>
              </w:rPr>
            </w:pPr>
            <w:r>
              <w:rPr>
                <w:b/>
                <w:bCs/>
              </w:rPr>
              <w:t xml:space="preserve">Reprint 2:  The </w:t>
            </w:r>
            <w:r>
              <w:rPr>
                <w:b/>
                <w:bCs/>
                <w:i/>
              </w:rPr>
              <w:t>Conservation and Land Management Regulations 2002</w:t>
            </w:r>
            <w:r>
              <w:rPr>
                <w:b/>
                <w:bCs/>
              </w:rPr>
              <w:t xml:space="preserve"> as at 5 Nov 2010</w:t>
            </w:r>
            <w:r>
              <w:t xml:space="preserve"> (includes amendments listed above)</w:t>
            </w:r>
          </w:p>
        </w:tc>
      </w:tr>
      <w:tr>
        <w:tc>
          <w:tcPr>
            <w:tcW w:w="3119" w:type="dxa"/>
          </w:tcPr>
          <w:p>
            <w:pPr>
              <w:pStyle w:val="nTable"/>
              <w:keepNext/>
              <w:spacing w:before="30" w:after="30"/>
              <w:rPr>
                <w:i/>
              </w:rPr>
            </w:pPr>
            <w:r>
              <w:rPr>
                <w:i/>
              </w:rPr>
              <w:t>Conservation and Land Management Amendment Regulations (No. 3) 2010</w:t>
            </w:r>
          </w:p>
        </w:tc>
        <w:tc>
          <w:tcPr>
            <w:tcW w:w="1276" w:type="dxa"/>
          </w:tcPr>
          <w:p>
            <w:pPr>
              <w:pStyle w:val="nTable"/>
              <w:keepNext/>
              <w:spacing w:before="30" w:after="30"/>
            </w:pPr>
            <w:r>
              <w:t>3 Dec 2010 p. 6045</w:t>
            </w:r>
            <w:r>
              <w:noBreakHyphen/>
              <w:t>54</w:t>
            </w:r>
          </w:p>
        </w:tc>
        <w:tc>
          <w:tcPr>
            <w:tcW w:w="2693" w:type="dxa"/>
          </w:tcPr>
          <w:p>
            <w:pPr>
              <w:pStyle w:val="nTable"/>
              <w:keepNext/>
              <w:spacing w:before="30" w:after="30"/>
            </w:pPr>
            <w:r>
              <w:rPr>
                <w:snapToGrid w:val="0"/>
              </w:rPr>
              <w:t>r. 1 and 2: 3 Dec 2010 (see r. 2(a));</w:t>
            </w:r>
            <w:r>
              <w:rPr>
                <w:snapToGrid w:val="0"/>
              </w:rPr>
              <w:br/>
              <w:t>Regulations other than r. 1 and 2: 4 Dec 2010 (see r. 2(b))</w:t>
            </w:r>
          </w:p>
        </w:tc>
      </w:tr>
      <w:tr>
        <w:tc>
          <w:tcPr>
            <w:tcW w:w="3119" w:type="dxa"/>
          </w:tcPr>
          <w:p>
            <w:pPr>
              <w:pStyle w:val="nTable"/>
              <w:spacing w:before="30" w:after="30"/>
              <w:rPr>
                <w:i/>
              </w:rPr>
            </w:pPr>
            <w:r>
              <w:rPr>
                <w:i/>
              </w:rPr>
              <w:t>Conservation and Land Management Amendment Regulations (No. 2) 2011</w:t>
            </w:r>
          </w:p>
        </w:tc>
        <w:tc>
          <w:tcPr>
            <w:tcW w:w="1276" w:type="dxa"/>
          </w:tcPr>
          <w:p>
            <w:pPr>
              <w:pStyle w:val="nTable"/>
              <w:spacing w:before="30" w:after="30"/>
            </w:pPr>
            <w:r>
              <w:t>30 Sep 2011 p. 3897-8</w:t>
            </w:r>
          </w:p>
        </w:tc>
        <w:tc>
          <w:tcPr>
            <w:tcW w:w="2693" w:type="dxa"/>
          </w:tcPr>
          <w:p>
            <w:pPr>
              <w:pStyle w:val="nTable"/>
              <w:spacing w:before="30" w:after="30"/>
              <w:rPr>
                <w:snapToGrid w:val="0"/>
              </w:rPr>
            </w:pPr>
            <w:r>
              <w:rPr>
                <w:snapToGrid w:val="0"/>
              </w:rPr>
              <w:t>r. 1 and 2: 30 Sep 2011 (see r. 2(a));</w:t>
            </w:r>
            <w:r>
              <w:rPr>
                <w:snapToGrid w:val="0"/>
              </w:rPr>
              <w:br/>
              <w:t>Regulations other than r. 1 and 2: 1 Oct 2011 (see r. 2(b))</w:t>
            </w:r>
          </w:p>
        </w:tc>
      </w:tr>
      <w:tr>
        <w:tc>
          <w:tcPr>
            <w:tcW w:w="3119" w:type="dxa"/>
          </w:tcPr>
          <w:p>
            <w:pPr>
              <w:pStyle w:val="nTable"/>
              <w:spacing w:before="30" w:after="30"/>
              <w:rPr>
                <w:i/>
              </w:rPr>
            </w:pPr>
            <w:r>
              <w:rPr>
                <w:i/>
              </w:rPr>
              <w:t>Conservation and Land Management Amendment Regulations 2012</w:t>
            </w:r>
          </w:p>
        </w:tc>
        <w:tc>
          <w:tcPr>
            <w:tcW w:w="1276" w:type="dxa"/>
          </w:tcPr>
          <w:p>
            <w:pPr>
              <w:pStyle w:val="nTable"/>
              <w:spacing w:before="30" w:after="30"/>
            </w:pPr>
            <w:r>
              <w:t>7 Dec 2012 p. 5964-74</w:t>
            </w:r>
          </w:p>
        </w:tc>
        <w:tc>
          <w:tcPr>
            <w:tcW w:w="2693" w:type="dxa"/>
          </w:tcPr>
          <w:p>
            <w:pPr>
              <w:pStyle w:val="nTable"/>
              <w:spacing w:before="30" w:after="30"/>
              <w:rPr>
                <w:snapToGrid w:val="0"/>
              </w:rPr>
            </w:pPr>
            <w:r>
              <w:rPr>
                <w:snapToGrid w:val="0"/>
              </w:rPr>
              <w:t>r. 1 and 2: 7 Dec 2012 (see r. 2(a));</w:t>
            </w:r>
            <w:r>
              <w:rPr>
                <w:snapToGrid w:val="0"/>
              </w:rPr>
              <w:br/>
              <w:t xml:space="preserve">Regulations other than r. 1 and 2: 8 Dec 2012 (see r. 2(b) and </w:t>
            </w:r>
            <w:r>
              <w:rPr>
                <w:i/>
                <w:snapToGrid w:val="0"/>
              </w:rPr>
              <w:t>Gazette</w:t>
            </w:r>
            <w:r>
              <w:rPr>
                <w:snapToGrid w:val="0"/>
              </w:rPr>
              <w:t xml:space="preserve"> 7 Dec 2012 p. 5963)</w:t>
            </w:r>
          </w:p>
        </w:tc>
      </w:tr>
      <w:tr>
        <w:tc>
          <w:tcPr>
            <w:tcW w:w="3119" w:type="dxa"/>
            <w:shd w:val="clear" w:color="auto" w:fill="auto"/>
          </w:tcPr>
          <w:p>
            <w:pPr>
              <w:pStyle w:val="nTable"/>
              <w:spacing w:before="30" w:after="30"/>
              <w:rPr>
                <w:i/>
              </w:rPr>
            </w:pPr>
            <w:r>
              <w:rPr>
                <w:i/>
              </w:rPr>
              <w:t>Conservation and Land Management Amendment Regulations 2013</w:t>
            </w:r>
          </w:p>
        </w:tc>
        <w:tc>
          <w:tcPr>
            <w:tcW w:w="1276" w:type="dxa"/>
            <w:shd w:val="clear" w:color="auto" w:fill="auto"/>
          </w:tcPr>
          <w:p>
            <w:pPr>
              <w:pStyle w:val="nTable"/>
              <w:spacing w:before="30" w:after="30"/>
            </w:pPr>
            <w:r>
              <w:t>5 Feb 2013 p. 833</w:t>
            </w:r>
            <w:r>
              <w:noBreakHyphen/>
              <w:t>4</w:t>
            </w:r>
          </w:p>
        </w:tc>
        <w:tc>
          <w:tcPr>
            <w:tcW w:w="2693" w:type="dxa"/>
            <w:shd w:val="clear" w:color="auto" w:fill="auto"/>
          </w:tcPr>
          <w:p>
            <w:pPr>
              <w:pStyle w:val="nTable"/>
              <w:spacing w:before="30" w:after="30"/>
              <w:rPr>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c>
          <w:tcPr>
            <w:tcW w:w="7088" w:type="dxa"/>
            <w:gridSpan w:val="3"/>
            <w:shd w:val="clear" w:color="auto" w:fill="auto"/>
          </w:tcPr>
          <w:p>
            <w:pPr>
              <w:pStyle w:val="nTable"/>
              <w:spacing w:before="30" w:after="30"/>
              <w:rPr>
                <w:snapToGrid w:val="0"/>
              </w:rPr>
            </w:pPr>
            <w:r>
              <w:rPr>
                <w:b/>
                <w:bCs/>
              </w:rPr>
              <w:t xml:space="preserve">Reprint 3:  The </w:t>
            </w:r>
            <w:r>
              <w:rPr>
                <w:b/>
                <w:bCs/>
                <w:i/>
              </w:rPr>
              <w:t>Conservation and Land Management Regulations 2002</w:t>
            </w:r>
            <w:r>
              <w:rPr>
                <w:b/>
                <w:bCs/>
              </w:rPr>
              <w:t xml:space="preserve"> as at 12 Jul 2013</w:t>
            </w:r>
            <w:r>
              <w:t xml:space="preserve"> (includes amendments listed above)</w:t>
            </w:r>
          </w:p>
        </w:tc>
      </w:tr>
      <w:tr>
        <w:tc>
          <w:tcPr>
            <w:tcW w:w="3119" w:type="dxa"/>
            <w:shd w:val="clear" w:color="auto" w:fill="auto"/>
          </w:tcPr>
          <w:p>
            <w:pPr>
              <w:pStyle w:val="nTable"/>
              <w:spacing w:before="30" w:after="30"/>
              <w:rPr>
                <w:i/>
              </w:rPr>
            </w:pPr>
            <w:r>
              <w:rPr>
                <w:i/>
              </w:rPr>
              <w:t>Conservation and Land Management Amendment Regulations (No. 3) 2013</w:t>
            </w:r>
          </w:p>
        </w:tc>
        <w:tc>
          <w:tcPr>
            <w:tcW w:w="1276" w:type="dxa"/>
            <w:shd w:val="clear" w:color="auto" w:fill="auto"/>
          </w:tcPr>
          <w:p>
            <w:pPr>
              <w:pStyle w:val="nTable"/>
              <w:spacing w:before="30" w:after="30"/>
            </w:pPr>
            <w:r>
              <w:t>27 Sep 2013 p. 4525-9</w:t>
            </w:r>
          </w:p>
        </w:tc>
        <w:tc>
          <w:tcPr>
            <w:tcW w:w="2693" w:type="dxa"/>
            <w:shd w:val="clear" w:color="auto" w:fill="auto"/>
          </w:tcPr>
          <w:p>
            <w:pPr>
              <w:pStyle w:val="nTable"/>
              <w:spacing w:before="30" w:after="30"/>
              <w:rPr>
                <w:snapToGrid w:val="0"/>
              </w:rPr>
            </w:pPr>
            <w:r>
              <w:rPr>
                <w:snapToGrid w:val="0"/>
              </w:rPr>
              <w:t>r. 1 and 2: 27 Sep 2013 (see r. 2(a));</w:t>
            </w:r>
            <w:r>
              <w:rPr>
                <w:snapToGrid w:val="0"/>
              </w:rPr>
              <w:br/>
              <w:t>Regulations other than r. 1 and 2: 1 Oct </w:t>
            </w:r>
            <w:r>
              <w:t>2013 (see r. 2(b))</w:t>
            </w:r>
          </w:p>
        </w:tc>
      </w:tr>
      <w:tr>
        <w:tc>
          <w:tcPr>
            <w:tcW w:w="3119" w:type="dxa"/>
            <w:shd w:val="clear" w:color="auto" w:fill="auto"/>
          </w:tcPr>
          <w:p>
            <w:pPr>
              <w:pStyle w:val="nTable"/>
              <w:spacing w:before="30" w:after="30"/>
              <w:rPr>
                <w:i/>
              </w:rPr>
            </w:pPr>
            <w:r>
              <w:rPr>
                <w:i/>
              </w:rPr>
              <w:t>Conservation and Land Management Amendment Regulations (No. 2) 2014</w:t>
            </w:r>
          </w:p>
        </w:tc>
        <w:tc>
          <w:tcPr>
            <w:tcW w:w="1276" w:type="dxa"/>
            <w:shd w:val="clear" w:color="auto" w:fill="auto"/>
          </w:tcPr>
          <w:p>
            <w:pPr>
              <w:pStyle w:val="nTable"/>
              <w:spacing w:before="30" w:after="30"/>
            </w:pPr>
            <w:r>
              <w:t>19 Sep 2014 p. 3330</w:t>
            </w:r>
            <w:r>
              <w:noBreakHyphen/>
              <w:t>7</w:t>
            </w:r>
          </w:p>
        </w:tc>
        <w:tc>
          <w:tcPr>
            <w:tcW w:w="2693" w:type="dxa"/>
            <w:shd w:val="clear" w:color="auto" w:fill="auto"/>
          </w:tcPr>
          <w:p>
            <w:pPr>
              <w:pStyle w:val="nTable"/>
              <w:spacing w:before="30" w:after="30"/>
              <w:rPr>
                <w:snapToGrid w:val="0"/>
              </w:rPr>
            </w:pPr>
            <w:r>
              <w:rPr>
                <w:snapToGrid w:val="0"/>
              </w:rPr>
              <w:t>r. 1 and 2: 19 Sep 2014 (see r. 2(a));</w:t>
            </w:r>
            <w:r>
              <w:rPr>
                <w:snapToGrid w:val="0"/>
              </w:rPr>
              <w:br/>
              <w:t>Regulations other than r. 1 and 2: 20 Sep </w:t>
            </w:r>
            <w:r>
              <w:t>2014 (see r. 2(b))</w:t>
            </w:r>
          </w:p>
        </w:tc>
      </w:tr>
      <w:tr>
        <w:tc>
          <w:tcPr>
            <w:tcW w:w="3119" w:type="dxa"/>
            <w:shd w:val="clear" w:color="auto" w:fill="auto"/>
          </w:tcPr>
          <w:p>
            <w:pPr>
              <w:pStyle w:val="nTable"/>
              <w:spacing w:before="30" w:after="30"/>
              <w:rPr>
                <w:i/>
              </w:rPr>
            </w:pPr>
            <w:r>
              <w:rPr>
                <w:i/>
              </w:rPr>
              <w:t>Conservation and Land Management Amendment Regulations 2014</w:t>
            </w:r>
          </w:p>
        </w:tc>
        <w:tc>
          <w:tcPr>
            <w:tcW w:w="1276" w:type="dxa"/>
            <w:shd w:val="clear" w:color="auto" w:fill="auto"/>
          </w:tcPr>
          <w:p>
            <w:pPr>
              <w:pStyle w:val="nTable"/>
              <w:spacing w:before="30" w:after="30"/>
            </w:pPr>
            <w:r>
              <w:t>8 Jan 2015 p. 135</w:t>
            </w:r>
            <w:r>
              <w:noBreakHyphen/>
              <w:t>6</w:t>
            </w:r>
          </w:p>
        </w:tc>
        <w:tc>
          <w:tcPr>
            <w:tcW w:w="2693" w:type="dxa"/>
            <w:shd w:val="clear" w:color="auto" w:fill="auto"/>
          </w:tcPr>
          <w:p>
            <w:pPr>
              <w:pStyle w:val="nTable"/>
              <w:spacing w:before="30" w:after="3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9" w:type="dxa"/>
            <w:shd w:val="clear" w:color="auto" w:fill="auto"/>
          </w:tcPr>
          <w:p>
            <w:pPr>
              <w:pStyle w:val="nTable"/>
              <w:spacing w:before="30" w:after="30"/>
              <w:rPr>
                <w:i/>
              </w:rPr>
            </w:pPr>
            <w:r>
              <w:rPr>
                <w:i/>
              </w:rPr>
              <w:t>Conservation and Land Management Amendment Regulations 2015</w:t>
            </w:r>
          </w:p>
        </w:tc>
        <w:tc>
          <w:tcPr>
            <w:tcW w:w="1276" w:type="dxa"/>
            <w:shd w:val="clear" w:color="auto" w:fill="auto"/>
          </w:tcPr>
          <w:p>
            <w:pPr>
              <w:pStyle w:val="nTable"/>
              <w:spacing w:before="30" w:after="30"/>
            </w:pPr>
            <w:r>
              <w:t>24 Mar 2015 p. 1033</w:t>
            </w:r>
            <w:r>
              <w:noBreakHyphen/>
              <w:t>44</w:t>
            </w:r>
          </w:p>
        </w:tc>
        <w:tc>
          <w:tcPr>
            <w:tcW w:w="2693" w:type="dxa"/>
            <w:shd w:val="clear" w:color="auto" w:fill="auto"/>
          </w:tcPr>
          <w:p>
            <w:pPr>
              <w:pStyle w:val="nTable"/>
              <w:spacing w:before="30" w:after="30"/>
              <w:rPr>
                <w:snapToGrid w:val="0"/>
              </w:rPr>
            </w:pPr>
            <w:r>
              <w:rPr>
                <w:snapToGrid w:val="0"/>
              </w:rPr>
              <w:t>r. 1 and 2: 24 Mar 2015 (see r. 2(a));</w:t>
            </w:r>
            <w:r>
              <w:rPr>
                <w:snapToGrid w:val="0"/>
              </w:rPr>
              <w:br/>
              <w:t>Regulations other than r. 1 and 2: 25 Mar 2015 (see r. 2(b))</w:t>
            </w:r>
          </w:p>
        </w:tc>
      </w:tr>
      <w:tr>
        <w:tc>
          <w:tcPr>
            <w:tcW w:w="3119" w:type="dxa"/>
            <w:shd w:val="clear" w:color="auto" w:fill="auto"/>
          </w:tcPr>
          <w:p>
            <w:pPr>
              <w:pStyle w:val="nTable"/>
              <w:spacing w:before="30" w:after="30"/>
              <w:rPr>
                <w:i/>
              </w:rPr>
            </w:pPr>
            <w:r>
              <w:rPr>
                <w:i/>
              </w:rPr>
              <w:t>Conservation and Land Management Amendment Regulations (No. 2) 2015</w:t>
            </w:r>
          </w:p>
        </w:tc>
        <w:tc>
          <w:tcPr>
            <w:tcW w:w="1276" w:type="dxa"/>
            <w:shd w:val="clear" w:color="auto" w:fill="auto"/>
          </w:tcPr>
          <w:p>
            <w:pPr>
              <w:pStyle w:val="nTable"/>
              <w:spacing w:before="30" w:after="30"/>
            </w:pPr>
            <w:r>
              <w:t>19 Jun 2015 p. 2095</w:t>
            </w:r>
            <w:r>
              <w:noBreakHyphen/>
              <w:t>6</w:t>
            </w:r>
          </w:p>
        </w:tc>
        <w:tc>
          <w:tcPr>
            <w:tcW w:w="2693" w:type="dxa"/>
            <w:shd w:val="clear" w:color="auto" w:fill="auto"/>
          </w:tcPr>
          <w:p>
            <w:pPr>
              <w:pStyle w:val="nTable"/>
              <w:spacing w:before="30" w:after="30"/>
              <w:rPr>
                <w:snapToGrid w:val="0"/>
              </w:rPr>
            </w:pPr>
            <w:r>
              <w:rPr>
                <w:snapToGrid w:val="0"/>
              </w:rPr>
              <w:t>r. 1 and 2: 19 Jun 2015 (see r. 2(a));</w:t>
            </w:r>
            <w:r>
              <w:rPr>
                <w:snapToGrid w:val="0"/>
              </w:rPr>
              <w:br/>
              <w:t>Regulations other than r. 1 and 2: 1 Jul 2015 (see r. 2(b))</w:t>
            </w:r>
          </w:p>
        </w:tc>
      </w:tr>
      <w:tr>
        <w:tc>
          <w:tcPr>
            <w:tcW w:w="3119" w:type="dxa"/>
            <w:shd w:val="clear" w:color="auto" w:fill="auto"/>
          </w:tcPr>
          <w:p>
            <w:pPr>
              <w:pStyle w:val="nTable"/>
              <w:spacing w:before="30" w:after="30"/>
              <w:rPr>
                <w:i/>
              </w:rPr>
            </w:pPr>
            <w:r>
              <w:rPr>
                <w:i/>
              </w:rPr>
              <w:t>Conservation and Land Management Amendment Regulations (No. 4) 2015</w:t>
            </w:r>
          </w:p>
        </w:tc>
        <w:tc>
          <w:tcPr>
            <w:tcW w:w="1276" w:type="dxa"/>
            <w:shd w:val="clear" w:color="auto" w:fill="auto"/>
          </w:tcPr>
          <w:p>
            <w:pPr>
              <w:pStyle w:val="nTable"/>
              <w:spacing w:before="30" w:after="30"/>
            </w:pPr>
            <w:r>
              <w:t>14 Jul 2015 p. 2787</w:t>
            </w:r>
            <w:r>
              <w:noBreakHyphen/>
              <w:t>9</w:t>
            </w:r>
          </w:p>
        </w:tc>
        <w:tc>
          <w:tcPr>
            <w:tcW w:w="2693" w:type="dxa"/>
            <w:shd w:val="clear" w:color="auto" w:fill="auto"/>
          </w:tcPr>
          <w:p>
            <w:pPr>
              <w:pStyle w:val="nTable"/>
              <w:spacing w:before="30" w:after="30"/>
              <w:rPr>
                <w:snapToGrid w:val="0"/>
              </w:rPr>
            </w:pPr>
            <w:r>
              <w:t>r. 1 and 2: 14 Jul 2015 (see r. 2(a));</w:t>
            </w:r>
            <w:r>
              <w:br/>
              <w:t>Regulations other than r. 1 and 2: 1 Sep 2015 (see r. 2(b))</w:t>
            </w:r>
          </w:p>
        </w:tc>
      </w:tr>
      <w:tr>
        <w:tc>
          <w:tcPr>
            <w:tcW w:w="3119" w:type="dxa"/>
            <w:shd w:val="clear" w:color="auto" w:fill="auto"/>
          </w:tcPr>
          <w:p>
            <w:pPr>
              <w:pStyle w:val="nTable"/>
              <w:spacing w:before="30" w:after="30"/>
              <w:rPr>
                <w:i/>
              </w:rPr>
            </w:pPr>
            <w:r>
              <w:rPr>
                <w:i/>
              </w:rPr>
              <w:t>Conservation and Land Management Amendment Regulations (No. 3) 2015</w:t>
            </w:r>
          </w:p>
        </w:tc>
        <w:tc>
          <w:tcPr>
            <w:tcW w:w="1276" w:type="dxa"/>
            <w:shd w:val="clear" w:color="auto" w:fill="auto"/>
          </w:tcPr>
          <w:p>
            <w:pPr>
              <w:pStyle w:val="nTable"/>
              <w:spacing w:before="30" w:after="30"/>
            </w:pPr>
            <w:r>
              <w:t>10 Nov 2015 p. 4605-6</w:t>
            </w:r>
          </w:p>
        </w:tc>
        <w:tc>
          <w:tcPr>
            <w:tcW w:w="2693" w:type="dxa"/>
            <w:shd w:val="clear" w:color="auto" w:fill="auto"/>
          </w:tcPr>
          <w:p>
            <w:pPr>
              <w:pStyle w:val="nTable"/>
              <w:spacing w:before="30" w:after="30"/>
            </w:pPr>
            <w:r>
              <w:rPr>
                <w:noProof/>
              </w:rPr>
              <w:t xml:space="preserve">r. 1 and 2: </w:t>
            </w:r>
            <w:r>
              <w:t>10 Nov 2015 (see r. 2(a));</w:t>
            </w:r>
            <w:r>
              <w:br/>
              <w:t xml:space="preserve">Regulations other than r. 1 and 2: </w:t>
            </w:r>
            <w:r>
              <w:rPr>
                <w:rFonts w:ascii="Times" w:hAnsi="Times"/>
                <w:bCs/>
                <w:snapToGrid w:val="0"/>
                <w:spacing w:val="-2"/>
              </w:rPr>
              <w:t>11 Nov 2015 (see r. 2(b))</w:t>
            </w:r>
          </w:p>
        </w:tc>
      </w:tr>
      <w:tr>
        <w:tc>
          <w:tcPr>
            <w:tcW w:w="3119" w:type="dxa"/>
            <w:shd w:val="clear" w:color="auto" w:fill="auto"/>
          </w:tcPr>
          <w:p>
            <w:pPr>
              <w:pStyle w:val="nTable"/>
              <w:spacing w:before="30" w:after="30"/>
              <w:rPr>
                <w:i/>
              </w:rPr>
            </w:pPr>
            <w:r>
              <w:rPr>
                <w:i/>
              </w:rPr>
              <w:t>Conservation and Land Management Amendment Regulations (No. 5) 2015</w:t>
            </w:r>
          </w:p>
        </w:tc>
        <w:tc>
          <w:tcPr>
            <w:tcW w:w="1276" w:type="dxa"/>
            <w:shd w:val="clear" w:color="auto" w:fill="auto"/>
          </w:tcPr>
          <w:p>
            <w:pPr>
              <w:pStyle w:val="nTable"/>
              <w:spacing w:before="30" w:after="30"/>
            </w:pPr>
            <w:r>
              <w:t>4 Dec 2015 p. 4841-2</w:t>
            </w:r>
          </w:p>
        </w:tc>
        <w:tc>
          <w:tcPr>
            <w:tcW w:w="2693" w:type="dxa"/>
            <w:shd w:val="clear" w:color="auto" w:fill="auto"/>
          </w:tcPr>
          <w:p>
            <w:pPr>
              <w:pStyle w:val="nTable"/>
              <w:spacing w:before="30" w:after="30"/>
              <w:rPr>
                <w:noProof/>
              </w:rPr>
            </w:pPr>
            <w:r>
              <w:rPr>
                <w:noProof/>
              </w:rPr>
              <w:t xml:space="preserve">r. 1 and 2: </w:t>
            </w:r>
            <w:r>
              <w:t>4 Dec 2015 (see r. 2(a));</w:t>
            </w:r>
            <w:r>
              <w:br/>
              <w:t xml:space="preserve">Regulations other than r. 1 and 2: </w:t>
            </w:r>
            <w:r>
              <w:rPr>
                <w:rFonts w:ascii="Times" w:hAnsi="Times"/>
                <w:bCs/>
                <w:snapToGrid w:val="0"/>
                <w:spacing w:val="-2"/>
              </w:rPr>
              <w:t>5 Dec 2015 (see r. 2(b))</w:t>
            </w:r>
          </w:p>
        </w:tc>
      </w:tr>
      <w:tr>
        <w:trPr>
          <w:ins w:id="830" w:author="Master Repository Process" w:date="2021-07-31T20:44:00Z"/>
        </w:trPr>
        <w:tc>
          <w:tcPr>
            <w:tcW w:w="3119" w:type="dxa"/>
            <w:tcBorders>
              <w:bottom w:val="single" w:sz="4" w:space="0" w:color="auto"/>
            </w:tcBorders>
            <w:shd w:val="clear" w:color="auto" w:fill="auto"/>
          </w:tcPr>
          <w:p>
            <w:pPr>
              <w:pStyle w:val="nTable"/>
              <w:spacing w:before="30" w:after="30"/>
              <w:rPr>
                <w:ins w:id="831" w:author="Master Repository Process" w:date="2021-07-31T20:44:00Z"/>
                <w:i/>
              </w:rPr>
            </w:pPr>
            <w:ins w:id="832" w:author="Master Repository Process" w:date="2021-07-31T20:44:00Z">
              <w:r>
                <w:rPr>
                  <w:i/>
                </w:rPr>
                <w:t>Conservation and Land Management Amendment Regulations (No. 6) 2015</w:t>
              </w:r>
            </w:ins>
          </w:p>
        </w:tc>
        <w:tc>
          <w:tcPr>
            <w:tcW w:w="1276" w:type="dxa"/>
            <w:tcBorders>
              <w:bottom w:val="single" w:sz="4" w:space="0" w:color="auto"/>
            </w:tcBorders>
            <w:shd w:val="clear" w:color="auto" w:fill="auto"/>
          </w:tcPr>
          <w:p>
            <w:pPr>
              <w:pStyle w:val="nTable"/>
              <w:spacing w:before="30" w:after="30"/>
              <w:rPr>
                <w:ins w:id="833" w:author="Master Repository Process" w:date="2021-07-31T20:44:00Z"/>
              </w:rPr>
            </w:pPr>
            <w:ins w:id="834" w:author="Master Repository Process" w:date="2021-07-31T20:44:00Z">
              <w:r>
                <w:t>11 Dec 2015 p. 4954</w:t>
              </w:r>
              <w:r>
                <w:noBreakHyphen/>
                <w:t>6</w:t>
              </w:r>
            </w:ins>
          </w:p>
        </w:tc>
        <w:tc>
          <w:tcPr>
            <w:tcW w:w="2693" w:type="dxa"/>
            <w:tcBorders>
              <w:bottom w:val="single" w:sz="4" w:space="0" w:color="auto"/>
            </w:tcBorders>
            <w:shd w:val="clear" w:color="auto" w:fill="auto"/>
          </w:tcPr>
          <w:p>
            <w:pPr>
              <w:pStyle w:val="nTable"/>
              <w:spacing w:before="30" w:after="30"/>
              <w:rPr>
                <w:ins w:id="835" w:author="Master Repository Process" w:date="2021-07-31T20:44:00Z"/>
                <w:noProof/>
              </w:rPr>
            </w:pPr>
            <w:ins w:id="836" w:author="Master Repository Process" w:date="2021-07-31T20:44:00Z">
              <w:r>
                <w:t>12</w:t>
              </w:r>
              <w:r>
                <w:rPr>
                  <w:rFonts w:ascii="Times" w:hAnsi="Times"/>
                  <w:bCs/>
                  <w:snapToGrid w:val="0"/>
                  <w:spacing w:val="-2"/>
                </w:rPr>
                <w:t xml:space="preserve"> Dec 2015 (see r. 2 and </w:t>
              </w:r>
              <w:r>
                <w:rPr>
                  <w:rFonts w:ascii="Times" w:hAnsi="Times"/>
                  <w:bCs/>
                  <w:i/>
                  <w:snapToGrid w:val="0"/>
                  <w:spacing w:val="-2"/>
                </w:rPr>
                <w:t>Gazette</w:t>
              </w:r>
              <w:r>
                <w:rPr>
                  <w:rFonts w:ascii="Times" w:hAnsi="Times"/>
                  <w:bCs/>
                  <w:snapToGrid w:val="0"/>
                  <w:spacing w:val="-2"/>
                </w:rPr>
                <w:t xml:space="preserve"> 11 Dec 2015 p. 4953)</w:t>
              </w:r>
            </w:ins>
          </w:p>
        </w:tc>
      </w:tr>
    </w:tbl>
    <w:p>
      <w:pPr>
        <w:pStyle w:val="nSubsection"/>
        <w:keepNext/>
        <w:spacing w:before="90"/>
      </w:pPr>
      <w:r>
        <w:rPr>
          <w:vertAlign w:val="superscript"/>
        </w:rPr>
        <w:t>2</w:t>
      </w:r>
      <w:r>
        <w:tab/>
        <w:t>Footnote no longer applicable.</w:t>
      </w:r>
    </w:p>
    <w:p>
      <w:pPr>
        <w:pStyle w:val="nSubsection"/>
        <w:keepNext/>
        <w:spacing w:before="90"/>
      </w:pPr>
      <w:r>
        <w:rPr>
          <w:vertAlign w:val="superscript"/>
        </w:rPr>
        <w:t>3</w:t>
      </w:r>
      <w:r>
        <w:tab/>
        <w:t xml:space="preserve">Deleted by the </w:t>
      </w:r>
      <w:r>
        <w:rPr>
          <w:i/>
          <w:iCs/>
        </w:rPr>
        <w:t>Conservation Legislation Amendment Act 2011</w:t>
      </w:r>
      <w:r>
        <w:rPr>
          <w:iCs/>
        </w:rPr>
        <w:t xml:space="preserve"> s. 10</w:t>
      </w:r>
      <w:r>
        <w:rPr>
          <w:i/>
          <w:iCs/>
        </w:rPr>
        <w:t>.</w:t>
      </w:r>
    </w:p>
    <w:p>
      <w:pPr>
        <w:pStyle w:val="nSubsection"/>
        <w:spacing w:before="90"/>
        <w:rPr>
          <w:i/>
        </w:rPr>
      </w:pPr>
      <w:r>
        <w:rPr>
          <w:vertAlign w:val="superscript"/>
        </w:rPr>
        <w:t>4</w:t>
      </w:r>
      <w:r>
        <w:tab/>
        <w:t>Repealed by these regulations.</w:t>
      </w:r>
    </w:p>
    <w:p>
      <w:pPr>
        <w:pStyle w:val="nSubsection"/>
        <w:spacing w:before="90"/>
        <w:rPr>
          <w:snapToGrid w:val="0"/>
        </w:rPr>
      </w:pPr>
      <w:r>
        <w:rPr>
          <w:vertAlign w:val="superscript"/>
        </w:rPr>
        <w:t>5</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Subsection"/>
        <w:spacing w:before="90"/>
        <w:rPr>
          <w:iCs/>
        </w:rPr>
      </w:pPr>
      <w:r>
        <w:rPr>
          <w:vertAlign w:val="superscript"/>
        </w:rPr>
        <w:t>6</w:t>
      </w:r>
      <w:r>
        <w:tab/>
        <w:t xml:space="preserve">The </w:t>
      </w:r>
      <w:r>
        <w:rPr>
          <w:i/>
        </w:rPr>
        <w:t>Financial Management (Transitional Provisions) Regulations 2009</w:t>
      </w:r>
      <w:r>
        <w:rPr>
          <w:iCs/>
        </w:rPr>
        <w:t xml:space="preserve"> r. 4 reads as follows:</w:t>
      </w:r>
    </w:p>
    <w:p>
      <w:pPr>
        <w:pStyle w:val="BlankOpen"/>
      </w:pPr>
    </w:p>
    <w:p>
      <w:pPr>
        <w:pStyle w:val="nzHeading5"/>
        <w:spacing w:before="0"/>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spacing w:before="50"/>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spacing w:before="50"/>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0" w:name="Schedule"/>
    <w:bookmarkEnd w:id="5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Forest Management Regulations 1993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Forest Management Regulations 1993</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7" w:name="Compilation"/>
    <w:bookmarkEnd w:id="8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8" w:name="Coversheet"/>
    <w:bookmarkEnd w:id="8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8A83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19C75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D1C0F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00E0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D482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C689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2827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E64B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C43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6295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D522B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44043"/>
    <w:docVar w:name="WAFER_20140115141237" w:val="RemoveTocBookmarks,RemoveUnusedBookmarks,RemoveLanguageTags,UsedStyles,ResetPageSize,UpdateArrangement"/>
    <w:docVar w:name="WAFER_20140115141237_GUID" w:val="cfdced70-9e04-4561-a7de-1ac3a8ac76f6"/>
    <w:docVar w:name="WAFER_20140919100941" w:val="RemoveTocBookmarks,RunningHeaders"/>
    <w:docVar w:name="WAFER_20140919100941_GUID" w:val="f43aeac4-711b-4744-885e-d31246cbdb1c"/>
    <w:docVar w:name="WAFER_20140919101009" w:val="RemoveTocBookmarks,RunningHeaders"/>
    <w:docVar w:name="WAFER_20140919101009_GUID" w:val="1d2a74d2-e5a9-4ade-a5e4-5c02b5ab9ebb"/>
    <w:docVar w:name="WAFER_20150108164059" w:val="RemoveTocBookmarks,RunningHeaders"/>
    <w:docVar w:name="WAFER_20150108164059_GUID" w:val="be47908d-f08d-4404-a951-123f83c64947"/>
    <w:docVar w:name="WAFER_20150323155010" w:val="ResetPageSize,UpdateArrangement,UpdateNTable"/>
    <w:docVar w:name="WAFER_20150323155010_GUID" w:val="189d785f-6ef1-488b-8c00-d87ee536a6fd"/>
    <w:docVar w:name="WAFER_20151102161559" w:val="UpdateStyles,UsedStyles"/>
    <w:docVar w:name="WAFER_20151102161559_GUID" w:val="ad0c5fc1-8026-483b-a9ec-2c18f56af9df"/>
    <w:docVar w:name="WAFER_20151102161631" w:val="UpdateStyles,UsedStyles"/>
    <w:docVar w:name="WAFER_20151102161631_GUID" w:val="a4be736d-3977-43d9-9206-31eed6f7ea5a"/>
    <w:docVar w:name="WAFER_20151109144043" w:val="RemoveTocBookmarks,RemoveUnusedBookmarks,RemoveLanguageTags,UsedStyles,ResetPageSize"/>
    <w:docVar w:name="WAFER_20151109144043_GUID" w:val="9743634a-1174-4d2f-81d4-1c80537465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C25FA9A4-1DB8-459A-BF79-293E8019B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B8592-46FF-42C6-8307-DBEFEC3E6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28954</Words>
  <Characters>134639</Characters>
  <Application>Microsoft Office Word</Application>
  <DocSecurity>0</DocSecurity>
  <Lines>4986</Lines>
  <Paragraphs>3271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160322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03-k0-00 - 03-l0-00</dc:title>
  <dc:subject/>
  <dc:creator/>
  <cp:keywords/>
  <dc:description/>
  <cp:lastModifiedBy>Master Repository Process</cp:lastModifiedBy>
  <cp:revision>2</cp:revision>
  <cp:lastPrinted>2013-07-30T05:56:00Z</cp:lastPrinted>
  <dcterms:created xsi:type="dcterms:W3CDTF">2021-07-31T12:44:00Z</dcterms:created>
  <dcterms:modified xsi:type="dcterms:W3CDTF">2021-07-31T12:44:00Z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DocumentType">
    <vt:lpwstr>Reg</vt:lpwstr>
  </property>
  <property fmtid="{D5CDD505-2E9C-101B-9397-08002B2CF9AE}" pid="4" name="OwlsUID">
    <vt:i4>609</vt:i4>
  </property>
  <property fmtid="{D5CDD505-2E9C-101B-9397-08002B2CF9AE}" pid="5" name="ReprintNo">
    <vt:lpwstr>3</vt:lpwstr>
  </property>
  <property fmtid="{D5CDD505-2E9C-101B-9397-08002B2CF9AE}" pid="6" name="ReprintedAsAt">
    <vt:filetime>2013-07-11T16:00:00Z</vt:filetime>
  </property>
  <property fmtid="{D5CDD505-2E9C-101B-9397-08002B2CF9AE}" pid="7" name="CommencementDate">
    <vt:lpwstr>20151212</vt:lpwstr>
  </property>
  <property fmtid="{D5CDD505-2E9C-101B-9397-08002B2CF9AE}" pid="8" name="FromSuffix">
    <vt:lpwstr>03-k0-00</vt:lpwstr>
  </property>
  <property fmtid="{D5CDD505-2E9C-101B-9397-08002B2CF9AE}" pid="9" name="FromAsAtDate">
    <vt:lpwstr>05 Dec 2015</vt:lpwstr>
  </property>
  <property fmtid="{D5CDD505-2E9C-101B-9397-08002B2CF9AE}" pid="10" name="ToSuffix">
    <vt:lpwstr>03-l0-00</vt:lpwstr>
  </property>
  <property fmtid="{D5CDD505-2E9C-101B-9397-08002B2CF9AE}" pid="11" name="ToAsAtDate">
    <vt:lpwstr>12 Dec 2015</vt:lpwstr>
  </property>
</Properties>
</file>