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26 May 2016</w:t>
      </w:r>
      <w:r>
        <w:fldChar w:fldCharType="end"/>
      </w:r>
      <w:r>
        <w:t xml:space="preserve">, </w:t>
      </w:r>
      <w:r>
        <w:fldChar w:fldCharType="begin"/>
      </w:r>
      <w:r>
        <w:instrText xml:space="preserve"> DocProperty FromSuffix </w:instrText>
      </w:r>
      <w:r>
        <w:fldChar w:fldCharType="separate"/>
      </w:r>
      <w:r>
        <w:t>00-f0-01</w:t>
      </w:r>
      <w:r>
        <w:fldChar w:fldCharType="end"/>
      </w:r>
      <w:r>
        <w:t>] and [</w:t>
      </w:r>
      <w:r>
        <w:fldChar w:fldCharType="begin"/>
      </w:r>
      <w:r>
        <w:instrText xml:space="preserve"> DocProperty ToAsAtDate</w:instrText>
      </w:r>
      <w:r>
        <w:fldChar w:fldCharType="separate"/>
      </w:r>
      <w:r>
        <w:t>01 Jul 2016</w:t>
      </w:r>
      <w:r>
        <w:fldChar w:fldCharType="end"/>
      </w:r>
      <w:r>
        <w:t xml:space="preserve">, </w:t>
      </w:r>
      <w:r>
        <w:fldChar w:fldCharType="begin"/>
      </w:r>
      <w:r>
        <w:instrText xml:space="preserve"> DocProperty ToSuffix</w:instrText>
      </w:r>
      <w:r>
        <w:fldChar w:fldCharType="separate"/>
      </w:r>
      <w:r>
        <w:t>00-g0-01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392246349"/>
      <w:bookmarkStart w:id="4" w:name="_Toc424283918"/>
      <w:bookmarkStart w:id="5" w:name="_Toc452547579"/>
      <w:bookmarkStart w:id="6" w:name="_Toc455403247"/>
      <w:bookmarkStart w:id="7" w:name="_Toc455406244"/>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bookmarkEnd w:id="6"/>
      <w:bookmarkEnd w:id="7"/>
    </w:p>
    <w:p>
      <w:pPr>
        <w:pStyle w:val="Heading5"/>
      </w:pPr>
      <w:bookmarkStart w:id="8" w:name="_Toc392246350"/>
      <w:bookmarkStart w:id="9" w:name="_Toc455406245"/>
      <w:bookmarkStart w:id="10" w:name="_Toc452547580"/>
      <w:r>
        <w:rPr>
          <w:rStyle w:val="CharSectno"/>
        </w:rPr>
        <w:t>1</w:t>
      </w:r>
      <w:r>
        <w:t>.</w:t>
      </w:r>
      <w:r>
        <w:tab/>
      </w:r>
      <w:r>
        <w:rPr>
          <w:snapToGrid w:val="0"/>
        </w:rPr>
        <w:t>Short title</w:t>
      </w:r>
      <w:bookmarkEnd w:id="8"/>
      <w:bookmarkEnd w:id="9"/>
      <w:bookmarkEnd w:id="10"/>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1" w:name="_Toc392246351"/>
      <w:bookmarkStart w:id="12" w:name="_Toc455406246"/>
      <w:bookmarkStart w:id="13" w:name="_Toc452547581"/>
      <w:r>
        <w:rPr>
          <w:rStyle w:val="CharSectno"/>
        </w:rPr>
        <w:t>2</w:t>
      </w:r>
      <w:r>
        <w:rPr>
          <w:snapToGrid w:val="0"/>
        </w:rPr>
        <w:t>.</w:t>
      </w:r>
      <w:r>
        <w:rPr>
          <w:snapToGrid w:val="0"/>
        </w:rPr>
        <w:tab/>
      </w:r>
      <w:r>
        <w:t>Commencement</w:t>
      </w:r>
      <w:bookmarkEnd w:id="11"/>
      <w:bookmarkEnd w:id="12"/>
      <w:bookmarkEnd w:id="13"/>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4" w:name="_Toc392246352"/>
      <w:bookmarkStart w:id="15" w:name="_Toc455406247"/>
      <w:bookmarkStart w:id="16" w:name="_Toc452547582"/>
      <w:r>
        <w:rPr>
          <w:rStyle w:val="CharSectno"/>
        </w:rPr>
        <w:t>3</w:t>
      </w:r>
      <w:r>
        <w:rPr>
          <w:snapToGrid w:val="0"/>
        </w:rPr>
        <w:t>.</w:t>
      </w:r>
      <w:r>
        <w:rPr>
          <w:snapToGrid w:val="0"/>
        </w:rPr>
        <w:tab/>
        <w:t>Terms used</w:t>
      </w:r>
      <w:bookmarkEnd w:id="14"/>
      <w:bookmarkEnd w:id="15"/>
      <w:bookmarkEnd w:id="16"/>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del w:id="17" w:author="svcMRProcess" w:date="2018-09-18T18:31:00Z">
        <w:r>
          <w:rPr>
            <w:i/>
            <w:iCs/>
          </w:rPr>
          <w:delText xml:space="preserve">Hospitals and </w:delText>
        </w:r>
      </w:del>
      <w:r>
        <w:rPr>
          <w:i/>
        </w:rPr>
        <w:t>Health Services Act </w:t>
      </w:r>
      <w:del w:id="18" w:author="svcMRProcess" w:date="2018-09-18T18:31:00Z">
        <w:r>
          <w:rPr>
            <w:i/>
            <w:iCs/>
          </w:rPr>
          <w:delText>1927</w:delText>
        </w:r>
      </w:del>
      <w:ins w:id="19" w:author="svcMRProcess" w:date="2018-09-18T18:31:00Z">
        <w:r>
          <w:rPr>
            <w:i/>
          </w:rPr>
          <w:t>2016</w:t>
        </w:r>
      </w:ins>
      <w:r>
        <w:rPr>
          <w:i/>
        </w:rPr>
        <w:t xml:space="preserve"> </w:t>
      </w:r>
      <w:r>
        <w:t>section</w:t>
      </w:r>
      <w:del w:id="20" w:author="svcMRProcess" w:date="2018-09-18T18:31:00Z">
        <w:r>
          <w:rPr>
            <w:iCs/>
          </w:rPr>
          <w:delText xml:space="preserve"> 2(1)</w:delText>
        </w:r>
        <w:r>
          <w:delText>;</w:delText>
        </w:r>
      </w:del>
      <w:ins w:id="21" w:author="svcMRProcess" w:date="2018-09-18T18:31:00Z">
        <w:r>
          <w:t> 6;</w:t>
        </w:r>
      </w:ins>
      <w:r>
        <w:t xml:space="preserve">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w:t>
      </w:r>
      <w:ins w:id="22" w:author="svcMRProcess" w:date="2018-09-18T18:31:00Z">
        <w:r>
          <w:t xml:space="preserve">taken to be </w:t>
        </w:r>
      </w:ins>
      <w:r>
        <w:t xml:space="preserve">incorporated under the </w:t>
      </w:r>
      <w:r>
        <w:rPr>
          <w:i/>
        </w:rPr>
        <w:t>Associations Incorporation Act</w:t>
      </w:r>
      <w:del w:id="23" w:author="svcMRProcess" w:date="2018-09-18T18:31:00Z">
        <w:r>
          <w:rPr>
            <w:i/>
          </w:rPr>
          <w:delText> 1987</w:delText>
        </w:r>
      </w:del>
      <w:ins w:id="24" w:author="svcMRProcess" w:date="2018-09-18T18:31:00Z">
        <w:r>
          <w:rPr>
            <w:i/>
          </w:rPr>
          <w:t xml:space="preserve"> 2015</w:t>
        </w:r>
      </w:ins>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rPr>
          <w:ins w:id="25" w:author="svcMRProcess" w:date="2018-09-18T18:31:00Z"/>
        </w:rPr>
      </w:pPr>
      <w:ins w:id="26" w:author="svcMRProcess" w:date="2018-09-18T18:31:00Z">
        <w:r>
          <w:tab/>
          <w:t>[Section 3 amended by No. 30 of 2015 s. 225; No. 11 of 2016 s. 299.]</w:t>
        </w:r>
      </w:ins>
    </w:p>
    <w:p>
      <w:pPr>
        <w:pStyle w:val="Heading2"/>
      </w:pPr>
      <w:bookmarkStart w:id="27" w:name="_Toc392246353"/>
      <w:bookmarkStart w:id="28" w:name="_Toc424283922"/>
      <w:bookmarkStart w:id="29" w:name="_Toc452547583"/>
      <w:bookmarkStart w:id="30" w:name="_Toc455403251"/>
      <w:bookmarkStart w:id="31" w:name="_Toc455406248"/>
      <w:r>
        <w:rPr>
          <w:rStyle w:val="CharPartNo"/>
        </w:rPr>
        <w:t>Part 2</w:t>
      </w:r>
      <w:r>
        <w:t> — </w:t>
      </w:r>
      <w:r>
        <w:rPr>
          <w:rStyle w:val="CharPartText"/>
        </w:rPr>
        <w:t>Pharmacy Registration Board</w:t>
      </w:r>
      <w:bookmarkEnd w:id="27"/>
      <w:bookmarkEnd w:id="28"/>
      <w:bookmarkEnd w:id="29"/>
      <w:bookmarkEnd w:id="30"/>
      <w:bookmarkEnd w:id="31"/>
    </w:p>
    <w:p>
      <w:pPr>
        <w:pStyle w:val="Heading3"/>
      </w:pPr>
      <w:bookmarkStart w:id="32" w:name="_Toc392246354"/>
      <w:bookmarkStart w:id="33" w:name="_Toc424283923"/>
      <w:bookmarkStart w:id="34" w:name="_Toc452547584"/>
      <w:bookmarkStart w:id="35" w:name="_Toc455403252"/>
      <w:bookmarkStart w:id="36" w:name="_Toc455406249"/>
      <w:r>
        <w:rPr>
          <w:rStyle w:val="CharDivNo"/>
        </w:rPr>
        <w:t>Division 1</w:t>
      </w:r>
      <w:r>
        <w:t> — </w:t>
      </w:r>
      <w:r>
        <w:rPr>
          <w:rStyle w:val="CharDivText"/>
        </w:rPr>
        <w:t>The Board</w:t>
      </w:r>
      <w:bookmarkEnd w:id="32"/>
      <w:bookmarkEnd w:id="33"/>
      <w:bookmarkEnd w:id="34"/>
      <w:bookmarkEnd w:id="35"/>
      <w:bookmarkEnd w:id="36"/>
    </w:p>
    <w:p>
      <w:pPr>
        <w:pStyle w:val="Heading5"/>
      </w:pPr>
      <w:bookmarkStart w:id="37" w:name="_Toc392246355"/>
      <w:bookmarkStart w:id="38" w:name="_Toc455406250"/>
      <w:bookmarkStart w:id="39" w:name="_Toc452547585"/>
      <w:r>
        <w:rPr>
          <w:rStyle w:val="CharSectno"/>
        </w:rPr>
        <w:t>4</w:t>
      </w:r>
      <w:r>
        <w:t>.</w:t>
      </w:r>
      <w:r>
        <w:tab/>
        <w:t>Board established</w:t>
      </w:r>
      <w:bookmarkEnd w:id="37"/>
      <w:bookmarkEnd w:id="38"/>
      <w:bookmarkEnd w:id="39"/>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40" w:name="_Toc392246356"/>
      <w:bookmarkStart w:id="41" w:name="_Toc455406251"/>
      <w:bookmarkStart w:id="42" w:name="_Toc452547586"/>
      <w:r>
        <w:rPr>
          <w:rStyle w:val="CharSectno"/>
        </w:rPr>
        <w:t>5</w:t>
      </w:r>
      <w:r>
        <w:t>.</w:t>
      </w:r>
      <w:r>
        <w:tab/>
        <w:t>Membership of Board</w:t>
      </w:r>
      <w:bookmarkEnd w:id="40"/>
      <w:bookmarkEnd w:id="41"/>
      <w:bookmarkEnd w:id="42"/>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43" w:name="_Toc392246357"/>
      <w:bookmarkStart w:id="44" w:name="_Toc455406252"/>
      <w:bookmarkStart w:id="45" w:name="_Toc452547587"/>
      <w:r>
        <w:rPr>
          <w:rStyle w:val="CharSectno"/>
        </w:rPr>
        <w:t>6</w:t>
      </w:r>
      <w:r>
        <w:t>.</w:t>
      </w:r>
      <w:r>
        <w:tab/>
        <w:t>Presiding member and deputy presiding member</w:t>
      </w:r>
      <w:bookmarkEnd w:id="43"/>
      <w:bookmarkEnd w:id="44"/>
      <w:bookmarkEnd w:id="45"/>
    </w:p>
    <w:p>
      <w:pPr>
        <w:pStyle w:val="Subsection"/>
      </w:pPr>
      <w:r>
        <w:tab/>
      </w:r>
      <w:r>
        <w:tab/>
        <w:t>The presiding member and the deputy presiding member of the Board are to be elected by the Board from amongst its members.</w:t>
      </w:r>
    </w:p>
    <w:p>
      <w:pPr>
        <w:pStyle w:val="Heading5"/>
      </w:pPr>
      <w:bookmarkStart w:id="46" w:name="_Toc392246358"/>
      <w:bookmarkStart w:id="47" w:name="_Toc455406253"/>
      <w:bookmarkStart w:id="48" w:name="_Toc452547588"/>
      <w:r>
        <w:rPr>
          <w:rStyle w:val="CharSectno"/>
        </w:rPr>
        <w:t>7</w:t>
      </w:r>
      <w:r>
        <w:t>.</w:t>
      </w:r>
      <w:r>
        <w:tab/>
        <w:t>Remuneration and allowances</w:t>
      </w:r>
      <w:bookmarkEnd w:id="46"/>
      <w:bookmarkEnd w:id="47"/>
      <w:bookmarkEnd w:id="48"/>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49" w:name="_Toc392246359"/>
      <w:bookmarkStart w:id="50" w:name="_Toc424283928"/>
      <w:bookmarkStart w:id="51" w:name="_Toc452547589"/>
      <w:bookmarkStart w:id="52" w:name="_Toc455403257"/>
      <w:bookmarkStart w:id="53" w:name="_Toc455406254"/>
      <w:r>
        <w:rPr>
          <w:rStyle w:val="CharDivNo"/>
        </w:rPr>
        <w:t>Division 2</w:t>
      </w:r>
      <w:r>
        <w:t> — </w:t>
      </w:r>
      <w:r>
        <w:rPr>
          <w:rStyle w:val="CharDivText"/>
        </w:rPr>
        <w:t>Functions and powers</w:t>
      </w:r>
      <w:bookmarkEnd w:id="49"/>
      <w:bookmarkEnd w:id="50"/>
      <w:bookmarkEnd w:id="51"/>
      <w:bookmarkEnd w:id="52"/>
      <w:bookmarkEnd w:id="53"/>
    </w:p>
    <w:p>
      <w:pPr>
        <w:pStyle w:val="Heading5"/>
      </w:pPr>
      <w:bookmarkStart w:id="54" w:name="_Toc392246360"/>
      <w:bookmarkStart w:id="55" w:name="_Toc455406255"/>
      <w:bookmarkStart w:id="56" w:name="_Toc452547590"/>
      <w:r>
        <w:rPr>
          <w:rStyle w:val="CharSectno"/>
        </w:rPr>
        <w:t>8</w:t>
      </w:r>
      <w:r>
        <w:t>.</w:t>
      </w:r>
      <w:r>
        <w:tab/>
        <w:t>Functions</w:t>
      </w:r>
      <w:bookmarkEnd w:id="54"/>
      <w:bookmarkEnd w:id="55"/>
      <w:bookmarkEnd w:id="56"/>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57" w:name="_Toc392246361"/>
      <w:bookmarkStart w:id="58" w:name="_Toc455406256"/>
      <w:bookmarkStart w:id="59" w:name="_Toc452547591"/>
      <w:r>
        <w:rPr>
          <w:rStyle w:val="CharSectno"/>
        </w:rPr>
        <w:t>9</w:t>
      </w:r>
      <w:r>
        <w:t>.</w:t>
      </w:r>
      <w:r>
        <w:tab/>
        <w:t>Powers</w:t>
      </w:r>
      <w:bookmarkEnd w:id="57"/>
      <w:bookmarkEnd w:id="58"/>
      <w:bookmarkEnd w:id="59"/>
    </w:p>
    <w:p>
      <w:pPr>
        <w:pStyle w:val="Subsection"/>
      </w:pPr>
      <w:r>
        <w:tab/>
      </w:r>
      <w:r>
        <w:tab/>
        <w:t>The Board has all the powers it needs to perform its functions.</w:t>
      </w:r>
    </w:p>
    <w:p>
      <w:pPr>
        <w:pStyle w:val="Heading5"/>
      </w:pPr>
      <w:bookmarkStart w:id="60" w:name="_Toc392246362"/>
      <w:bookmarkStart w:id="61" w:name="_Toc455406257"/>
      <w:bookmarkStart w:id="62" w:name="_Toc452547592"/>
      <w:r>
        <w:rPr>
          <w:rStyle w:val="CharSectno"/>
        </w:rPr>
        <w:t>10</w:t>
      </w:r>
      <w:r>
        <w:t>.</w:t>
      </w:r>
      <w:r>
        <w:tab/>
        <w:t>Delegation by Board</w:t>
      </w:r>
      <w:bookmarkEnd w:id="60"/>
      <w:bookmarkEnd w:id="61"/>
      <w:bookmarkEnd w:id="62"/>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63" w:name="_Toc392246363"/>
      <w:bookmarkStart w:id="64" w:name="_Toc424283932"/>
      <w:bookmarkStart w:id="65" w:name="_Toc452547593"/>
      <w:bookmarkStart w:id="66" w:name="_Toc455403261"/>
      <w:bookmarkStart w:id="67" w:name="_Toc455406258"/>
      <w:r>
        <w:rPr>
          <w:rStyle w:val="CharDivNo"/>
        </w:rPr>
        <w:t>Division 3</w:t>
      </w:r>
      <w:r>
        <w:t> — </w:t>
      </w:r>
      <w:r>
        <w:rPr>
          <w:rStyle w:val="CharDivText"/>
        </w:rPr>
        <w:t>Relationship of Board with Minister</w:t>
      </w:r>
      <w:bookmarkEnd w:id="63"/>
      <w:bookmarkEnd w:id="64"/>
      <w:bookmarkEnd w:id="65"/>
      <w:bookmarkEnd w:id="66"/>
      <w:bookmarkEnd w:id="67"/>
    </w:p>
    <w:p>
      <w:pPr>
        <w:pStyle w:val="Heading5"/>
      </w:pPr>
      <w:bookmarkStart w:id="68" w:name="_Toc392246364"/>
      <w:bookmarkStart w:id="69" w:name="_Toc455406259"/>
      <w:bookmarkStart w:id="70" w:name="_Toc452547594"/>
      <w:r>
        <w:rPr>
          <w:rStyle w:val="CharSectno"/>
        </w:rPr>
        <w:t>11</w:t>
      </w:r>
      <w:r>
        <w:t>.</w:t>
      </w:r>
      <w:r>
        <w:tab/>
        <w:t>Directions by Minister</w:t>
      </w:r>
      <w:bookmarkEnd w:id="68"/>
      <w:bookmarkEnd w:id="69"/>
      <w:bookmarkEnd w:id="70"/>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71" w:name="_Toc392246365"/>
      <w:bookmarkStart w:id="72" w:name="_Toc455406260"/>
      <w:bookmarkStart w:id="73" w:name="_Toc452547595"/>
      <w:r>
        <w:rPr>
          <w:rStyle w:val="CharSectno"/>
        </w:rPr>
        <w:t>12</w:t>
      </w:r>
      <w:r>
        <w:t>.</w:t>
      </w:r>
      <w:r>
        <w:tab/>
        <w:t>Minister to have access to information</w:t>
      </w:r>
      <w:bookmarkEnd w:id="71"/>
      <w:bookmarkEnd w:id="72"/>
      <w:bookmarkEnd w:id="73"/>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74" w:name="_Toc392246366"/>
      <w:bookmarkStart w:id="75" w:name="_Toc424283935"/>
      <w:bookmarkStart w:id="76" w:name="_Toc452547596"/>
      <w:bookmarkStart w:id="77" w:name="_Toc455403264"/>
      <w:bookmarkStart w:id="78" w:name="_Toc455406261"/>
      <w:r>
        <w:rPr>
          <w:rStyle w:val="CharDivNo"/>
        </w:rPr>
        <w:t>Division 4</w:t>
      </w:r>
      <w:r>
        <w:t> — </w:t>
      </w:r>
      <w:r>
        <w:rPr>
          <w:rStyle w:val="CharDivText"/>
        </w:rPr>
        <w:t>Committees</w:t>
      </w:r>
      <w:bookmarkEnd w:id="74"/>
      <w:bookmarkEnd w:id="75"/>
      <w:bookmarkEnd w:id="76"/>
      <w:bookmarkEnd w:id="77"/>
      <w:bookmarkEnd w:id="78"/>
    </w:p>
    <w:p>
      <w:pPr>
        <w:pStyle w:val="Heading5"/>
      </w:pPr>
      <w:bookmarkStart w:id="79" w:name="_Toc392246367"/>
      <w:bookmarkStart w:id="80" w:name="_Toc455406262"/>
      <w:bookmarkStart w:id="81" w:name="_Toc452547597"/>
      <w:r>
        <w:rPr>
          <w:rStyle w:val="CharSectno"/>
        </w:rPr>
        <w:t>13</w:t>
      </w:r>
      <w:r>
        <w:t>.</w:t>
      </w:r>
      <w:r>
        <w:tab/>
        <w:t>Committees</w:t>
      </w:r>
      <w:bookmarkEnd w:id="79"/>
      <w:bookmarkEnd w:id="80"/>
      <w:bookmarkEnd w:id="81"/>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82" w:name="_Toc392246368"/>
      <w:bookmarkStart w:id="83" w:name="_Toc455406263"/>
      <w:bookmarkStart w:id="84" w:name="_Toc452547598"/>
      <w:r>
        <w:rPr>
          <w:rStyle w:val="CharSectno"/>
        </w:rPr>
        <w:t>14</w:t>
      </w:r>
      <w:r>
        <w:t>.</w:t>
      </w:r>
      <w:r>
        <w:tab/>
        <w:t>Provisions relating to committees</w:t>
      </w:r>
      <w:bookmarkEnd w:id="82"/>
      <w:bookmarkEnd w:id="83"/>
      <w:bookmarkEnd w:id="84"/>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85" w:name="_Toc392246369"/>
      <w:bookmarkStart w:id="86" w:name="_Toc424283938"/>
      <w:bookmarkStart w:id="87" w:name="_Toc452547599"/>
      <w:bookmarkStart w:id="88" w:name="_Toc455403267"/>
      <w:bookmarkStart w:id="89" w:name="_Toc455406264"/>
      <w:r>
        <w:rPr>
          <w:rStyle w:val="CharDivNo"/>
        </w:rPr>
        <w:t>Division 5</w:t>
      </w:r>
      <w:r>
        <w:t> — </w:t>
      </w:r>
      <w:r>
        <w:rPr>
          <w:rStyle w:val="CharDivText"/>
        </w:rPr>
        <w:t>Constitution and proceedings of the Board</w:t>
      </w:r>
      <w:bookmarkEnd w:id="85"/>
      <w:bookmarkEnd w:id="86"/>
      <w:bookmarkEnd w:id="87"/>
      <w:bookmarkEnd w:id="88"/>
      <w:bookmarkEnd w:id="89"/>
    </w:p>
    <w:p>
      <w:pPr>
        <w:pStyle w:val="Heading5"/>
      </w:pPr>
      <w:bookmarkStart w:id="90" w:name="_Toc392246370"/>
      <w:bookmarkStart w:id="91" w:name="_Toc455406265"/>
      <w:bookmarkStart w:id="92" w:name="_Toc452547600"/>
      <w:r>
        <w:rPr>
          <w:rStyle w:val="CharSectno"/>
        </w:rPr>
        <w:t>15</w:t>
      </w:r>
      <w:r>
        <w:t>.</w:t>
      </w:r>
      <w:r>
        <w:tab/>
        <w:t>Term of office</w:t>
      </w:r>
      <w:bookmarkEnd w:id="90"/>
      <w:bookmarkEnd w:id="91"/>
      <w:bookmarkEnd w:id="92"/>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93" w:name="_Toc392246371"/>
      <w:bookmarkStart w:id="94" w:name="_Toc455406266"/>
      <w:bookmarkStart w:id="95" w:name="_Toc452547601"/>
      <w:r>
        <w:rPr>
          <w:rStyle w:val="CharSectno"/>
        </w:rPr>
        <w:t>16</w:t>
      </w:r>
      <w:r>
        <w:t>.</w:t>
      </w:r>
      <w:r>
        <w:tab/>
        <w:t>Functions of deputy presiding member</w:t>
      </w:r>
      <w:bookmarkEnd w:id="93"/>
      <w:bookmarkEnd w:id="94"/>
      <w:bookmarkEnd w:id="95"/>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96" w:name="_Toc392246372"/>
      <w:bookmarkStart w:id="97" w:name="_Toc455406267"/>
      <w:bookmarkStart w:id="98" w:name="_Toc452547602"/>
      <w:r>
        <w:rPr>
          <w:rStyle w:val="CharSectno"/>
        </w:rPr>
        <w:t>17</w:t>
      </w:r>
      <w:r>
        <w:t>.</w:t>
      </w:r>
      <w:r>
        <w:tab/>
        <w:t>Deputy members</w:t>
      </w:r>
      <w:bookmarkEnd w:id="96"/>
      <w:bookmarkEnd w:id="97"/>
      <w:bookmarkEnd w:id="98"/>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99" w:name="_Toc392246373"/>
      <w:bookmarkStart w:id="100" w:name="_Toc455406268"/>
      <w:bookmarkStart w:id="101" w:name="_Toc452547603"/>
      <w:r>
        <w:rPr>
          <w:rStyle w:val="CharSectno"/>
        </w:rPr>
        <w:t>18</w:t>
      </w:r>
      <w:r>
        <w:t>.</w:t>
      </w:r>
      <w:r>
        <w:tab/>
        <w:t>Vacation of office by member</w:t>
      </w:r>
      <w:bookmarkEnd w:id="99"/>
      <w:bookmarkEnd w:id="100"/>
      <w:bookmarkEnd w:id="101"/>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102" w:name="_Toc392246374"/>
      <w:bookmarkStart w:id="103" w:name="_Toc455406269"/>
      <w:bookmarkStart w:id="104" w:name="_Toc452547604"/>
      <w:r>
        <w:rPr>
          <w:rStyle w:val="CharSectno"/>
        </w:rPr>
        <w:t>19</w:t>
      </w:r>
      <w:r>
        <w:t>.</w:t>
      </w:r>
      <w:r>
        <w:tab/>
        <w:t>General procedure concerning meetings</w:t>
      </w:r>
      <w:bookmarkEnd w:id="102"/>
      <w:bookmarkEnd w:id="103"/>
      <w:bookmarkEnd w:id="104"/>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05" w:name="_Toc392246375"/>
      <w:bookmarkStart w:id="106" w:name="_Toc455406270"/>
      <w:bookmarkStart w:id="107" w:name="_Toc452547605"/>
      <w:r>
        <w:rPr>
          <w:rStyle w:val="CharSectno"/>
        </w:rPr>
        <w:t>20</w:t>
      </w:r>
      <w:r>
        <w:t>.</w:t>
      </w:r>
      <w:r>
        <w:tab/>
        <w:t>Voting</w:t>
      </w:r>
      <w:bookmarkEnd w:id="105"/>
      <w:bookmarkEnd w:id="106"/>
      <w:bookmarkEnd w:id="107"/>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08" w:name="_Toc392246376"/>
      <w:bookmarkStart w:id="109" w:name="_Toc455406271"/>
      <w:bookmarkStart w:id="110" w:name="_Toc452547606"/>
      <w:r>
        <w:rPr>
          <w:rStyle w:val="CharSectno"/>
        </w:rPr>
        <w:t>21</w:t>
      </w:r>
      <w:r>
        <w:t>.</w:t>
      </w:r>
      <w:r>
        <w:tab/>
        <w:t>Holding meetings remotely</w:t>
      </w:r>
      <w:bookmarkEnd w:id="108"/>
      <w:bookmarkEnd w:id="109"/>
      <w:bookmarkEnd w:id="110"/>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11" w:name="_Toc392246377"/>
      <w:bookmarkStart w:id="112" w:name="_Toc455406272"/>
      <w:bookmarkStart w:id="113" w:name="_Toc452547607"/>
      <w:r>
        <w:rPr>
          <w:rStyle w:val="CharSectno"/>
        </w:rPr>
        <w:t>22</w:t>
      </w:r>
      <w:r>
        <w:t>.</w:t>
      </w:r>
      <w:r>
        <w:tab/>
        <w:t>Resolution without meeting</w:t>
      </w:r>
      <w:bookmarkEnd w:id="111"/>
      <w:bookmarkEnd w:id="112"/>
      <w:bookmarkEnd w:id="113"/>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14" w:name="_Toc392246378"/>
      <w:bookmarkStart w:id="115" w:name="_Toc455406273"/>
      <w:bookmarkStart w:id="116" w:name="_Toc452547608"/>
      <w:r>
        <w:rPr>
          <w:rStyle w:val="CharSectno"/>
        </w:rPr>
        <w:t>23</w:t>
      </w:r>
      <w:r>
        <w:t>.</w:t>
      </w:r>
      <w:r>
        <w:tab/>
        <w:t>Minutes</w:t>
      </w:r>
      <w:bookmarkEnd w:id="114"/>
      <w:bookmarkEnd w:id="115"/>
      <w:bookmarkEnd w:id="116"/>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17" w:name="_Toc392246379"/>
      <w:bookmarkStart w:id="118" w:name="_Toc424283948"/>
      <w:bookmarkStart w:id="119" w:name="_Toc452547609"/>
      <w:bookmarkStart w:id="120" w:name="_Toc455403277"/>
      <w:bookmarkStart w:id="121" w:name="_Toc455406274"/>
      <w:r>
        <w:rPr>
          <w:rStyle w:val="CharDivNo"/>
        </w:rPr>
        <w:t>Division 6</w:t>
      </w:r>
      <w:r>
        <w:t> — </w:t>
      </w:r>
      <w:r>
        <w:rPr>
          <w:rStyle w:val="CharDivText"/>
        </w:rPr>
        <w:t>Disclosure of interests etc.</w:t>
      </w:r>
      <w:bookmarkEnd w:id="117"/>
      <w:bookmarkEnd w:id="118"/>
      <w:bookmarkEnd w:id="119"/>
      <w:bookmarkEnd w:id="120"/>
      <w:bookmarkEnd w:id="121"/>
    </w:p>
    <w:p>
      <w:pPr>
        <w:pStyle w:val="Heading5"/>
      </w:pPr>
      <w:bookmarkStart w:id="122" w:name="_Toc392246380"/>
      <w:bookmarkStart w:id="123" w:name="_Toc455406275"/>
      <w:bookmarkStart w:id="124" w:name="_Toc452547610"/>
      <w:r>
        <w:rPr>
          <w:rStyle w:val="CharSectno"/>
        </w:rPr>
        <w:t>24</w:t>
      </w:r>
      <w:r>
        <w:t>.</w:t>
      </w:r>
      <w:r>
        <w:tab/>
        <w:t>Term used: member</w:t>
      </w:r>
      <w:bookmarkEnd w:id="122"/>
      <w:bookmarkEnd w:id="123"/>
      <w:bookmarkEnd w:id="124"/>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25" w:name="_Toc392246381"/>
      <w:bookmarkStart w:id="126" w:name="_Toc455406276"/>
      <w:bookmarkStart w:id="127" w:name="_Toc452547611"/>
      <w:r>
        <w:rPr>
          <w:rStyle w:val="CharSectno"/>
        </w:rPr>
        <w:t>25</w:t>
      </w:r>
      <w:r>
        <w:t>.</w:t>
      </w:r>
      <w:r>
        <w:tab/>
        <w:t>Disclosure of interests</w:t>
      </w:r>
      <w:bookmarkEnd w:id="125"/>
      <w:bookmarkEnd w:id="126"/>
      <w:bookmarkEnd w:id="127"/>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28" w:name="_Toc392246382"/>
      <w:bookmarkStart w:id="129" w:name="_Toc455406277"/>
      <w:bookmarkStart w:id="130" w:name="_Toc452547612"/>
      <w:r>
        <w:rPr>
          <w:rStyle w:val="CharSectno"/>
        </w:rPr>
        <w:t>26</w:t>
      </w:r>
      <w:r>
        <w:t>.</w:t>
      </w:r>
      <w:r>
        <w:tab/>
        <w:t>Exclusion of interested member</w:t>
      </w:r>
      <w:bookmarkEnd w:id="128"/>
      <w:bookmarkEnd w:id="129"/>
      <w:bookmarkEnd w:id="130"/>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31" w:name="_Toc392246383"/>
      <w:bookmarkStart w:id="132" w:name="_Toc455406278"/>
      <w:bookmarkStart w:id="133" w:name="_Toc452547613"/>
      <w:r>
        <w:rPr>
          <w:rStyle w:val="CharSectno"/>
        </w:rPr>
        <w:t>27</w:t>
      </w:r>
      <w:r>
        <w:t>.</w:t>
      </w:r>
      <w:r>
        <w:tab/>
        <w:t>Board or committee may resolve that section 26 inapplicable</w:t>
      </w:r>
      <w:bookmarkEnd w:id="131"/>
      <w:bookmarkEnd w:id="132"/>
      <w:bookmarkEnd w:id="133"/>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34" w:name="_Toc392246384"/>
      <w:bookmarkStart w:id="135" w:name="_Toc455406279"/>
      <w:bookmarkStart w:id="136" w:name="_Toc452547614"/>
      <w:r>
        <w:rPr>
          <w:rStyle w:val="CharSectno"/>
        </w:rPr>
        <w:t>28</w:t>
      </w:r>
      <w:r>
        <w:t>.</w:t>
      </w:r>
      <w:r>
        <w:tab/>
        <w:t>Quorum where section 26 applies</w:t>
      </w:r>
      <w:bookmarkEnd w:id="134"/>
      <w:bookmarkEnd w:id="135"/>
      <w:bookmarkEnd w:id="136"/>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37" w:name="_Toc392246385"/>
      <w:bookmarkStart w:id="138" w:name="_Toc455406280"/>
      <w:bookmarkStart w:id="139" w:name="_Toc452547615"/>
      <w:r>
        <w:rPr>
          <w:rStyle w:val="CharSectno"/>
        </w:rPr>
        <w:t>29</w:t>
      </w:r>
      <w:r>
        <w:t>.</w:t>
      </w:r>
      <w:r>
        <w:tab/>
        <w:t>Minister may declare sections 26 and 28 inapplicable</w:t>
      </w:r>
      <w:bookmarkEnd w:id="137"/>
      <w:bookmarkEnd w:id="138"/>
      <w:bookmarkEnd w:id="139"/>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40" w:name="_Toc392246386"/>
      <w:bookmarkStart w:id="141" w:name="_Toc424283955"/>
      <w:bookmarkStart w:id="142" w:name="_Toc452547616"/>
      <w:bookmarkStart w:id="143" w:name="_Toc455403284"/>
      <w:bookmarkStart w:id="144" w:name="_Toc455406281"/>
      <w:r>
        <w:rPr>
          <w:rStyle w:val="CharDivNo"/>
        </w:rPr>
        <w:t>Division 7</w:t>
      </w:r>
      <w:r>
        <w:t> — </w:t>
      </w:r>
      <w:r>
        <w:rPr>
          <w:rStyle w:val="CharDivText"/>
        </w:rPr>
        <w:t>Registrar and other staff</w:t>
      </w:r>
      <w:bookmarkEnd w:id="140"/>
      <w:bookmarkEnd w:id="141"/>
      <w:bookmarkEnd w:id="142"/>
      <w:bookmarkEnd w:id="143"/>
      <w:bookmarkEnd w:id="144"/>
    </w:p>
    <w:p>
      <w:pPr>
        <w:pStyle w:val="Heading5"/>
      </w:pPr>
      <w:bookmarkStart w:id="145" w:name="_Toc392246387"/>
      <w:bookmarkStart w:id="146" w:name="_Toc455406282"/>
      <w:bookmarkStart w:id="147" w:name="_Toc452547617"/>
      <w:r>
        <w:rPr>
          <w:rStyle w:val="CharSectno"/>
        </w:rPr>
        <w:t>30</w:t>
      </w:r>
      <w:r>
        <w:t>.</w:t>
      </w:r>
      <w:r>
        <w:tab/>
        <w:t>Registrar</w:t>
      </w:r>
      <w:bookmarkEnd w:id="145"/>
      <w:bookmarkEnd w:id="146"/>
      <w:bookmarkEnd w:id="147"/>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48" w:name="_Toc392246388"/>
      <w:bookmarkStart w:id="149" w:name="_Toc455406283"/>
      <w:bookmarkStart w:id="150" w:name="_Toc452547618"/>
      <w:r>
        <w:rPr>
          <w:rStyle w:val="CharSectno"/>
        </w:rPr>
        <w:t>31</w:t>
      </w:r>
      <w:r>
        <w:t>.</w:t>
      </w:r>
      <w:r>
        <w:tab/>
        <w:t>Other staff</w:t>
      </w:r>
      <w:bookmarkEnd w:id="148"/>
      <w:bookmarkEnd w:id="149"/>
      <w:bookmarkEnd w:id="150"/>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51" w:name="_Toc392246389"/>
      <w:bookmarkStart w:id="152" w:name="_Toc424283958"/>
      <w:bookmarkStart w:id="153" w:name="_Toc452547619"/>
      <w:bookmarkStart w:id="154" w:name="_Toc455403287"/>
      <w:bookmarkStart w:id="155" w:name="_Toc455406284"/>
      <w:r>
        <w:rPr>
          <w:rStyle w:val="CharDivNo"/>
        </w:rPr>
        <w:t>Division 8</w:t>
      </w:r>
      <w:r>
        <w:t> — </w:t>
      </w:r>
      <w:r>
        <w:rPr>
          <w:rStyle w:val="CharDivText"/>
        </w:rPr>
        <w:t>General</w:t>
      </w:r>
      <w:bookmarkEnd w:id="151"/>
      <w:bookmarkEnd w:id="152"/>
      <w:bookmarkEnd w:id="153"/>
      <w:bookmarkEnd w:id="154"/>
      <w:bookmarkEnd w:id="155"/>
    </w:p>
    <w:p>
      <w:pPr>
        <w:pStyle w:val="Heading5"/>
      </w:pPr>
      <w:bookmarkStart w:id="156" w:name="_Toc392246390"/>
      <w:bookmarkStart w:id="157" w:name="_Toc455406285"/>
      <w:bookmarkStart w:id="158" w:name="_Toc452547620"/>
      <w:r>
        <w:rPr>
          <w:rStyle w:val="CharSectno"/>
        </w:rPr>
        <w:t>32</w:t>
      </w:r>
      <w:r>
        <w:t>.</w:t>
      </w:r>
      <w:r>
        <w:tab/>
        <w:t>Duty not to make improper use of information</w:t>
      </w:r>
      <w:bookmarkEnd w:id="156"/>
      <w:bookmarkEnd w:id="157"/>
      <w:bookmarkEnd w:id="158"/>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59" w:name="_Toc392246391"/>
      <w:bookmarkStart w:id="160" w:name="_Toc455406286"/>
      <w:bookmarkStart w:id="161" w:name="_Toc452547621"/>
      <w:r>
        <w:rPr>
          <w:rStyle w:val="CharSectno"/>
        </w:rPr>
        <w:t>33</w:t>
      </w:r>
      <w:r>
        <w:t>.</w:t>
      </w:r>
      <w:r>
        <w:tab/>
        <w:t>Meetings and minutes of meetings</w:t>
      </w:r>
      <w:bookmarkEnd w:id="159"/>
      <w:bookmarkEnd w:id="160"/>
      <w:bookmarkEnd w:id="161"/>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62" w:name="_Toc392246392"/>
      <w:bookmarkStart w:id="163" w:name="_Toc455406287"/>
      <w:bookmarkStart w:id="164" w:name="_Toc452547622"/>
      <w:r>
        <w:rPr>
          <w:rStyle w:val="CharSectno"/>
        </w:rPr>
        <w:t>34</w:t>
      </w:r>
      <w:r>
        <w:t>.</w:t>
      </w:r>
      <w:r>
        <w:tab/>
        <w:t>Execution of documents by Board</w:t>
      </w:r>
      <w:bookmarkEnd w:id="162"/>
      <w:bookmarkEnd w:id="163"/>
      <w:bookmarkEnd w:id="164"/>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65" w:name="_Toc392246393"/>
      <w:bookmarkStart w:id="166" w:name="_Toc424283962"/>
      <w:bookmarkStart w:id="167" w:name="_Toc452547623"/>
      <w:bookmarkStart w:id="168" w:name="_Toc455403291"/>
      <w:bookmarkStart w:id="169" w:name="_Toc455406288"/>
      <w:r>
        <w:rPr>
          <w:rStyle w:val="CharPartNo"/>
        </w:rPr>
        <w:t>Part 3</w:t>
      </w:r>
      <w:r>
        <w:rPr>
          <w:rStyle w:val="CharDivNo"/>
        </w:rPr>
        <w:t> </w:t>
      </w:r>
      <w:r>
        <w:t>—</w:t>
      </w:r>
      <w:r>
        <w:rPr>
          <w:rStyle w:val="CharDivText"/>
        </w:rPr>
        <w:t> </w:t>
      </w:r>
      <w:r>
        <w:rPr>
          <w:rStyle w:val="CharPartText"/>
        </w:rPr>
        <w:t>Finance and reports</w:t>
      </w:r>
      <w:bookmarkEnd w:id="165"/>
      <w:bookmarkEnd w:id="166"/>
      <w:bookmarkEnd w:id="167"/>
      <w:bookmarkEnd w:id="168"/>
      <w:bookmarkEnd w:id="169"/>
    </w:p>
    <w:p>
      <w:pPr>
        <w:pStyle w:val="Heading5"/>
      </w:pPr>
      <w:bookmarkStart w:id="170" w:name="_Toc392246394"/>
      <w:bookmarkStart w:id="171" w:name="_Toc455406289"/>
      <w:bookmarkStart w:id="172" w:name="_Toc452547624"/>
      <w:r>
        <w:rPr>
          <w:rStyle w:val="CharSectno"/>
        </w:rPr>
        <w:t>35</w:t>
      </w:r>
      <w:r>
        <w:t>.</w:t>
      </w:r>
      <w:r>
        <w:tab/>
        <w:t>Funds of the Board</w:t>
      </w:r>
      <w:bookmarkEnd w:id="170"/>
      <w:bookmarkEnd w:id="171"/>
      <w:bookmarkEnd w:id="172"/>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73" w:name="_Toc392246395"/>
      <w:bookmarkStart w:id="174" w:name="_Toc455406290"/>
      <w:bookmarkStart w:id="175" w:name="_Toc452547625"/>
      <w:r>
        <w:rPr>
          <w:rStyle w:val="CharSectno"/>
        </w:rPr>
        <w:t>36</w:t>
      </w:r>
      <w:r>
        <w:t>.</w:t>
      </w:r>
      <w:r>
        <w:tab/>
        <w:t>Accounts</w:t>
      </w:r>
      <w:bookmarkEnd w:id="173"/>
      <w:bookmarkEnd w:id="174"/>
      <w:bookmarkEnd w:id="175"/>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76" w:name="_Toc392246396"/>
      <w:bookmarkStart w:id="177" w:name="_Toc455406291"/>
      <w:bookmarkStart w:id="178" w:name="_Toc452547626"/>
      <w:r>
        <w:rPr>
          <w:rStyle w:val="CharSectno"/>
        </w:rPr>
        <w:t>37</w:t>
      </w:r>
      <w:r>
        <w:t>.</w:t>
      </w:r>
      <w:r>
        <w:tab/>
        <w:t>Audit</w:t>
      </w:r>
      <w:bookmarkEnd w:id="176"/>
      <w:bookmarkEnd w:id="177"/>
      <w:bookmarkEnd w:id="178"/>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79" w:name="_Toc392246397"/>
      <w:bookmarkStart w:id="180" w:name="_Toc455406292"/>
      <w:bookmarkStart w:id="181" w:name="_Toc452547627"/>
      <w:r>
        <w:rPr>
          <w:rStyle w:val="CharSectno"/>
        </w:rPr>
        <w:t>38</w:t>
      </w:r>
      <w:r>
        <w:t>.</w:t>
      </w:r>
      <w:r>
        <w:tab/>
        <w:t>Annual report and other reports</w:t>
      </w:r>
      <w:bookmarkEnd w:id="179"/>
      <w:bookmarkEnd w:id="180"/>
      <w:bookmarkEnd w:id="181"/>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82" w:name="_Toc392246398"/>
      <w:bookmarkStart w:id="183" w:name="_Toc424283967"/>
      <w:bookmarkStart w:id="184" w:name="_Toc452547628"/>
      <w:bookmarkStart w:id="185" w:name="_Toc455403296"/>
      <w:bookmarkStart w:id="186" w:name="_Toc455406293"/>
      <w:r>
        <w:rPr>
          <w:rStyle w:val="CharPartNo"/>
        </w:rPr>
        <w:t>Part 4</w:t>
      </w:r>
      <w:r>
        <w:t> — </w:t>
      </w:r>
      <w:r>
        <w:rPr>
          <w:rStyle w:val="CharPartText"/>
        </w:rPr>
        <w:t>Registration</w:t>
      </w:r>
      <w:bookmarkEnd w:id="182"/>
      <w:bookmarkEnd w:id="183"/>
      <w:bookmarkEnd w:id="184"/>
      <w:bookmarkEnd w:id="185"/>
      <w:bookmarkEnd w:id="186"/>
    </w:p>
    <w:p>
      <w:pPr>
        <w:pStyle w:val="Heading3"/>
      </w:pPr>
      <w:bookmarkStart w:id="187" w:name="_Toc392246399"/>
      <w:bookmarkStart w:id="188" w:name="_Toc424283968"/>
      <w:bookmarkStart w:id="189" w:name="_Toc452547629"/>
      <w:bookmarkStart w:id="190" w:name="_Toc455403297"/>
      <w:bookmarkStart w:id="191" w:name="_Toc455406294"/>
      <w:r>
        <w:rPr>
          <w:rStyle w:val="CharDivNo"/>
        </w:rPr>
        <w:t>Division 1</w:t>
      </w:r>
      <w:r>
        <w:t> — </w:t>
      </w:r>
      <w:r>
        <w:rPr>
          <w:rStyle w:val="CharDivText"/>
        </w:rPr>
        <w:t>Registration of pharmacies</w:t>
      </w:r>
      <w:bookmarkEnd w:id="187"/>
      <w:bookmarkEnd w:id="188"/>
      <w:bookmarkEnd w:id="189"/>
      <w:bookmarkEnd w:id="190"/>
      <w:bookmarkEnd w:id="191"/>
    </w:p>
    <w:p>
      <w:pPr>
        <w:pStyle w:val="Heading5"/>
      </w:pPr>
      <w:bookmarkStart w:id="192" w:name="_Toc392246400"/>
      <w:bookmarkStart w:id="193" w:name="_Toc455406295"/>
      <w:bookmarkStart w:id="194" w:name="_Toc452547630"/>
      <w:r>
        <w:rPr>
          <w:rStyle w:val="CharSectno"/>
        </w:rPr>
        <w:t>39</w:t>
      </w:r>
      <w:r>
        <w:t>.</w:t>
      </w:r>
      <w:r>
        <w:tab/>
        <w:t>Registration of premises as pharmacies</w:t>
      </w:r>
      <w:bookmarkEnd w:id="192"/>
      <w:bookmarkEnd w:id="193"/>
      <w:bookmarkEnd w:id="194"/>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95" w:name="_Toc392246401"/>
      <w:bookmarkStart w:id="196" w:name="_Toc455406296"/>
      <w:bookmarkStart w:id="197" w:name="_Toc452547631"/>
      <w:r>
        <w:rPr>
          <w:rStyle w:val="CharSectno"/>
        </w:rPr>
        <w:t>40</w:t>
      </w:r>
      <w:r>
        <w:t>.</w:t>
      </w:r>
      <w:r>
        <w:tab/>
        <w:t>Who may apply for registration</w:t>
      </w:r>
      <w:bookmarkEnd w:id="195"/>
      <w:bookmarkEnd w:id="196"/>
      <w:bookmarkEnd w:id="197"/>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98" w:name="_Toc392246402"/>
      <w:bookmarkStart w:id="199" w:name="_Toc455406297"/>
      <w:bookmarkStart w:id="200" w:name="_Toc452547632"/>
      <w:r>
        <w:rPr>
          <w:rStyle w:val="CharSectno"/>
        </w:rPr>
        <w:t>41</w:t>
      </w:r>
      <w:r>
        <w:t>.</w:t>
      </w:r>
      <w:r>
        <w:tab/>
        <w:t>Preserved company to carry on pharmacy business only at certain premises</w:t>
      </w:r>
      <w:bookmarkEnd w:id="198"/>
      <w:bookmarkEnd w:id="199"/>
      <w:bookmarkEnd w:id="200"/>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201" w:name="_Toc392246403"/>
      <w:bookmarkStart w:id="202" w:name="_Toc455406298"/>
      <w:bookmarkStart w:id="203" w:name="_Toc452547633"/>
      <w:r>
        <w:rPr>
          <w:rStyle w:val="CharSectno"/>
        </w:rPr>
        <w:t>42</w:t>
      </w:r>
      <w:r>
        <w:t>.</w:t>
      </w:r>
      <w:r>
        <w:tab/>
        <w:t>Application for registration</w:t>
      </w:r>
      <w:bookmarkEnd w:id="201"/>
      <w:bookmarkEnd w:id="202"/>
      <w:bookmarkEnd w:id="203"/>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204" w:name="_Toc392246404"/>
      <w:bookmarkStart w:id="205" w:name="_Toc455406299"/>
      <w:bookmarkStart w:id="206" w:name="_Toc452547634"/>
      <w:r>
        <w:rPr>
          <w:rStyle w:val="CharSectno"/>
        </w:rPr>
        <w:t>43</w:t>
      </w:r>
      <w:r>
        <w:t>.</w:t>
      </w:r>
      <w:r>
        <w:tab/>
        <w:t>Grounds for refusal</w:t>
      </w:r>
      <w:bookmarkEnd w:id="204"/>
      <w:bookmarkEnd w:id="205"/>
      <w:bookmarkEnd w:id="206"/>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207" w:name="_Toc392246405"/>
      <w:bookmarkStart w:id="208" w:name="_Toc455406300"/>
      <w:bookmarkStart w:id="209" w:name="_Toc452547635"/>
      <w:r>
        <w:rPr>
          <w:rStyle w:val="CharSectno"/>
        </w:rPr>
        <w:t>44</w:t>
      </w:r>
      <w:r>
        <w:t>.</w:t>
      </w:r>
      <w:r>
        <w:tab/>
        <w:t>Entry and inspection of registered pharmacy</w:t>
      </w:r>
      <w:bookmarkEnd w:id="207"/>
      <w:bookmarkEnd w:id="208"/>
      <w:bookmarkEnd w:id="209"/>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210" w:name="_Toc392246406"/>
      <w:bookmarkStart w:id="211" w:name="_Toc455406301"/>
      <w:bookmarkStart w:id="212" w:name="_Toc452547636"/>
      <w:r>
        <w:rPr>
          <w:rStyle w:val="CharSectno"/>
        </w:rPr>
        <w:t>45</w:t>
      </w:r>
      <w:r>
        <w:t>.</w:t>
      </w:r>
      <w:r>
        <w:tab/>
        <w:t>Duration of registration</w:t>
      </w:r>
      <w:bookmarkEnd w:id="210"/>
      <w:bookmarkEnd w:id="211"/>
      <w:bookmarkEnd w:id="212"/>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213" w:name="_Toc392246407"/>
      <w:bookmarkStart w:id="214" w:name="_Toc455406302"/>
      <w:bookmarkStart w:id="215" w:name="_Toc452547637"/>
      <w:r>
        <w:rPr>
          <w:rStyle w:val="CharSectno"/>
        </w:rPr>
        <w:t>46</w:t>
      </w:r>
      <w:r>
        <w:t>.</w:t>
      </w:r>
      <w:r>
        <w:tab/>
        <w:t>Cancellation and non</w:t>
      </w:r>
      <w:r>
        <w:noBreakHyphen/>
        <w:t>renewal of registration</w:t>
      </w:r>
      <w:bookmarkEnd w:id="213"/>
      <w:bookmarkEnd w:id="214"/>
      <w:bookmarkEnd w:id="215"/>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216" w:name="_Toc392246408"/>
      <w:bookmarkStart w:id="217" w:name="_Toc455406303"/>
      <w:bookmarkStart w:id="218" w:name="_Toc452547638"/>
      <w:r>
        <w:rPr>
          <w:rStyle w:val="CharSectno"/>
        </w:rPr>
        <w:t>47</w:t>
      </w:r>
      <w:r>
        <w:t>.</w:t>
      </w:r>
      <w:r>
        <w:tab/>
        <w:t>Conditions on registration</w:t>
      </w:r>
      <w:bookmarkEnd w:id="216"/>
      <w:bookmarkEnd w:id="217"/>
      <w:bookmarkEnd w:id="218"/>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219" w:name="_Toc392246409"/>
      <w:bookmarkStart w:id="220" w:name="_Toc455406304"/>
      <w:bookmarkStart w:id="221" w:name="_Toc452547639"/>
      <w:r>
        <w:rPr>
          <w:rStyle w:val="CharSectno"/>
        </w:rPr>
        <w:t>48</w:t>
      </w:r>
      <w:r>
        <w:t>.</w:t>
      </w:r>
      <w:r>
        <w:tab/>
        <w:t>Premises may be, or continue to be, registered even if requirements as to minimum standards of fitness are not met</w:t>
      </w:r>
      <w:bookmarkEnd w:id="219"/>
      <w:bookmarkEnd w:id="220"/>
      <w:bookmarkEnd w:id="221"/>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222" w:name="_Toc392246410"/>
      <w:bookmarkStart w:id="223" w:name="_Toc424283979"/>
      <w:bookmarkStart w:id="224" w:name="_Toc452547640"/>
      <w:bookmarkStart w:id="225" w:name="_Toc455403308"/>
      <w:bookmarkStart w:id="226" w:name="_Toc455406305"/>
      <w:r>
        <w:rPr>
          <w:rStyle w:val="CharDivNo"/>
        </w:rPr>
        <w:t>Division 2</w:t>
      </w:r>
      <w:r>
        <w:t> — </w:t>
      </w:r>
      <w:r>
        <w:rPr>
          <w:rStyle w:val="CharDivText"/>
        </w:rPr>
        <w:t>The register</w:t>
      </w:r>
      <w:bookmarkEnd w:id="222"/>
      <w:bookmarkEnd w:id="223"/>
      <w:bookmarkEnd w:id="224"/>
      <w:bookmarkEnd w:id="225"/>
      <w:bookmarkEnd w:id="226"/>
    </w:p>
    <w:p>
      <w:pPr>
        <w:pStyle w:val="Heading5"/>
      </w:pPr>
      <w:bookmarkStart w:id="227" w:name="_Toc392246411"/>
      <w:bookmarkStart w:id="228" w:name="_Toc455406306"/>
      <w:bookmarkStart w:id="229" w:name="_Toc452547641"/>
      <w:r>
        <w:rPr>
          <w:rStyle w:val="CharSectno"/>
        </w:rPr>
        <w:t>49</w:t>
      </w:r>
      <w:r>
        <w:t>.</w:t>
      </w:r>
      <w:r>
        <w:tab/>
        <w:t>The register</w:t>
      </w:r>
      <w:bookmarkEnd w:id="227"/>
      <w:bookmarkEnd w:id="228"/>
      <w:bookmarkEnd w:id="229"/>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230" w:name="_Toc392246412"/>
      <w:bookmarkStart w:id="231" w:name="_Toc455406307"/>
      <w:bookmarkStart w:id="232" w:name="_Toc452547642"/>
      <w:r>
        <w:rPr>
          <w:rStyle w:val="CharSectno"/>
        </w:rPr>
        <w:t>50</w:t>
      </w:r>
      <w:r>
        <w:t>.</w:t>
      </w:r>
      <w:r>
        <w:tab/>
        <w:t>Inspection of register</w:t>
      </w:r>
      <w:bookmarkEnd w:id="230"/>
      <w:bookmarkEnd w:id="231"/>
      <w:bookmarkEnd w:id="232"/>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233" w:name="_Toc392246413"/>
      <w:bookmarkStart w:id="234" w:name="_Toc455406308"/>
      <w:bookmarkStart w:id="235" w:name="_Toc452547643"/>
      <w:r>
        <w:rPr>
          <w:rStyle w:val="CharSectno"/>
        </w:rPr>
        <w:t>51</w:t>
      </w:r>
      <w:r>
        <w:t>.</w:t>
      </w:r>
      <w:r>
        <w:tab/>
        <w:t>Certificates of registration for premises</w:t>
      </w:r>
      <w:bookmarkEnd w:id="233"/>
      <w:bookmarkEnd w:id="234"/>
      <w:bookmarkEnd w:id="235"/>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36" w:name="_Toc392246414"/>
      <w:bookmarkStart w:id="237" w:name="_Toc455406309"/>
      <w:bookmarkStart w:id="238" w:name="_Toc452547644"/>
      <w:r>
        <w:rPr>
          <w:rStyle w:val="CharSectno"/>
        </w:rPr>
        <w:t>52</w:t>
      </w:r>
      <w:r>
        <w:t>.</w:t>
      </w:r>
      <w:r>
        <w:tab/>
        <w:t>Notification of intended change of ownership of, or interests held in, pharmacy business</w:t>
      </w:r>
      <w:bookmarkEnd w:id="236"/>
      <w:bookmarkEnd w:id="237"/>
      <w:bookmarkEnd w:id="238"/>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39" w:name="_Toc392246415"/>
      <w:bookmarkStart w:id="240" w:name="_Toc424283984"/>
      <w:bookmarkStart w:id="241" w:name="_Toc452547645"/>
      <w:bookmarkStart w:id="242" w:name="_Toc455403313"/>
      <w:bookmarkStart w:id="243" w:name="_Toc455406310"/>
      <w:r>
        <w:rPr>
          <w:rStyle w:val="CharPartNo"/>
        </w:rPr>
        <w:t>Part 5</w:t>
      </w:r>
      <w:r>
        <w:rPr>
          <w:rStyle w:val="CharDivNo"/>
        </w:rPr>
        <w:t> </w:t>
      </w:r>
      <w:r>
        <w:t>—</w:t>
      </w:r>
      <w:r>
        <w:rPr>
          <w:rStyle w:val="CharDivText"/>
        </w:rPr>
        <w:t> </w:t>
      </w:r>
      <w:r>
        <w:rPr>
          <w:rStyle w:val="CharPartText"/>
        </w:rPr>
        <w:t>Pharmacy business</w:t>
      </w:r>
      <w:bookmarkEnd w:id="239"/>
      <w:bookmarkEnd w:id="240"/>
      <w:bookmarkEnd w:id="241"/>
      <w:bookmarkEnd w:id="242"/>
      <w:bookmarkEnd w:id="243"/>
    </w:p>
    <w:p>
      <w:pPr>
        <w:pStyle w:val="Heading5"/>
        <w:spacing w:before="120"/>
      </w:pPr>
      <w:bookmarkStart w:id="244" w:name="_Toc392246416"/>
      <w:bookmarkStart w:id="245" w:name="_Toc455406311"/>
      <w:bookmarkStart w:id="246" w:name="_Toc452547646"/>
      <w:r>
        <w:rPr>
          <w:rStyle w:val="CharSectno"/>
        </w:rPr>
        <w:t>53</w:t>
      </w:r>
      <w:r>
        <w:t>.</w:t>
      </w:r>
      <w:r>
        <w:tab/>
        <w:t>Pharmacy business to be carried on at registered premises</w:t>
      </w:r>
      <w:bookmarkEnd w:id="244"/>
      <w:bookmarkEnd w:id="245"/>
      <w:bookmarkEnd w:id="246"/>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47" w:name="_Toc392246417"/>
      <w:bookmarkStart w:id="248" w:name="_Toc455406312"/>
      <w:bookmarkStart w:id="249" w:name="_Toc452547647"/>
      <w:r>
        <w:rPr>
          <w:rStyle w:val="CharSectno"/>
        </w:rPr>
        <w:t>54</w:t>
      </w:r>
      <w:r>
        <w:t>.</w:t>
      </w:r>
      <w:r>
        <w:tab/>
        <w:t>Ownership of, and interests in, pharmacy business</w:t>
      </w:r>
      <w:bookmarkEnd w:id="247"/>
      <w:bookmarkEnd w:id="248"/>
      <w:bookmarkEnd w:id="249"/>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50" w:name="_Toc392246418"/>
      <w:bookmarkStart w:id="251" w:name="_Toc455406313"/>
      <w:bookmarkStart w:id="252" w:name="_Toc452547648"/>
      <w:r>
        <w:rPr>
          <w:rStyle w:val="CharSectno"/>
        </w:rPr>
        <w:t>55</w:t>
      </w:r>
      <w:r>
        <w:t>.</w:t>
      </w:r>
      <w:r>
        <w:tab/>
        <w:t>Limit on ownership of, and interests in, pharmacy businesses</w:t>
      </w:r>
      <w:bookmarkEnd w:id="250"/>
      <w:bookmarkEnd w:id="251"/>
      <w:bookmarkEnd w:id="252"/>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53" w:name="_Toc392246419"/>
      <w:bookmarkStart w:id="254" w:name="_Toc455406314"/>
      <w:bookmarkStart w:id="255" w:name="_Toc452547649"/>
      <w:r>
        <w:rPr>
          <w:rStyle w:val="CharSectno"/>
        </w:rPr>
        <w:t>56</w:t>
      </w:r>
      <w:r>
        <w:t>.</w:t>
      </w:r>
      <w:r>
        <w:tab/>
        <w:t>Pharmacist to have overall responsibility for pharmacy business</w:t>
      </w:r>
      <w:bookmarkEnd w:id="253"/>
      <w:bookmarkEnd w:id="254"/>
      <w:bookmarkEnd w:id="255"/>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56" w:name="_Toc392246420"/>
      <w:bookmarkStart w:id="257" w:name="_Toc455406315"/>
      <w:bookmarkStart w:id="258" w:name="_Toc452547650"/>
      <w:r>
        <w:rPr>
          <w:rStyle w:val="CharSectno"/>
        </w:rPr>
        <w:t>57</w:t>
      </w:r>
      <w:r>
        <w:t>.</w:t>
      </w:r>
      <w:r>
        <w:tab/>
        <w:t>Supervision of pharmacy business by pharmacist</w:t>
      </w:r>
      <w:bookmarkEnd w:id="256"/>
      <w:bookmarkEnd w:id="257"/>
      <w:bookmarkEnd w:id="258"/>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59" w:name="_Toc392246421"/>
      <w:bookmarkStart w:id="260" w:name="_Toc455406316"/>
      <w:bookmarkStart w:id="261" w:name="_Toc452547651"/>
      <w:r>
        <w:rPr>
          <w:rStyle w:val="CharSectno"/>
        </w:rPr>
        <w:t>58</w:t>
      </w:r>
      <w:r>
        <w:t>.</w:t>
      </w:r>
      <w:r>
        <w:tab/>
        <w:t>Death or bankruptcy of pharmacist etc.</w:t>
      </w:r>
      <w:bookmarkEnd w:id="259"/>
      <w:bookmarkEnd w:id="260"/>
      <w:bookmarkEnd w:id="261"/>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62" w:name="_Toc392246422"/>
      <w:bookmarkStart w:id="263" w:name="_Toc455406317"/>
      <w:bookmarkStart w:id="264" w:name="_Toc452547652"/>
      <w:r>
        <w:rPr>
          <w:rStyle w:val="CharSectno"/>
        </w:rPr>
        <w:t>59</w:t>
      </w:r>
      <w:r>
        <w:t>.</w:t>
      </w:r>
      <w:r>
        <w:tab/>
        <w:t>Who may carry on a business that is not a pharmacy business at a registered pharmacy</w:t>
      </w:r>
      <w:bookmarkEnd w:id="262"/>
      <w:bookmarkEnd w:id="263"/>
      <w:bookmarkEnd w:id="264"/>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65" w:name="_Toc392246423"/>
      <w:bookmarkStart w:id="266" w:name="_Toc455406318"/>
      <w:bookmarkStart w:id="267" w:name="_Toc452547653"/>
      <w:r>
        <w:rPr>
          <w:rStyle w:val="CharSectno"/>
        </w:rPr>
        <w:t>60</w:t>
      </w:r>
      <w:r>
        <w:t>.</w:t>
      </w:r>
      <w:r>
        <w:tab/>
        <w:t>Use of title “pharmacy” etc. restricted</w:t>
      </w:r>
      <w:bookmarkEnd w:id="265"/>
      <w:bookmarkEnd w:id="266"/>
      <w:bookmarkEnd w:id="267"/>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68" w:name="_Toc392246424"/>
      <w:bookmarkStart w:id="269" w:name="_Toc424283993"/>
      <w:bookmarkStart w:id="270" w:name="_Toc452547654"/>
      <w:bookmarkStart w:id="271" w:name="_Toc455403322"/>
      <w:bookmarkStart w:id="272" w:name="_Toc455406319"/>
      <w:r>
        <w:rPr>
          <w:rStyle w:val="CharPartNo"/>
        </w:rPr>
        <w:t>Part 6</w:t>
      </w:r>
      <w:r>
        <w:rPr>
          <w:rStyle w:val="CharDivNo"/>
        </w:rPr>
        <w:t> </w:t>
      </w:r>
      <w:r>
        <w:t>—</w:t>
      </w:r>
      <w:r>
        <w:rPr>
          <w:rStyle w:val="CharDivText"/>
        </w:rPr>
        <w:t> </w:t>
      </w:r>
      <w:r>
        <w:rPr>
          <w:rStyle w:val="CharPartText"/>
        </w:rPr>
        <w:t>Rules, regulations and forms</w:t>
      </w:r>
      <w:bookmarkEnd w:id="268"/>
      <w:bookmarkEnd w:id="269"/>
      <w:bookmarkEnd w:id="270"/>
      <w:bookmarkEnd w:id="271"/>
      <w:bookmarkEnd w:id="272"/>
    </w:p>
    <w:p>
      <w:pPr>
        <w:pStyle w:val="Heading5"/>
      </w:pPr>
      <w:bookmarkStart w:id="273" w:name="_Toc392246425"/>
      <w:bookmarkStart w:id="274" w:name="_Toc455406320"/>
      <w:bookmarkStart w:id="275" w:name="_Toc452547655"/>
      <w:r>
        <w:rPr>
          <w:rStyle w:val="CharSectno"/>
        </w:rPr>
        <w:t>61</w:t>
      </w:r>
      <w:r>
        <w:t>.</w:t>
      </w:r>
      <w:r>
        <w:tab/>
        <w:t>Rules</w:t>
      </w:r>
      <w:bookmarkEnd w:id="273"/>
      <w:bookmarkEnd w:id="274"/>
      <w:bookmarkEnd w:id="275"/>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76" w:name="_Toc392246426"/>
      <w:bookmarkStart w:id="277" w:name="_Toc455406321"/>
      <w:bookmarkStart w:id="278" w:name="_Toc452547656"/>
      <w:r>
        <w:rPr>
          <w:rStyle w:val="CharSectno"/>
        </w:rPr>
        <w:t>62</w:t>
      </w:r>
      <w:r>
        <w:t>.</w:t>
      </w:r>
      <w:r>
        <w:tab/>
        <w:t>Regulations</w:t>
      </w:r>
      <w:bookmarkEnd w:id="276"/>
      <w:bookmarkEnd w:id="277"/>
      <w:bookmarkEnd w:id="278"/>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79" w:name="_Toc392246427"/>
      <w:bookmarkStart w:id="280" w:name="_Toc455406322"/>
      <w:bookmarkStart w:id="281" w:name="_Toc452547657"/>
      <w:r>
        <w:rPr>
          <w:rStyle w:val="CharSectno"/>
        </w:rPr>
        <w:t>63</w:t>
      </w:r>
      <w:r>
        <w:t>.</w:t>
      </w:r>
      <w:r>
        <w:tab/>
        <w:t>Forms</w:t>
      </w:r>
      <w:bookmarkEnd w:id="279"/>
      <w:bookmarkEnd w:id="280"/>
      <w:bookmarkEnd w:id="28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82" w:name="_Toc392246428"/>
      <w:bookmarkStart w:id="283" w:name="_Toc424283997"/>
      <w:bookmarkStart w:id="284" w:name="_Toc452547658"/>
      <w:bookmarkStart w:id="285" w:name="_Toc455403326"/>
      <w:bookmarkStart w:id="286" w:name="_Toc455406323"/>
      <w:r>
        <w:rPr>
          <w:rStyle w:val="CharPartNo"/>
        </w:rPr>
        <w:t>Part 7</w:t>
      </w:r>
      <w:r>
        <w:rPr>
          <w:rStyle w:val="CharDivNo"/>
        </w:rPr>
        <w:t> </w:t>
      </w:r>
      <w:r>
        <w:t>—</w:t>
      </w:r>
      <w:r>
        <w:rPr>
          <w:rStyle w:val="CharDivText"/>
        </w:rPr>
        <w:t> </w:t>
      </w:r>
      <w:r>
        <w:rPr>
          <w:rStyle w:val="CharPartText"/>
        </w:rPr>
        <w:t>Miscellaneous</w:t>
      </w:r>
      <w:bookmarkEnd w:id="282"/>
      <w:bookmarkEnd w:id="283"/>
      <w:bookmarkEnd w:id="284"/>
      <w:bookmarkEnd w:id="285"/>
      <w:bookmarkEnd w:id="286"/>
    </w:p>
    <w:p>
      <w:pPr>
        <w:pStyle w:val="Heading5"/>
      </w:pPr>
      <w:bookmarkStart w:id="287" w:name="_Toc392246429"/>
      <w:bookmarkStart w:id="288" w:name="_Toc455406324"/>
      <w:bookmarkStart w:id="289" w:name="_Toc452547659"/>
      <w:r>
        <w:rPr>
          <w:rStyle w:val="CharSectno"/>
        </w:rPr>
        <w:t>64</w:t>
      </w:r>
      <w:r>
        <w:t>.</w:t>
      </w:r>
      <w:r>
        <w:tab/>
        <w:t>False or misleading information</w:t>
      </w:r>
      <w:bookmarkEnd w:id="287"/>
      <w:bookmarkEnd w:id="288"/>
      <w:bookmarkEnd w:id="289"/>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90" w:name="_Toc392246430"/>
      <w:bookmarkStart w:id="291" w:name="_Toc455406325"/>
      <w:bookmarkStart w:id="292" w:name="_Toc452547660"/>
      <w:r>
        <w:rPr>
          <w:rStyle w:val="CharSectno"/>
        </w:rPr>
        <w:t>65</w:t>
      </w:r>
      <w:r>
        <w:t>.</w:t>
      </w:r>
      <w:r>
        <w:tab/>
        <w:t>Surrender of certificate</w:t>
      </w:r>
      <w:bookmarkEnd w:id="290"/>
      <w:bookmarkEnd w:id="291"/>
      <w:bookmarkEnd w:id="292"/>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93" w:name="_Toc392246431"/>
      <w:bookmarkStart w:id="294" w:name="_Toc455406326"/>
      <w:bookmarkStart w:id="295" w:name="_Toc452547661"/>
      <w:r>
        <w:rPr>
          <w:rStyle w:val="CharSectno"/>
        </w:rPr>
        <w:t>66</w:t>
      </w:r>
      <w:r>
        <w:t>.</w:t>
      </w:r>
      <w:r>
        <w:tab/>
        <w:t>Protection from liability</w:t>
      </w:r>
      <w:bookmarkEnd w:id="293"/>
      <w:bookmarkEnd w:id="294"/>
      <w:bookmarkEnd w:id="295"/>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96" w:name="_Toc392246432"/>
      <w:bookmarkStart w:id="297" w:name="_Toc455406327"/>
      <w:bookmarkStart w:id="298" w:name="_Toc452547662"/>
      <w:r>
        <w:rPr>
          <w:rStyle w:val="CharSectno"/>
        </w:rPr>
        <w:t>67</w:t>
      </w:r>
      <w:r>
        <w:t>.</w:t>
      </w:r>
      <w:r>
        <w:tab/>
        <w:t>Notice of decisions to be given</w:t>
      </w:r>
      <w:bookmarkEnd w:id="296"/>
      <w:bookmarkEnd w:id="297"/>
      <w:bookmarkEnd w:id="298"/>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99" w:name="_Toc392246433"/>
      <w:bookmarkStart w:id="300" w:name="_Toc455406328"/>
      <w:bookmarkStart w:id="301" w:name="_Toc452547663"/>
      <w:r>
        <w:rPr>
          <w:rStyle w:val="CharSectno"/>
        </w:rPr>
        <w:t>68</w:t>
      </w:r>
      <w:r>
        <w:t>.</w:t>
      </w:r>
      <w:r>
        <w:tab/>
        <w:t>Review</w:t>
      </w:r>
      <w:bookmarkEnd w:id="299"/>
      <w:bookmarkEnd w:id="300"/>
      <w:bookmarkEnd w:id="301"/>
    </w:p>
    <w:p>
      <w:pPr>
        <w:pStyle w:val="Subsection"/>
      </w:pPr>
      <w:r>
        <w:tab/>
      </w:r>
      <w:r>
        <w:tab/>
        <w:t>A person who is aggrieved by a decision referred to in section 67(1) may apply to the State Administrative Tribunal for a review of the decision.</w:t>
      </w:r>
    </w:p>
    <w:p>
      <w:pPr>
        <w:pStyle w:val="Heading5"/>
      </w:pPr>
      <w:bookmarkStart w:id="302" w:name="_Toc392246434"/>
      <w:bookmarkStart w:id="303" w:name="_Toc455406329"/>
      <w:bookmarkStart w:id="304" w:name="_Toc452547664"/>
      <w:r>
        <w:rPr>
          <w:rStyle w:val="CharSectno"/>
        </w:rPr>
        <w:t>69</w:t>
      </w:r>
      <w:r>
        <w:t>.</w:t>
      </w:r>
      <w:r>
        <w:tab/>
        <w:t>Publication of proceedings etc.</w:t>
      </w:r>
      <w:bookmarkEnd w:id="302"/>
      <w:bookmarkEnd w:id="303"/>
      <w:bookmarkEnd w:id="304"/>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305" w:name="_Toc392246435"/>
      <w:bookmarkStart w:id="306" w:name="_Toc455406330"/>
      <w:bookmarkStart w:id="307" w:name="_Toc452547665"/>
      <w:r>
        <w:rPr>
          <w:rStyle w:val="CharSectno"/>
        </w:rPr>
        <w:t>70</w:t>
      </w:r>
      <w:r>
        <w:t>.</w:t>
      </w:r>
      <w:r>
        <w:tab/>
        <w:t>Legal proceedings</w:t>
      </w:r>
      <w:bookmarkEnd w:id="305"/>
      <w:bookmarkEnd w:id="306"/>
      <w:bookmarkEnd w:id="307"/>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308" w:name="_Toc392246436"/>
      <w:bookmarkStart w:id="309" w:name="_Toc455406331"/>
      <w:bookmarkStart w:id="310" w:name="_Toc452547666"/>
      <w:r>
        <w:rPr>
          <w:rStyle w:val="CharSectno"/>
        </w:rPr>
        <w:t>71</w:t>
      </w:r>
      <w:r>
        <w:t>.</w:t>
      </w:r>
      <w:r>
        <w:tab/>
        <w:t>Liability of certain officers of body corporate: offences</w:t>
      </w:r>
      <w:bookmarkEnd w:id="308"/>
      <w:bookmarkEnd w:id="309"/>
      <w:bookmarkEnd w:id="310"/>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311" w:name="_Toc392246437"/>
      <w:bookmarkStart w:id="312" w:name="_Toc455406332"/>
      <w:bookmarkStart w:id="313" w:name="_Toc452547667"/>
      <w:r>
        <w:rPr>
          <w:rStyle w:val="CharSectno"/>
        </w:rPr>
        <w:t>72</w:t>
      </w:r>
      <w:r>
        <w:t>.</w:t>
      </w:r>
      <w:r>
        <w:tab/>
        <w:t>Review of Act</w:t>
      </w:r>
      <w:bookmarkEnd w:id="311"/>
      <w:bookmarkEnd w:id="312"/>
      <w:bookmarkEnd w:id="313"/>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314" w:name="_Toc392246438"/>
      <w:bookmarkStart w:id="315" w:name="_Toc424284007"/>
      <w:bookmarkStart w:id="316" w:name="_Toc452547668"/>
      <w:bookmarkStart w:id="317" w:name="_Toc455403336"/>
      <w:bookmarkStart w:id="318" w:name="_Toc455406333"/>
      <w:r>
        <w:rPr>
          <w:rStyle w:val="CharPartNo"/>
        </w:rPr>
        <w:t>Part 8</w:t>
      </w:r>
      <w:r>
        <w:t> — </w:t>
      </w:r>
      <w:r>
        <w:rPr>
          <w:rStyle w:val="CharPartText"/>
        </w:rPr>
        <w:t>Consequential amendments</w:t>
      </w:r>
      <w:bookmarkEnd w:id="314"/>
      <w:bookmarkEnd w:id="315"/>
      <w:bookmarkEnd w:id="316"/>
      <w:bookmarkEnd w:id="317"/>
      <w:bookmarkEnd w:id="318"/>
    </w:p>
    <w:p>
      <w:pPr>
        <w:pStyle w:val="Heading3"/>
      </w:pPr>
      <w:bookmarkStart w:id="319" w:name="_Toc392246439"/>
      <w:bookmarkStart w:id="320" w:name="_Toc424284008"/>
      <w:bookmarkStart w:id="321" w:name="_Toc452547669"/>
      <w:bookmarkStart w:id="322" w:name="_Toc455403337"/>
      <w:bookmarkStart w:id="323" w:name="_Toc455406334"/>
      <w:r>
        <w:rPr>
          <w:rStyle w:val="CharDivNo"/>
        </w:rPr>
        <w:t>Division 1</w:t>
      </w:r>
      <w:r>
        <w:t> — </w:t>
      </w:r>
      <w:r>
        <w:rPr>
          <w:rStyle w:val="CharDivText"/>
          <w:i/>
          <w:iCs/>
        </w:rPr>
        <w:t>Constitution Acts Amendment Act 1899</w:t>
      </w:r>
      <w:r>
        <w:rPr>
          <w:rStyle w:val="CharDivText"/>
        </w:rPr>
        <w:t xml:space="preserve"> amended</w:t>
      </w:r>
      <w:bookmarkEnd w:id="319"/>
      <w:bookmarkEnd w:id="320"/>
      <w:bookmarkEnd w:id="321"/>
      <w:bookmarkEnd w:id="322"/>
      <w:bookmarkEnd w:id="323"/>
    </w:p>
    <w:p>
      <w:pPr>
        <w:pStyle w:val="Heading5"/>
      </w:pPr>
      <w:bookmarkStart w:id="324" w:name="_Toc392246440"/>
      <w:bookmarkStart w:id="325" w:name="_Toc455406335"/>
      <w:bookmarkStart w:id="326" w:name="_Toc452547670"/>
      <w:r>
        <w:rPr>
          <w:rStyle w:val="CharSectno"/>
        </w:rPr>
        <w:t>73</w:t>
      </w:r>
      <w:r>
        <w:t>.</w:t>
      </w:r>
      <w:r>
        <w:tab/>
        <w:t>Act amended</w:t>
      </w:r>
      <w:bookmarkEnd w:id="324"/>
      <w:bookmarkEnd w:id="325"/>
      <w:bookmarkEnd w:id="326"/>
    </w:p>
    <w:p>
      <w:pPr>
        <w:pStyle w:val="Subsection"/>
      </w:pPr>
      <w:r>
        <w:tab/>
      </w:r>
      <w:r>
        <w:tab/>
        <w:t>This Division amends the</w:t>
      </w:r>
      <w:r>
        <w:rPr>
          <w:i/>
          <w:iCs/>
        </w:rPr>
        <w:t xml:space="preserve"> Constitution Acts Amendment Act 1899</w:t>
      </w:r>
      <w:r>
        <w:t>.</w:t>
      </w:r>
    </w:p>
    <w:p>
      <w:pPr>
        <w:pStyle w:val="Heading5"/>
      </w:pPr>
      <w:bookmarkStart w:id="327" w:name="_Toc392246441"/>
      <w:bookmarkStart w:id="328" w:name="_Toc455406336"/>
      <w:bookmarkStart w:id="329" w:name="_Toc452547671"/>
      <w:r>
        <w:rPr>
          <w:rStyle w:val="CharSectno"/>
        </w:rPr>
        <w:t>74</w:t>
      </w:r>
      <w:r>
        <w:t>.</w:t>
      </w:r>
      <w:r>
        <w:tab/>
        <w:t>Schedule V Part 3 amended</w:t>
      </w:r>
      <w:bookmarkEnd w:id="327"/>
      <w:bookmarkEnd w:id="328"/>
      <w:bookmarkEnd w:id="329"/>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330" w:name="_Toc392246442"/>
      <w:bookmarkStart w:id="331" w:name="_Toc424284011"/>
      <w:bookmarkStart w:id="332" w:name="_Toc452547672"/>
      <w:bookmarkStart w:id="333" w:name="_Toc455403340"/>
      <w:bookmarkStart w:id="334" w:name="_Toc455406337"/>
      <w:r>
        <w:rPr>
          <w:rStyle w:val="CharDivNo"/>
        </w:rPr>
        <w:t>Division 2</w:t>
      </w:r>
      <w:r>
        <w:t> — </w:t>
      </w:r>
      <w:r>
        <w:rPr>
          <w:rStyle w:val="CharDivText"/>
          <w:i/>
          <w:iCs/>
        </w:rPr>
        <w:t>State Administrative Tribunal Act 2004</w:t>
      </w:r>
      <w:r>
        <w:rPr>
          <w:rStyle w:val="CharDivText"/>
        </w:rPr>
        <w:t xml:space="preserve"> amended</w:t>
      </w:r>
      <w:bookmarkEnd w:id="330"/>
      <w:bookmarkEnd w:id="331"/>
      <w:bookmarkEnd w:id="332"/>
      <w:bookmarkEnd w:id="333"/>
      <w:bookmarkEnd w:id="334"/>
    </w:p>
    <w:p>
      <w:pPr>
        <w:pStyle w:val="Heading5"/>
      </w:pPr>
      <w:bookmarkStart w:id="335" w:name="_Toc392246443"/>
      <w:bookmarkStart w:id="336" w:name="_Toc455406338"/>
      <w:bookmarkStart w:id="337" w:name="_Toc452547673"/>
      <w:r>
        <w:rPr>
          <w:rStyle w:val="CharSectno"/>
        </w:rPr>
        <w:t>75</w:t>
      </w:r>
      <w:r>
        <w:t>.</w:t>
      </w:r>
      <w:r>
        <w:tab/>
        <w:t>Act amended</w:t>
      </w:r>
      <w:bookmarkEnd w:id="335"/>
      <w:bookmarkEnd w:id="336"/>
      <w:bookmarkEnd w:id="337"/>
    </w:p>
    <w:p>
      <w:pPr>
        <w:pStyle w:val="Subsection"/>
      </w:pPr>
      <w:r>
        <w:tab/>
      </w:r>
      <w:r>
        <w:tab/>
        <w:t>This Division amends the</w:t>
      </w:r>
      <w:r>
        <w:rPr>
          <w:i/>
          <w:iCs/>
        </w:rPr>
        <w:t xml:space="preserve"> State Administrative Tribunal Act 2004</w:t>
      </w:r>
      <w:r>
        <w:t>.</w:t>
      </w:r>
    </w:p>
    <w:p>
      <w:pPr>
        <w:pStyle w:val="Heading5"/>
      </w:pPr>
      <w:bookmarkStart w:id="338" w:name="_Toc392246444"/>
      <w:bookmarkStart w:id="339" w:name="_Toc455406339"/>
      <w:bookmarkStart w:id="340" w:name="_Toc452547674"/>
      <w:r>
        <w:rPr>
          <w:rStyle w:val="CharSectno"/>
        </w:rPr>
        <w:t>76</w:t>
      </w:r>
      <w:r>
        <w:t>.</w:t>
      </w:r>
      <w:r>
        <w:tab/>
        <w:t>Schedule 1 amended</w:t>
      </w:r>
      <w:bookmarkEnd w:id="338"/>
      <w:bookmarkEnd w:id="339"/>
      <w:bookmarkEnd w:id="340"/>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341" w:name="_Toc392246445"/>
      <w:bookmarkStart w:id="342" w:name="_Toc424284014"/>
      <w:bookmarkStart w:id="343" w:name="_Toc452547675"/>
      <w:bookmarkStart w:id="344" w:name="_Toc455403343"/>
      <w:bookmarkStart w:id="345" w:name="_Toc455406340"/>
      <w:r>
        <w:rPr>
          <w:rStyle w:val="CharPartNo"/>
        </w:rPr>
        <w:t>Part 9</w:t>
      </w:r>
      <w:r>
        <w:t> — </w:t>
      </w:r>
      <w:r>
        <w:rPr>
          <w:rStyle w:val="CharPartText"/>
        </w:rPr>
        <w:t>Transitional and savings provisions</w:t>
      </w:r>
      <w:bookmarkEnd w:id="341"/>
      <w:bookmarkEnd w:id="342"/>
      <w:bookmarkEnd w:id="343"/>
      <w:bookmarkEnd w:id="344"/>
      <w:bookmarkEnd w:id="345"/>
    </w:p>
    <w:p>
      <w:pPr>
        <w:pStyle w:val="Heading3"/>
      </w:pPr>
      <w:bookmarkStart w:id="346" w:name="_Toc392246446"/>
      <w:bookmarkStart w:id="347" w:name="_Toc424284015"/>
      <w:bookmarkStart w:id="348" w:name="_Toc452547676"/>
      <w:bookmarkStart w:id="349" w:name="_Toc455403344"/>
      <w:bookmarkStart w:id="350" w:name="_Toc455406341"/>
      <w:r>
        <w:rPr>
          <w:rStyle w:val="CharDivNo"/>
        </w:rPr>
        <w:t>Division 1</w:t>
      </w:r>
      <w:r>
        <w:t> — </w:t>
      </w:r>
      <w:r>
        <w:rPr>
          <w:rStyle w:val="CharDivText"/>
        </w:rPr>
        <w:t>Preliminary</w:t>
      </w:r>
      <w:bookmarkEnd w:id="346"/>
      <w:bookmarkEnd w:id="347"/>
      <w:bookmarkEnd w:id="348"/>
      <w:bookmarkEnd w:id="349"/>
      <w:bookmarkEnd w:id="350"/>
    </w:p>
    <w:p>
      <w:pPr>
        <w:pStyle w:val="Heading5"/>
      </w:pPr>
      <w:bookmarkStart w:id="351" w:name="_Toc392246447"/>
      <w:bookmarkStart w:id="352" w:name="_Toc455406342"/>
      <w:bookmarkStart w:id="353" w:name="_Toc452547677"/>
      <w:r>
        <w:rPr>
          <w:rStyle w:val="CharSectno"/>
        </w:rPr>
        <w:t>77</w:t>
      </w:r>
      <w:r>
        <w:t>.</w:t>
      </w:r>
      <w:r>
        <w:tab/>
        <w:t>Terms used</w:t>
      </w:r>
      <w:bookmarkEnd w:id="351"/>
      <w:bookmarkEnd w:id="352"/>
      <w:bookmarkEnd w:id="353"/>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54" w:name="_Toc392246448"/>
      <w:bookmarkStart w:id="355" w:name="_Toc455406343"/>
      <w:bookmarkStart w:id="356" w:name="_Toc452547678"/>
      <w:r>
        <w:rPr>
          <w:rStyle w:val="CharSectno"/>
        </w:rPr>
        <w:t>78</w:t>
      </w:r>
      <w:r>
        <w:t>.</w:t>
      </w:r>
      <w:r>
        <w:tab/>
      </w:r>
      <w:r>
        <w:rPr>
          <w:i/>
          <w:iCs/>
        </w:rPr>
        <w:t>Interpretation Act 1984</w:t>
      </w:r>
      <w:r>
        <w:t xml:space="preserve"> not affected</w:t>
      </w:r>
      <w:bookmarkEnd w:id="354"/>
      <w:bookmarkEnd w:id="355"/>
      <w:bookmarkEnd w:id="356"/>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57" w:name="_Toc392246449"/>
      <w:bookmarkStart w:id="358" w:name="_Toc424284018"/>
      <w:bookmarkStart w:id="359" w:name="_Toc452547679"/>
      <w:bookmarkStart w:id="360" w:name="_Toc455403347"/>
      <w:bookmarkStart w:id="361" w:name="_Toc455406344"/>
      <w:r>
        <w:rPr>
          <w:rStyle w:val="CharDivNo"/>
        </w:rPr>
        <w:t>Division 2</w:t>
      </w:r>
      <w:r>
        <w:t> — </w:t>
      </w:r>
      <w:r>
        <w:rPr>
          <w:rStyle w:val="CharDivText"/>
        </w:rPr>
        <w:t>The Pharmacy Registration Board of Western Australia</w:t>
      </w:r>
      <w:bookmarkEnd w:id="357"/>
      <w:bookmarkEnd w:id="358"/>
      <w:bookmarkEnd w:id="359"/>
      <w:bookmarkEnd w:id="360"/>
      <w:bookmarkEnd w:id="361"/>
    </w:p>
    <w:p>
      <w:pPr>
        <w:pStyle w:val="Heading5"/>
      </w:pPr>
      <w:bookmarkStart w:id="362" w:name="_Toc392246450"/>
      <w:bookmarkStart w:id="363" w:name="_Toc455406345"/>
      <w:bookmarkStart w:id="364" w:name="_Toc452547680"/>
      <w:r>
        <w:rPr>
          <w:rStyle w:val="CharSectno"/>
        </w:rPr>
        <w:t>79</w:t>
      </w:r>
      <w:r>
        <w:t>.</w:t>
      </w:r>
      <w:r>
        <w:tab/>
        <w:t>New Board is a continuation of the former Council in relation to certain matters</w:t>
      </w:r>
      <w:bookmarkEnd w:id="362"/>
      <w:bookmarkEnd w:id="363"/>
      <w:bookmarkEnd w:id="364"/>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65" w:name="_Toc392246451"/>
      <w:bookmarkStart w:id="366" w:name="_Toc455406346"/>
      <w:bookmarkStart w:id="367" w:name="_Toc452547681"/>
      <w:r>
        <w:rPr>
          <w:rStyle w:val="CharSectno"/>
        </w:rPr>
        <w:t>80</w:t>
      </w:r>
      <w:r>
        <w:t>.</w:t>
      </w:r>
      <w:r>
        <w:tab/>
        <w:t>Members of former Council cease to hold office</w:t>
      </w:r>
      <w:bookmarkEnd w:id="365"/>
      <w:bookmarkEnd w:id="366"/>
      <w:bookmarkEnd w:id="367"/>
    </w:p>
    <w:p>
      <w:pPr>
        <w:pStyle w:val="Subsection"/>
      </w:pPr>
      <w:r>
        <w:tab/>
      </w:r>
      <w:r>
        <w:tab/>
        <w:t>A person who was a member of the former Council immediately before the commencement day ceases to be a member on that day.</w:t>
      </w:r>
    </w:p>
    <w:p>
      <w:pPr>
        <w:pStyle w:val="Heading5"/>
      </w:pPr>
      <w:bookmarkStart w:id="368" w:name="_Toc392246452"/>
      <w:bookmarkStart w:id="369" w:name="_Toc455406347"/>
      <w:bookmarkStart w:id="370" w:name="_Toc452547682"/>
      <w:r>
        <w:rPr>
          <w:rStyle w:val="CharSectno"/>
        </w:rPr>
        <w:t>81</w:t>
      </w:r>
      <w:r>
        <w:t>.</w:t>
      </w:r>
      <w:r>
        <w:tab/>
        <w:t>Board members</w:t>
      </w:r>
      <w:bookmarkEnd w:id="368"/>
      <w:bookmarkEnd w:id="369"/>
      <w:bookmarkEnd w:id="370"/>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71" w:name="_Toc392246453"/>
      <w:bookmarkStart w:id="372" w:name="_Toc455406348"/>
      <w:bookmarkStart w:id="373" w:name="_Toc452547683"/>
      <w:r>
        <w:rPr>
          <w:rStyle w:val="CharSectno"/>
        </w:rPr>
        <w:t>82</w:t>
      </w:r>
      <w:r>
        <w:t>.</w:t>
      </w:r>
      <w:r>
        <w:tab/>
        <w:t>The registrar and other staff</w:t>
      </w:r>
      <w:bookmarkEnd w:id="371"/>
      <w:bookmarkEnd w:id="372"/>
      <w:bookmarkEnd w:id="37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74" w:name="_Toc392246454"/>
      <w:bookmarkStart w:id="375" w:name="_Toc455406349"/>
      <w:bookmarkStart w:id="376" w:name="_Toc452547684"/>
      <w:r>
        <w:rPr>
          <w:rStyle w:val="CharSectno"/>
        </w:rPr>
        <w:t>83</w:t>
      </w:r>
      <w:r>
        <w:t>.</w:t>
      </w:r>
      <w:r>
        <w:tab/>
        <w:t>Registered pharmacies</w:t>
      </w:r>
      <w:bookmarkEnd w:id="374"/>
      <w:bookmarkEnd w:id="375"/>
      <w:bookmarkEnd w:id="376"/>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77" w:name="_Toc392246455"/>
      <w:bookmarkStart w:id="378" w:name="_Toc455406350"/>
      <w:bookmarkStart w:id="379" w:name="_Toc452547685"/>
      <w:r>
        <w:rPr>
          <w:rStyle w:val="CharSectno"/>
        </w:rPr>
        <w:t>84</w:t>
      </w:r>
      <w:r>
        <w:t>.</w:t>
      </w:r>
      <w:r>
        <w:tab/>
        <w:t>Register</w:t>
      </w:r>
      <w:bookmarkEnd w:id="377"/>
      <w:bookmarkEnd w:id="378"/>
      <w:bookmarkEnd w:id="379"/>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80" w:name="_Toc392246456"/>
      <w:bookmarkStart w:id="381" w:name="_Toc455406351"/>
      <w:bookmarkStart w:id="382" w:name="_Toc452547686"/>
      <w:r>
        <w:rPr>
          <w:rStyle w:val="CharSectno"/>
        </w:rPr>
        <w:t>85</w:t>
      </w:r>
      <w:r>
        <w:t>.</w:t>
      </w:r>
      <w:r>
        <w:tab/>
        <w:t>Certificates of registration issued under the repealed Act</w:t>
      </w:r>
      <w:bookmarkEnd w:id="380"/>
      <w:bookmarkEnd w:id="381"/>
      <w:bookmarkEnd w:id="382"/>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83" w:name="_Toc392246457"/>
      <w:bookmarkStart w:id="384" w:name="_Toc455406352"/>
      <w:bookmarkStart w:id="385" w:name="_Toc452547687"/>
      <w:r>
        <w:rPr>
          <w:rStyle w:val="CharSectno"/>
        </w:rPr>
        <w:t>86</w:t>
      </w:r>
      <w:r>
        <w:t>.</w:t>
      </w:r>
      <w:r>
        <w:tab/>
        <w:t>Agreements and instruments</w:t>
      </w:r>
      <w:bookmarkEnd w:id="383"/>
      <w:bookmarkEnd w:id="384"/>
      <w:bookmarkEnd w:id="385"/>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86" w:name="_Toc392246458"/>
      <w:bookmarkStart w:id="387" w:name="_Toc455406353"/>
      <w:bookmarkStart w:id="388" w:name="_Toc452547688"/>
      <w:r>
        <w:rPr>
          <w:rStyle w:val="CharSectno"/>
        </w:rPr>
        <w:t>87</w:t>
      </w:r>
      <w:r>
        <w:t>.</w:t>
      </w:r>
      <w:r>
        <w:tab/>
        <w:t>Annual report for part of a year</w:t>
      </w:r>
      <w:bookmarkEnd w:id="386"/>
      <w:bookmarkEnd w:id="387"/>
      <w:bookmarkEnd w:id="38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89" w:name="_Toc392246459"/>
      <w:bookmarkStart w:id="390" w:name="_Toc424284028"/>
      <w:bookmarkStart w:id="391" w:name="_Toc452547689"/>
      <w:bookmarkStart w:id="392" w:name="_Toc455403357"/>
      <w:bookmarkStart w:id="393" w:name="_Toc455406354"/>
      <w:r>
        <w:rPr>
          <w:rStyle w:val="CharDivNo"/>
        </w:rPr>
        <w:t>Division 3</w:t>
      </w:r>
      <w:r>
        <w:t> — </w:t>
      </w:r>
      <w:r>
        <w:rPr>
          <w:rStyle w:val="CharDivText"/>
        </w:rPr>
        <w:t>Incorporated Pharmaceutical Society</w:t>
      </w:r>
      <w:bookmarkEnd w:id="389"/>
      <w:bookmarkEnd w:id="390"/>
      <w:bookmarkEnd w:id="391"/>
      <w:bookmarkEnd w:id="392"/>
      <w:bookmarkEnd w:id="393"/>
    </w:p>
    <w:p>
      <w:pPr>
        <w:pStyle w:val="Heading5"/>
      </w:pPr>
      <w:bookmarkStart w:id="394" w:name="_Toc392246460"/>
      <w:bookmarkStart w:id="395" w:name="_Toc455406355"/>
      <w:bookmarkStart w:id="396" w:name="_Toc452547690"/>
      <w:r>
        <w:rPr>
          <w:rStyle w:val="CharSectno"/>
        </w:rPr>
        <w:t>88</w:t>
      </w:r>
      <w:r>
        <w:t>.</w:t>
      </w:r>
      <w:r>
        <w:tab/>
        <w:t>Incorporation of Pharmaceutical Society</w:t>
      </w:r>
      <w:bookmarkEnd w:id="394"/>
      <w:bookmarkEnd w:id="395"/>
      <w:bookmarkEnd w:id="396"/>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97" w:name="_Toc392246461"/>
      <w:bookmarkStart w:id="398" w:name="_Toc455406356"/>
      <w:bookmarkStart w:id="399" w:name="_Toc452547691"/>
      <w:r>
        <w:rPr>
          <w:rStyle w:val="CharSectno"/>
        </w:rPr>
        <w:t>89</w:t>
      </w:r>
      <w:r>
        <w:t>.</w:t>
      </w:r>
      <w:r>
        <w:tab/>
        <w:t>Transfer of certain assets and liabilities to the incorporated Pharmaceutical Society</w:t>
      </w:r>
      <w:bookmarkEnd w:id="397"/>
      <w:bookmarkEnd w:id="398"/>
      <w:bookmarkEnd w:id="399"/>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400" w:name="_Toc392246462"/>
      <w:bookmarkStart w:id="401" w:name="_Toc455406357"/>
      <w:bookmarkStart w:id="402" w:name="_Toc452547692"/>
      <w:r>
        <w:rPr>
          <w:rStyle w:val="CharSectno"/>
        </w:rPr>
        <w:t>90</w:t>
      </w:r>
      <w:r>
        <w:t>.</w:t>
      </w:r>
      <w:r>
        <w:tab/>
        <w:t>Agreements and instruments</w:t>
      </w:r>
      <w:bookmarkEnd w:id="400"/>
      <w:bookmarkEnd w:id="401"/>
      <w:bookmarkEnd w:id="402"/>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403" w:name="_Toc392246463"/>
      <w:bookmarkStart w:id="404" w:name="_Toc424284032"/>
      <w:bookmarkStart w:id="405" w:name="_Toc452547693"/>
      <w:bookmarkStart w:id="406" w:name="_Toc455403361"/>
      <w:bookmarkStart w:id="407" w:name="_Toc455406358"/>
      <w:r>
        <w:rPr>
          <w:rStyle w:val="CharDivNo"/>
        </w:rPr>
        <w:t>Division 4</w:t>
      </w:r>
      <w:r>
        <w:t> — </w:t>
      </w:r>
      <w:r>
        <w:rPr>
          <w:rStyle w:val="CharDivText"/>
        </w:rPr>
        <w:t>Miscellaneous</w:t>
      </w:r>
      <w:bookmarkEnd w:id="403"/>
      <w:bookmarkEnd w:id="404"/>
      <w:bookmarkEnd w:id="405"/>
      <w:bookmarkEnd w:id="406"/>
      <w:bookmarkEnd w:id="407"/>
    </w:p>
    <w:p>
      <w:pPr>
        <w:pStyle w:val="Heading5"/>
      </w:pPr>
      <w:bookmarkStart w:id="408" w:name="_Toc392246464"/>
      <w:bookmarkStart w:id="409" w:name="_Toc455406359"/>
      <w:bookmarkStart w:id="410" w:name="_Toc452547694"/>
      <w:r>
        <w:rPr>
          <w:rStyle w:val="CharSectno"/>
        </w:rPr>
        <w:t>91</w:t>
      </w:r>
      <w:r>
        <w:t>.</w:t>
      </w:r>
      <w:r>
        <w:tab/>
        <w:t>Exemption from State taxation</w:t>
      </w:r>
      <w:bookmarkEnd w:id="408"/>
      <w:bookmarkEnd w:id="409"/>
      <w:bookmarkEnd w:id="410"/>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411" w:name="_Toc392246465"/>
      <w:bookmarkStart w:id="412" w:name="_Toc455406360"/>
      <w:bookmarkStart w:id="413" w:name="_Toc452547695"/>
      <w:r>
        <w:rPr>
          <w:rStyle w:val="CharSectno"/>
        </w:rPr>
        <w:t>92</w:t>
      </w:r>
      <w:r>
        <w:t>.</w:t>
      </w:r>
      <w:r>
        <w:tab/>
        <w:t>Registration of documents</w:t>
      </w:r>
      <w:bookmarkEnd w:id="411"/>
      <w:bookmarkEnd w:id="412"/>
      <w:bookmarkEnd w:id="413"/>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414" w:name="_Toc392246466"/>
      <w:bookmarkStart w:id="415" w:name="_Toc455406361"/>
      <w:bookmarkStart w:id="416" w:name="_Toc452547696"/>
      <w:r>
        <w:rPr>
          <w:rStyle w:val="CharSectno"/>
        </w:rPr>
        <w:t>93</w:t>
      </w:r>
      <w:r>
        <w:t>.</w:t>
      </w:r>
      <w:r>
        <w:tab/>
        <w:t>Saving</w:t>
      </w:r>
      <w:bookmarkEnd w:id="414"/>
      <w:bookmarkEnd w:id="415"/>
      <w:bookmarkEnd w:id="416"/>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417" w:name="_Toc392246467"/>
      <w:bookmarkStart w:id="418" w:name="_Toc455406362"/>
      <w:bookmarkStart w:id="419" w:name="_Toc452547697"/>
      <w:r>
        <w:rPr>
          <w:rStyle w:val="CharSectno"/>
        </w:rPr>
        <w:t>94</w:t>
      </w:r>
      <w:r>
        <w:t>.</w:t>
      </w:r>
      <w:r>
        <w:tab/>
        <w:t>Powers in relation to transitional provision</w:t>
      </w:r>
      <w:bookmarkEnd w:id="417"/>
      <w:bookmarkEnd w:id="418"/>
      <w:bookmarkEnd w:id="419"/>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420" w:name="_Toc392246468"/>
      <w:bookmarkStart w:id="421" w:name="_Toc424284037"/>
      <w:bookmarkStart w:id="422" w:name="_Toc452547698"/>
      <w:bookmarkStart w:id="423" w:name="_Toc455403366"/>
      <w:bookmarkStart w:id="424" w:name="_Toc455406363"/>
      <w:r>
        <w:t>Notes</w:t>
      </w:r>
      <w:bookmarkEnd w:id="420"/>
      <w:bookmarkEnd w:id="421"/>
      <w:bookmarkEnd w:id="422"/>
      <w:bookmarkEnd w:id="423"/>
      <w:bookmarkEnd w:id="424"/>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del w:id="425" w:author="svcMRProcess" w:date="2018-09-18T18:31:00Z">
        <w:r>
          <w:rPr>
            <w:snapToGrid w:val="0"/>
          </w:rPr>
          <w:delText>.  The</w:delText>
        </w:r>
      </w:del>
      <w:ins w:id="426" w:author="svcMRProcess" w:date="2018-09-18T18:31:00Z">
        <w:r>
          <w:rPr>
            <w:snapToGrid w:val="0"/>
          </w:rPr>
          <w:t xml:space="preserve"> and includes the amendments made by the other written laws referred to in the</w:t>
        </w:r>
      </w:ins>
      <w:r>
        <w:rPr>
          <w:snapToGrid w:val="0"/>
        </w:rPr>
        <w:t xml:space="preserve"> following table</w:t>
      </w:r>
      <w:del w:id="427" w:author="svcMRProcess" w:date="2018-09-18T18:31:00Z">
        <w:r>
          <w:rPr>
            <w:snapToGrid w:val="0"/>
          </w:rPr>
          <w:delText xml:space="preserve"> contains information about that Act</w:delText>
        </w:r>
      </w:del>
      <w:r>
        <w:rPr>
          <w:snapToGrid w:val="0"/>
          <w:vertAlign w:val="superscript"/>
        </w:rPr>
        <w:t> 1a</w:t>
      </w:r>
      <w:r>
        <w:rPr>
          <w:snapToGrid w:val="0"/>
        </w:rPr>
        <w:t>.</w:t>
      </w:r>
    </w:p>
    <w:p>
      <w:pPr>
        <w:pStyle w:val="nHeading3"/>
        <w:rPr>
          <w:snapToGrid w:val="0"/>
        </w:rPr>
      </w:pPr>
      <w:bookmarkStart w:id="428" w:name="_Toc392246469"/>
      <w:bookmarkStart w:id="429" w:name="_Toc455406364"/>
      <w:bookmarkStart w:id="430" w:name="_Toc452547699"/>
      <w:r>
        <w:rPr>
          <w:snapToGrid w:val="0"/>
        </w:rPr>
        <w:t>Compilation table</w:t>
      </w:r>
      <w:bookmarkEnd w:id="428"/>
      <w:bookmarkEnd w:id="429"/>
      <w:bookmarkEnd w:id="430"/>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rFonts w:ascii="Times New Roman" w:hAnsi="Times New Roman"/>
                <w:b/>
              </w:rPr>
            </w:pPr>
            <w:r>
              <w:rPr>
                <w:rFonts w:ascii="Times New Roman" w:hAnsi="Times New Roman"/>
                <w:b/>
              </w:rPr>
              <w:t>Short title</w:t>
            </w:r>
          </w:p>
        </w:tc>
        <w:tc>
          <w:tcPr>
            <w:tcW w:w="1134" w:type="dxa"/>
          </w:tcPr>
          <w:p>
            <w:pPr>
              <w:pStyle w:val="nTable"/>
              <w:spacing w:after="40"/>
              <w:rPr>
                <w:rFonts w:ascii="Times New Roman" w:hAnsi="Times New Roman"/>
                <w:b/>
              </w:rPr>
            </w:pPr>
            <w:r>
              <w:rPr>
                <w:rFonts w:ascii="Times New Roman" w:hAnsi="Times New Roman"/>
                <w:b/>
              </w:rPr>
              <w:t>Number and year</w:t>
            </w:r>
          </w:p>
        </w:tc>
        <w:tc>
          <w:tcPr>
            <w:tcW w:w="1134" w:type="dxa"/>
          </w:tcPr>
          <w:p>
            <w:pPr>
              <w:pStyle w:val="nTable"/>
              <w:spacing w:after="40"/>
              <w:rPr>
                <w:rFonts w:ascii="Times New Roman" w:hAnsi="Times New Roman"/>
                <w:b/>
              </w:rPr>
            </w:pPr>
            <w:r>
              <w:rPr>
                <w:rFonts w:ascii="Times New Roman" w:hAnsi="Times New Roman"/>
                <w:b/>
              </w:rPr>
              <w:t>Assent</w:t>
            </w:r>
          </w:p>
        </w:tc>
        <w:tc>
          <w:tcPr>
            <w:tcW w:w="2552" w:type="dxa"/>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4" w:type="dxa"/>
            <w:tcBorders>
              <w:bottom w:val="nil"/>
            </w:tcBorders>
          </w:tcPr>
          <w:p>
            <w:pPr>
              <w:pStyle w:val="nTable"/>
              <w:spacing w:after="40"/>
              <w:rPr>
                <w:rFonts w:ascii="Times New Roman" w:hAnsi="Times New Roman"/>
              </w:rPr>
            </w:pPr>
            <w:r>
              <w:rPr>
                <w:rFonts w:ascii="Times New Roman" w:hAnsi="Times New Roman"/>
              </w:rPr>
              <w:t>26 Aug 2010</w:t>
            </w:r>
          </w:p>
        </w:tc>
        <w:tc>
          <w:tcPr>
            <w:tcW w:w="2552" w:type="dxa"/>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rPr>
          <w:ins w:id="431" w:author="svcMRProcess" w:date="2018-09-18T18:31:00Z"/>
        </w:trPr>
        <w:tc>
          <w:tcPr>
            <w:tcW w:w="2268" w:type="dxa"/>
            <w:tcBorders>
              <w:top w:val="nil"/>
              <w:bottom w:val="nil"/>
            </w:tcBorders>
          </w:tcPr>
          <w:p>
            <w:pPr>
              <w:pStyle w:val="nTable"/>
              <w:spacing w:after="40"/>
              <w:rPr>
                <w:ins w:id="432" w:author="svcMRProcess" w:date="2018-09-18T18:31:00Z"/>
                <w:rFonts w:ascii="Times New Roman" w:hAnsi="Times New Roman"/>
                <w:i/>
              </w:rPr>
            </w:pPr>
            <w:ins w:id="433" w:author="svcMRProcess" w:date="2018-09-18T18:31:00Z">
              <w:r>
                <w:rPr>
                  <w:rFonts w:ascii="Times New Roman" w:hAnsi="Times New Roman"/>
                  <w:i/>
                  <w:noProof/>
                </w:rPr>
                <w:t xml:space="preserve">Associations Incorporation Act 2015 </w:t>
              </w:r>
              <w:r>
                <w:rPr>
                  <w:rFonts w:ascii="Times New Roman" w:hAnsi="Times New Roman"/>
                  <w:noProof/>
                </w:rPr>
                <w:t>s. 225</w:t>
              </w:r>
            </w:ins>
          </w:p>
        </w:tc>
        <w:tc>
          <w:tcPr>
            <w:tcW w:w="1134" w:type="dxa"/>
            <w:tcBorders>
              <w:top w:val="nil"/>
              <w:bottom w:val="nil"/>
            </w:tcBorders>
          </w:tcPr>
          <w:p>
            <w:pPr>
              <w:pStyle w:val="nTable"/>
              <w:spacing w:after="40"/>
              <w:rPr>
                <w:ins w:id="434" w:author="svcMRProcess" w:date="2018-09-18T18:31:00Z"/>
                <w:rFonts w:ascii="Times New Roman" w:hAnsi="Times New Roman"/>
              </w:rPr>
            </w:pPr>
            <w:ins w:id="435" w:author="svcMRProcess" w:date="2018-09-18T18:31:00Z">
              <w:r>
                <w:rPr>
                  <w:rFonts w:ascii="Times New Roman" w:hAnsi="Times New Roman"/>
                </w:rPr>
                <w:t>30 of 2015</w:t>
              </w:r>
            </w:ins>
          </w:p>
        </w:tc>
        <w:tc>
          <w:tcPr>
            <w:tcW w:w="1134" w:type="dxa"/>
            <w:tcBorders>
              <w:top w:val="nil"/>
              <w:bottom w:val="nil"/>
            </w:tcBorders>
          </w:tcPr>
          <w:p>
            <w:pPr>
              <w:pStyle w:val="nTable"/>
              <w:spacing w:after="40"/>
              <w:rPr>
                <w:ins w:id="436" w:author="svcMRProcess" w:date="2018-09-18T18:31:00Z"/>
                <w:rFonts w:ascii="Times New Roman" w:hAnsi="Times New Roman"/>
              </w:rPr>
            </w:pPr>
            <w:ins w:id="437" w:author="svcMRProcess" w:date="2018-09-18T18:31:00Z">
              <w:r>
                <w:rPr>
                  <w:rFonts w:ascii="Times New Roman" w:hAnsi="Times New Roman"/>
                </w:rPr>
                <w:t>2 Nov 2015</w:t>
              </w:r>
            </w:ins>
          </w:p>
        </w:tc>
        <w:tc>
          <w:tcPr>
            <w:tcW w:w="2552" w:type="dxa"/>
            <w:tcBorders>
              <w:top w:val="nil"/>
              <w:bottom w:val="nil"/>
            </w:tcBorders>
          </w:tcPr>
          <w:p>
            <w:pPr>
              <w:pStyle w:val="nTable"/>
              <w:spacing w:after="40"/>
              <w:rPr>
                <w:ins w:id="438" w:author="svcMRProcess" w:date="2018-09-18T18:31:00Z"/>
                <w:rFonts w:ascii="Times New Roman" w:hAnsi="Times New Roman"/>
              </w:rPr>
            </w:pPr>
            <w:ins w:id="439" w:author="svcMRProcess" w:date="2018-09-18T18:31:00Z">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2291-2)</w:t>
              </w:r>
            </w:ins>
          </w:p>
        </w:tc>
      </w:tr>
      <w:tr>
        <w:trPr>
          <w:ins w:id="440" w:author="svcMRProcess" w:date="2018-09-18T18:31:00Z"/>
        </w:trPr>
        <w:tc>
          <w:tcPr>
            <w:tcW w:w="2268" w:type="dxa"/>
            <w:tcBorders>
              <w:top w:val="nil"/>
              <w:bottom w:val="single" w:sz="4" w:space="0" w:color="auto"/>
            </w:tcBorders>
          </w:tcPr>
          <w:p>
            <w:pPr>
              <w:pStyle w:val="nTable"/>
              <w:spacing w:after="40"/>
              <w:rPr>
                <w:ins w:id="441" w:author="svcMRProcess" w:date="2018-09-18T18:31:00Z"/>
                <w:rFonts w:ascii="Times New Roman" w:hAnsi="Times New Roman"/>
                <w:i/>
              </w:rPr>
            </w:pPr>
            <w:ins w:id="442" w:author="svcMRProcess" w:date="2018-09-18T18:31:00Z">
              <w:r>
                <w:rPr>
                  <w:rFonts w:ascii="Times New Roman" w:hAnsi="Times New Roman"/>
                  <w:i/>
                  <w:snapToGrid w:val="0"/>
                </w:rPr>
                <w:t>Health Services Act 2016</w:t>
              </w:r>
              <w:r>
                <w:rPr>
                  <w:rFonts w:ascii="Times New Roman" w:hAnsi="Times New Roman"/>
                  <w:snapToGrid w:val="0"/>
                </w:rPr>
                <w:t xml:space="preserve"> s. 299</w:t>
              </w:r>
            </w:ins>
          </w:p>
        </w:tc>
        <w:tc>
          <w:tcPr>
            <w:tcW w:w="1134" w:type="dxa"/>
            <w:tcBorders>
              <w:top w:val="nil"/>
              <w:bottom w:val="single" w:sz="4" w:space="0" w:color="auto"/>
            </w:tcBorders>
          </w:tcPr>
          <w:p>
            <w:pPr>
              <w:pStyle w:val="nTable"/>
              <w:spacing w:after="40"/>
              <w:rPr>
                <w:ins w:id="443" w:author="svcMRProcess" w:date="2018-09-18T18:31:00Z"/>
                <w:rFonts w:ascii="Times New Roman" w:hAnsi="Times New Roman"/>
              </w:rPr>
            </w:pPr>
            <w:ins w:id="444" w:author="svcMRProcess" w:date="2018-09-18T18:31:00Z">
              <w:r>
                <w:rPr>
                  <w:rFonts w:ascii="Times New Roman" w:hAnsi="Times New Roman"/>
                </w:rPr>
                <w:t>11 of 2016</w:t>
              </w:r>
            </w:ins>
          </w:p>
        </w:tc>
        <w:tc>
          <w:tcPr>
            <w:tcW w:w="1134" w:type="dxa"/>
            <w:tcBorders>
              <w:top w:val="nil"/>
              <w:bottom w:val="single" w:sz="4" w:space="0" w:color="auto"/>
            </w:tcBorders>
          </w:tcPr>
          <w:p>
            <w:pPr>
              <w:pStyle w:val="nTable"/>
              <w:spacing w:after="40"/>
              <w:rPr>
                <w:ins w:id="445" w:author="svcMRProcess" w:date="2018-09-18T18:31:00Z"/>
                <w:rFonts w:ascii="Times New Roman" w:hAnsi="Times New Roman"/>
              </w:rPr>
            </w:pPr>
            <w:ins w:id="446" w:author="svcMRProcess" w:date="2018-09-18T18:31:00Z">
              <w:r>
                <w:rPr>
                  <w:rFonts w:ascii="Times New Roman" w:hAnsi="Times New Roman"/>
                </w:rPr>
                <w:t>26 May 2016</w:t>
              </w:r>
            </w:ins>
          </w:p>
        </w:tc>
        <w:tc>
          <w:tcPr>
            <w:tcW w:w="2552" w:type="dxa"/>
            <w:tcBorders>
              <w:top w:val="nil"/>
              <w:bottom w:val="single" w:sz="4" w:space="0" w:color="auto"/>
            </w:tcBorders>
          </w:tcPr>
          <w:p>
            <w:pPr>
              <w:pStyle w:val="nTable"/>
              <w:spacing w:after="40"/>
              <w:rPr>
                <w:ins w:id="447" w:author="svcMRProcess" w:date="2018-09-18T18:31:00Z"/>
                <w:rFonts w:ascii="Times New Roman" w:hAnsi="Times New Roman"/>
              </w:rPr>
            </w:pPr>
            <w:ins w:id="448" w:author="svcMRProcess" w:date="2018-09-18T18:31:00Z">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49" w:name="_Toc392246470"/>
      <w:bookmarkStart w:id="450" w:name="_Toc455406365"/>
      <w:bookmarkStart w:id="451" w:name="_Toc452547700"/>
      <w:r>
        <w:t>Provisions that have not come into operation</w:t>
      </w:r>
      <w:bookmarkEnd w:id="449"/>
      <w:bookmarkEnd w:id="450"/>
      <w:bookmarkEnd w:id="451"/>
    </w:p>
    <w:tbl>
      <w:tblPr>
        <w:tblW w:w="7089" w:type="dxa"/>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34"/>
        <w:gridCol w:w="1118"/>
        <w:gridCol w:w="1119"/>
        <w:gridCol w:w="2513"/>
        <w:gridCol w:w="105"/>
      </w:tblGrid>
      <w:tr>
        <w:trPr>
          <w:gridAfter w:val="1"/>
          <w:wAfter w:w="107" w:type="dxa"/>
        </w:trPr>
        <w:tc>
          <w:tcPr>
            <w:tcW w:w="2268"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Short title</w:t>
            </w:r>
          </w:p>
        </w:tc>
        <w:tc>
          <w:tcPr>
            <w:tcW w:w="1134"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Number and year</w:t>
            </w:r>
          </w:p>
        </w:tc>
        <w:tc>
          <w:tcPr>
            <w:tcW w:w="1135"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Assent</w:t>
            </w:r>
          </w:p>
        </w:tc>
        <w:tc>
          <w:tcPr>
            <w:tcW w:w="2552"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Commencement</w:t>
            </w:r>
          </w:p>
        </w:tc>
      </w:tr>
      <w:tr>
        <w:trPr>
          <w:gridAfter w:val="1"/>
          <w:wAfter w:w="107" w:type="dxa"/>
        </w:trPr>
        <w:tc>
          <w:tcPr>
            <w:tcW w:w="2268" w:type="dxa"/>
            <w:tcBorders>
              <w:top w:val="single" w:sz="4" w:space="0" w:color="auto"/>
              <w:bottom w:val="single" w:sz="4" w:space="0" w:color="auto"/>
            </w:tcBorders>
          </w:tcPr>
          <w:p>
            <w:pPr>
              <w:pStyle w:val="nTable"/>
              <w:spacing w:after="40"/>
              <w:rPr>
                <w:rFonts w:ascii="Times New Roman" w:hAnsi="Times New Roman"/>
                <w:i/>
              </w:rPr>
            </w:pPr>
            <w:r>
              <w:rPr>
                <w:rFonts w:ascii="Times New Roman" w:hAnsi="Times New Roman"/>
                <w:i/>
              </w:rPr>
              <w:t>Medicines and Poisons Act 2014</w:t>
            </w:r>
            <w:r>
              <w:rPr>
                <w:rFonts w:ascii="Times New Roman" w:hAnsi="Times New Roman"/>
              </w:rPr>
              <w:t xml:space="preserve"> s. 186 </w:t>
            </w:r>
            <w:r>
              <w:rPr>
                <w:rFonts w:ascii="Times New Roman" w:hAnsi="Times New Roman"/>
                <w:vertAlign w:val="superscript"/>
              </w:rPr>
              <w:t>2</w:t>
            </w:r>
          </w:p>
        </w:tc>
        <w:tc>
          <w:tcPr>
            <w:tcW w:w="1134" w:type="dxa"/>
            <w:tcBorders>
              <w:top w:val="single" w:sz="4" w:space="0" w:color="auto"/>
              <w:bottom w:val="single" w:sz="4" w:space="0" w:color="auto"/>
            </w:tcBorders>
          </w:tcPr>
          <w:p>
            <w:pPr>
              <w:pStyle w:val="nTable"/>
              <w:spacing w:after="40"/>
              <w:rPr>
                <w:rFonts w:ascii="Times New Roman" w:hAnsi="Times New Roman"/>
              </w:rPr>
            </w:pPr>
            <w:r>
              <w:rPr>
                <w:rFonts w:ascii="Times New Roman" w:hAnsi="Times New Roman"/>
              </w:rPr>
              <w:t>13 of 2014</w:t>
            </w:r>
          </w:p>
        </w:tc>
        <w:tc>
          <w:tcPr>
            <w:tcW w:w="1135" w:type="dxa"/>
            <w:tcBorders>
              <w:top w:val="single" w:sz="4" w:space="0" w:color="auto"/>
              <w:bottom w:val="single" w:sz="4" w:space="0" w:color="auto"/>
            </w:tcBorders>
          </w:tcPr>
          <w:p>
            <w:pPr>
              <w:pStyle w:val="nTable"/>
              <w:spacing w:after="40"/>
              <w:rPr>
                <w:rFonts w:ascii="Times New Roman" w:hAnsi="Times New Roman"/>
              </w:rPr>
            </w:pPr>
            <w:r>
              <w:rPr>
                <w:rFonts w:ascii="Times New Roman" w:hAnsi="Times New Roman"/>
              </w:rPr>
              <w:t>2 Jul 2014</w:t>
            </w:r>
          </w:p>
        </w:tc>
        <w:tc>
          <w:tcPr>
            <w:tcW w:w="2552" w:type="dxa"/>
            <w:tcBorders>
              <w:top w:val="single" w:sz="4" w:space="0" w:color="auto"/>
              <w:bottom w:val="single" w:sz="4" w:space="0" w:color="auto"/>
            </w:tcBorders>
          </w:tcPr>
          <w:p>
            <w:pPr>
              <w:pStyle w:val="nTable"/>
              <w:spacing w:after="40"/>
              <w:rPr>
                <w:rFonts w:ascii="Times New Roman" w:hAnsi="Times New Roman"/>
                <w:snapToGrid w:val="0"/>
              </w:rPr>
            </w:pPr>
            <w:r>
              <w:rPr>
                <w:rFonts w:ascii="Times New Roman" w:hAnsi="Times New Roman"/>
                <w:snapToGrid w:val="0"/>
              </w:rPr>
              <w:t>To be proclaimed (see s. 2(b))</w:t>
            </w:r>
          </w:p>
        </w:tc>
      </w:tr>
      <w:tr>
        <w:tblPrEx>
          <w:tblCellMar>
            <w:left w:w="56" w:type="dxa"/>
            <w:right w:w="56" w:type="dxa"/>
          </w:tblCellMar>
        </w:tblPrEx>
        <w:trPr>
          <w:gridAfter w:val="1"/>
          <w:wAfter w:w="107" w:type="dxa"/>
          <w:del w:id="452" w:author="svcMRProcess" w:date="2018-09-18T18:31:00Z"/>
        </w:trPr>
        <w:tc>
          <w:tcPr>
            <w:tcW w:w="2268" w:type="dxa"/>
            <w:tcBorders>
              <w:top w:val="nil"/>
              <w:bottom w:val="nil"/>
            </w:tcBorders>
          </w:tcPr>
          <w:p>
            <w:pPr>
              <w:pStyle w:val="nTable"/>
              <w:spacing w:after="40"/>
              <w:rPr>
                <w:del w:id="453" w:author="svcMRProcess" w:date="2018-09-18T18:31:00Z"/>
                <w:vertAlign w:val="superscript"/>
              </w:rPr>
            </w:pPr>
            <w:del w:id="454" w:author="svcMRProcess" w:date="2018-09-18T18:31:00Z">
              <w:r>
                <w:rPr>
                  <w:i/>
                  <w:noProof/>
                </w:rPr>
                <w:delText xml:space="preserve">Associations Incorporation Act 2015 </w:delText>
              </w:r>
              <w:r>
                <w:rPr>
                  <w:noProof/>
                </w:rPr>
                <w:delText>s. 225 </w:delText>
              </w:r>
              <w:r>
                <w:rPr>
                  <w:noProof/>
                  <w:vertAlign w:val="superscript"/>
                </w:rPr>
                <w:delText>3</w:delText>
              </w:r>
            </w:del>
          </w:p>
        </w:tc>
        <w:tc>
          <w:tcPr>
            <w:tcW w:w="1134" w:type="dxa"/>
            <w:tcBorders>
              <w:top w:val="nil"/>
              <w:bottom w:val="nil"/>
            </w:tcBorders>
          </w:tcPr>
          <w:p>
            <w:pPr>
              <w:pStyle w:val="nTable"/>
              <w:spacing w:after="40"/>
              <w:rPr>
                <w:del w:id="455" w:author="svcMRProcess" w:date="2018-09-18T18:31:00Z"/>
              </w:rPr>
            </w:pPr>
            <w:del w:id="456" w:author="svcMRProcess" w:date="2018-09-18T18:31:00Z">
              <w:r>
                <w:delText>30 of 2015</w:delText>
              </w:r>
            </w:del>
          </w:p>
        </w:tc>
        <w:tc>
          <w:tcPr>
            <w:tcW w:w="1135" w:type="dxa"/>
            <w:tcBorders>
              <w:top w:val="nil"/>
              <w:bottom w:val="nil"/>
            </w:tcBorders>
          </w:tcPr>
          <w:p>
            <w:pPr>
              <w:pStyle w:val="nTable"/>
              <w:spacing w:after="40"/>
              <w:rPr>
                <w:del w:id="457" w:author="svcMRProcess" w:date="2018-09-18T18:31:00Z"/>
              </w:rPr>
            </w:pPr>
            <w:del w:id="458" w:author="svcMRProcess" w:date="2018-09-18T18:31:00Z">
              <w:r>
                <w:delText>2 Nov 2015</w:delText>
              </w:r>
            </w:del>
          </w:p>
        </w:tc>
        <w:tc>
          <w:tcPr>
            <w:tcW w:w="2552" w:type="dxa"/>
            <w:tcBorders>
              <w:top w:val="nil"/>
              <w:bottom w:val="nil"/>
            </w:tcBorders>
          </w:tcPr>
          <w:p>
            <w:pPr>
              <w:pStyle w:val="nTable"/>
              <w:spacing w:after="40"/>
              <w:rPr>
                <w:del w:id="459" w:author="svcMRProcess" w:date="2018-09-18T18:31:00Z"/>
              </w:rPr>
            </w:pPr>
            <w:del w:id="460" w:author="svcMRProcess" w:date="2018-09-18T18:31:00Z">
              <w:r>
                <w:delText>To be proclaimed (see s. 2(b))</w:delText>
              </w:r>
            </w:del>
          </w:p>
        </w:tc>
      </w:tr>
      <w:tr>
        <w:tblPrEx>
          <w:tblBorders>
            <w:top w:val="none" w:sz="0" w:space="0" w:color="auto"/>
            <w:bottom w:val="none" w:sz="0" w:space="0" w:color="auto"/>
            <w:insideH w:val="none" w:sz="0" w:space="0" w:color="auto"/>
          </w:tblBorders>
          <w:tblCellMar>
            <w:left w:w="56" w:type="dxa"/>
            <w:right w:w="56" w:type="dxa"/>
          </w:tblCellMar>
        </w:tblPrEx>
        <w:trPr>
          <w:cantSplit/>
          <w:del w:id="461" w:author="svcMRProcess" w:date="2018-09-18T18:31:00Z"/>
        </w:trPr>
        <w:tc>
          <w:tcPr>
            <w:tcW w:w="2268" w:type="dxa"/>
            <w:tcBorders>
              <w:bottom w:val="single" w:sz="4" w:space="0" w:color="auto"/>
            </w:tcBorders>
          </w:tcPr>
          <w:p>
            <w:pPr>
              <w:pStyle w:val="nTable"/>
              <w:spacing w:after="40"/>
              <w:rPr>
                <w:del w:id="462" w:author="svcMRProcess" w:date="2018-09-18T18:31:00Z"/>
                <w:snapToGrid w:val="0"/>
              </w:rPr>
            </w:pPr>
            <w:del w:id="463" w:author="svcMRProcess" w:date="2018-09-18T18:31:00Z">
              <w:r>
                <w:rPr>
                  <w:i/>
                  <w:snapToGrid w:val="0"/>
                </w:rPr>
                <w:delText>Health Services Act 2016</w:delText>
              </w:r>
              <w:r>
                <w:rPr>
                  <w:snapToGrid w:val="0"/>
                </w:rPr>
                <w:delText xml:space="preserve"> s. 299 </w:delText>
              </w:r>
              <w:r>
                <w:rPr>
                  <w:snapToGrid w:val="0"/>
                  <w:vertAlign w:val="superscript"/>
                </w:rPr>
                <w:delText>4</w:delText>
              </w:r>
            </w:del>
          </w:p>
        </w:tc>
        <w:tc>
          <w:tcPr>
            <w:tcW w:w="1134" w:type="dxa"/>
            <w:tcBorders>
              <w:bottom w:val="single" w:sz="4" w:space="0" w:color="auto"/>
            </w:tcBorders>
          </w:tcPr>
          <w:p>
            <w:pPr>
              <w:pStyle w:val="nTable"/>
              <w:keepNext/>
              <w:spacing w:after="40"/>
              <w:rPr>
                <w:del w:id="464" w:author="svcMRProcess" w:date="2018-09-18T18:31:00Z"/>
              </w:rPr>
            </w:pPr>
            <w:del w:id="465" w:author="svcMRProcess" w:date="2018-09-18T18:31:00Z">
              <w:r>
                <w:delText>11 of 2016</w:delText>
              </w:r>
            </w:del>
          </w:p>
        </w:tc>
        <w:tc>
          <w:tcPr>
            <w:tcW w:w="1135" w:type="dxa"/>
            <w:tcBorders>
              <w:bottom w:val="single" w:sz="4" w:space="0" w:color="auto"/>
            </w:tcBorders>
          </w:tcPr>
          <w:p>
            <w:pPr>
              <w:pStyle w:val="nTable"/>
              <w:keepNext/>
              <w:spacing w:after="40"/>
              <w:rPr>
                <w:del w:id="466" w:author="svcMRProcess" w:date="2018-09-18T18:31:00Z"/>
              </w:rPr>
            </w:pPr>
            <w:del w:id="467" w:author="svcMRProcess" w:date="2018-09-18T18:31:00Z">
              <w:r>
                <w:delText>26 May 2016</w:delText>
              </w:r>
            </w:del>
          </w:p>
        </w:tc>
        <w:tc>
          <w:tcPr>
            <w:tcW w:w="2659" w:type="dxa"/>
            <w:gridSpan w:val="2"/>
            <w:tcBorders>
              <w:bottom w:val="single" w:sz="4" w:space="0" w:color="auto"/>
            </w:tcBorders>
          </w:tcPr>
          <w:p>
            <w:pPr>
              <w:pStyle w:val="nTable"/>
              <w:keepNext/>
              <w:spacing w:after="40"/>
              <w:rPr>
                <w:del w:id="468" w:author="svcMRProcess" w:date="2018-09-18T18:31:00Z"/>
              </w:rPr>
            </w:pPr>
            <w:del w:id="469" w:author="svcMRProcess" w:date="2018-09-18T18:31:00Z">
              <w:r>
                <w:delText>To be proclaimed (see s. 2(b))</w:delText>
              </w:r>
            </w:del>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Pr>
        <w:pStyle w:val="nSubsection"/>
        <w:spacing w:before="200"/>
        <w:rPr>
          <w:del w:id="470" w:author="svcMRProcess" w:date="2018-09-18T18:31:00Z"/>
          <w:snapToGrid w:val="0"/>
        </w:rPr>
      </w:pPr>
      <w:del w:id="471" w:author="svcMRProcess" w:date="2018-09-18T18:31:00Z">
        <w:r>
          <w:rPr>
            <w:snapToGrid w:val="0"/>
            <w:vertAlign w:val="superscript"/>
          </w:rPr>
          <w:delText>3</w:delText>
        </w:r>
        <w:r>
          <w:rPr>
            <w:snapToGrid w:val="0"/>
          </w:rPr>
          <w:tab/>
        </w:r>
        <w:r>
          <w:delText xml:space="preserve">On </w:delText>
        </w:r>
        <w:r>
          <w:rPr>
            <w:snapToGrid w:val="0"/>
          </w:rPr>
          <w:delText>the</w:delText>
        </w:r>
        <w:r>
          <w:delText xml:space="preserve"> date as at which this compilation was prepared, </w:delText>
        </w:r>
        <w:r>
          <w:rPr>
            <w:snapToGrid w:val="0"/>
          </w:rPr>
          <w:delText xml:space="preserve">the </w:delText>
        </w:r>
        <w:r>
          <w:rPr>
            <w:i/>
            <w:snapToGrid w:val="0"/>
          </w:rPr>
          <w:delText>Associations Incorporation Act 2015</w:delText>
        </w:r>
        <w:r>
          <w:rPr>
            <w:snapToGrid w:val="0"/>
          </w:rPr>
          <w:delText xml:space="preserve"> </w:delText>
        </w:r>
        <w:r>
          <w:rPr>
            <w:noProof/>
          </w:rPr>
          <w:delText>s. 225 </w:delText>
        </w:r>
        <w:r>
          <w:rPr>
            <w:snapToGrid w:val="0"/>
          </w:rPr>
          <w:delText>had not come into operation.  It reads as follows:</w:delText>
        </w:r>
      </w:del>
    </w:p>
    <w:p>
      <w:pPr>
        <w:pStyle w:val="BlankOpen"/>
        <w:rPr>
          <w:del w:id="472" w:author="svcMRProcess" w:date="2018-09-18T18:31:00Z"/>
        </w:rPr>
      </w:pPr>
    </w:p>
    <w:p>
      <w:pPr>
        <w:pStyle w:val="nzHeading5"/>
        <w:rPr>
          <w:del w:id="473" w:author="svcMRProcess" w:date="2018-09-18T18:31:00Z"/>
        </w:rPr>
      </w:pPr>
      <w:bookmarkStart w:id="474" w:name="_Toc433273728"/>
      <w:bookmarkStart w:id="475" w:name="_Toc434319290"/>
      <w:bookmarkStart w:id="476" w:name="_Toc434321342"/>
      <w:del w:id="477" w:author="svcMRProcess" w:date="2018-09-18T18:31:00Z">
        <w:r>
          <w:rPr>
            <w:rStyle w:val="CharSectno"/>
          </w:rPr>
          <w:delText>225</w:delText>
        </w:r>
        <w:r>
          <w:delText>.</w:delText>
        </w:r>
        <w:r>
          <w:tab/>
        </w:r>
        <w:r>
          <w:rPr>
            <w:i/>
          </w:rPr>
          <w:delText>Pharmacy Act 2010</w:delText>
        </w:r>
        <w:r>
          <w:delText xml:space="preserve"> amended</w:delText>
        </w:r>
        <w:bookmarkEnd w:id="474"/>
        <w:bookmarkEnd w:id="475"/>
        <w:bookmarkEnd w:id="476"/>
      </w:del>
    </w:p>
    <w:p>
      <w:pPr>
        <w:pStyle w:val="nzSubsection"/>
        <w:rPr>
          <w:del w:id="478" w:author="svcMRProcess" w:date="2018-09-18T18:31:00Z"/>
        </w:rPr>
      </w:pPr>
      <w:del w:id="479" w:author="svcMRProcess" w:date="2018-09-18T18:31:00Z">
        <w:r>
          <w:tab/>
          <w:delText>(1)</w:delText>
        </w:r>
        <w:r>
          <w:tab/>
          <w:delText xml:space="preserve">This section amends the </w:delText>
        </w:r>
        <w:r>
          <w:rPr>
            <w:i/>
          </w:rPr>
          <w:delText>Pharmacy Act 2010</w:delText>
        </w:r>
        <w:r>
          <w:delText>.</w:delText>
        </w:r>
      </w:del>
    </w:p>
    <w:p>
      <w:pPr>
        <w:pStyle w:val="nzSubsection"/>
        <w:rPr>
          <w:del w:id="480" w:author="svcMRProcess" w:date="2018-09-18T18:31:00Z"/>
        </w:rPr>
      </w:pPr>
      <w:del w:id="481" w:author="svcMRProcess" w:date="2018-09-18T18:31:00Z">
        <w:r>
          <w:tab/>
          <w:delText>(2)</w:delText>
        </w:r>
        <w:r>
          <w:tab/>
          <w:delText xml:space="preserve">In section 3(1) in the definition of </w:delText>
        </w:r>
        <w:r>
          <w:rPr>
            <w:b/>
            <w:i/>
          </w:rPr>
          <w:delText>preserved company</w:delText>
        </w:r>
        <w:r>
          <w:delText xml:space="preserve"> delete “association incorporated under the </w:delText>
        </w:r>
        <w:r>
          <w:rPr>
            <w:i/>
          </w:rPr>
          <w:delText>Associations Incorporation Act 1987</w:delText>
        </w:r>
        <w:r>
          <w:delText>;” and insert:</w:delText>
        </w:r>
      </w:del>
    </w:p>
    <w:p>
      <w:pPr>
        <w:pStyle w:val="BlankOpen"/>
        <w:rPr>
          <w:del w:id="482" w:author="svcMRProcess" w:date="2018-09-18T18:31:00Z"/>
        </w:rPr>
      </w:pPr>
    </w:p>
    <w:p>
      <w:pPr>
        <w:pStyle w:val="nzSubsection"/>
        <w:rPr>
          <w:del w:id="483" w:author="svcMRProcess" w:date="2018-09-18T18:31:00Z"/>
        </w:rPr>
      </w:pPr>
      <w:del w:id="484" w:author="svcMRProcess" w:date="2018-09-18T18:31:00Z">
        <w:r>
          <w:tab/>
        </w:r>
        <w:r>
          <w:tab/>
          <w:delText xml:space="preserve">association taken to be incorporated under the </w:delText>
        </w:r>
        <w:r>
          <w:rPr>
            <w:i/>
          </w:rPr>
          <w:delText>Associations Incorporation Act 2015</w:delText>
        </w:r>
        <w:r>
          <w:delText>;</w:delText>
        </w:r>
      </w:del>
    </w:p>
    <w:p>
      <w:pPr>
        <w:pStyle w:val="BlankClose"/>
        <w:rPr>
          <w:del w:id="485" w:author="svcMRProcess" w:date="2018-09-18T18:31:00Z"/>
        </w:rPr>
      </w:pPr>
    </w:p>
    <w:p>
      <w:pPr>
        <w:pStyle w:val="nSubsection"/>
        <w:spacing w:before="200"/>
        <w:rPr>
          <w:del w:id="486" w:author="svcMRProcess" w:date="2018-09-18T18:31:00Z"/>
          <w:snapToGrid w:val="0"/>
        </w:rPr>
      </w:pPr>
      <w:del w:id="487" w:author="svcMRProcess" w:date="2018-09-18T18:31:00Z">
        <w:r>
          <w:rPr>
            <w:vertAlign w:val="superscript"/>
          </w:rPr>
          <w:delText>4</w:delText>
        </w:r>
        <w:r>
          <w:tab/>
          <w:delText xml:space="preserve">On </w:delText>
        </w:r>
        <w:r>
          <w:rPr>
            <w:snapToGrid w:val="0"/>
          </w:rPr>
          <w:delText>the</w:delText>
        </w:r>
        <w:r>
          <w:delText xml:space="preserve"> date as at which this compilation was prepared, </w:delText>
        </w:r>
        <w:r>
          <w:rPr>
            <w:snapToGrid w:val="0"/>
          </w:rPr>
          <w:delText xml:space="preserve">the </w:delText>
        </w:r>
        <w:r>
          <w:rPr>
            <w:i/>
          </w:rPr>
          <w:delText xml:space="preserve">Health Services Act 2016 </w:delText>
        </w:r>
        <w:r>
          <w:delText>s. 299</w:delText>
        </w:r>
        <w:r>
          <w:rPr>
            <w:i/>
          </w:rPr>
          <w:delText xml:space="preserve"> </w:delText>
        </w:r>
        <w:r>
          <w:rPr>
            <w:snapToGrid w:val="0"/>
          </w:rPr>
          <w:delText>had not come into operation.  It reads as follows:</w:delText>
        </w:r>
      </w:del>
    </w:p>
    <w:p>
      <w:pPr>
        <w:pStyle w:val="BlankOpen"/>
        <w:rPr>
          <w:del w:id="488" w:author="svcMRProcess" w:date="2018-09-18T18:31:00Z"/>
        </w:rPr>
      </w:pPr>
    </w:p>
    <w:p>
      <w:pPr>
        <w:pStyle w:val="nzHeading5"/>
        <w:rPr>
          <w:del w:id="489" w:author="svcMRProcess" w:date="2018-09-18T18:31:00Z"/>
        </w:rPr>
      </w:pPr>
      <w:bookmarkStart w:id="490" w:name="_Toc451509709"/>
      <w:del w:id="491" w:author="svcMRProcess" w:date="2018-09-18T18:31:00Z">
        <w:r>
          <w:rPr>
            <w:rStyle w:val="CharSectno"/>
          </w:rPr>
          <w:delText>299</w:delText>
        </w:r>
        <w:r>
          <w:delText>.</w:delText>
        </w:r>
        <w:r>
          <w:tab/>
        </w:r>
        <w:r>
          <w:rPr>
            <w:i/>
          </w:rPr>
          <w:delText>Pharmacy Act 2010</w:delText>
        </w:r>
        <w:r>
          <w:rPr>
            <w:b w:val="0"/>
          </w:rPr>
          <w:delText xml:space="preserve"> </w:delText>
        </w:r>
        <w:r>
          <w:delText>amended</w:delText>
        </w:r>
        <w:bookmarkEnd w:id="490"/>
      </w:del>
    </w:p>
    <w:p>
      <w:pPr>
        <w:pStyle w:val="nzSubsection"/>
        <w:rPr>
          <w:del w:id="492" w:author="svcMRProcess" w:date="2018-09-18T18:31:00Z"/>
        </w:rPr>
      </w:pPr>
      <w:del w:id="493" w:author="svcMRProcess" w:date="2018-09-18T18:31:00Z">
        <w:r>
          <w:tab/>
          <w:delText>(1)</w:delText>
        </w:r>
        <w:r>
          <w:tab/>
          <w:delText xml:space="preserve">This section amends the </w:delText>
        </w:r>
        <w:r>
          <w:rPr>
            <w:i/>
          </w:rPr>
          <w:delText>Pharmacy Act 2010</w:delText>
        </w:r>
        <w:r>
          <w:delText>.</w:delText>
        </w:r>
      </w:del>
    </w:p>
    <w:p>
      <w:pPr>
        <w:pStyle w:val="nzSubsection"/>
        <w:rPr>
          <w:del w:id="494" w:author="svcMRProcess" w:date="2018-09-18T18:31:00Z"/>
        </w:rPr>
      </w:pPr>
      <w:del w:id="495" w:author="svcMRProcess" w:date="2018-09-18T18:31:00Z">
        <w:r>
          <w:tab/>
          <w:delText>(2)</w:delText>
        </w:r>
        <w:r>
          <w:tab/>
          <w:delText xml:space="preserve">In section 3(1) in the definition of </w:delText>
        </w:r>
        <w:r>
          <w:rPr>
            <w:b/>
            <w:i/>
          </w:rPr>
          <w:delText>pharmacy business</w:delText>
        </w:r>
        <w:r>
          <w:delText xml:space="preserve"> paragraph (c) delete “</w:delText>
        </w:r>
        <w:r>
          <w:rPr>
            <w:i/>
          </w:rPr>
          <w:delText>Hospitals and Health Services Act 1927</w:delText>
        </w:r>
        <w:r>
          <w:delText xml:space="preserve"> section 2(1); or” and insert:</w:delText>
        </w:r>
      </w:del>
    </w:p>
    <w:p>
      <w:pPr>
        <w:pStyle w:val="BlankOpen"/>
        <w:rPr>
          <w:del w:id="496" w:author="svcMRProcess" w:date="2018-09-18T18:31:00Z"/>
        </w:rPr>
      </w:pPr>
    </w:p>
    <w:p>
      <w:pPr>
        <w:pStyle w:val="nzSubsection"/>
        <w:rPr>
          <w:del w:id="497" w:author="svcMRProcess" w:date="2018-09-18T18:31:00Z"/>
        </w:rPr>
      </w:pPr>
      <w:del w:id="498" w:author="svcMRProcess" w:date="2018-09-18T18:31:00Z">
        <w:r>
          <w:tab/>
        </w:r>
        <w:r>
          <w:tab/>
        </w:r>
        <w:r>
          <w:rPr>
            <w:i/>
          </w:rPr>
          <w:delText xml:space="preserve">Health Services Act 2016 </w:delText>
        </w:r>
        <w:r>
          <w:delText>section 6; or</w:delText>
        </w:r>
      </w:del>
    </w:p>
    <w:p>
      <w:pPr>
        <w:pStyle w:val="BlankClose"/>
        <w:rPr>
          <w:del w:id="499" w:author="svcMRProcess" w:date="2018-09-18T18:31:00Z"/>
        </w:rPr>
      </w:pPr>
    </w:p>
    <w:p>
      <w:pPr>
        <w:rPr>
          <w:del w:id="500" w:author="svcMRProcess" w:date="2018-09-18T18:31:00Z"/>
        </w:rPr>
      </w:pPr>
    </w:p>
    <w:p/>
    <w:p>
      <w:pPr>
        <w:sectPr>
          <w:headerReference w:type="even" r:id="rId23"/>
          <w:headerReference w:type="default" r:id="rId24"/>
          <w:headerReference w:type="first" r:id="rId25"/>
          <w:endnotePr>
            <w:numFmt w:val="decimal"/>
          </w:endnotePr>
          <w:pgSz w:w="11907" w:h="16840" w:code="9"/>
          <w:pgMar w:top="2376" w:right="2404" w:bottom="3544" w:left="2404" w:header="709" w:footer="3380" w:gutter="0"/>
          <w:cols w:space="720"/>
          <w:noEndnote/>
          <w:docGrid w:linePitch="326"/>
        </w:sectPr>
      </w:pPr>
    </w:p>
    <w:p/>
    <w:p>
      <w:pPr>
        <w:rPr>
          <w:b/>
        </w:rPr>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501" w:name="Compilation"/>
    <w:bookmarkEnd w:id="501"/>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02" w:name="Coversheet"/>
    <w:bookmarkEnd w:id="50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13088</Words>
  <Characters>62956</Characters>
  <Application>Microsoft Office Word</Application>
  <DocSecurity>0</DocSecurity>
  <Lines>1701</Lines>
  <Paragraphs>938</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75106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00-f0-01 - 00-g0-01</dc:title>
  <dc:subject/>
  <dc:creator/>
  <cp:keywords/>
  <dc:description/>
  <cp:lastModifiedBy>svcMRProcess</cp:lastModifiedBy>
  <cp:revision>2</cp:revision>
  <cp:lastPrinted>2010-08-26T05:56:00Z</cp:lastPrinted>
  <dcterms:created xsi:type="dcterms:W3CDTF">2018-09-18T10:31:00Z</dcterms:created>
  <dcterms:modified xsi:type="dcterms:W3CDTF">2018-09-18T10:31:00Z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CommencementDate">
    <vt:lpwstr>20160701</vt:lpwstr>
  </property>
  <property fmtid="{D5CDD505-2E9C-101B-9397-08002B2CF9AE}" pid="6" name="FromSuffix">
    <vt:lpwstr>00-f0-01</vt:lpwstr>
  </property>
  <property fmtid="{D5CDD505-2E9C-101B-9397-08002B2CF9AE}" pid="7" name="FromAsAtDate">
    <vt:lpwstr>26 May 2016</vt:lpwstr>
  </property>
  <property fmtid="{D5CDD505-2E9C-101B-9397-08002B2CF9AE}" pid="8" name="ToSuffix">
    <vt:lpwstr>00-g0-01</vt:lpwstr>
  </property>
  <property fmtid="{D5CDD505-2E9C-101B-9397-08002B2CF9AE}" pid="9" name="ToAsAtDate">
    <vt:lpwstr>01 Jul 2016</vt:lpwstr>
  </property>
</Properties>
</file>