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03-i0-02</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1" w:name="_GoBack"/>
      <w:bookmarkEnd w:id="1"/>
      <w:r>
        <w:rPr>
          <w:snapToGrid w:val="0"/>
        </w:rPr>
        <w:t xml:space="preserve">n Act to regulate the keeping and use of radioactive substances, irradiating apparatus and certain electronic products, and for matters incidental thereto. </w:t>
      </w:r>
    </w:p>
    <w:p>
      <w:pPr>
        <w:pStyle w:val="Heading2"/>
      </w:pPr>
      <w:bookmarkStart w:id="2" w:name="_Toc471909493"/>
      <w:bookmarkStart w:id="3" w:name="_Toc472066220"/>
      <w:bookmarkStart w:id="4" w:name="_Toc378338346"/>
      <w:bookmarkStart w:id="5" w:name="_Toc392504300"/>
      <w:bookmarkStart w:id="6" w:name="_Toc397950814"/>
      <w:bookmarkStart w:id="7" w:name="_Toc424292523"/>
      <w:bookmarkStart w:id="8" w:name="_Toc43502332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72066221"/>
      <w:bookmarkStart w:id="10" w:name="_Toc397950815"/>
      <w:bookmarkStart w:id="11" w:name="_Toc435023328"/>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12" w:name="_Toc472066222"/>
      <w:bookmarkStart w:id="13" w:name="_Toc397950816"/>
      <w:bookmarkStart w:id="14" w:name="_Toc435023329"/>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15" w:name="_Toc472066223"/>
      <w:bookmarkStart w:id="16" w:name="_Toc397950817"/>
      <w:bookmarkStart w:id="17" w:name="_Toc435023330"/>
      <w:r>
        <w:rPr>
          <w:rStyle w:val="CharSectno"/>
        </w:rPr>
        <w:t>4</w:t>
      </w:r>
      <w:r>
        <w:rPr>
          <w:snapToGrid w:val="0"/>
        </w:rPr>
        <w:t>.</w:t>
      </w:r>
      <w:r>
        <w:rPr>
          <w:snapToGrid w:val="0"/>
        </w:rPr>
        <w:tab/>
        <w:t>Terms used</w:t>
      </w:r>
      <w:bookmarkEnd w:id="15"/>
      <w:bookmarkEnd w:id="16"/>
      <w:bookmarkEnd w:id="17"/>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Footnotesection"/>
      </w:pPr>
      <w:r>
        <w:tab/>
        <w:t>[Section 4 amended by No. 63 of 1981 s. 4; No. 28 of 1984 s. 96 and 97; No. 21 of 2006 Sch. 3 cl. 5(2)</w:t>
      </w:r>
      <w:r>
        <w:noBreakHyphen/>
        <w:t>(4); No. 35 of 2010 s. 143; No. 17 of 2014 s. 33.]</w:t>
      </w:r>
    </w:p>
    <w:p>
      <w:pPr>
        <w:pStyle w:val="Ednotesection"/>
      </w:pPr>
      <w:r>
        <w:t>[</w:t>
      </w:r>
      <w:r>
        <w:rPr>
          <w:b/>
          <w:bCs/>
        </w:rPr>
        <w:t>5.</w:t>
      </w:r>
      <w:r>
        <w:tab/>
        <w:t>Deleted by No. 21 of 2006 Sch. 3 cl. 5(5).]</w:t>
      </w:r>
    </w:p>
    <w:p>
      <w:pPr>
        <w:pStyle w:val="Heading5"/>
        <w:spacing w:before="200"/>
        <w:rPr>
          <w:snapToGrid w:val="0"/>
        </w:rPr>
      </w:pPr>
      <w:bookmarkStart w:id="18" w:name="_Toc472066224"/>
      <w:bookmarkStart w:id="19" w:name="_Toc397950818"/>
      <w:bookmarkStart w:id="20" w:name="_Toc435023331"/>
      <w:r>
        <w:rPr>
          <w:rStyle w:val="CharSectno"/>
        </w:rPr>
        <w:t>6</w:t>
      </w:r>
      <w:r>
        <w:rPr>
          <w:snapToGrid w:val="0"/>
        </w:rPr>
        <w:t>.</w:t>
      </w:r>
      <w:r>
        <w:rPr>
          <w:snapToGrid w:val="0"/>
        </w:rPr>
        <w:tab/>
        <w:t>Application of this Act, and exemptions</w:t>
      </w:r>
      <w:bookmarkEnd w:id="18"/>
      <w:bookmarkEnd w:id="19"/>
      <w:bookmarkEnd w:id="20"/>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21" w:name="_Toc472066225"/>
      <w:bookmarkStart w:id="22" w:name="_Toc397950819"/>
      <w:bookmarkStart w:id="23" w:name="_Toc435023332"/>
      <w:r>
        <w:rPr>
          <w:rStyle w:val="CharSectno"/>
        </w:rPr>
        <w:t>7</w:t>
      </w:r>
      <w:r>
        <w:rPr>
          <w:snapToGrid w:val="0"/>
        </w:rPr>
        <w:t>.</w:t>
      </w:r>
      <w:r>
        <w:rPr>
          <w:snapToGrid w:val="0"/>
        </w:rPr>
        <w:tab/>
        <w:t>Crown bound</w:t>
      </w:r>
      <w:bookmarkEnd w:id="21"/>
      <w:bookmarkEnd w:id="22"/>
      <w:bookmarkEnd w:id="23"/>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24" w:name="_Toc472066226"/>
      <w:bookmarkStart w:id="25" w:name="_Toc397950820"/>
      <w:bookmarkStart w:id="26" w:name="_Toc435023333"/>
      <w:r>
        <w:rPr>
          <w:rStyle w:val="CharSectno"/>
        </w:rPr>
        <w:t>8</w:t>
      </w:r>
      <w:r>
        <w:rPr>
          <w:snapToGrid w:val="0"/>
        </w:rPr>
        <w:t>.</w:t>
      </w:r>
      <w:r>
        <w:rPr>
          <w:snapToGrid w:val="0"/>
        </w:rPr>
        <w:tab/>
        <w:t>Prohibition</w:t>
      </w:r>
      <w:bookmarkEnd w:id="24"/>
      <w:bookmarkEnd w:id="25"/>
      <w:bookmarkEnd w:id="26"/>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27" w:name="_Toc472066227"/>
      <w:bookmarkStart w:id="28" w:name="_Toc397950821"/>
      <w:bookmarkStart w:id="29" w:name="_Toc435023334"/>
      <w:r>
        <w:rPr>
          <w:rStyle w:val="CharSectno"/>
        </w:rPr>
        <w:t>9</w:t>
      </w:r>
      <w:r>
        <w:rPr>
          <w:snapToGrid w:val="0"/>
        </w:rPr>
        <w:t>.</w:t>
      </w:r>
      <w:r>
        <w:rPr>
          <w:snapToGrid w:val="0"/>
        </w:rPr>
        <w:tab/>
        <w:t>Civil remedies</w:t>
      </w:r>
      <w:bookmarkEnd w:id="27"/>
      <w:bookmarkEnd w:id="28"/>
      <w:bookmarkEnd w:id="29"/>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30" w:name="_Toc471909501"/>
      <w:bookmarkStart w:id="31" w:name="_Toc472066228"/>
      <w:bookmarkStart w:id="32" w:name="_Toc378338354"/>
      <w:bookmarkStart w:id="33" w:name="_Toc392504308"/>
      <w:bookmarkStart w:id="34" w:name="_Toc397950822"/>
      <w:bookmarkStart w:id="35" w:name="_Toc424292531"/>
      <w:bookmarkStart w:id="36" w:name="_Toc435023335"/>
      <w:r>
        <w:rPr>
          <w:rStyle w:val="CharPartNo"/>
        </w:rPr>
        <w:t>Part II</w:t>
      </w:r>
      <w:r>
        <w:rPr>
          <w:rStyle w:val="CharDivNo"/>
        </w:rPr>
        <w:t> </w:t>
      </w:r>
      <w:r>
        <w:t>—</w:t>
      </w:r>
      <w:r>
        <w:rPr>
          <w:rStyle w:val="CharDivText"/>
        </w:rPr>
        <w:t> </w:t>
      </w:r>
      <w:r>
        <w:rPr>
          <w:rStyle w:val="CharPartText"/>
        </w:rPr>
        <w:t>Administrative provisions</w:t>
      </w:r>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72066229"/>
      <w:bookmarkStart w:id="38" w:name="_Toc397950823"/>
      <w:bookmarkStart w:id="39" w:name="_Toc435023336"/>
      <w:r>
        <w:rPr>
          <w:rStyle w:val="CharSectno"/>
        </w:rPr>
        <w:t>10</w:t>
      </w:r>
      <w:r>
        <w:rPr>
          <w:snapToGrid w:val="0"/>
        </w:rPr>
        <w:t>.</w:t>
      </w:r>
      <w:r>
        <w:rPr>
          <w:snapToGrid w:val="0"/>
        </w:rPr>
        <w:tab/>
        <w:t>Duty of Minister and administrative arrangements</w:t>
      </w:r>
      <w:bookmarkEnd w:id="37"/>
      <w:bookmarkEnd w:id="38"/>
      <w:bookmarkEnd w:id="39"/>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40" w:name="_Toc472066230"/>
      <w:bookmarkStart w:id="41" w:name="_Toc397950824"/>
      <w:bookmarkStart w:id="42" w:name="_Toc435023337"/>
      <w:r>
        <w:rPr>
          <w:rStyle w:val="CharSectno"/>
        </w:rPr>
        <w:t>11</w:t>
      </w:r>
      <w:r>
        <w:rPr>
          <w:snapToGrid w:val="0"/>
        </w:rPr>
        <w:t>.</w:t>
      </w:r>
      <w:r>
        <w:rPr>
          <w:snapToGrid w:val="0"/>
        </w:rPr>
        <w:tab/>
        <w:t>Further functions of the Council</w:t>
      </w:r>
      <w:bookmarkEnd w:id="40"/>
      <w:bookmarkEnd w:id="41"/>
      <w:bookmarkEnd w:id="42"/>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43" w:name="_Toc472066231"/>
      <w:bookmarkStart w:id="44" w:name="_Toc397950825"/>
      <w:bookmarkStart w:id="45" w:name="_Toc435023338"/>
      <w:r>
        <w:rPr>
          <w:rStyle w:val="CharSectno"/>
        </w:rPr>
        <w:t>12</w:t>
      </w:r>
      <w:r>
        <w:rPr>
          <w:snapToGrid w:val="0"/>
        </w:rPr>
        <w:t>.</w:t>
      </w:r>
      <w:r>
        <w:rPr>
          <w:snapToGrid w:val="0"/>
        </w:rPr>
        <w:tab/>
        <w:t>Reviews</w:t>
      </w:r>
      <w:bookmarkEnd w:id="43"/>
      <w:bookmarkEnd w:id="44"/>
      <w:bookmarkEnd w:id="45"/>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by No. 55 of 2004 s. 994.]</w:t>
      </w:r>
    </w:p>
    <w:p>
      <w:pPr>
        <w:pStyle w:val="Heading5"/>
        <w:rPr>
          <w:snapToGrid w:val="0"/>
        </w:rPr>
      </w:pPr>
      <w:bookmarkStart w:id="46" w:name="_Toc472066232"/>
      <w:bookmarkStart w:id="47" w:name="_Toc397950826"/>
      <w:bookmarkStart w:id="48" w:name="_Toc435023339"/>
      <w:r>
        <w:rPr>
          <w:rStyle w:val="CharSectno"/>
        </w:rPr>
        <w:t>13</w:t>
      </w:r>
      <w:r>
        <w:rPr>
          <w:snapToGrid w:val="0"/>
        </w:rPr>
        <w:t>.</w:t>
      </w:r>
      <w:r>
        <w:rPr>
          <w:snapToGrid w:val="0"/>
        </w:rPr>
        <w:tab/>
        <w:t>Radiological Council</w:t>
      </w:r>
      <w:bookmarkEnd w:id="46"/>
      <w:bookmarkEnd w:id="47"/>
      <w:bookmarkEnd w:id="48"/>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No. 35 of 2010 s. 144.] </w:t>
      </w:r>
    </w:p>
    <w:p>
      <w:pPr>
        <w:pStyle w:val="Heading5"/>
        <w:rPr>
          <w:snapToGrid w:val="0"/>
        </w:rPr>
      </w:pPr>
      <w:bookmarkStart w:id="49" w:name="_Toc472066233"/>
      <w:bookmarkStart w:id="50" w:name="_Toc397950827"/>
      <w:bookmarkStart w:id="51" w:name="_Toc435023340"/>
      <w:r>
        <w:rPr>
          <w:rStyle w:val="CharSectno"/>
        </w:rPr>
        <w:t>14</w:t>
      </w:r>
      <w:r>
        <w:rPr>
          <w:snapToGrid w:val="0"/>
        </w:rPr>
        <w:t>.</w:t>
      </w:r>
      <w:r>
        <w:rPr>
          <w:snapToGrid w:val="0"/>
        </w:rPr>
        <w:tab/>
        <w:t>Tenure of office</w:t>
      </w:r>
      <w:bookmarkEnd w:id="49"/>
      <w:bookmarkEnd w:id="50"/>
      <w:bookmarkEnd w:id="51"/>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52" w:name="_Toc472066234"/>
      <w:bookmarkStart w:id="53" w:name="_Toc397950828"/>
      <w:bookmarkStart w:id="54" w:name="_Toc435023341"/>
      <w:r>
        <w:rPr>
          <w:rStyle w:val="CharSectno"/>
        </w:rPr>
        <w:t>15</w:t>
      </w:r>
      <w:r>
        <w:rPr>
          <w:snapToGrid w:val="0"/>
        </w:rPr>
        <w:t>.</w:t>
      </w:r>
      <w:r>
        <w:rPr>
          <w:snapToGrid w:val="0"/>
        </w:rPr>
        <w:tab/>
        <w:t>Deputies and casual vacancies</w:t>
      </w:r>
      <w:bookmarkEnd w:id="52"/>
      <w:bookmarkEnd w:id="53"/>
      <w:bookmarkEnd w:id="54"/>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55" w:name="_Toc472066235"/>
      <w:bookmarkStart w:id="56" w:name="_Toc397950829"/>
      <w:bookmarkStart w:id="57" w:name="_Toc435023342"/>
      <w:r>
        <w:rPr>
          <w:rStyle w:val="CharSectno"/>
        </w:rPr>
        <w:t>16</w:t>
      </w:r>
      <w:r>
        <w:rPr>
          <w:snapToGrid w:val="0"/>
        </w:rPr>
        <w:t>.</w:t>
      </w:r>
      <w:r>
        <w:rPr>
          <w:snapToGrid w:val="0"/>
        </w:rPr>
        <w:tab/>
        <w:t>Proceedings</w:t>
      </w:r>
      <w:bookmarkEnd w:id="55"/>
      <w:bookmarkEnd w:id="56"/>
      <w:bookmarkEnd w:id="57"/>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58" w:name="_Toc472066236"/>
      <w:bookmarkStart w:id="59" w:name="_Toc397950830"/>
      <w:bookmarkStart w:id="60" w:name="_Toc435023343"/>
      <w:r>
        <w:rPr>
          <w:rStyle w:val="CharSectno"/>
        </w:rPr>
        <w:t>17</w:t>
      </w:r>
      <w:r>
        <w:rPr>
          <w:snapToGrid w:val="0"/>
        </w:rPr>
        <w:t>.</w:t>
      </w:r>
      <w:r>
        <w:rPr>
          <w:snapToGrid w:val="0"/>
        </w:rPr>
        <w:tab/>
        <w:t>Co</w:t>
      </w:r>
      <w:r>
        <w:rPr>
          <w:snapToGrid w:val="0"/>
        </w:rPr>
        <w:noBreakHyphen/>
        <w:t>option and consultants</w:t>
      </w:r>
      <w:bookmarkEnd w:id="58"/>
      <w:bookmarkEnd w:id="59"/>
      <w:bookmarkEnd w:id="60"/>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61" w:name="_Toc472066237"/>
      <w:bookmarkStart w:id="62" w:name="_Toc397950831"/>
      <w:bookmarkStart w:id="63" w:name="_Toc435023344"/>
      <w:r>
        <w:rPr>
          <w:rStyle w:val="CharSectno"/>
        </w:rPr>
        <w:t>18</w:t>
      </w:r>
      <w:r>
        <w:rPr>
          <w:snapToGrid w:val="0"/>
        </w:rPr>
        <w:t>.</w:t>
      </w:r>
      <w:r>
        <w:rPr>
          <w:snapToGrid w:val="0"/>
        </w:rPr>
        <w:tab/>
        <w:t>Delegation</w:t>
      </w:r>
      <w:bookmarkEnd w:id="61"/>
      <w:bookmarkEnd w:id="62"/>
      <w:bookmarkEnd w:id="63"/>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64" w:name="_Toc472066238"/>
      <w:bookmarkStart w:id="65" w:name="_Toc397950832"/>
      <w:bookmarkStart w:id="66" w:name="_Toc435023345"/>
      <w:r>
        <w:rPr>
          <w:rStyle w:val="CharSectno"/>
        </w:rPr>
        <w:t>19</w:t>
      </w:r>
      <w:r>
        <w:rPr>
          <w:snapToGrid w:val="0"/>
        </w:rPr>
        <w:t>.</w:t>
      </w:r>
      <w:r>
        <w:rPr>
          <w:snapToGrid w:val="0"/>
        </w:rPr>
        <w:tab/>
        <w:t>Committees</w:t>
      </w:r>
      <w:bookmarkEnd w:id="64"/>
      <w:bookmarkEnd w:id="65"/>
      <w:bookmarkEnd w:id="66"/>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67" w:name="_Toc472066239"/>
      <w:bookmarkStart w:id="68" w:name="_Toc397950833"/>
      <w:bookmarkStart w:id="69" w:name="_Toc435023346"/>
      <w:r>
        <w:rPr>
          <w:rStyle w:val="CharSectno"/>
        </w:rPr>
        <w:t>20</w:t>
      </w:r>
      <w:r>
        <w:rPr>
          <w:snapToGrid w:val="0"/>
        </w:rPr>
        <w:t>.</w:t>
      </w:r>
      <w:r>
        <w:rPr>
          <w:snapToGrid w:val="0"/>
        </w:rPr>
        <w:tab/>
        <w:t>Restriction on remuneration</w:t>
      </w:r>
      <w:bookmarkEnd w:id="67"/>
      <w:bookmarkEnd w:id="68"/>
      <w:bookmarkEnd w:id="69"/>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by No. 32 of 1994 s. 3(1) and 4; No. 39 of 2010 s. 89.] </w:t>
      </w:r>
    </w:p>
    <w:p>
      <w:pPr>
        <w:pStyle w:val="Heading5"/>
        <w:rPr>
          <w:snapToGrid w:val="0"/>
        </w:rPr>
      </w:pPr>
      <w:bookmarkStart w:id="70" w:name="_Toc472066240"/>
      <w:bookmarkStart w:id="71" w:name="_Toc397950834"/>
      <w:bookmarkStart w:id="72" w:name="_Toc435023347"/>
      <w:r>
        <w:rPr>
          <w:rStyle w:val="CharSectno"/>
        </w:rPr>
        <w:t>21</w:t>
      </w:r>
      <w:r>
        <w:rPr>
          <w:snapToGrid w:val="0"/>
        </w:rPr>
        <w:t>.</w:t>
      </w:r>
      <w:r>
        <w:rPr>
          <w:snapToGrid w:val="0"/>
        </w:rPr>
        <w:tab/>
        <w:t>Transfer of property</w:t>
      </w:r>
      <w:bookmarkEnd w:id="70"/>
      <w:bookmarkEnd w:id="71"/>
      <w:bookmarkEnd w:id="72"/>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73" w:name="_Toc472066241"/>
      <w:bookmarkStart w:id="74" w:name="_Toc397950835"/>
      <w:bookmarkStart w:id="75" w:name="_Toc435023348"/>
      <w:r>
        <w:rPr>
          <w:rStyle w:val="CharSectno"/>
        </w:rPr>
        <w:t>22</w:t>
      </w:r>
      <w:r>
        <w:rPr>
          <w:snapToGrid w:val="0"/>
        </w:rPr>
        <w:t>.</w:t>
      </w:r>
      <w:r>
        <w:rPr>
          <w:snapToGrid w:val="0"/>
        </w:rPr>
        <w:tab/>
        <w:t>Annual report of Council etc.</w:t>
      </w:r>
      <w:bookmarkEnd w:id="73"/>
      <w:bookmarkEnd w:id="74"/>
      <w:bookmarkEnd w:id="75"/>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76" w:name="_Toc472066242"/>
      <w:bookmarkStart w:id="77" w:name="_Toc397950836"/>
      <w:bookmarkStart w:id="78" w:name="_Toc435023349"/>
      <w:r>
        <w:rPr>
          <w:rStyle w:val="CharSectno"/>
        </w:rPr>
        <w:t>23</w:t>
      </w:r>
      <w:r>
        <w:rPr>
          <w:snapToGrid w:val="0"/>
        </w:rPr>
        <w:t>.</w:t>
      </w:r>
      <w:r>
        <w:rPr>
          <w:snapToGrid w:val="0"/>
        </w:rPr>
        <w:tab/>
        <w:t>Disputes with governmental bodies</w:t>
      </w:r>
      <w:bookmarkEnd w:id="76"/>
      <w:bookmarkEnd w:id="77"/>
      <w:bookmarkEnd w:id="78"/>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79" w:name="_Toc472066243"/>
      <w:bookmarkStart w:id="80" w:name="_Toc397950837"/>
      <w:bookmarkStart w:id="81" w:name="_Toc435023350"/>
      <w:r>
        <w:rPr>
          <w:rStyle w:val="CharSectno"/>
        </w:rPr>
        <w:t>24</w:t>
      </w:r>
      <w:r>
        <w:rPr>
          <w:snapToGrid w:val="0"/>
        </w:rPr>
        <w:t>.</w:t>
      </w:r>
      <w:r>
        <w:rPr>
          <w:snapToGrid w:val="0"/>
        </w:rPr>
        <w:tab/>
        <w:t>Actions, claims and demands</w:t>
      </w:r>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82" w:name="_Toc472066244"/>
      <w:bookmarkStart w:id="83" w:name="_Toc397950838"/>
      <w:bookmarkStart w:id="84" w:name="_Toc435023351"/>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82"/>
      <w:bookmarkEnd w:id="83"/>
      <w:bookmarkEnd w:id="84"/>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 amended by No. 35 of 2010 s. 145.]</w:t>
      </w:r>
    </w:p>
    <w:p>
      <w:pPr>
        <w:pStyle w:val="Heading2"/>
      </w:pPr>
      <w:bookmarkStart w:id="85" w:name="_Toc471909518"/>
      <w:bookmarkStart w:id="86" w:name="_Toc472066245"/>
      <w:bookmarkStart w:id="87" w:name="_Toc378338371"/>
      <w:bookmarkStart w:id="88" w:name="_Toc392504325"/>
      <w:bookmarkStart w:id="89" w:name="_Toc397950839"/>
      <w:bookmarkStart w:id="90" w:name="_Toc424292548"/>
      <w:bookmarkStart w:id="91" w:name="_Toc435023352"/>
      <w:r>
        <w:rPr>
          <w:rStyle w:val="CharPartNo"/>
        </w:rPr>
        <w:t>Part III</w:t>
      </w:r>
      <w:r>
        <w:rPr>
          <w:rStyle w:val="CharDivNo"/>
        </w:rPr>
        <w:t> </w:t>
      </w:r>
      <w:r>
        <w:t>—</w:t>
      </w:r>
      <w:r>
        <w:rPr>
          <w:rStyle w:val="CharDivText"/>
        </w:rPr>
        <w:t> </w:t>
      </w:r>
      <w:r>
        <w:rPr>
          <w:rStyle w:val="CharPartText"/>
        </w:rPr>
        <w:t>Licensing and registration</w:t>
      </w:r>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472066246"/>
      <w:bookmarkStart w:id="93" w:name="_Toc397950840"/>
      <w:bookmarkStart w:id="94" w:name="_Toc435023353"/>
      <w:r>
        <w:rPr>
          <w:rStyle w:val="CharSectno"/>
        </w:rPr>
        <w:t>25</w:t>
      </w:r>
      <w:r>
        <w:rPr>
          <w:snapToGrid w:val="0"/>
        </w:rPr>
        <w:t>.</w:t>
      </w:r>
      <w:r>
        <w:rPr>
          <w:snapToGrid w:val="0"/>
        </w:rPr>
        <w:tab/>
        <w:t>Matters requiring a licence</w:t>
      </w:r>
      <w:bookmarkEnd w:id="92"/>
      <w:bookmarkEnd w:id="93"/>
      <w:bookmarkEnd w:id="94"/>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95" w:name="_Toc472066247"/>
      <w:bookmarkStart w:id="96" w:name="_Toc397950841"/>
      <w:bookmarkStart w:id="97" w:name="_Toc435023354"/>
      <w:r>
        <w:rPr>
          <w:rStyle w:val="CharSectno"/>
        </w:rPr>
        <w:t>26</w:t>
      </w:r>
      <w:r>
        <w:rPr>
          <w:snapToGrid w:val="0"/>
        </w:rPr>
        <w:t>.</w:t>
      </w:r>
      <w:r>
        <w:rPr>
          <w:snapToGrid w:val="0"/>
        </w:rPr>
        <w:tab/>
        <w:t>Licensing of persons</w:t>
      </w:r>
      <w:bookmarkEnd w:id="95"/>
      <w:bookmarkEnd w:id="96"/>
      <w:bookmarkEnd w:id="97"/>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98" w:name="_Toc472066248"/>
      <w:bookmarkStart w:id="99" w:name="_Toc397950842"/>
      <w:bookmarkStart w:id="100" w:name="_Toc435023355"/>
      <w:r>
        <w:rPr>
          <w:rStyle w:val="CharSectno"/>
        </w:rPr>
        <w:t>27</w:t>
      </w:r>
      <w:r>
        <w:rPr>
          <w:snapToGrid w:val="0"/>
        </w:rPr>
        <w:t>.</w:t>
      </w:r>
      <w:r>
        <w:rPr>
          <w:snapToGrid w:val="0"/>
        </w:rPr>
        <w:tab/>
        <w:t>Use of radioactive substances or radiation on persons</w:t>
      </w:r>
      <w:bookmarkEnd w:id="98"/>
      <w:bookmarkEnd w:id="99"/>
      <w:bookmarkEnd w:id="100"/>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w:t>
      </w:r>
    </w:p>
    <w:p>
      <w:pPr>
        <w:pStyle w:val="Heading5"/>
        <w:rPr>
          <w:snapToGrid w:val="0"/>
        </w:rPr>
      </w:pPr>
      <w:bookmarkStart w:id="101" w:name="_Toc472066249"/>
      <w:bookmarkStart w:id="102" w:name="_Toc397950843"/>
      <w:bookmarkStart w:id="103" w:name="_Toc435023356"/>
      <w:r>
        <w:rPr>
          <w:rStyle w:val="CharSectno"/>
        </w:rPr>
        <w:t>28</w:t>
      </w:r>
      <w:r>
        <w:rPr>
          <w:snapToGrid w:val="0"/>
        </w:rPr>
        <w:t>.</w:t>
      </w:r>
      <w:r>
        <w:rPr>
          <w:snapToGrid w:val="0"/>
        </w:rPr>
        <w:tab/>
        <w:t>Registration</w:t>
      </w:r>
      <w:bookmarkEnd w:id="101"/>
      <w:bookmarkEnd w:id="102"/>
      <w:bookmarkEnd w:id="103"/>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04" w:name="_Toc472066250"/>
      <w:bookmarkStart w:id="105" w:name="_Toc397950844"/>
      <w:bookmarkStart w:id="106" w:name="_Toc435023357"/>
      <w:r>
        <w:rPr>
          <w:rStyle w:val="CharSectno"/>
        </w:rPr>
        <w:t>29</w:t>
      </w:r>
      <w:r>
        <w:rPr>
          <w:snapToGrid w:val="0"/>
        </w:rPr>
        <w:t>.</w:t>
      </w:r>
      <w:r>
        <w:rPr>
          <w:snapToGrid w:val="0"/>
        </w:rPr>
        <w:tab/>
        <w:t>Sales and purchases</w:t>
      </w:r>
      <w:bookmarkEnd w:id="104"/>
      <w:bookmarkEnd w:id="105"/>
      <w:bookmarkEnd w:id="106"/>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07" w:name="_Toc472066251"/>
      <w:bookmarkStart w:id="108" w:name="_Toc397950845"/>
      <w:bookmarkStart w:id="109" w:name="_Toc435023358"/>
      <w:r>
        <w:rPr>
          <w:rStyle w:val="CharSectno"/>
        </w:rPr>
        <w:t>30</w:t>
      </w:r>
      <w:r>
        <w:rPr>
          <w:snapToGrid w:val="0"/>
        </w:rPr>
        <w:t>.</w:t>
      </w:r>
      <w:r>
        <w:rPr>
          <w:snapToGrid w:val="0"/>
        </w:rPr>
        <w:tab/>
        <w:t>Registration of defective premises, apparatus or products prohibited</w:t>
      </w:r>
      <w:bookmarkEnd w:id="107"/>
      <w:bookmarkEnd w:id="108"/>
      <w:bookmarkEnd w:id="109"/>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10" w:name="_Toc472066252"/>
      <w:bookmarkStart w:id="111" w:name="_Toc397950846"/>
      <w:bookmarkStart w:id="112" w:name="_Toc435023359"/>
      <w:r>
        <w:rPr>
          <w:rStyle w:val="CharSectno"/>
        </w:rPr>
        <w:t>31</w:t>
      </w:r>
      <w:r>
        <w:rPr>
          <w:snapToGrid w:val="0"/>
        </w:rPr>
        <w:t>.</w:t>
      </w:r>
      <w:r>
        <w:rPr>
          <w:snapToGrid w:val="0"/>
        </w:rPr>
        <w:tab/>
        <w:t>Review of potentially dangerous articles</w:t>
      </w:r>
      <w:bookmarkEnd w:id="110"/>
      <w:bookmarkEnd w:id="111"/>
      <w:bookmarkEnd w:id="112"/>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13" w:name="_Toc472066253"/>
      <w:bookmarkStart w:id="114" w:name="_Toc397950847"/>
      <w:bookmarkStart w:id="115" w:name="_Toc435023360"/>
      <w:r>
        <w:rPr>
          <w:rStyle w:val="CharSectno"/>
        </w:rPr>
        <w:t>32</w:t>
      </w:r>
      <w:r>
        <w:rPr>
          <w:snapToGrid w:val="0"/>
        </w:rPr>
        <w:t>.</w:t>
      </w:r>
      <w:r>
        <w:rPr>
          <w:snapToGrid w:val="0"/>
        </w:rPr>
        <w:tab/>
        <w:t>Refusal of licence, exemption or registration</w:t>
      </w:r>
      <w:bookmarkEnd w:id="113"/>
      <w:bookmarkEnd w:id="114"/>
      <w:bookmarkEnd w:id="115"/>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16" w:name="_Toc472066254"/>
      <w:bookmarkStart w:id="117" w:name="_Toc397950848"/>
      <w:bookmarkStart w:id="118" w:name="_Toc435023361"/>
      <w:r>
        <w:rPr>
          <w:rStyle w:val="CharSectno"/>
        </w:rPr>
        <w:t>33</w:t>
      </w:r>
      <w:r>
        <w:rPr>
          <w:snapToGrid w:val="0"/>
        </w:rPr>
        <w:t>.</w:t>
      </w:r>
      <w:r>
        <w:rPr>
          <w:snapToGrid w:val="0"/>
        </w:rPr>
        <w:tab/>
        <w:t>Licences and registration</w:t>
      </w:r>
      <w:bookmarkEnd w:id="116"/>
      <w:bookmarkEnd w:id="117"/>
      <w:bookmarkEnd w:id="118"/>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19" w:name="_Toc472066255"/>
      <w:bookmarkStart w:id="120" w:name="_Toc397950849"/>
      <w:bookmarkStart w:id="121" w:name="_Toc435023362"/>
      <w:r>
        <w:rPr>
          <w:rStyle w:val="CharSectno"/>
        </w:rPr>
        <w:t>34</w:t>
      </w:r>
      <w:r>
        <w:rPr>
          <w:snapToGrid w:val="0"/>
        </w:rPr>
        <w:t>.</w:t>
      </w:r>
      <w:r>
        <w:rPr>
          <w:snapToGrid w:val="0"/>
        </w:rPr>
        <w:tab/>
        <w:t>Disposal permits</w:t>
      </w:r>
      <w:bookmarkEnd w:id="119"/>
      <w:bookmarkEnd w:id="120"/>
      <w:bookmarkEnd w:id="121"/>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122" w:name="_Toc472066256"/>
      <w:bookmarkStart w:id="123" w:name="_Toc397950850"/>
      <w:bookmarkStart w:id="124" w:name="_Toc435023363"/>
      <w:r>
        <w:rPr>
          <w:rStyle w:val="CharSectno"/>
        </w:rPr>
        <w:t>35</w:t>
      </w:r>
      <w:r>
        <w:rPr>
          <w:snapToGrid w:val="0"/>
        </w:rPr>
        <w:t>.</w:t>
      </w:r>
      <w:r>
        <w:rPr>
          <w:snapToGrid w:val="0"/>
        </w:rPr>
        <w:tab/>
        <w:t>Temporary permits</w:t>
      </w:r>
      <w:bookmarkEnd w:id="122"/>
      <w:bookmarkEnd w:id="123"/>
      <w:bookmarkEnd w:id="124"/>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125" w:name="_Toc472066257"/>
      <w:bookmarkStart w:id="126" w:name="_Toc397950851"/>
      <w:bookmarkStart w:id="127" w:name="_Toc435023364"/>
      <w:r>
        <w:rPr>
          <w:rStyle w:val="CharSectno"/>
        </w:rPr>
        <w:t>36</w:t>
      </w:r>
      <w:r>
        <w:rPr>
          <w:snapToGrid w:val="0"/>
        </w:rPr>
        <w:t>.</w:t>
      </w:r>
      <w:r>
        <w:rPr>
          <w:snapToGrid w:val="0"/>
        </w:rPr>
        <w:tab/>
        <w:t>Conditions, restrictions and limitations on, and revocation or suspension of, licences, exemptions, and registrations</w:t>
      </w:r>
      <w:bookmarkEnd w:id="125"/>
      <w:bookmarkEnd w:id="126"/>
      <w:bookmarkEnd w:id="127"/>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in Gazette 28 Oct 2003 p. 4527.]</w:t>
      </w:r>
    </w:p>
    <w:p>
      <w:pPr>
        <w:pStyle w:val="Heading5"/>
      </w:pPr>
      <w:bookmarkStart w:id="128" w:name="_Toc472066258"/>
      <w:bookmarkStart w:id="129" w:name="_Toc397950852"/>
      <w:bookmarkStart w:id="130" w:name="_Toc435023365"/>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128"/>
      <w:bookmarkEnd w:id="129"/>
      <w:bookmarkEnd w:id="130"/>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by No. 35 of 2010 s. 148.]</w:t>
      </w:r>
    </w:p>
    <w:p>
      <w:pPr>
        <w:pStyle w:val="Heading5"/>
        <w:rPr>
          <w:snapToGrid w:val="0"/>
        </w:rPr>
      </w:pPr>
      <w:bookmarkStart w:id="131" w:name="_Toc472066259"/>
      <w:bookmarkStart w:id="132" w:name="_Toc397950853"/>
      <w:bookmarkStart w:id="133" w:name="_Toc435023366"/>
      <w:r>
        <w:rPr>
          <w:rStyle w:val="CharSectno"/>
        </w:rPr>
        <w:t>37</w:t>
      </w:r>
      <w:r>
        <w:rPr>
          <w:snapToGrid w:val="0"/>
        </w:rPr>
        <w:t>.</w:t>
      </w:r>
      <w:r>
        <w:rPr>
          <w:snapToGrid w:val="0"/>
        </w:rPr>
        <w:tab/>
        <w:t>Duration of licences, exemptions and registrations</w:t>
      </w:r>
      <w:bookmarkEnd w:id="131"/>
      <w:bookmarkEnd w:id="132"/>
      <w:bookmarkEnd w:id="133"/>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34" w:name="_Toc472066260"/>
      <w:bookmarkStart w:id="135" w:name="_Toc397950854"/>
      <w:bookmarkStart w:id="136" w:name="_Toc435023367"/>
      <w:r>
        <w:rPr>
          <w:rStyle w:val="CharSectno"/>
        </w:rPr>
        <w:t>38</w:t>
      </w:r>
      <w:r>
        <w:rPr>
          <w:snapToGrid w:val="0"/>
        </w:rPr>
        <w:t>.</w:t>
      </w:r>
      <w:r>
        <w:rPr>
          <w:snapToGrid w:val="0"/>
        </w:rPr>
        <w:tab/>
        <w:t>Change of circumstances</w:t>
      </w:r>
      <w:bookmarkEnd w:id="134"/>
      <w:bookmarkEnd w:id="135"/>
      <w:bookmarkEnd w:id="13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137" w:name="_Toc472066261"/>
      <w:bookmarkStart w:id="138" w:name="_Toc397950855"/>
      <w:bookmarkStart w:id="139" w:name="_Toc435023368"/>
      <w:r>
        <w:rPr>
          <w:rStyle w:val="CharSectno"/>
        </w:rPr>
        <w:t>39</w:t>
      </w:r>
      <w:r>
        <w:rPr>
          <w:snapToGrid w:val="0"/>
        </w:rPr>
        <w:t>.</w:t>
      </w:r>
      <w:r>
        <w:rPr>
          <w:snapToGrid w:val="0"/>
        </w:rPr>
        <w:tab/>
        <w:t>Power to obtain information</w:t>
      </w:r>
      <w:bookmarkEnd w:id="137"/>
      <w:bookmarkEnd w:id="138"/>
      <w:bookmarkEnd w:id="139"/>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140" w:name="_Toc472066262"/>
      <w:bookmarkStart w:id="141" w:name="_Toc397950856"/>
      <w:bookmarkStart w:id="142" w:name="_Toc435023369"/>
      <w:r>
        <w:rPr>
          <w:rStyle w:val="CharSectno"/>
        </w:rPr>
        <w:t>40A</w:t>
      </w:r>
      <w:r>
        <w:t>.</w:t>
      </w:r>
      <w:r>
        <w:tab/>
        <w:t>Notifications to Radiological Council</w:t>
      </w:r>
      <w:bookmarkEnd w:id="140"/>
      <w:bookmarkEnd w:id="141"/>
      <w:bookmarkEnd w:id="142"/>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by No. 35 of 2010 s. 149.]</w:t>
      </w:r>
    </w:p>
    <w:p>
      <w:pPr>
        <w:pStyle w:val="Heading5"/>
        <w:rPr>
          <w:snapToGrid w:val="0"/>
        </w:rPr>
      </w:pPr>
      <w:bookmarkStart w:id="143" w:name="_Toc472066263"/>
      <w:bookmarkStart w:id="144" w:name="_Toc397950857"/>
      <w:bookmarkStart w:id="145" w:name="_Toc435023370"/>
      <w:r>
        <w:rPr>
          <w:rStyle w:val="CharSectno"/>
        </w:rPr>
        <w:t>40</w:t>
      </w:r>
      <w:r>
        <w:rPr>
          <w:snapToGrid w:val="0"/>
        </w:rPr>
        <w:t>.</w:t>
      </w:r>
      <w:r>
        <w:rPr>
          <w:snapToGrid w:val="0"/>
        </w:rPr>
        <w:tab/>
        <w:t>Surrender of documents</w:t>
      </w:r>
      <w:bookmarkEnd w:id="143"/>
      <w:bookmarkEnd w:id="144"/>
      <w:bookmarkEnd w:id="145"/>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146" w:name="_Toc472066264"/>
      <w:bookmarkStart w:id="147" w:name="_Toc397950858"/>
      <w:bookmarkStart w:id="148" w:name="_Toc435023371"/>
      <w:r>
        <w:rPr>
          <w:rStyle w:val="CharSectno"/>
        </w:rPr>
        <w:t>41</w:t>
      </w:r>
      <w:r>
        <w:rPr>
          <w:snapToGrid w:val="0"/>
        </w:rPr>
        <w:t>.</w:t>
      </w:r>
      <w:r>
        <w:rPr>
          <w:snapToGrid w:val="0"/>
        </w:rPr>
        <w:tab/>
        <w:t>Registers</w:t>
      </w:r>
      <w:bookmarkEnd w:id="146"/>
      <w:bookmarkEnd w:id="147"/>
      <w:bookmarkEnd w:id="148"/>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149" w:name="_Toc472066265"/>
      <w:bookmarkStart w:id="150" w:name="_Toc397950859"/>
      <w:bookmarkStart w:id="151" w:name="_Toc435023372"/>
      <w:r>
        <w:rPr>
          <w:rStyle w:val="CharSectno"/>
        </w:rPr>
        <w:t>41A</w:t>
      </w:r>
      <w:r>
        <w:t>.</w:t>
      </w:r>
      <w:r>
        <w:tab/>
        <w:t>Restriction on authorisation of storage, transportation or disposal of nuclear waste</w:t>
      </w:r>
      <w:bookmarkEnd w:id="149"/>
      <w:bookmarkEnd w:id="150"/>
      <w:bookmarkEnd w:id="151"/>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152" w:name="_Toc471909539"/>
      <w:bookmarkStart w:id="153" w:name="_Toc472066266"/>
      <w:bookmarkStart w:id="154" w:name="_Toc378338392"/>
      <w:bookmarkStart w:id="155" w:name="_Toc392504346"/>
      <w:bookmarkStart w:id="156" w:name="_Toc397950860"/>
      <w:bookmarkStart w:id="157" w:name="_Toc424292569"/>
      <w:bookmarkStart w:id="158" w:name="_Toc435023373"/>
      <w:r>
        <w:rPr>
          <w:rStyle w:val="CharPartNo"/>
        </w:rPr>
        <w:t>Part IV</w:t>
      </w:r>
      <w:r>
        <w:rPr>
          <w:rStyle w:val="CharDivNo"/>
        </w:rPr>
        <w:t> </w:t>
      </w:r>
      <w:r>
        <w:t>—</w:t>
      </w:r>
      <w:r>
        <w:rPr>
          <w:rStyle w:val="CharDivText"/>
        </w:rPr>
        <w:t> </w:t>
      </w:r>
      <w:r>
        <w:rPr>
          <w:rStyle w:val="CharPartText"/>
        </w:rPr>
        <w:t>Enforcement</w:t>
      </w:r>
      <w:bookmarkEnd w:id="152"/>
      <w:bookmarkEnd w:id="153"/>
      <w:bookmarkEnd w:id="154"/>
      <w:bookmarkEnd w:id="155"/>
      <w:bookmarkEnd w:id="156"/>
      <w:bookmarkEnd w:id="157"/>
      <w:bookmarkEnd w:id="158"/>
      <w:r>
        <w:rPr>
          <w:rStyle w:val="CharPartText"/>
        </w:rPr>
        <w:t xml:space="preserve"> </w:t>
      </w:r>
    </w:p>
    <w:p>
      <w:pPr>
        <w:pStyle w:val="Heading5"/>
        <w:rPr>
          <w:snapToGrid w:val="0"/>
        </w:rPr>
      </w:pPr>
      <w:bookmarkStart w:id="159" w:name="_Toc472066267"/>
      <w:bookmarkStart w:id="160" w:name="_Toc397950861"/>
      <w:bookmarkStart w:id="161" w:name="_Toc435023374"/>
      <w:r>
        <w:rPr>
          <w:rStyle w:val="CharSectno"/>
        </w:rPr>
        <w:t>42</w:t>
      </w:r>
      <w:r>
        <w:rPr>
          <w:snapToGrid w:val="0"/>
        </w:rPr>
        <w:t>.</w:t>
      </w:r>
      <w:r>
        <w:rPr>
          <w:snapToGrid w:val="0"/>
        </w:rPr>
        <w:tab/>
        <w:t>Power of entry and inspection</w:t>
      </w:r>
      <w:bookmarkEnd w:id="159"/>
      <w:bookmarkEnd w:id="160"/>
      <w:bookmarkEnd w:id="161"/>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[Section 42 amended by No. 63 of 1981 s. 4; No. 28 of 1984 s. 97.]</w:t>
      </w:r>
    </w:p>
    <w:p>
      <w:pPr>
        <w:pStyle w:val="Heading5"/>
        <w:rPr>
          <w:snapToGrid w:val="0"/>
        </w:rPr>
      </w:pPr>
      <w:bookmarkStart w:id="162" w:name="_Toc472066268"/>
      <w:bookmarkStart w:id="163" w:name="_Toc397950862"/>
      <w:bookmarkStart w:id="164" w:name="_Toc435023375"/>
      <w:r>
        <w:rPr>
          <w:rStyle w:val="CharSectno"/>
        </w:rPr>
        <w:t>43</w:t>
      </w:r>
      <w:r>
        <w:rPr>
          <w:snapToGrid w:val="0"/>
        </w:rPr>
        <w:t>.</w:t>
      </w:r>
      <w:r>
        <w:rPr>
          <w:snapToGrid w:val="0"/>
        </w:rPr>
        <w:tab/>
        <w:t>Warrants</w:t>
      </w:r>
      <w:bookmarkEnd w:id="162"/>
      <w:bookmarkEnd w:id="163"/>
      <w:bookmarkEnd w:id="164"/>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165" w:name="_Toc472066269"/>
      <w:bookmarkStart w:id="166" w:name="_Toc397950863"/>
      <w:bookmarkStart w:id="167" w:name="_Toc435023376"/>
      <w:r>
        <w:rPr>
          <w:rStyle w:val="CharSectno"/>
        </w:rPr>
        <w:t>44</w:t>
      </w:r>
      <w:r>
        <w:rPr>
          <w:snapToGrid w:val="0"/>
        </w:rPr>
        <w:t>.</w:t>
      </w:r>
      <w:r>
        <w:rPr>
          <w:snapToGrid w:val="0"/>
        </w:rPr>
        <w:tab/>
        <w:t>Inspection procedure</w:t>
      </w:r>
      <w:bookmarkEnd w:id="165"/>
      <w:bookmarkEnd w:id="166"/>
      <w:bookmarkEnd w:id="167"/>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168" w:name="_Toc472066270"/>
      <w:bookmarkStart w:id="169" w:name="_Toc397950864"/>
      <w:bookmarkStart w:id="170" w:name="_Toc435023377"/>
      <w:r>
        <w:rPr>
          <w:rStyle w:val="CharSectno"/>
        </w:rPr>
        <w:t>45</w:t>
      </w:r>
      <w:r>
        <w:rPr>
          <w:snapToGrid w:val="0"/>
        </w:rPr>
        <w:t>.</w:t>
      </w:r>
      <w:r>
        <w:rPr>
          <w:snapToGrid w:val="0"/>
        </w:rPr>
        <w:tab/>
        <w:t>Owner to assist authorised officer</w:t>
      </w:r>
      <w:bookmarkEnd w:id="168"/>
      <w:bookmarkEnd w:id="169"/>
      <w:bookmarkEnd w:id="170"/>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171" w:name="_Toc472066271"/>
      <w:bookmarkStart w:id="172" w:name="_Toc397950865"/>
      <w:bookmarkStart w:id="173" w:name="_Toc435023378"/>
      <w:r>
        <w:rPr>
          <w:rStyle w:val="CharSectno"/>
        </w:rPr>
        <w:t>46</w:t>
      </w:r>
      <w:r>
        <w:rPr>
          <w:snapToGrid w:val="0"/>
        </w:rPr>
        <w:t>.</w:t>
      </w:r>
      <w:r>
        <w:rPr>
          <w:snapToGrid w:val="0"/>
        </w:rPr>
        <w:tab/>
        <w:t>Power to give directions</w:t>
      </w:r>
      <w:bookmarkEnd w:id="171"/>
      <w:bookmarkEnd w:id="172"/>
      <w:bookmarkEnd w:id="173"/>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174" w:name="_Toc472066272"/>
      <w:bookmarkStart w:id="175" w:name="_Toc397950866"/>
      <w:bookmarkStart w:id="176" w:name="_Toc435023379"/>
      <w:r>
        <w:rPr>
          <w:rStyle w:val="CharSectno"/>
        </w:rPr>
        <w:t>47</w:t>
      </w:r>
      <w:r>
        <w:rPr>
          <w:snapToGrid w:val="0"/>
        </w:rPr>
        <w:t>.</w:t>
      </w:r>
      <w:r>
        <w:rPr>
          <w:snapToGrid w:val="0"/>
        </w:rPr>
        <w:tab/>
        <w:t>Power to vary directions etc.</w:t>
      </w:r>
      <w:bookmarkEnd w:id="174"/>
      <w:bookmarkEnd w:id="175"/>
      <w:bookmarkEnd w:id="176"/>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177" w:name="_Toc472066273"/>
      <w:bookmarkStart w:id="178" w:name="_Toc397950867"/>
      <w:bookmarkStart w:id="179" w:name="_Toc435023380"/>
      <w:r>
        <w:rPr>
          <w:rStyle w:val="CharSectno"/>
        </w:rPr>
        <w:t>48</w:t>
      </w:r>
      <w:r>
        <w:rPr>
          <w:snapToGrid w:val="0"/>
        </w:rPr>
        <w:t>.</w:t>
      </w:r>
      <w:r>
        <w:rPr>
          <w:snapToGrid w:val="0"/>
        </w:rPr>
        <w:tab/>
        <w:t>Offences as to inspections etc.</w:t>
      </w:r>
      <w:bookmarkEnd w:id="177"/>
      <w:bookmarkEnd w:id="178"/>
      <w:bookmarkEnd w:id="179"/>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180" w:name="_Toc472066274"/>
      <w:bookmarkStart w:id="181" w:name="_Toc397950868"/>
      <w:bookmarkStart w:id="182" w:name="_Toc435023381"/>
      <w:r>
        <w:rPr>
          <w:rStyle w:val="CharSectno"/>
        </w:rPr>
        <w:t>49</w:t>
      </w:r>
      <w:r>
        <w:rPr>
          <w:snapToGrid w:val="0"/>
        </w:rPr>
        <w:t>.</w:t>
      </w:r>
      <w:r>
        <w:rPr>
          <w:snapToGrid w:val="0"/>
        </w:rPr>
        <w:tab/>
        <w:t>Secrecy</w:t>
      </w:r>
      <w:bookmarkEnd w:id="180"/>
      <w:bookmarkEnd w:id="181"/>
      <w:bookmarkEnd w:id="182"/>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183" w:name="_Toc472066275"/>
      <w:bookmarkStart w:id="184" w:name="_Toc397950869"/>
      <w:bookmarkStart w:id="185" w:name="_Toc435023382"/>
      <w:r>
        <w:rPr>
          <w:rStyle w:val="CharSectno"/>
        </w:rPr>
        <w:t>50</w:t>
      </w:r>
      <w:r>
        <w:rPr>
          <w:snapToGrid w:val="0"/>
        </w:rPr>
        <w:t>.</w:t>
      </w:r>
      <w:r>
        <w:rPr>
          <w:snapToGrid w:val="0"/>
        </w:rPr>
        <w:tab/>
        <w:t>Availability of records</w:t>
      </w:r>
      <w:bookmarkEnd w:id="183"/>
      <w:bookmarkEnd w:id="184"/>
      <w:bookmarkEnd w:id="185"/>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186" w:name="_Toc472066276"/>
      <w:bookmarkStart w:id="187" w:name="_Toc397950870"/>
      <w:bookmarkStart w:id="188" w:name="_Toc435023383"/>
      <w:r>
        <w:rPr>
          <w:rStyle w:val="CharSectno"/>
        </w:rPr>
        <w:t>51</w:t>
      </w:r>
      <w:r>
        <w:t>.</w:t>
      </w:r>
      <w:r>
        <w:rPr>
          <w:rStyle w:val="CharSectno"/>
        </w:rPr>
        <w:tab/>
      </w:r>
      <w:r>
        <w:t>Offences to be dealt with by magistrate</w:t>
      </w:r>
      <w:bookmarkEnd w:id="186"/>
      <w:bookmarkEnd w:id="187"/>
      <w:bookmarkEnd w:id="188"/>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189" w:name="_Toc472066277"/>
      <w:bookmarkStart w:id="190" w:name="_Toc397950871"/>
      <w:bookmarkStart w:id="191" w:name="_Toc435023384"/>
      <w:r>
        <w:rPr>
          <w:rStyle w:val="CharSectno"/>
        </w:rPr>
        <w:t>52</w:t>
      </w:r>
      <w:r>
        <w:rPr>
          <w:snapToGrid w:val="0"/>
        </w:rPr>
        <w:t>.</w:t>
      </w:r>
      <w:r>
        <w:rPr>
          <w:snapToGrid w:val="0"/>
        </w:rPr>
        <w:tab/>
        <w:t>Offences</w:t>
      </w:r>
      <w:bookmarkEnd w:id="189"/>
      <w:bookmarkEnd w:id="190"/>
      <w:bookmarkEnd w:id="191"/>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192" w:name="_Toc472066278"/>
      <w:bookmarkStart w:id="193" w:name="_Toc397950872"/>
      <w:bookmarkStart w:id="194" w:name="_Toc435023385"/>
      <w:r>
        <w:rPr>
          <w:rStyle w:val="CharSectno"/>
        </w:rPr>
        <w:t>53</w:t>
      </w:r>
      <w:r>
        <w:rPr>
          <w:snapToGrid w:val="0"/>
        </w:rPr>
        <w:t>.</w:t>
      </w:r>
      <w:r>
        <w:rPr>
          <w:snapToGrid w:val="0"/>
        </w:rPr>
        <w:tab/>
        <w:t>Forfeiture</w:t>
      </w:r>
      <w:bookmarkEnd w:id="192"/>
      <w:bookmarkEnd w:id="193"/>
      <w:bookmarkEnd w:id="194"/>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195" w:name="_Toc472066279"/>
      <w:bookmarkStart w:id="196" w:name="_Toc397950873"/>
      <w:bookmarkStart w:id="197" w:name="_Toc435023386"/>
      <w:r>
        <w:rPr>
          <w:rStyle w:val="CharSectno"/>
        </w:rPr>
        <w:t>54</w:t>
      </w:r>
      <w:r>
        <w:rPr>
          <w:snapToGrid w:val="0"/>
        </w:rPr>
        <w:t>.</w:t>
      </w:r>
      <w:r>
        <w:rPr>
          <w:snapToGrid w:val="0"/>
        </w:rPr>
        <w:tab/>
        <w:t>Power to seize and detain</w:t>
      </w:r>
      <w:bookmarkEnd w:id="195"/>
      <w:bookmarkEnd w:id="196"/>
      <w:bookmarkEnd w:id="197"/>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198" w:name="_Toc472066280"/>
      <w:bookmarkStart w:id="199" w:name="_Toc397950874"/>
      <w:bookmarkStart w:id="200" w:name="_Toc435023387"/>
      <w:r>
        <w:rPr>
          <w:rStyle w:val="CharSectno"/>
        </w:rPr>
        <w:t>55</w:t>
      </w:r>
      <w:r>
        <w:rPr>
          <w:snapToGrid w:val="0"/>
        </w:rPr>
        <w:t>.</w:t>
      </w:r>
      <w:r>
        <w:rPr>
          <w:snapToGrid w:val="0"/>
        </w:rPr>
        <w:tab/>
        <w:t>Emergency action</w:t>
      </w:r>
      <w:bookmarkEnd w:id="198"/>
      <w:bookmarkEnd w:id="199"/>
      <w:bookmarkEnd w:id="200"/>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201" w:name="_Toc472066281"/>
      <w:bookmarkStart w:id="202" w:name="_Toc397950875"/>
      <w:bookmarkStart w:id="203" w:name="_Toc435023388"/>
      <w:r>
        <w:rPr>
          <w:rStyle w:val="CharSectno"/>
        </w:rPr>
        <w:t>56</w:t>
      </w:r>
      <w:r>
        <w:rPr>
          <w:snapToGrid w:val="0"/>
        </w:rPr>
        <w:t>.</w:t>
      </w:r>
      <w:r>
        <w:rPr>
          <w:snapToGrid w:val="0"/>
        </w:rPr>
        <w:tab/>
        <w:t>Liability for the acts of others etc.</w:t>
      </w:r>
      <w:bookmarkEnd w:id="201"/>
      <w:bookmarkEnd w:id="202"/>
      <w:bookmarkEnd w:id="203"/>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204" w:name="_Toc472066282"/>
      <w:bookmarkStart w:id="205" w:name="_Toc397950876"/>
      <w:bookmarkStart w:id="206" w:name="_Toc435023389"/>
      <w:r>
        <w:rPr>
          <w:rStyle w:val="CharSectno"/>
        </w:rPr>
        <w:t>57</w:t>
      </w:r>
      <w:r>
        <w:rPr>
          <w:snapToGrid w:val="0"/>
        </w:rPr>
        <w:t>.</w:t>
      </w:r>
      <w:r>
        <w:rPr>
          <w:snapToGrid w:val="0"/>
        </w:rPr>
        <w:tab/>
        <w:t>Facilitation of proof</w:t>
      </w:r>
      <w:bookmarkEnd w:id="204"/>
      <w:bookmarkEnd w:id="205"/>
      <w:bookmarkEnd w:id="206"/>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207" w:name="_Toc471909556"/>
      <w:bookmarkStart w:id="208" w:name="_Toc472066283"/>
      <w:bookmarkStart w:id="209" w:name="_Toc378338409"/>
      <w:bookmarkStart w:id="210" w:name="_Toc392504363"/>
      <w:bookmarkStart w:id="211" w:name="_Toc397950877"/>
      <w:bookmarkStart w:id="212" w:name="_Toc424292586"/>
      <w:bookmarkStart w:id="213" w:name="_Toc435023390"/>
      <w:r>
        <w:rPr>
          <w:rStyle w:val="CharPartNo"/>
        </w:rPr>
        <w:t>Part V</w:t>
      </w:r>
      <w:r>
        <w:rPr>
          <w:rStyle w:val="CharDivNo"/>
        </w:rPr>
        <w:t> </w:t>
      </w:r>
      <w:r>
        <w:t>—</w:t>
      </w:r>
      <w:r>
        <w:rPr>
          <w:rStyle w:val="CharDivText"/>
        </w:rPr>
        <w:t> </w:t>
      </w:r>
      <w:r>
        <w:rPr>
          <w:rStyle w:val="CharPartText"/>
        </w:rPr>
        <w:t>Regulations</w:t>
      </w:r>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472066284"/>
      <w:bookmarkStart w:id="215" w:name="_Toc397950878"/>
      <w:bookmarkStart w:id="216" w:name="_Toc435023391"/>
      <w:r>
        <w:rPr>
          <w:rStyle w:val="CharSectno"/>
        </w:rPr>
        <w:t>58</w:t>
      </w:r>
      <w:r>
        <w:rPr>
          <w:snapToGrid w:val="0"/>
        </w:rPr>
        <w:t>.</w:t>
      </w:r>
      <w:r>
        <w:rPr>
          <w:snapToGrid w:val="0"/>
        </w:rPr>
        <w:tab/>
        <w:t>General power</w:t>
      </w:r>
      <w:bookmarkEnd w:id="214"/>
      <w:bookmarkEnd w:id="215"/>
      <w:bookmarkEnd w:id="216"/>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217" w:name="_Toc472066285"/>
      <w:bookmarkStart w:id="218" w:name="_Toc397950879"/>
      <w:bookmarkStart w:id="219" w:name="_Toc435023392"/>
      <w:r>
        <w:rPr>
          <w:rStyle w:val="CharSectno"/>
        </w:rPr>
        <w:t>59</w:t>
      </w:r>
      <w:r>
        <w:rPr>
          <w:snapToGrid w:val="0"/>
        </w:rPr>
        <w:t>.</w:t>
      </w:r>
      <w:r>
        <w:rPr>
          <w:snapToGrid w:val="0"/>
        </w:rPr>
        <w:tab/>
        <w:t>Specific powers</w:t>
      </w:r>
      <w:bookmarkEnd w:id="217"/>
      <w:bookmarkEnd w:id="218"/>
      <w:bookmarkEnd w:id="219"/>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20" w:name="_Toc471909559"/>
      <w:bookmarkStart w:id="221" w:name="_Toc472066286"/>
      <w:bookmarkStart w:id="222" w:name="_Toc378338412"/>
      <w:bookmarkStart w:id="223" w:name="_Toc392504366"/>
      <w:bookmarkStart w:id="224" w:name="_Toc397950880"/>
      <w:bookmarkStart w:id="225" w:name="_Toc424292589"/>
      <w:bookmarkStart w:id="226" w:name="_Toc435023393"/>
      <w:r>
        <w:t>Notes</w:t>
      </w:r>
      <w:bookmarkEnd w:id="220"/>
      <w:bookmarkEnd w:id="221"/>
      <w:bookmarkEnd w:id="222"/>
      <w:bookmarkEnd w:id="223"/>
      <w:bookmarkEnd w:id="224"/>
      <w:bookmarkEnd w:id="225"/>
      <w:bookmarkEnd w:id="226"/>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ins w:id="227" w:author="svcMRProcess" w:date="2017-01-13T16:50:00Z">
        <w:r>
          <w:rPr>
            <w:snapToGrid w:val="0"/>
            <w:vertAlign w:val="superscript"/>
          </w:rPr>
          <w:t> 1a</w:t>
        </w:r>
      </w:ins>
      <w:r>
        <w:rPr>
          <w:snapToGrid w:val="0"/>
        </w:rPr>
        <w:t>.  The table also contains information about any reprint.</w:t>
      </w:r>
    </w:p>
    <w:p>
      <w:pPr>
        <w:pStyle w:val="nHeading3"/>
        <w:rPr>
          <w:snapToGrid w:val="0"/>
        </w:rPr>
      </w:pPr>
      <w:bookmarkStart w:id="228" w:name="_Toc472066287"/>
      <w:bookmarkStart w:id="229" w:name="_Toc397950881"/>
      <w:bookmarkStart w:id="230" w:name="_Toc435023394"/>
      <w:r>
        <w:rPr>
          <w:snapToGrid w:val="0"/>
        </w:rPr>
        <w:t>Compilation table</w:t>
      </w:r>
      <w:bookmarkEnd w:id="228"/>
      <w:bookmarkEnd w:id="229"/>
      <w:bookmarkEnd w:id="230"/>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34" w:type="dxa"/>
            <w:tcBorders>
              <w:top w:val="single" w:sz="8" w:space="0" w:color="auto"/>
              <w:bottom w:val="single" w:sz="8" w:space="0" w:color="auto"/>
            </w:tcBorders>
          </w:tcPr>
          <w:p>
            <w:pPr>
              <w:pStyle w:val="nTable"/>
              <w:spacing w:after="40"/>
              <w:rPr>
                <w:b/>
              </w:rPr>
            </w:pPr>
            <w:r>
              <w:rPr>
                <w:b/>
              </w:rPr>
              <w:t>Commencement</w:t>
            </w:r>
          </w:p>
        </w:tc>
      </w:tr>
      <w:tr>
        <w:trPr>
          <w:gridAfter w:val="1"/>
          <w:wAfter w:w="18" w:type="dxa"/>
          <w:cantSplit/>
        </w:trPr>
        <w:tc>
          <w:tcPr>
            <w:tcW w:w="2267"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34" w:type="dxa"/>
            <w:tcBorders>
              <w:top w:val="single" w:sz="8" w:space="0" w:color="auto"/>
            </w:tcBorders>
          </w:tcPr>
          <w:p>
            <w:pPr>
              <w:pStyle w:val="nTable"/>
              <w:spacing w:after="40"/>
            </w:pPr>
            <w:r>
              <w:t xml:space="preserve">7 May 1976 (see s. 2 and </w:t>
            </w:r>
            <w:r>
              <w:rPr>
                <w:i/>
              </w:rPr>
              <w:t>Gazette</w:t>
            </w:r>
            <w:r>
              <w:t xml:space="preserve"> 7 May 1976 p. 1381)</w:t>
            </w:r>
          </w:p>
        </w:tc>
      </w:tr>
      <w:tr>
        <w:trPr>
          <w:gridAfter w:val="1"/>
          <w:wAfter w:w="18" w:type="dxa"/>
          <w:cantSplit/>
        </w:trPr>
        <w:tc>
          <w:tcPr>
            <w:tcW w:w="2267"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34" w:type="dxa"/>
          </w:tcPr>
          <w:p>
            <w:pPr>
              <w:pStyle w:val="nTable"/>
              <w:spacing w:after="40"/>
            </w:pPr>
            <w:r>
              <w:t>30 Aug 1979</w:t>
            </w:r>
          </w:p>
        </w:tc>
      </w:tr>
      <w:tr>
        <w:trPr>
          <w:gridAfter w:val="1"/>
          <w:wAfter w:w="18" w:type="dxa"/>
          <w:cantSplit/>
        </w:trPr>
        <w:tc>
          <w:tcPr>
            <w:tcW w:w="2267"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34" w:type="dxa"/>
          </w:tcPr>
          <w:p>
            <w:pPr>
              <w:pStyle w:val="nTable"/>
              <w:spacing w:after="40"/>
            </w:pPr>
            <w:r>
              <w:t>13 Oct 1981</w:t>
            </w:r>
          </w:p>
        </w:tc>
      </w:tr>
      <w:tr>
        <w:trPr>
          <w:gridAfter w:val="1"/>
          <w:wAfter w:w="18" w:type="dxa"/>
          <w:cantSplit/>
        </w:trPr>
        <w:tc>
          <w:tcPr>
            <w:tcW w:w="2267"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34" w:type="dxa"/>
          </w:tcPr>
          <w:p>
            <w:pPr>
              <w:pStyle w:val="nTable"/>
              <w:spacing w:after="40"/>
            </w:pPr>
            <w:r>
              <w:t xml:space="preserve">1 Jul 1984 (see s. 2 and </w:t>
            </w:r>
            <w:r>
              <w:rPr>
                <w:i/>
              </w:rPr>
              <w:t>Gazette</w:t>
            </w:r>
            <w:r>
              <w:t xml:space="preserve"> 15 Jun 1984 p. 1629)</w:t>
            </w:r>
          </w:p>
        </w:tc>
      </w:tr>
      <w:tr>
        <w:trPr>
          <w:gridAfter w:val="1"/>
          <w:wAfter w:w="18" w:type="dxa"/>
          <w:cantSplit/>
        </w:trPr>
        <w:tc>
          <w:tcPr>
            <w:tcW w:w="2267"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34" w:type="dxa"/>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gridSpan w:val="2"/>
          </w:tcPr>
          <w:p>
            <w:pPr>
              <w:pStyle w:val="nTable"/>
              <w:spacing w:after="40"/>
            </w:pPr>
            <w:r>
              <w:t>30 Apr 1998 (see s. 2(1))</w:t>
            </w:r>
          </w:p>
        </w:tc>
      </w:tr>
      <w:tr>
        <w:trPr>
          <w:cantSplit/>
        </w:trPr>
        <w:tc>
          <w:tcPr>
            <w:tcW w:w="2267"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2" w:type="dxa"/>
            <w:gridSpan w:val="2"/>
          </w:tcPr>
          <w:p>
            <w:pPr>
              <w:pStyle w:val="nTable"/>
              <w:spacing w:after="40"/>
            </w:pPr>
            <w:r>
              <w:t>7 Dec 1999 (see s. 2)</w:t>
            </w:r>
          </w:p>
        </w:tc>
      </w:tr>
      <w:tr>
        <w:trPr>
          <w:cantSplit/>
        </w:trPr>
        <w:tc>
          <w:tcPr>
            <w:tcW w:w="7087" w:type="dxa"/>
            <w:gridSpan w:val="5"/>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in </w:t>
            </w:r>
            <w:r>
              <w:rPr>
                <w:i/>
                <w:iCs/>
              </w:rPr>
              <w:t>Gazette</w:t>
            </w:r>
            <w:r>
              <w:t xml:space="preserve"> 28 Oct 2003 p. 4527)</w:t>
            </w:r>
          </w:p>
        </w:tc>
      </w:tr>
      <w:tr>
        <w:trPr>
          <w:cantSplit/>
        </w:trPr>
        <w:tc>
          <w:tcPr>
            <w:tcW w:w="2267"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2" w:type="dxa"/>
            <w:gridSpan w:val="2"/>
          </w:tcPr>
          <w:p>
            <w:pPr>
              <w:pStyle w:val="nTable"/>
              <w:spacing w:after="40"/>
            </w:pPr>
            <w:r>
              <w:t>9 Apr 2003 (see s. 2)</w:t>
            </w:r>
          </w:p>
        </w:tc>
      </w:tr>
      <w:tr>
        <w:trPr>
          <w:cantSplit/>
        </w:trPr>
        <w:tc>
          <w:tcPr>
            <w:tcW w:w="2267"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2" w:type="dxa"/>
            <w:gridSpan w:val="2"/>
          </w:tcPr>
          <w:p>
            <w:pPr>
              <w:pStyle w:val="nTable"/>
              <w:spacing w:after="40"/>
            </w:pPr>
            <w:r>
              <w:rPr>
                <w:spacing w:val="-2"/>
              </w:rPr>
              <w:t>15 Dec 2003 (see s. 2)</w:t>
            </w:r>
          </w:p>
        </w:tc>
      </w:tr>
      <w:tr>
        <w:trPr>
          <w:cantSplit/>
        </w:trPr>
        <w:tc>
          <w:tcPr>
            <w:tcW w:w="2267" w:type="dxa"/>
          </w:tcPr>
          <w:p>
            <w:pPr>
              <w:pStyle w:val="nTable"/>
              <w:spacing w:after="40"/>
              <w:ind w:right="170"/>
            </w:pPr>
            <w:r>
              <w:rPr>
                <w:i/>
              </w:rPr>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2" w:type="dxa"/>
            <w:gridSpan w:val="2"/>
          </w:tcPr>
          <w:p>
            <w:pPr>
              <w:pStyle w:val="nTable"/>
              <w:spacing w:after="40"/>
              <w:rPr>
                <w:spacing w:val="-2"/>
              </w:rPr>
            </w:pPr>
            <w:r>
              <w:t>1 Apr 2004 (see s. 2)</w:t>
            </w:r>
          </w:p>
        </w:tc>
      </w:tr>
      <w:tr>
        <w:trPr>
          <w:cantSplit/>
        </w:trPr>
        <w:tc>
          <w:tcPr>
            <w:tcW w:w="2267" w:type="dxa"/>
          </w:tcPr>
          <w:p>
            <w:pPr>
              <w:pStyle w:val="nTable"/>
              <w:spacing w:after="40"/>
              <w:ind w:right="170"/>
              <w:rPr>
                <w:i/>
                <w:vertAlign w:val="superscript"/>
              </w:rPr>
            </w:pPr>
            <w:r>
              <w:rPr>
                <w:i/>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5"/>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2" w:type="dxa"/>
            <w:gridSpan w:val="2"/>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2" w:type="dxa"/>
            <w:gridSpan w:val="2"/>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2" w:type="dxa"/>
            <w:gridSpan w:val="2"/>
            <w:tcBorders>
              <w:top w:val="nil"/>
              <w:bottom w:val="nil"/>
            </w:tcBorders>
          </w:tcPr>
          <w:p>
            <w:pPr>
              <w:pStyle w:val="nTable"/>
              <w:spacing w:after="40"/>
              <w:rPr>
                <w:rFonts w:ascii="Times" w:hAnsi="Times"/>
                <w:snapToGrid w:val="0"/>
              </w:rPr>
            </w:pPr>
            <w:r>
              <w:rPr>
                <w:rFonts w:ascii="Times" w:hAnsi="Times"/>
                <w:snapToGrid w:val="0"/>
              </w:rP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7087" w:type="dxa"/>
            <w:gridSpan w:val="5"/>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rPr>
          <w:cantSplit/>
        </w:trPr>
        <w:tc>
          <w:tcPr>
            <w:tcW w:w="2267"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gridSpan w:val="2"/>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rPr>
          <w:cantSplit/>
        </w:trPr>
        <w:tc>
          <w:tcPr>
            <w:tcW w:w="2267"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7" w:type="dxa"/>
            <w:tcBorders>
              <w:bottom w:val="single" w:sz="4" w:space="0" w:color="auto"/>
            </w:tcBorders>
          </w:tcPr>
          <w:p>
            <w:pPr>
              <w:pStyle w:val="nTable"/>
              <w:spacing w:after="40"/>
              <w:rPr>
                <w:i/>
                <w:iCs/>
                <w:snapToGrid w:val="0"/>
              </w:rPr>
            </w:pPr>
            <w:r>
              <w:rPr>
                <w:i/>
                <w:iCs/>
                <w:snapToGrid w:val="0"/>
              </w:rPr>
              <w:t>Statutes (Repeals and Minor Amendments) Act 2014</w:t>
            </w:r>
            <w:r>
              <w:rPr>
                <w:iCs/>
                <w:snapToGrid w:val="0"/>
              </w:rPr>
              <w:t xml:space="preserve"> s. 33</w:t>
            </w:r>
          </w:p>
        </w:tc>
        <w:tc>
          <w:tcPr>
            <w:tcW w:w="1134" w:type="dxa"/>
            <w:tcBorders>
              <w:bottom w:val="single" w:sz="4" w:space="0" w:color="auto"/>
            </w:tcBorders>
          </w:tcPr>
          <w:p>
            <w:pPr>
              <w:pStyle w:val="nTable"/>
              <w:spacing w:after="40"/>
              <w:rPr>
                <w:snapToGrid w:val="0"/>
              </w:rPr>
            </w:pPr>
            <w:r>
              <w:rPr>
                <w:snapToGrid w:val="0"/>
              </w:rPr>
              <w:t>17 of 2014</w:t>
            </w:r>
          </w:p>
        </w:tc>
        <w:tc>
          <w:tcPr>
            <w:tcW w:w="1134" w:type="dxa"/>
            <w:tcBorders>
              <w:bottom w:val="single" w:sz="4" w:space="0" w:color="auto"/>
            </w:tcBorders>
          </w:tcPr>
          <w:p>
            <w:pPr>
              <w:pStyle w:val="nTable"/>
              <w:spacing w:after="40"/>
              <w:rPr>
                <w:snapToGrid w:val="0"/>
              </w:rPr>
            </w:pPr>
            <w:r>
              <w:rPr>
                <w:snapToGrid w:val="0"/>
              </w:rPr>
              <w:t>2 Jul 2014</w:t>
            </w:r>
          </w:p>
        </w:tc>
        <w:tc>
          <w:tcPr>
            <w:tcW w:w="2552" w:type="dxa"/>
            <w:gridSpan w:val="2"/>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rPr>
          <w:ins w:id="231" w:author="svcMRProcess" w:date="2017-01-13T16:50:00Z"/>
        </w:rPr>
      </w:pPr>
      <w:ins w:id="232" w:author="svcMRProcess" w:date="2017-01-13T16:5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3" w:author="svcMRProcess" w:date="2017-01-13T16:50:00Z"/>
        </w:rPr>
      </w:pPr>
      <w:bookmarkStart w:id="234" w:name="_Toc472066288"/>
      <w:ins w:id="235" w:author="svcMRProcess" w:date="2017-01-13T16:50:00Z">
        <w:r>
          <w:t>Provisions that have not come into operation</w:t>
        </w:r>
        <w:bookmarkEnd w:id="23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36" w:author="svcMRProcess" w:date="2017-01-13T16:50:00Z"/>
        </w:trPr>
        <w:tc>
          <w:tcPr>
            <w:tcW w:w="2268" w:type="dxa"/>
            <w:tcBorders>
              <w:bottom w:val="single" w:sz="8" w:space="0" w:color="auto"/>
            </w:tcBorders>
          </w:tcPr>
          <w:p>
            <w:pPr>
              <w:pStyle w:val="nTable"/>
              <w:spacing w:after="40"/>
              <w:rPr>
                <w:ins w:id="237" w:author="svcMRProcess" w:date="2017-01-13T16:50:00Z"/>
                <w:b/>
              </w:rPr>
            </w:pPr>
            <w:ins w:id="238" w:author="svcMRProcess" w:date="2017-01-13T16:50:00Z">
              <w:r>
                <w:rPr>
                  <w:b/>
                </w:rPr>
                <w:t>Short title</w:t>
              </w:r>
            </w:ins>
          </w:p>
        </w:tc>
        <w:tc>
          <w:tcPr>
            <w:tcW w:w="1134" w:type="dxa"/>
            <w:tcBorders>
              <w:bottom w:val="single" w:sz="8" w:space="0" w:color="auto"/>
            </w:tcBorders>
          </w:tcPr>
          <w:p>
            <w:pPr>
              <w:pStyle w:val="nTable"/>
              <w:spacing w:after="40"/>
              <w:rPr>
                <w:ins w:id="239" w:author="svcMRProcess" w:date="2017-01-13T16:50:00Z"/>
                <w:b/>
              </w:rPr>
            </w:pPr>
            <w:ins w:id="240" w:author="svcMRProcess" w:date="2017-01-13T16:50:00Z">
              <w:r>
                <w:rPr>
                  <w:b/>
                </w:rPr>
                <w:t>Number and year</w:t>
              </w:r>
            </w:ins>
          </w:p>
        </w:tc>
        <w:tc>
          <w:tcPr>
            <w:tcW w:w="1134" w:type="dxa"/>
            <w:tcBorders>
              <w:bottom w:val="single" w:sz="8" w:space="0" w:color="auto"/>
            </w:tcBorders>
          </w:tcPr>
          <w:p>
            <w:pPr>
              <w:pStyle w:val="nTable"/>
              <w:spacing w:after="40"/>
              <w:rPr>
                <w:ins w:id="241" w:author="svcMRProcess" w:date="2017-01-13T16:50:00Z"/>
                <w:b/>
              </w:rPr>
            </w:pPr>
            <w:ins w:id="242" w:author="svcMRProcess" w:date="2017-01-13T16:50:00Z">
              <w:r>
                <w:rPr>
                  <w:b/>
                </w:rPr>
                <w:t>Assent</w:t>
              </w:r>
            </w:ins>
          </w:p>
        </w:tc>
        <w:tc>
          <w:tcPr>
            <w:tcW w:w="2552" w:type="dxa"/>
            <w:tcBorders>
              <w:bottom w:val="single" w:sz="8" w:space="0" w:color="auto"/>
            </w:tcBorders>
          </w:tcPr>
          <w:p>
            <w:pPr>
              <w:pStyle w:val="nTable"/>
              <w:spacing w:after="40"/>
              <w:rPr>
                <w:ins w:id="243" w:author="svcMRProcess" w:date="2017-01-13T16:50:00Z"/>
                <w:b/>
              </w:rPr>
            </w:pPr>
            <w:ins w:id="244" w:author="svcMRProcess" w:date="2017-01-13T16:50:00Z">
              <w:r>
                <w:rPr>
                  <w:b/>
                </w:rPr>
                <w:t>Commencement</w:t>
              </w:r>
            </w:ins>
          </w:p>
        </w:tc>
      </w:tr>
      <w:tr>
        <w:trPr>
          <w:ins w:id="245" w:author="svcMRProcess" w:date="2017-01-13T16:50:00Z"/>
        </w:trPr>
        <w:tc>
          <w:tcPr>
            <w:tcW w:w="2268" w:type="dxa"/>
            <w:tcBorders>
              <w:top w:val="single" w:sz="8" w:space="0" w:color="auto"/>
              <w:bottom w:val="single" w:sz="4" w:space="0" w:color="auto"/>
            </w:tcBorders>
          </w:tcPr>
          <w:p>
            <w:pPr>
              <w:pStyle w:val="nTable"/>
              <w:spacing w:after="40"/>
              <w:rPr>
                <w:ins w:id="246" w:author="svcMRProcess" w:date="2017-01-13T16:50:00Z"/>
                <w:i/>
                <w:noProof/>
              </w:rPr>
            </w:pPr>
            <w:ins w:id="247" w:author="svcMRProcess" w:date="2017-01-13T16:50:00Z">
              <w:r>
                <w:rPr>
                  <w:i/>
                </w:rPr>
                <w:t>Public Health (Consequential Provisions) Act 2016</w:t>
              </w:r>
              <w:r>
                <w:t xml:space="preserve"> s. 102</w:t>
              </w:r>
              <w:r>
                <w:rPr>
                  <w:vertAlign w:val="superscript"/>
                </w:rPr>
                <w:t> 5</w:t>
              </w:r>
            </w:ins>
          </w:p>
        </w:tc>
        <w:tc>
          <w:tcPr>
            <w:tcW w:w="1134" w:type="dxa"/>
            <w:tcBorders>
              <w:top w:val="single" w:sz="8" w:space="0" w:color="auto"/>
              <w:bottom w:val="single" w:sz="4" w:space="0" w:color="auto"/>
            </w:tcBorders>
          </w:tcPr>
          <w:p>
            <w:pPr>
              <w:pStyle w:val="nTable"/>
              <w:spacing w:after="40"/>
              <w:rPr>
                <w:ins w:id="248" w:author="svcMRProcess" w:date="2017-01-13T16:50:00Z"/>
              </w:rPr>
            </w:pPr>
            <w:ins w:id="249" w:author="svcMRProcess" w:date="2017-01-13T16:50:00Z">
              <w:r>
                <w:t>19 of 2016</w:t>
              </w:r>
            </w:ins>
          </w:p>
        </w:tc>
        <w:tc>
          <w:tcPr>
            <w:tcW w:w="1134" w:type="dxa"/>
            <w:tcBorders>
              <w:top w:val="single" w:sz="8" w:space="0" w:color="auto"/>
              <w:bottom w:val="single" w:sz="4" w:space="0" w:color="auto"/>
            </w:tcBorders>
          </w:tcPr>
          <w:p>
            <w:pPr>
              <w:pStyle w:val="nTable"/>
              <w:spacing w:after="40"/>
              <w:rPr>
                <w:ins w:id="250" w:author="svcMRProcess" w:date="2017-01-13T16:50:00Z"/>
              </w:rPr>
            </w:pPr>
            <w:ins w:id="251" w:author="svcMRProcess" w:date="2017-01-13T16:50:00Z">
              <w:r>
                <w:t>25 Jul 2016</w:t>
              </w:r>
            </w:ins>
          </w:p>
        </w:tc>
        <w:tc>
          <w:tcPr>
            <w:tcW w:w="2552" w:type="dxa"/>
            <w:tcBorders>
              <w:top w:val="single" w:sz="8" w:space="0" w:color="auto"/>
              <w:bottom w:val="single" w:sz="4" w:space="0" w:color="auto"/>
            </w:tcBorders>
          </w:tcPr>
          <w:p>
            <w:pPr>
              <w:pStyle w:val="nTable"/>
              <w:spacing w:after="40"/>
              <w:rPr>
                <w:ins w:id="252" w:author="svcMRProcess" w:date="2017-01-13T16:50:00Z"/>
              </w:rPr>
            </w:pPr>
            <w:ins w:id="253" w:author="svcMRProcess" w:date="2017-01-13T16:50:00Z">
              <w:r>
                <w:rPr>
                  <w:snapToGrid w:val="0"/>
                </w:rPr>
                <w:t xml:space="preserve">24 Jan 2017 (see s. 2(1)(c) and </w:t>
              </w:r>
              <w:r>
                <w:rPr>
                  <w:i/>
                  <w:snapToGrid w:val="0"/>
                </w:rPr>
                <w:t>Gazette</w:t>
              </w:r>
              <w:r>
                <w:rPr>
                  <w:snapToGrid w:val="0"/>
                </w:rPr>
                <w:t xml:space="preserve"> 10 Jan 2017 p. 165)</w:t>
              </w:r>
            </w:ins>
          </w:p>
        </w:tc>
      </w:tr>
    </w:tbl>
    <w:p>
      <w:pPr>
        <w:pStyle w:val="nSubsection"/>
        <w:rPr>
          <w:i/>
          <w:iCs/>
        </w:rPr>
      </w:pPr>
      <w:r>
        <w:rPr>
          <w:vertAlign w:val="superscript"/>
        </w:rPr>
        <w:t>2</w:t>
      </w:r>
      <w:r>
        <w:tab/>
        <w:t>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254" w:author="svcMRProcess" w:date="2017-01-13T16:50:00Z"/>
          <w:snapToGrid w:val="0"/>
        </w:rPr>
      </w:pPr>
      <w:ins w:id="255" w:author="svcMRProcess" w:date="2017-01-13T16:50:00Z">
        <w:r>
          <w:rPr>
            <w:snapToGrid w:val="0"/>
            <w:vertAlign w:val="superscript"/>
          </w:rPr>
          <w:t>5</w:t>
        </w:r>
        <w:r>
          <w:rPr>
            <w:snapToGrid w:val="0"/>
          </w:rPr>
          <w:tab/>
          <w:t xml:space="preserve">On the date as at which this compilation was prepared, the </w:t>
        </w:r>
        <w:r>
          <w:rPr>
            <w:i/>
          </w:rPr>
          <w:t>Public Health (Consequential Provisions) Act 2016</w:t>
        </w:r>
        <w:r>
          <w:t xml:space="preserve"> s. 102</w:t>
        </w:r>
        <w:r>
          <w:rPr>
            <w:snapToGrid w:val="0"/>
          </w:rPr>
          <w:t xml:space="preserve"> had not come into operation.  It reads as follows:</w:t>
        </w:r>
      </w:ins>
    </w:p>
    <w:p>
      <w:pPr>
        <w:pStyle w:val="BlankOpen"/>
        <w:rPr>
          <w:ins w:id="256" w:author="svcMRProcess" w:date="2017-01-13T16:50:00Z"/>
          <w:snapToGrid w:val="0"/>
        </w:rPr>
      </w:pPr>
    </w:p>
    <w:p>
      <w:pPr>
        <w:pStyle w:val="nzHeading5"/>
        <w:rPr>
          <w:ins w:id="257" w:author="svcMRProcess" w:date="2017-01-13T16:50:00Z"/>
        </w:rPr>
      </w:pPr>
      <w:ins w:id="258" w:author="svcMRProcess" w:date="2017-01-13T16:50:00Z">
        <w:r>
          <w:rPr>
            <w:rStyle w:val="CharSectno"/>
          </w:rPr>
          <w:t>102</w:t>
        </w:r>
        <w:r>
          <w:t>.</w:t>
        </w:r>
        <w:r>
          <w:tab/>
          <w:t>Various references to “Executive Director” amended</w:t>
        </w:r>
      </w:ins>
    </w:p>
    <w:p>
      <w:pPr>
        <w:pStyle w:val="nzSubsection"/>
        <w:rPr>
          <w:ins w:id="259" w:author="svcMRProcess" w:date="2017-01-13T16:50:00Z"/>
        </w:rPr>
      </w:pPr>
      <w:ins w:id="260" w:author="svcMRProcess" w:date="2017-01-13T16:50:00Z">
        <w:r>
          <w:tab/>
          <w:t>(1)</w:t>
        </w:r>
        <w:r>
          <w:tab/>
          <w:t>This section amends the Acts listed in the Table.</w:t>
        </w:r>
      </w:ins>
    </w:p>
    <w:p>
      <w:pPr>
        <w:pStyle w:val="nzSubsection"/>
        <w:rPr>
          <w:ins w:id="261" w:author="svcMRProcess" w:date="2017-01-13T16:50:00Z"/>
        </w:rPr>
      </w:pPr>
      <w:ins w:id="262" w:author="svcMRProcess" w:date="2017-01-13T16:50:00Z">
        <w:r>
          <w:tab/>
          <w:t>(2)</w:t>
        </w:r>
        <w:r>
          <w:tab/>
          <w:t xml:space="preserve">In the provisions listed in the Table delete the definition of </w:t>
        </w:r>
        <w:r>
          <w:rPr>
            <w:b/>
            <w:i/>
          </w:rPr>
          <w:t>Executive Director</w:t>
        </w:r>
        <w:r>
          <w:t>.</w:t>
        </w:r>
      </w:ins>
    </w:p>
    <w:p>
      <w:pPr>
        <w:pStyle w:val="nzMiscellaneousHeading"/>
        <w:rPr>
          <w:ins w:id="263" w:author="svcMRProcess" w:date="2017-01-13T16:50:00Z"/>
        </w:rPr>
      </w:pPr>
      <w:ins w:id="264" w:author="svcMRProcess" w:date="2017-01-13T16:50: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65" w:author="svcMRProcess" w:date="2017-01-13T16:50:00Z"/>
        </w:trPr>
        <w:tc>
          <w:tcPr>
            <w:tcW w:w="3402" w:type="dxa"/>
          </w:tcPr>
          <w:p>
            <w:pPr>
              <w:pStyle w:val="TableAm"/>
              <w:rPr>
                <w:ins w:id="266" w:author="svcMRProcess" w:date="2017-01-13T16:50:00Z"/>
                <w:iCs/>
                <w:sz w:val="20"/>
              </w:rPr>
            </w:pPr>
            <w:ins w:id="267" w:author="svcMRProcess" w:date="2017-01-13T16:50:00Z">
              <w:r>
                <w:rPr>
                  <w:i/>
                  <w:iCs/>
                  <w:sz w:val="20"/>
                </w:rPr>
                <w:t>Radiation Safety Act 1975</w:t>
              </w:r>
            </w:ins>
          </w:p>
        </w:tc>
        <w:tc>
          <w:tcPr>
            <w:tcW w:w="3402" w:type="dxa"/>
          </w:tcPr>
          <w:p>
            <w:pPr>
              <w:pStyle w:val="TableAm"/>
              <w:rPr>
                <w:ins w:id="268" w:author="svcMRProcess" w:date="2017-01-13T16:50:00Z"/>
                <w:sz w:val="20"/>
              </w:rPr>
            </w:pPr>
            <w:ins w:id="269" w:author="svcMRProcess" w:date="2017-01-13T16:50:00Z">
              <w:r>
                <w:rPr>
                  <w:sz w:val="20"/>
                </w:rPr>
                <w:t>s. 4</w:t>
              </w:r>
            </w:ins>
          </w:p>
        </w:tc>
      </w:tr>
    </w:tbl>
    <w:p>
      <w:pPr>
        <w:pStyle w:val="nzSubsection"/>
        <w:rPr>
          <w:ins w:id="270" w:author="svcMRProcess" w:date="2017-01-13T16:50:00Z"/>
        </w:rPr>
      </w:pPr>
      <w:ins w:id="271" w:author="svcMRProcess" w:date="2017-01-13T16:50:00Z">
        <w:r>
          <w:tab/>
          <w:t>(3)</w:t>
        </w:r>
        <w:r>
          <w:tab/>
          <w:t>In the provisions listed in the Table insert in alphabetical order:</w:t>
        </w:r>
      </w:ins>
    </w:p>
    <w:p>
      <w:pPr>
        <w:pStyle w:val="BlankOpen"/>
        <w:rPr>
          <w:ins w:id="272" w:author="svcMRProcess" w:date="2017-01-13T16:50:00Z"/>
        </w:rPr>
      </w:pPr>
    </w:p>
    <w:p>
      <w:pPr>
        <w:pStyle w:val="nzDefstart"/>
        <w:rPr>
          <w:ins w:id="273" w:author="svcMRProcess" w:date="2017-01-13T16:50:00Z"/>
        </w:rPr>
      </w:pPr>
      <w:ins w:id="274" w:author="svcMRProcess" w:date="2017-01-13T16:50:00Z">
        <w:r>
          <w:tab/>
        </w:r>
        <w:r>
          <w:rPr>
            <w:rStyle w:val="CharDefText"/>
          </w:rPr>
          <w:t xml:space="preserve">Chief Health Officer </w:t>
        </w:r>
        <w:r>
          <w:t xml:space="preserve">has the meaning given in the </w:t>
        </w:r>
        <w:r>
          <w:rPr>
            <w:i/>
          </w:rPr>
          <w:t>Public Health Act 2016</w:t>
        </w:r>
        <w:r>
          <w:t xml:space="preserve"> section 4(1);</w:t>
        </w:r>
      </w:ins>
    </w:p>
    <w:p>
      <w:pPr>
        <w:pStyle w:val="BlankClose"/>
        <w:rPr>
          <w:ins w:id="275" w:author="svcMRProcess" w:date="2017-01-13T16:50:00Z"/>
        </w:rPr>
      </w:pPr>
    </w:p>
    <w:p>
      <w:pPr>
        <w:pStyle w:val="nzMiscellaneousHeading"/>
        <w:rPr>
          <w:ins w:id="276" w:author="svcMRProcess" w:date="2017-01-13T16:50:00Z"/>
        </w:rPr>
      </w:pPr>
      <w:ins w:id="277" w:author="svcMRProcess" w:date="2017-01-13T16:50: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78" w:author="svcMRProcess" w:date="2017-01-13T16:50:00Z"/>
        </w:trPr>
        <w:tc>
          <w:tcPr>
            <w:tcW w:w="3402" w:type="dxa"/>
          </w:tcPr>
          <w:p>
            <w:pPr>
              <w:pStyle w:val="TableAm"/>
              <w:rPr>
                <w:ins w:id="279" w:author="svcMRProcess" w:date="2017-01-13T16:50:00Z"/>
                <w:iCs/>
                <w:sz w:val="20"/>
              </w:rPr>
            </w:pPr>
            <w:ins w:id="280" w:author="svcMRProcess" w:date="2017-01-13T16:50:00Z">
              <w:r>
                <w:rPr>
                  <w:i/>
                  <w:iCs/>
                  <w:sz w:val="20"/>
                </w:rPr>
                <w:t>Radiation Safety Act 1975</w:t>
              </w:r>
            </w:ins>
          </w:p>
        </w:tc>
        <w:tc>
          <w:tcPr>
            <w:tcW w:w="3402" w:type="dxa"/>
          </w:tcPr>
          <w:p>
            <w:pPr>
              <w:pStyle w:val="TableAm"/>
              <w:rPr>
                <w:ins w:id="281" w:author="svcMRProcess" w:date="2017-01-13T16:50:00Z"/>
                <w:sz w:val="20"/>
              </w:rPr>
            </w:pPr>
            <w:ins w:id="282" w:author="svcMRProcess" w:date="2017-01-13T16:50:00Z">
              <w:r>
                <w:rPr>
                  <w:sz w:val="20"/>
                </w:rPr>
                <w:t>s. 4</w:t>
              </w:r>
            </w:ins>
          </w:p>
        </w:tc>
      </w:tr>
    </w:tbl>
    <w:p>
      <w:pPr>
        <w:pStyle w:val="nzSubsection"/>
        <w:rPr>
          <w:ins w:id="283" w:author="svcMRProcess" w:date="2017-01-13T16:50:00Z"/>
        </w:rPr>
      </w:pPr>
      <w:ins w:id="284" w:author="svcMRProcess" w:date="2017-01-13T16:50:00Z">
        <w:r>
          <w:tab/>
          <w:t>(4)</w:t>
        </w:r>
        <w:r>
          <w:tab/>
          <w:t>In the provisions listed in the Table delete “Executive Director” (each occurrence) and insert:</w:t>
        </w:r>
      </w:ins>
    </w:p>
    <w:p>
      <w:pPr>
        <w:pStyle w:val="BlankOpen"/>
        <w:rPr>
          <w:ins w:id="285" w:author="svcMRProcess" w:date="2017-01-13T16:50:00Z"/>
        </w:rPr>
      </w:pPr>
    </w:p>
    <w:p>
      <w:pPr>
        <w:pStyle w:val="nzSubsection"/>
        <w:rPr>
          <w:ins w:id="286" w:author="svcMRProcess" w:date="2017-01-13T16:50:00Z"/>
        </w:rPr>
      </w:pPr>
      <w:ins w:id="287" w:author="svcMRProcess" w:date="2017-01-13T16:50:00Z">
        <w:r>
          <w:tab/>
        </w:r>
        <w:r>
          <w:tab/>
          <w:t>Chief Health Officer</w:t>
        </w:r>
      </w:ins>
    </w:p>
    <w:p>
      <w:pPr>
        <w:pStyle w:val="BlankClose"/>
        <w:rPr>
          <w:ins w:id="288" w:author="svcMRProcess" w:date="2017-01-13T16:50:00Z"/>
        </w:rPr>
      </w:pPr>
    </w:p>
    <w:p>
      <w:pPr>
        <w:pStyle w:val="nzMiscellaneousHeading"/>
        <w:rPr>
          <w:ins w:id="289" w:author="svcMRProcess" w:date="2017-01-13T16:50:00Z"/>
        </w:rPr>
      </w:pPr>
      <w:ins w:id="290" w:author="svcMRProcess" w:date="2017-01-13T16:50: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91" w:author="svcMRProcess" w:date="2017-01-13T16:50:00Z"/>
        </w:trPr>
        <w:tc>
          <w:tcPr>
            <w:tcW w:w="3402" w:type="dxa"/>
          </w:tcPr>
          <w:p>
            <w:pPr>
              <w:pStyle w:val="TableAm"/>
              <w:rPr>
                <w:ins w:id="292" w:author="svcMRProcess" w:date="2017-01-13T16:50:00Z"/>
                <w:iCs/>
                <w:sz w:val="20"/>
              </w:rPr>
            </w:pPr>
            <w:ins w:id="293" w:author="svcMRProcess" w:date="2017-01-13T16:50:00Z">
              <w:r>
                <w:rPr>
                  <w:i/>
                  <w:iCs/>
                  <w:sz w:val="20"/>
                </w:rPr>
                <w:t>Radiation Safety Act 1975</w:t>
              </w:r>
            </w:ins>
          </w:p>
        </w:tc>
        <w:tc>
          <w:tcPr>
            <w:tcW w:w="3402" w:type="dxa"/>
          </w:tcPr>
          <w:p>
            <w:pPr>
              <w:pStyle w:val="TableAm"/>
              <w:rPr>
                <w:ins w:id="294" w:author="svcMRProcess" w:date="2017-01-13T16:50:00Z"/>
                <w:sz w:val="20"/>
              </w:rPr>
            </w:pPr>
            <w:ins w:id="295" w:author="svcMRProcess" w:date="2017-01-13T16:50:00Z">
              <w:r>
                <w:rPr>
                  <w:sz w:val="20"/>
                </w:rPr>
                <w:t xml:space="preserve">s. 4 def. of </w:t>
              </w:r>
              <w:r>
                <w:rPr>
                  <w:b/>
                  <w:bCs/>
                  <w:i/>
                  <w:iCs/>
                  <w:sz w:val="20"/>
                </w:rPr>
                <w:t>authorised officer</w:t>
              </w:r>
              <w:r>
                <w:rPr>
                  <w:bCs/>
                  <w:iCs/>
                  <w:sz w:val="20"/>
                </w:rPr>
                <w:t xml:space="preserve">, </w:t>
              </w:r>
              <w:r>
                <w:rPr>
                  <w:sz w:val="20"/>
                </w:rPr>
                <w:t>7(1), 13(2)(a) and (3), 16(7) and (8), 42(3) and (4), 55(1), (2) and (3)</w:t>
              </w:r>
            </w:ins>
          </w:p>
        </w:tc>
      </w:tr>
    </w:tbl>
    <w:p>
      <w:pPr>
        <w:pStyle w:val="BlankClose"/>
        <w:rPr>
          <w:ins w:id="296" w:author="svcMRProcess" w:date="2017-01-13T16:50:00Z"/>
        </w:rPr>
      </w:pP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7" w:name="Compilation"/>
    <w:bookmarkEnd w:id="2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8" w:name="Coversheet"/>
    <w:bookmarkEnd w:id="2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4422"/>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 w:name="WAFER_20170111144422" w:val="RemoveTocBookmarks,RemoveUnusedBookmarks,RemoveLanguageTags,UsedStyles,ResetPageSize"/>
    <w:docVar w:name="WAFER_20170111144422_GUID" w:val="57e3db8b-c718-42a2-a25c-eb677615d0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13853</Words>
  <Characters>67885</Characters>
  <Application>Microsoft Office Word</Application>
  <DocSecurity>0</DocSecurity>
  <Lines>1740</Lines>
  <Paragraphs>778</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80960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03-i0-02 - 03-j0-01</dc:title>
  <dc:subject/>
  <dc:creator/>
  <cp:keywords/>
  <dc:description/>
  <cp:lastModifiedBy>svcMRProcess</cp:lastModifiedBy>
  <cp:revision>2</cp:revision>
  <cp:lastPrinted>2009-11-03T00:33:00Z</cp:lastPrinted>
  <dcterms:created xsi:type="dcterms:W3CDTF">2017-01-13T08:50:00Z</dcterms:created>
  <dcterms:modified xsi:type="dcterms:W3CDTF">2017-01-13T08:50:00Z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DocumentType">
    <vt:lpwstr>Act</vt:lpwstr>
  </property>
  <property fmtid="{D5CDD505-2E9C-101B-9397-08002B2CF9AE}" pid="4" name="OwlsUID">
    <vt:i4>655</vt:i4>
  </property>
  <property fmtid="{D5CDD505-2E9C-101B-9397-08002B2CF9AE}" pid="5" name="ReprintNo">
    <vt:lpwstr>3</vt:lpwstr>
  </property>
  <property fmtid="{D5CDD505-2E9C-101B-9397-08002B2CF9AE}" pid="6" name="CommencementDate">
    <vt:lpwstr>20160725</vt:lpwstr>
  </property>
  <property fmtid="{D5CDD505-2E9C-101B-9397-08002B2CF9AE}" pid="7" name="FromSuffix">
    <vt:lpwstr>03-i0-02</vt:lpwstr>
  </property>
  <property fmtid="{D5CDD505-2E9C-101B-9397-08002B2CF9AE}" pid="8" name="FromAsAtDate">
    <vt:lpwstr>06 Sep 2014</vt:lpwstr>
  </property>
  <property fmtid="{D5CDD505-2E9C-101B-9397-08002B2CF9AE}" pid="9" name="ToSuffix">
    <vt:lpwstr>03-j0-01</vt:lpwstr>
  </property>
  <property fmtid="{D5CDD505-2E9C-101B-9397-08002B2CF9AE}" pid="10" name="ToAsAtDate">
    <vt:lpwstr>25 Jul 2016</vt:lpwstr>
  </property>
</Properties>
</file>