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Rates and Charges (Rebates and Deferments)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Oct 2015</w:t>
      </w:r>
      <w:r>
        <w:fldChar w:fldCharType="end"/>
      </w:r>
      <w:r>
        <w:t xml:space="preserve">, </w:t>
      </w:r>
      <w:r>
        <w:fldChar w:fldCharType="begin"/>
      </w:r>
      <w:r>
        <w:instrText xml:space="preserve"> DocProperty FromSuffix </w:instrText>
      </w:r>
      <w:r>
        <w:fldChar w:fldCharType="separate"/>
      </w:r>
      <w:r>
        <w:t>04-d0-01</w:t>
      </w:r>
      <w:r>
        <w:fldChar w:fldCharType="end"/>
      </w:r>
      <w:r>
        <w:t>] and [</w:t>
      </w:r>
      <w:r>
        <w:fldChar w:fldCharType="begin"/>
      </w:r>
      <w:r>
        <w:instrText xml:space="preserve"> DocProperty ToAsAtDate</w:instrText>
      </w:r>
      <w:r>
        <w:fldChar w:fldCharType="separate"/>
      </w:r>
      <w:r>
        <w:t>25 Jul 2016</w:t>
      </w:r>
      <w:r>
        <w:fldChar w:fldCharType="end"/>
      </w:r>
      <w:r>
        <w:t xml:space="preserve">, </w:t>
      </w:r>
      <w:r>
        <w:fldChar w:fldCharType="begin"/>
      </w:r>
      <w:r>
        <w:instrText xml:space="preserve"> DocProperty ToSuffix</w:instrText>
      </w:r>
      <w:r>
        <w:fldChar w:fldCharType="separate"/>
      </w:r>
      <w:r>
        <w:t>04-e0-01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720"/>
      </w:pPr>
      <w:r>
        <w:t>Rates and Charges (Rebates and Deferments) Act 1992</w:t>
      </w:r>
    </w:p>
    <w:p>
      <w:pPr>
        <w:pStyle w:val="LongTitle"/>
        <w:rPr>
          <w:snapToGrid w:val="0"/>
        </w:rPr>
      </w:pPr>
      <w:r>
        <w:rPr>
          <w:snapToGrid w:val="0"/>
        </w:rPr>
        <w:t>A</w:t>
      </w:r>
      <w:bookmarkStart w:id="1" w:name="_GoBack"/>
      <w:bookmarkEnd w:id="1"/>
      <w:r>
        <w:rPr>
          <w:snapToGrid w:val="0"/>
        </w:rPr>
        <w:t xml:space="preserve">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rFonts w:ascii="Times" w:hAnsi="Times"/>
          <w:snapToGrid w:val="0"/>
          <w:vertAlign w:val="superscript"/>
        </w:rPr>
        <w:t> </w:t>
      </w:r>
      <w:r>
        <w:rPr>
          <w:rFonts w:ascii="Times" w:hAnsi="Times"/>
          <w:b w:val="0"/>
          <w:snapToGrid w:val="0"/>
          <w:vertAlign w:val="superscript"/>
        </w:rPr>
        <w:t>2</w:t>
      </w:r>
      <w:r>
        <w:rPr>
          <w:snapToGrid w:val="0"/>
        </w:rPr>
        <w:t xml:space="preserve"> and the </w:t>
      </w:r>
      <w:r>
        <w:rPr>
          <w:i/>
          <w:snapToGrid w:val="0"/>
        </w:rPr>
        <w:t>Seniors (Water Service Charges Rebates) Act 1990</w:t>
      </w:r>
      <w:r>
        <w:rPr>
          <w:rFonts w:ascii="Times" w:hAnsi="Times"/>
          <w:snapToGrid w:val="0"/>
          <w:vertAlign w:val="superscript"/>
        </w:rPr>
        <w:t> </w:t>
      </w:r>
      <w:r>
        <w:rPr>
          <w:rFonts w:ascii="Times" w:hAnsi="Times"/>
          <w:b w:val="0"/>
          <w:snapToGrid w:val="0"/>
          <w:vertAlign w:val="superscript"/>
        </w:rPr>
        <w:t>2</w:t>
      </w:r>
      <w:r>
        <w:rPr>
          <w:snapToGrid w:val="0"/>
        </w:rPr>
        <w:t xml:space="preserve">, to make consequential amendments to the </w:t>
      </w:r>
      <w:r>
        <w:rPr>
          <w:i/>
          <w:snapToGrid w:val="0"/>
        </w:rPr>
        <w:t>Local Government Act 1960</w:t>
      </w:r>
      <w:r>
        <w:rPr>
          <w:rFonts w:ascii="Times" w:hAnsi="Times"/>
          <w:snapToGrid w:val="0"/>
          <w:vertAlign w:val="superscript"/>
        </w:rPr>
        <w:t> </w:t>
      </w:r>
      <w:r>
        <w:rPr>
          <w:rFonts w:ascii="Times" w:hAnsi="Times"/>
          <w:b w:val="0"/>
          <w:snapToGrid w:val="0"/>
          <w:vertAlign w:val="superscript"/>
        </w:rPr>
        <w:t>3, 4</w:t>
      </w:r>
      <w:r>
        <w:rPr>
          <w:snapToGrid w:val="0"/>
        </w:rPr>
        <w:t xml:space="preserve"> and the </w:t>
      </w:r>
      <w:r>
        <w:rPr>
          <w:i/>
          <w:snapToGrid w:val="0"/>
        </w:rPr>
        <w:t>Soil and Land Conservation Act 1945</w:t>
      </w:r>
      <w:r>
        <w:rPr>
          <w:rFonts w:ascii="Times" w:hAnsi="Times"/>
          <w:b w:val="0"/>
          <w:snapToGrid w:val="0"/>
          <w:vertAlign w:val="superscript"/>
        </w:rPr>
        <w:t> 4</w:t>
      </w:r>
      <w:r>
        <w:rPr>
          <w:snapToGrid w:val="0"/>
        </w:rPr>
        <w:t>, and for related purposes.</w:t>
      </w:r>
    </w:p>
    <w:p>
      <w:pPr>
        <w:pStyle w:val="Heading2"/>
      </w:pPr>
      <w:bookmarkStart w:id="2" w:name="_Toc471907556"/>
      <w:bookmarkStart w:id="3" w:name="_Toc472003350"/>
      <w:bookmarkStart w:id="4" w:name="_Toc424293080"/>
      <w:bookmarkStart w:id="5" w:name="_Toc431893887"/>
      <w:bookmarkStart w:id="6" w:name="_Toc435024113"/>
      <w:r>
        <w:rPr>
          <w:rStyle w:val="CharPartNo"/>
        </w:rPr>
        <w:lastRenderedPageBreak/>
        <w:t>Part 1</w:t>
      </w:r>
      <w:r>
        <w:t> — </w:t>
      </w:r>
      <w:r>
        <w:rPr>
          <w:rStyle w:val="CharPartText"/>
        </w:rPr>
        <w:t>Administration</w:t>
      </w:r>
      <w:bookmarkEnd w:id="2"/>
      <w:bookmarkEnd w:id="3"/>
      <w:bookmarkEnd w:id="4"/>
      <w:bookmarkEnd w:id="5"/>
      <w:bookmarkEnd w:id="6"/>
    </w:p>
    <w:p>
      <w:pPr>
        <w:pStyle w:val="Heading3"/>
        <w:spacing w:before="200"/>
      </w:pPr>
      <w:bookmarkStart w:id="7" w:name="_Toc471907557"/>
      <w:bookmarkStart w:id="8" w:name="_Toc472003351"/>
      <w:bookmarkStart w:id="9" w:name="_Toc424293081"/>
      <w:bookmarkStart w:id="10" w:name="_Toc431893888"/>
      <w:bookmarkStart w:id="11" w:name="_Toc435024114"/>
      <w:r>
        <w:rPr>
          <w:rStyle w:val="CharDivNo"/>
        </w:rPr>
        <w:t>Division 1</w:t>
      </w:r>
      <w:r>
        <w:rPr>
          <w:snapToGrid w:val="0"/>
        </w:rPr>
        <w:t> — </w:t>
      </w:r>
      <w:r>
        <w:rPr>
          <w:rStyle w:val="CharDivText"/>
        </w:rPr>
        <w:t>Preliminary</w:t>
      </w:r>
      <w:bookmarkEnd w:id="7"/>
      <w:bookmarkEnd w:id="8"/>
      <w:bookmarkEnd w:id="9"/>
      <w:bookmarkEnd w:id="10"/>
      <w:bookmarkEnd w:id="11"/>
    </w:p>
    <w:p>
      <w:pPr>
        <w:pStyle w:val="Heading5"/>
        <w:spacing w:before="180"/>
        <w:rPr>
          <w:snapToGrid w:val="0"/>
        </w:rPr>
      </w:pPr>
      <w:bookmarkStart w:id="12" w:name="_Toc472003352"/>
      <w:bookmarkStart w:id="13" w:name="_Toc435024115"/>
      <w:r>
        <w:rPr>
          <w:rStyle w:val="CharSectno"/>
        </w:rPr>
        <w:t>1</w:t>
      </w:r>
      <w:r>
        <w:rPr>
          <w:snapToGrid w:val="0"/>
        </w:rPr>
        <w:t>.</w:t>
      </w:r>
      <w:r>
        <w:rPr>
          <w:snapToGrid w:val="0"/>
        </w:rPr>
        <w:tab/>
        <w:t>Short title</w:t>
      </w:r>
      <w:bookmarkEnd w:id="12"/>
      <w:bookmarkEnd w:id="13"/>
    </w:p>
    <w:p>
      <w:pPr>
        <w:pStyle w:val="Subsection"/>
        <w:spacing w:before="120"/>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spacing w:before="180"/>
        <w:rPr>
          <w:snapToGrid w:val="0"/>
        </w:rPr>
      </w:pPr>
      <w:bookmarkStart w:id="14" w:name="_Toc472003353"/>
      <w:bookmarkStart w:id="15" w:name="_Toc435024116"/>
      <w:r>
        <w:rPr>
          <w:rStyle w:val="CharSectno"/>
        </w:rPr>
        <w:t>2</w:t>
      </w:r>
      <w:r>
        <w:rPr>
          <w:snapToGrid w:val="0"/>
        </w:rPr>
        <w:t>.</w:t>
      </w:r>
      <w:r>
        <w:rPr>
          <w:snapToGrid w:val="0"/>
        </w:rPr>
        <w:tab/>
        <w:t>Commencement</w:t>
      </w:r>
      <w:bookmarkEnd w:id="14"/>
      <w:bookmarkEnd w:id="15"/>
    </w:p>
    <w:p>
      <w:pPr>
        <w:pStyle w:val="Subsection"/>
        <w:spacing w:before="12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spacing w:before="200"/>
      </w:pPr>
      <w:bookmarkStart w:id="16" w:name="_Toc471907560"/>
      <w:bookmarkStart w:id="17" w:name="_Toc472003354"/>
      <w:bookmarkStart w:id="18" w:name="_Toc424293084"/>
      <w:bookmarkStart w:id="19" w:name="_Toc431893891"/>
      <w:bookmarkStart w:id="20" w:name="_Toc435024117"/>
      <w:r>
        <w:rPr>
          <w:rStyle w:val="CharDivNo"/>
        </w:rPr>
        <w:t>Division 2</w:t>
      </w:r>
      <w:r>
        <w:rPr>
          <w:snapToGrid w:val="0"/>
        </w:rPr>
        <w:t> — </w:t>
      </w:r>
      <w:r>
        <w:rPr>
          <w:rStyle w:val="CharDivText"/>
        </w:rPr>
        <w:t>Interpretation</w:t>
      </w:r>
      <w:bookmarkEnd w:id="16"/>
      <w:bookmarkEnd w:id="17"/>
      <w:bookmarkEnd w:id="18"/>
      <w:bookmarkEnd w:id="19"/>
      <w:bookmarkEnd w:id="20"/>
    </w:p>
    <w:p>
      <w:pPr>
        <w:pStyle w:val="Heading5"/>
        <w:spacing w:before="180"/>
        <w:rPr>
          <w:snapToGrid w:val="0"/>
        </w:rPr>
      </w:pPr>
      <w:bookmarkStart w:id="21" w:name="_Toc472003355"/>
      <w:bookmarkStart w:id="22" w:name="_Toc435024118"/>
      <w:r>
        <w:rPr>
          <w:rStyle w:val="CharSectno"/>
        </w:rPr>
        <w:t>3</w:t>
      </w:r>
      <w:r>
        <w:rPr>
          <w:snapToGrid w:val="0"/>
        </w:rPr>
        <w:t>.</w:t>
      </w:r>
      <w:r>
        <w:rPr>
          <w:snapToGrid w:val="0"/>
        </w:rPr>
        <w:tab/>
        <w:t>Terms used</w:t>
      </w:r>
      <w:bookmarkEnd w:id="21"/>
      <w:bookmarkEnd w:id="22"/>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administrative authority</w:t>
      </w:r>
      <w:r>
        <w:t>, as regards any prescribed charge, means, subject to subsection (1a), the authority making that charge;</w:t>
      </w:r>
    </w:p>
    <w:p>
      <w:pPr>
        <w:pStyle w:val="Defstart"/>
      </w:pPr>
      <w:r>
        <w:rPr>
          <w:b/>
        </w:rPr>
        <w:tab/>
      </w:r>
      <w:r>
        <w:rPr>
          <w:rStyle w:val="CharDefText"/>
        </w:rPr>
        <w:t>applicant</w:t>
      </w:r>
      <w:r>
        <w:t>, as regards any land, means a person applying to an administrative authority to have an entitlement to that land registered;</w:t>
      </w:r>
    </w:p>
    <w:p>
      <w:pPr>
        <w:pStyle w:val="Defstart"/>
        <w:spacing w:before="60"/>
      </w:pPr>
      <w:r>
        <w:rPr>
          <w:b/>
        </w:rPr>
        <w:tab/>
      </w:r>
      <w:r>
        <w:rPr>
          <w:rStyle w:val="CharDefText"/>
        </w:rPr>
        <w:t>charged period</w:t>
      </w:r>
      <w:r>
        <w:t>, as regards any prescribed charge, means the year or part of a year for which that charge is to be or was made and has a meaning affected by section 40(2A);</w:t>
      </w:r>
    </w:p>
    <w:p>
      <w:pPr>
        <w:pStyle w:val="Defstart"/>
        <w:spacing w:before="60"/>
      </w:pPr>
      <w:r>
        <w:rPr>
          <w:b/>
        </w:rPr>
        <w:tab/>
      </w:r>
      <w:r>
        <w:rPr>
          <w:rStyle w:val="CharDefText"/>
        </w:rPr>
        <w:t>child</w:t>
      </w:r>
      <w:r>
        <w:t>, in relation to a person, includes an adopted child, stepchild, or an ex</w:t>
      </w:r>
      <w:r>
        <w:noBreakHyphen/>
        <w:t>nuptial child of that person, and also includes a child to whom that person stands in loco parentis;</w:t>
      </w:r>
    </w:p>
    <w:p>
      <w:pPr>
        <w:pStyle w:val="Defstart"/>
        <w:spacing w:before="60"/>
      </w:pPr>
      <w:r>
        <w:tab/>
      </w:r>
      <w:r>
        <w:rPr>
          <w:rStyle w:val="CharDefText"/>
        </w:rPr>
        <w:t>Commonwealth seniors health card</w:t>
      </w:r>
      <w:r>
        <w:t xml:space="preserve"> means a currently valid card, known by that name, issued on behalf of the Commonwealth to the holder or, where a card of another kind is prescribed specifically for the purpose of this definition, that other card;</w:t>
      </w:r>
    </w:p>
    <w:p>
      <w:pPr>
        <w:pStyle w:val="Defstart"/>
        <w:spacing w:before="60"/>
      </w:pPr>
      <w:r>
        <w:tab/>
      </w:r>
      <w:r>
        <w:rPr>
          <w:rStyle w:val="CharDefText"/>
        </w:rPr>
        <w:t>de facto partner</w:t>
      </w:r>
      <w:r>
        <w:t xml:space="preserve"> does not include a person who, on an apparently permanent and voluntary basis, lives separately and apart from their de facto partner;</w:t>
      </w:r>
    </w:p>
    <w:p>
      <w:pPr>
        <w:pStyle w:val="Defstart"/>
      </w:pPr>
      <w:r>
        <w:rPr>
          <w:b/>
        </w:rPr>
        <w:lastRenderedPageBreak/>
        <w:tab/>
      </w:r>
      <w:r>
        <w:rPr>
          <w:rStyle w:val="CharDefText"/>
        </w:rPr>
        <w:t>deferment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t> </w:t>
      </w:r>
      <w:r>
        <w:rPr>
          <w:vertAlign w:val="superscript"/>
        </w:rPr>
        <w:t>5</w:t>
      </w:r>
      <w:r>
        <w:t>; or</w:t>
      </w:r>
    </w:p>
    <w:p>
      <w:pPr>
        <w:pStyle w:val="Defpara"/>
      </w:pPr>
      <w:r>
        <w:tab/>
        <w:t>(b)</w:t>
      </w:r>
      <w:r>
        <w:tab/>
        <w:t>this Act;</w:t>
      </w:r>
    </w:p>
    <w:p>
      <w:pPr>
        <w:pStyle w:val="Defstart"/>
      </w:pPr>
      <w:r>
        <w:rPr>
          <w:b/>
        </w:rPr>
        <w:tab/>
      </w:r>
      <w:r>
        <w:rPr>
          <w:rStyle w:val="CharDefText"/>
        </w:rPr>
        <w:t>dependant</w:t>
      </w:r>
      <w:r>
        <w:t>, in relation to a person means —</w:t>
      </w:r>
    </w:p>
    <w:p>
      <w:pPr>
        <w:pStyle w:val="Defpara"/>
      </w:pPr>
      <w:r>
        <w:tab/>
        <w:t>(a)</w:t>
      </w:r>
      <w:r>
        <w:tab/>
        <w:t>the spouse of that person; or</w:t>
      </w:r>
    </w:p>
    <w:p>
      <w:pPr>
        <w:pStyle w:val="Defpara"/>
      </w:pPr>
      <w:r>
        <w:tab/>
        <w:t>(ab)</w:t>
      </w:r>
      <w:r>
        <w:tab/>
        <w:t>a de facto partner of that person; or</w:t>
      </w:r>
    </w:p>
    <w:p>
      <w:pPr>
        <w:pStyle w:val="Defpara"/>
      </w:pPr>
      <w:r>
        <w:tab/>
        <w:t>(b)</w:t>
      </w:r>
      <w:r>
        <w:tab/>
        <w:t>a child of that person being a child —</w:t>
      </w:r>
    </w:p>
    <w:p>
      <w:pPr>
        <w:pStyle w:val="Defsubpara"/>
      </w:pPr>
      <w:r>
        <w:tab/>
        <w:t>(i)</w:t>
      </w:r>
      <w:r>
        <w:tab/>
        <w:t>who is less than 18 years of age; or</w:t>
      </w:r>
    </w:p>
    <w:p>
      <w:pPr>
        <w:pStyle w:val="Defsubpara"/>
      </w:pPr>
      <w:r>
        <w:tab/>
        <w:t>(ii)</w:t>
      </w:r>
      <w:r>
        <w:tab/>
        <w:t>who is 18 years of age or more but less than 25 years of age, and who is receiving full</w:t>
      </w:r>
      <w: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pPr>
      <w:r>
        <w:tab/>
        <w:t>(i)</w:t>
      </w:r>
      <w:r>
        <w:tab/>
        <w:t>in housekeeping for that person; and</w:t>
      </w:r>
    </w:p>
    <w:p>
      <w:pPr>
        <w:pStyle w:val="Defsubpara"/>
        <w:keepLines w:val="0"/>
      </w:pPr>
      <w:r>
        <w:tab/>
        <w:t>(ii)</w:t>
      </w:r>
      <w:r>
        <w:tab/>
        <w:t>if there are any other dependants of that person, in caring for those dependants,</w:t>
      </w:r>
    </w:p>
    <w:p>
      <w:pPr>
        <w:pStyle w:val="Defpara"/>
      </w:pPr>
      <w:r>
        <w:tab/>
      </w:r>
      <w:r>
        <w:tab/>
        <w:t>at the ordinary place of residence of that person;</w:t>
      </w:r>
    </w:p>
    <w:p>
      <w:pPr>
        <w:pStyle w:val="Defstart"/>
      </w:pPr>
      <w:r>
        <w:rPr>
          <w:b/>
        </w:rPr>
        <w:tab/>
      </w:r>
      <w:r>
        <w:rPr>
          <w:rStyle w:val="CharDefText"/>
        </w:rPr>
        <w:t>eligibility</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pPr>
      <w:r>
        <w:tab/>
        <w:t>(i)</w:t>
      </w:r>
      <w:r>
        <w:tab/>
        <w:t>a seniors’ card; or</w:t>
      </w:r>
    </w:p>
    <w:p>
      <w:pPr>
        <w:pStyle w:val="Defsubpara"/>
        <w:keepLines w:val="0"/>
      </w:pPr>
      <w:r>
        <w:tab/>
        <w:t>(ii)</w:t>
      </w:r>
      <w:r>
        <w:tab/>
        <w:t>a pensioner concession card; or</w:t>
      </w:r>
    </w:p>
    <w:p>
      <w:pPr>
        <w:pStyle w:val="Defsubpara"/>
        <w:keepLines w:val="0"/>
      </w:pPr>
      <w:r>
        <w:tab/>
        <w:t>(iii)</w:t>
      </w:r>
      <w:r>
        <w:tab/>
        <w:t>a State concession card; or</w:t>
      </w:r>
    </w:p>
    <w:p>
      <w:pPr>
        <w:pStyle w:val="Defsubpara"/>
      </w:pPr>
      <w:r>
        <w:tab/>
        <w:t>(iv)</w:t>
      </w:r>
      <w:r>
        <w:tab/>
        <w:t>a Commonwealth seniors health card;</w:t>
      </w:r>
    </w:p>
    <w:p>
      <w:pPr>
        <w:pStyle w:val="Defpara"/>
      </w:pPr>
      <w:r>
        <w:tab/>
      </w:r>
      <w:r>
        <w:tab/>
        <w:t>or</w:t>
      </w:r>
    </w:p>
    <w:p>
      <w:pPr>
        <w:pStyle w:val="Defpara"/>
      </w:pPr>
      <w:r>
        <w:tab/>
        <w:t>(b)</w:t>
      </w:r>
      <w:r>
        <w:tab/>
        <w:t>to apply for registration of an entitlement; or</w:t>
      </w:r>
    </w:p>
    <w:p>
      <w:pPr>
        <w:pStyle w:val="Defpara"/>
        <w:keepNext/>
        <w:keepLines/>
      </w:pPr>
      <w:r>
        <w:lastRenderedPageBreak/>
        <w:tab/>
        <w:t>(c)</w:t>
      </w:r>
      <w:r>
        <w:tab/>
        <w:t>to have an entitlement registered,</w:t>
      </w:r>
    </w:p>
    <w:p>
      <w:pPr>
        <w:pStyle w:val="Defstart"/>
      </w:pPr>
      <w:r>
        <w:tab/>
        <w:t>as the context requires;</w:t>
      </w:r>
    </w:p>
    <w:p>
      <w:pPr>
        <w:pStyle w:val="Defstart"/>
      </w:pPr>
      <w:r>
        <w:rPr>
          <w:b/>
        </w:rPr>
        <w:tab/>
      </w:r>
      <w:r>
        <w:rPr>
          <w:rStyle w:val="CharDefText"/>
        </w:rPr>
        <w:t>eligible pensioner</w:t>
      </w:r>
      <w:r>
        <w:t xml:space="preserve"> means a person to whom section 23 or section 24 applies;</w:t>
      </w:r>
    </w:p>
    <w:p>
      <w:pPr>
        <w:pStyle w:val="Defstart"/>
      </w:pPr>
      <w:r>
        <w:rPr>
          <w:b/>
        </w:rPr>
        <w:tab/>
      </w:r>
      <w:r>
        <w:rPr>
          <w:rStyle w:val="CharDefText"/>
        </w:rPr>
        <w:t>eligible person</w:t>
      </w:r>
      <w:r>
        <w:t xml:space="preserve"> means an eligible pensioner or an eligible senior;</w:t>
      </w:r>
    </w:p>
    <w:p>
      <w:pPr>
        <w:pStyle w:val="Defstart"/>
      </w:pPr>
      <w:r>
        <w:rPr>
          <w:b/>
        </w:rPr>
        <w:tab/>
      </w:r>
      <w:r>
        <w:rPr>
          <w:rStyle w:val="CharDefText"/>
        </w:rPr>
        <w:t>eligible senior</w:t>
      </w:r>
      <w:r>
        <w:t xml:space="preserve"> means a person to whom section 22 applies;</w:t>
      </w:r>
    </w:p>
    <w:p>
      <w:pPr>
        <w:pStyle w:val="Defstart"/>
      </w:pPr>
      <w:r>
        <w:rPr>
          <w:b/>
        </w:rPr>
        <w:tab/>
      </w:r>
      <w:r>
        <w:rPr>
          <w:rStyle w:val="CharDefText"/>
        </w:rPr>
        <w:t>emergency services levy</w:t>
      </w:r>
      <w:r>
        <w:t xml:space="preserve"> means the levy determined under Part 6A of the </w:t>
      </w:r>
      <w:r>
        <w:rPr>
          <w:i/>
        </w:rPr>
        <w:t xml:space="preserve">Fire and Emergency Services Act 1998 </w:t>
      </w:r>
      <w:r>
        <w:t xml:space="preserve">and imposed under the </w:t>
      </w:r>
      <w:r>
        <w:rPr>
          <w:i/>
        </w:rPr>
        <w:t>Emergency Services Levy Act 2002</w:t>
      </w:r>
      <w:r>
        <w:t>;</w:t>
      </w:r>
    </w:p>
    <w:p>
      <w:pPr>
        <w:pStyle w:val="Defstart"/>
      </w:pPr>
      <w:r>
        <w:rPr>
          <w:b/>
        </w:rPr>
        <w:tab/>
      </w:r>
      <w:r>
        <w:rPr>
          <w:rStyle w:val="CharDefText"/>
        </w:rPr>
        <w:t>entitlement</w:t>
      </w:r>
      <w:r>
        <w:t>, as regards any land, means the extent to which that land is determined to belong to a person, by the administrative authority under section 7 and in accordance with Division 2 of Part 2, for the purposes of this Act;</w:t>
      </w:r>
    </w:p>
    <w:p>
      <w:pPr>
        <w:pStyle w:val="Defstart"/>
      </w:pPr>
      <w:r>
        <w:rPr>
          <w:szCs w:val="24"/>
        </w:rPr>
        <w:tab/>
      </w:r>
      <w:r>
        <w:rPr>
          <w:rStyle w:val="CharDefText"/>
        </w:rPr>
        <w:t>final payment day</w:t>
      </w:r>
      <w:r>
        <w:t xml:space="preserve"> for a Water Corporation charge, in relation to a person, means</w:t>
      </w:r>
      <w:r>
        <w:rPr>
          <w:szCs w:val="24"/>
        </w:rPr>
        <w:t xml:space="preserve"> — </w:t>
      </w:r>
    </w:p>
    <w:p>
      <w:pPr>
        <w:pStyle w:val="Defpara"/>
      </w:pPr>
      <w:r>
        <w:tab/>
        <w:t>(a)</w:t>
      </w:r>
      <w:r>
        <w:tab/>
        <w:t>the 50</w:t>
      </w:r>
      <w:r>
        <w:rPr>
          <w:vertAlign w:val="superscript"/>
        </w:rPr>
        <w:t>th</w:t>
      </w:r>
      <w:r>
        <w:t xml:space="preserve"> day after the date of the notice requiring payment for that charge; or</w:t>
      </w:r>
    </w:p>
    <w:p>
      <w:pPr>
        <w:pStyle w:val="Defpara"/>
      </w:pPr>
      <w:r>
        <w:tab/>
        <w:t>(b)</w:t>
      </w:r>
      <w:r>
        <w:tab/>
        <w:t>a day, determined by the Water Corporation in relation to the person, that is after the day referred to in paragraph (a) but not more than 70 days after that day;</w:t>
      </w:r>
    </w:p>
    <w:p>
      <w:pPr>
        <w:pStyle w:val="Defstart"/>
      </w:pPr>
      <w:r>
        <w:rPr>
          <w:b/>
        </w:rPr>
        <w:tab/>
      </w:r>
      <w:r>
        <w:rPr>
          <w:rStyle w:val="CharDefText"/>
        </w:rPr>
        <w:t>land</w:t>
      </w:r>
      <w:r>
        <w:t xml:space="preserve"> includes an interest in land;</w:t>
      </w:r>
    </w:p>
    <w:p>
      <w:pPr>
        <w:pStyle w:val="Defstart"/>
      </w:pPr>
      <w:r>
        <w:rPr>
          <w:b/>
        </w:rPr>
        <w:tab/>
      </w:r>
      <w:r>
        <w:rPr>
          <w:rStyle w:val="CharDefText"/>
        </w:rPr>
        <w:t>making</w:t>
      </w:r>
      <w:r>
        <w:t>, as regards any prescribed charge, includes proposing to make;</w:t>
      </w:r>
    </w:p>
    <w:p>
      <w:pPr>
        <w:pStyle w:val="Defstart"/>
      </w:pPr>
      <w:r>
        <w:rPr>
          <w:b/>
        </w:rPr>
        <w:tab/>
      </w:r>
      <w:r>
        <w:rPr>
          <w:rStyle w:val="CharDefText"/>
        </w:rPr>
        <w:t>pension means test</w:t>
      </w:r>
      <w:r>
        <w:t xml:space="preserve"> means —</w:t>
      </w:r>
    </w:p>
    <w:p>
      <w:pPr>
        <w:pStyle w:val="Defpara"/>
      </w:pPr>
      <w:r>
        <w:tab/>
        <w:t>(a)</w:t>
      </w:r>
      <w:r>
        <w:tab/>
        <w:t>unless paragraph (b) applies —</w:t>
      </w:r>
    </w:p>
    <w:p>
      <w:pPr>
        <w:pStyle w:val="Defsubpara"/>
        <w:keepLines w:val="0"/>
      </w:pPr>
      <w:r>
        <w:tab/>
        <w:t>(i)</w:t>
      </w:r>
      <w:r>
        <w:tab/>
        <w:t>the ordinary income test; and</w:t>
      </w:r>
    </w:p>
    <w:p>
      <w:pPr>
        <w:pStyle w:val="Defsubpara"/>
        <w:keepLines w:val="0"/>
      </w:pPr>
      <w:r>
        <w:tab/>
        <w:t>(ii)</w:t>
      </w:r>
      <w:r>
        <w:tab/>
        <w:t>the maintenance income test; and</w:t>
      </w:r>
    </w:p>
    <w:p>
      <w:pPr>
        <w:pStyle w:val="Defsubpara"/>
        <w:keepLines w:val="0"/>
      </w:pPr>
      <w:r>
        <w:tab/>
        <w:t>(iii)</w:t>
      </w:r>
      <w: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keepNext/>
        <w:rPr>
          <w:b/>
        </w:rPr>
      </w:pPr>
      <w:r>
        <w:tab/>
        <w:t>(b)</w:t>
      </w:r>
      <w:r>
        <w:tab/>
        <w:t>where another test of the income or assets of any person is prescribed under section 25, that other test;</w:t>
      </w:r>
    </w:p>
    <w:p>
      <w:pPr>
        <w:pStyle w:val="Defstart"/>
      </w:pPr>
      <w:r>
        <w:rPr>
          <w:b/>
        </w:rPr>
        <w:tab/>
      </w:r>
      <w:r>
        <w:rPr>
          <w:rStyle w:val="CharDefText"/>
        </w:rPr>
        <w:t>pensioner concession card</w:t>
      </w:r>
      <w:r>
        <w:t xml:space="preserve"> means — </w:t>
      </w:r>
    </w:p>
    <w:p>
      <w:pPr>
        <w:pStyle w:val="Defpara"/>
      </w:pPr>
      <w:r>
        <w:tab/>
        <w:t>(a)</w:t>
      </w:r>
      <w:r>
        <w:tab/>
        <w:t>a currently valid pensioner concession card issued by or on behalf of the Commonwealth Government; and</w:t>
      </w:r>
    </w:p>
    <w:p>
      <w:pPr>
        <w:pStyle w:val="Defpara"/>
        <w:keepNext/>
      </w:pPr>
      <w:r>
        <w:tab/>
        <w:t>(b)</w:t>
      </w:r>
      <w:r>
        <w:tab/>
        <w:t>a card prescribed by the regulations to be a pensioner concession card for the purposes of this Act,</w:t>
      </w:r>
    </w:p>
    <w:p>
      <w:pPr>
        <w:pStyle w:val="Defstart"/>
      </w:pPr>
      <w:r>
        <w:tab/>
        <w:t>but does not include a pensioner concession card issued by or on behalf of the Commonwealth Government that is, or is of a class that is, excluded from this definition under the regulations;</w:t>
      </w:r>
    </w:p>
    <w:p>
      <w:pPr>
        <w:pStyle w:val="Defstart"/>
      </w:pPr>
      <w:r>
        <w:rPr>
          <w:b/>
        </w:rPr>
        <w:tab/>
      </w:r>
      <w:r>
        <w:rPr>
          <w:rStyle w:val="CharDefText"/>
        </w:rPr>
        <w:t>prescribed charge</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keepLines/>
      </w:pPr>
      <w:r>
        <w:tab/>
      </w:r>
      <w:r>
        <w:tab/>
        <w:t>or</w:t>
      </w:r>
    </w:p>
    <w:p>
      <w:pPr>
        <w:pStyle w:val="Defpara"/>
        <w:keepLines/>
      </w:pPr>
      <w:r>
        <w:tab/>
        <w:t>(b)</w:t>
      </w:r>
      <w:r>
        <w:tab/>
        <w:t>a charge for the provision of water supply, sewerage or drainage, not being a charge assessed by reference to the quantity of water or wastewater concerned, made under —</w:t>
      </w:r>
    </w:p>
    <w:p>
      <w:pPr>
        <w:pStyle w:val="Defsubpara"/>
      </w:pPr>
      <w:r>
        <w:tab/>
        <w:t>(i)</w:t>
      </w:r>
      <w:r>
        <w:tab/>
        <w:t xml:space="preserve">the </w:t>
      </w:r>
      <w:r>
        <w:rPr>
          <w:i/>
          <w:iCs/>
        </w:rPr>
        <w:t>Water Services Act 2012</w:t>
      </w:r>
      <w:r>
        <w:t>; or</w:t>
      </w:r>
    </w:p>
    <w:p>
      <w:pPr>
        <w:pStyle w:val="Ednotedefsubpara"/>
      </w:pPr>
      <w:r>
        <w:tab/>
        <w:t>[(ii)</w:t>
      </w:r>
      <w:r>
        <w:tab/>
        <w:t>deleted]</w:t>
      </w:r>
    </w:p>
    <w:p>
      <w:pPr>
        <w:pStyle w:val="Defsubpara"/>
        <w:keepLines w:val="0"/>
      </w:pPr>
      <w:r>
        <w:tab/>
        <w:t>(iii)</w:t>
      </w:r>
      <w:r>
        <w:tab/>
        <w:t xml:space="preserve">the </w:t>
      </w:r>
      <w:r>
        <w:rPr>
          <w:i/>
        </w:rPr>
        <w:t>Health Act 1911</w:t>
      </w:r>
      <w:r>
        <w:t>; or</w:t>
      </w:r>
    </w:p>
    <w:p>
      <w:pPr>
        <w:pStyle w:val="Defsubpara"/>
        <w:keepLines w:val="0"/>
      </w:pPr>
      <w:r>
        <w:tab/>
        <w:t>(iv)</w:t>
      </w:r>
      <w:r>
        <w:tab/>
        <w:t xml:space="preserve">the </w:t>
      </w:r>
      <w:r>
        <w:rPr>
          <w:i/>
        </w:rPr>
        <w:t>Local Government Act 1995</w:t>
      </w:r>
      <w:r>
        <w:t>;</w:t>
      </w:r>
    </w:p>
    <w:p>
      <w:pPr>
        <w:pStyle w:val="Defpara"/>
      </w:pPr>
      <w:r>
        <w:tab/>
      </w:r>
      <w:r>
        <w:tab/>
        <w:t>or</w:t>
      </w:r>
    </w:p>
    <w:p>
      <w:pPr>
        <w:pStyle w:val="Defpara"/>
        <w:keepNext/>
      </w:pPr>
      <w:r>
        <w:tab/>
        <w:t>(c)</w:t>
      </w:r>
      <w:r>
        <w:tab/>
        <w:t>a charge by way of the emergency services levy; or</w:t>
      </w:r>
    </w:p>
    <w:p>
      <w:pPr>
        <w:pStyle w:val="Defpara"/>
      </w:pPr>
      <w:r>
        <w:tab/>
        <w:t>(da)</w:t>
      </w:r>
      <w:r>
        <w:tab/>
        <w:t xml:space="preserve">a charge, by way of a service charge, made under the </w:t>
      </w:r>
      <w:r>
        <w:rPr>
          <w:i/>
        </w:rPr>
        <w:t>Local Government Act 1995</w:t>
      </w:r>
      <w:r>
        <w:t xml:space="preserve"> section 6.38 in relation to the provision of underground electricity; or</w:t>
      </w:r>
    </w:p>
    <w:p>
      <w:pPr>
        <w:pStyle w:val="Defpara"/>
      </w:pPr>
      <w:r>
        <w:tab/>
        <w:t>(d)</w:t>
      </w:r>
      <w:r>
        <w:tab/>
        <w:t>a charge prescribed by regulations made under this Act;</w:t>
      </w:r>
    </w:p>
    <w:p>
      <w:pPr>
        <w:pStyle w:val="Defstart"/>
        <w:keepNext/>
      </w:pPr>
      <w:r>
        <w:rPr>
          <w:b/>
        </w:rPr>
        <w:tab/>
      </w:r>
      <w:r>
        <w:rPr>
          <w:rStyle w:val="CharDefText"/>
        </w:rPr>
        <w:t>prescribed means test</w:t>
      </w:r>
      <w:r>
        <w:t xml:space="preserve"> means a test prescribed under section 25;</w:t>
      </w:r>
    </w:p>
    <w:p>
      <w:pPr>
        <w:pStyle w:val="Defstart"/>
      </w:pPr>
      <w:r>
        <w:rPr>
          <w:b/>
        </w:rPr>
        <w:tab/>
      </w:r>
      <w:r>
        <w:rPr>
          <w:rStyle w:val="CharDefText"/>
        </w:rPr>
        <w:t>procedural manual</w:t>
      </w:r>
      <w:r>
        <w:t xml:space="preserve"> means the procedural manual issued under section 9(2);</w:t>
      </w:r>
    </w:p>
    <w:p>
      <w:pPr>
        <w:pStyle w:val="Defstart"/>
      </w:pPr>
      <w:r>
        <w:rPr>
          <w:b/>
        </w:rPr>
        <w:tab/>
      </w:r>
      <w:r>
        <w:rPr>
          <w:rStyle w:val="CharDefText"/>
        </w:rPr>
        <w:t>rating year</w:t>
      </w:r>
      <w:r>
        <w:t xml:space="preserve"> means 1 July to 30 June;</w:t>
      </w:r>
    </w:p>
    <w:p>
      <w:pPr>
        <w:pStyle w:val="Defstart"/>
      </w:pPr>
      <w:r>
        <w:rPr>
          <w:b/>
        </w:rPr>
        <w:tab/>
      </w:r>
      <w:r>
        <w:rPr>
          <w:rStyle w:val="CharDefText"/>
        </w:rPr>
        <w:t>rebate</w:t>
      </w:r>
      <w:r>
        <w:t xml:space="preserve"> means a rebate calculated under this Act;</w:t>
      </w:r>
    </w:p>
    <w:p>
      <w:pPr>
        <w:pStyle w:val="Defstart"/>
      </w:pPr>
      <w:r>
        <w:rPr>
          <w:b/>
        </w:rPr>
        <w:tab/>
      </w:r>
      <w:r>
        <w:rPr>
          <w:rStyle w:val="CharDefText"/>
        </w:rPr>
        <w:t>rebated amount</w:t>
      </w:r>
      <w:r>
        <w:t xml:space="preserve"> means the balance, after the rebate is allowed, of a prescribed charge payable by a person who has a registered entitlement;</w:t>
      </w:r>
    </w:p>
    <w:p>
      <w:pPr>
        <w:pStyle w:val="Defstart"/>
      </w:pPr>
      <w:r>
        <w:rPr>
          <w:b/>
        </w:rPr>
        <w:tab/>
      </w:r>
      <w:r>
        <w:rPr>
          <w:rStyle w:val="CharDefText"/>
        </w:rPr>
        <w:t>registered</w:t>
      </w:r>
      <w:r>
        <w:t xml:space="preserve"> means registered under section 32;</w:t>
      </w:r>
    </w:p>
    <w:p>
      <w:pPr>
        <w:pStyle w:val="Defstart"/>
      </w:pPr>
      <w:r>
        <w:rPr>
          <w:b/>
        </w:rPr>
        <w:tab/>
      </w:r>
      <w:r>
        <w:rPr>
          <w:rStyle w:val="CharDefText"/>
        </w:rPr>
        <w:t>registered person</w:t>
      </w:r>
      <w:r>
        <w:t>, in relation to any land, means a person whose entitlement as regards the land is registered;</w:t>
      </w:r>
    </w:p>
    <w:p>
      <w:pPr>
        <w:pStyle w:val="Defstart"/>
      </w:pPr>
      <w:r>
        <w:rPr>
          <w:b/>
        </w:rPr>
        <w:tab/>
      </w:r>
      <w:r>
        <w:rPr>
          <w:rStyle w:val="CharDefText"/>
        </w:rPr>
        <w:t>relevant interest</w:t>
      </w:r>
      <w:r>
        <w:t>, as regards any land, means an interest in that land that under section 29, 29A, 29B or 29C is taken to be relevant for the purposes of this Act;</w:t>
      </w:r>
    </w:p>
    <w:p>
      <w:pPr>
        <w:pStyle w:val="Defstart"/>
      </w:pPr>
      <w:r>
        <w:tab/>
      </w:r>
      <w:r>
        <w:rPr>
          <w:rStyle w:val="CharDefText"/>
        </w:rPr>
        <w:t>senior’s card department</w:t>
      </w:r>
      <w:r>
        <w:t xml:space="preserve"> means the department of the Public Service that is administratively responsible for issuing and cancelling senior’s cards on behalf of the State;</w:t>
      </w:r>
    </w:p>
    <w:p>
      <w:pPr>
        <w:pStyle w:val="Defstart"/>
      </w:pPr>
      <w:r>
        <w:rPr>
          <w:b/>
        </w:rPr>
        <w:tab/>
      </w:r>
      <w:r>
        <w:rPr>
          <w:rStyle w:val="CharDefText"/>
        </w:rPr>
        <w:t>seniors’ card</w:t>
      </w:r>
      <w:r>
        <w:t xml:space="preserve"> means a card —</w:t>
      </w:r>
    </w:p>
    <w:p>
      <w:pPr>
        <w:pStyle w:val="Defpara"/>
      </w:pPr>
      <w:r>
        <w:tab/>
        <w:t>(a)</w:t>
      </w:r>
      <w:r>
        <w:tab/>
        <w:t>which bears that designation; and</w:t>
      </w:r>
    </w:p>
    <w:p>
      <w:pPr>
        <w:pStyle w:val="Defpara"/>
      </w:pPr>
      <w:r>
        <w:tab/>
        <w:t>(b)</w:t>
      </w:r>
      <w:r>
        <w:tab/>
        <w:t>is issued to the holder by the senior’s card department;</w:t>
      </w:r>
    </w:p>
    <w:p>
      <w:pPr>
        <w:pStyle w:val="Defstart"/>
      </w:pPr>
      <w:r>
        <w:rPr>
          <w:b/>
        </w:rPr>
        <w:tab/>
      </w:r>
      <w:r>
        <w:rPr>
          <w:rStyle w:val="CharDefText"/>
        </w:rPr>
        <w:t>spouse</w:t>
      </w:r>
      <w:r>
        <w:t xml:space="preserve"> does not include a person who, on an apparently permanent and voluntary basis, lives separately and apart from their spouse;</w:t>
      </w:r>
    </w:p>
    <w:p>
      <w:pPr>
        <w:pStyle w:val="Defstart"/>
      </w:pPr>
      <w:r>
        <w:rPr>
          <w:b/>
        </w:rPr>
        <w:tab/>
      </w:r>
      <w:r>
        <w:rPr>
          <w:rStyle w:val="CharDefText"/>
        </w:rPr>
        <w:t>State concession card</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szCs w:val="24"/>
        </w:rPr>
        <w:tab/>
      </w:r>
      <w:r>
        <w:rPr>
          <w:rStyle w:val="CharDefText"/>
          <w:szCs w:val="24"/>
        </w:rPr>
        <w:t>Water Corporation</w:t>
      </w:r>
      <w:r>
        <w:t xml:space="preserve"> </w:t>
      </w:r>
      <w:r>
        <w:rPr>
          <w:szCs w:val="24"/>
        </w:rPr>
        <w:t xml:space="preserve">means the Water Corporation established by the </w:t>
      </w:r>
      <w:r>
        <w:rPr>
          <w:i/>
          <w:szCs w:val="24"/>
        </w:rPr>
        <w:t>Water Corporations Act 1995</w:t>
      </w:r>
      <w:r>
        <w:t xml:space="preserve"> section 4(1);</w:t>
      </w:r>
    </w:p>
    <w:p>
      <w:pPr>
        <w:pStyle w:val="Defstart"/>
      </w:pPr>
      <w:r>
        <w:tab/>
      </w:r>
      <w:r>
        <w:rPr>
          <w:rStyle w:val="CharDefText"/>
        </w:rPr>
        <w:t>Water Corporation charge</w:t>
      </w:r>
      <w:r>
        <w:t xml:space="preserve"> means a charge referred to in paragraph (b)(i) of the definition of </w:t>
      </w:r>
      <w:r>
        <w:rPr>
          <w:b/>
          <w:i/>
        </w:rPr>
        <w:t>prescribed charge</w:t>
      </w:r>
      <w:r>
        <w:t>, made by the Water Corporation;</w:t>
      </w:r>
    </w:p>
    <w:p>
      <w:pPr>
        <w:pStyle w:val="Defstart"/>
      </w:pPr>
      <w:r>
        <w:rPr>
          <w:b/>
        </w:rPr>
        <w:tab/>
      </w:r>
      <w:r>
        <w:rPr>
          <w:rStyle w:val="CharDefText"/>
        </w:rPr>
        <w:t>year</w:t>
      </w:r>
      <w:r>
        <w:t xml:space="preserve"> means a rating year.</w:t>
      </w:r>
    </w:p>
    <w:p>
      <w:pPr>
        <w:pStyle w:val="Subsection"/>
        <w:spacing w:before="120"/>
      </w:pPr>
      <w:r>
        <w:tab/>
        <w:t>(1a)</w:t>
      </w:r>
      <w:r>
        <w:tab/>
        <w:t xml:space="preserve">The administrative authority for the emergency services levy that is the subject of an assessment notice under section 36J of the </w:t>
      </w:r>
      <w:r>
        <w:rPr>
          <w:i/>
        </w:rPr>
        <w:t>Fire and Emergency Services Act 1998</w:t>
      </w:r>
      <w:r>
        <w:t xml:space="preserve"> is the local government that serves the notice.</w:t>
      </w:r>
    </w:p>
    <w:p>
      <w:pPr>
        <w:pStyle w:val="Subsection"/>
        <w:spacing w:before="120"/>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keepLines w:val="0"/>
        <w:ind w:left="890" w:hanging="890"/>
      </w:pPr>
      <w:r>
        <w:tab/>
        <w:t xml:space="preserve">[Section 3 amended by No. 25 of 1993 s. 16; No. 73 of 1994 s. 4; No. 73 of 1995 s. 188; No. 14 of 1996 s. 4; No. 57 of 1997 s. 102(1); No. 22 of 1998 s. 14; No. 3 of 2001 s. 5; No. 42 of 2002 s. 31; No. 28 of 2003 s. 166; </w:t>
      </w:r>
      <w:r>
        <w:rPr>
          <w:spacing w:val="-6"/>
        </w:rPr>
        <w:t xml:space="preserve">No. 34 of 2004 </w:t>
      </w:r>
      <w:r>
        <w:t>Sch. 2 cl. 22; No. 9 of 2005 s. 4; No. 32 of 2006 s. 98; No. 13 of 2007 s. 8; No. 2 of 2012 s. 35; No. 22 of 2012 s. 135; No. 25 of 2012 s. 226(2) and (3); No. 29 of 2012 s. 32; No. 4 of 2013 s. 4.]</w:t>
      </w:r>
    </w:p>
    <w:p>
      <w:pPr>
        <w:pStyle w:val="Heading3"/>
      </w:pPr>
      <w:bookmarkStart w:id="23" w:name="_Toc471907562"/>
      <w:bookmarkStart w:id="24" w:name="_Toc472003356"/>
      <w:bookmarkStart w:id="25" w:name="_Toc424293086"/>
      <w:bookmarkStart w:id="26" w:name="_Toc431893893"/>
      <w:bookmarkStart w:id="27" w:name="_Toc435024119"/>
      <w:r>
        <w:rPr>
          <w:rStyle w:val="CharDivNo"/>
        </w:rPr>
        <w:t>Division 3</w:t>
      </w:r>
      <w:r>
        <w:rPr>
          <w:snapToGrid w:val="0"/>
        </w:rPr>
        <w:t> — </w:t>
      </w:r>
      <w:r>
        <w:rPr>
          <w:rStyle w:val="CharDivText"/>
        </w:rPr>
        <w:t>Determinations having an interpretive effect</w:t>
      </w:r>
      <w:bookmarkEnd w:id="23"/>
      <w:bookmarkEnd w:id="24"/>
      <w:bookmarkEnd w:id="25"/>
      <w:bookmarkEnd w:id="26"/>
      <w:bookmarkEnd w:id="27"/>
    </w:p>
    <w:p>
      <w:pPr>
        <w:pStyle w:val="Ednotesection"/>
        <w:spacing w:before="180"/>
      </w:pPr>
      <w:r>
        <w:t>[</w:t>
      </w:r>
      <w:r>
        <w:rPr>
          <w:b/>
        </w:rPr>
        <w:t>4.</w:t>
      </w:r>
      <w:r>
        <w:tab/>
        <w:t>Deleted by No. 28 of 2003 s. 167.]</w:t>
      </w:r>
    </w:p>
    <w:p>
      <w:pPr>
        <w:pStyle w:val="Heading5"/>
        <w:keepNext w:val="0"/>
        <w:keepLines w:val="0"/>
        <w:spacing w:before="180"/>
        <w:rPr>
          <w:snapToGrid w:val="0"/>
        </w:rPr>
      </w:pPr>
      <w:bookmarkStart w:id="28" w:name="_Toc472003357"/>
      <w:bookmarkStart w:id="29" w:name="_Toc435024120"/>
      <w:r>
        <w:rPr>
          <w:rStyle w:val="CharSectno"/>
        </w:rPr>
        <w:t>5</w:t>
      </w:r>
      <w:r>
        <w:rPr>
          <w:snapToGrid w:val="0"/>
        </w:rPr>
        <w:t>.</w:t>
      </w:r>
      <w:r>
        <w:rPr>
          <w:snapToGrid w:val="0"/>
        </w:rPr>
        <w:tab/>
        <w:t>Eligibility as a senior</w:t>
      </w:r>
      <w:bookmarkEnd w:id="28"/>
      <w:bookmarkEnd w:id="29"/>
    </w:p>
    <w:p>
      <w:pPr>
        <w:pStyle w:val="Subsection"/>
        <w:widowControl w:val="0"/>
        <w:spacing w:before="120"/>
        <w:rPr>
          <w:snapToGrid w:val="0"/>
        </w:rPr>
      </w:pPr>
      <w:r>
        <w:rPr>
          <w:snapToGrid w:val="0"/>
        </w:rPr>
        <w:tab/>
      </w:r>
      <w:r>
        <w:rPr>
          <w:snapToGrid w:val="0"/>
        </w:rPr>
        <w:tab/>
        <w:t>For the purposes of this Act the conditions under which a person may hold a seniors’ card shall be such as are from time to time determined by the</w:t>
      </w:r>
      <w:r>
        <w:t xml:space="preserve"> chief executive officer of the senior’s card department.</w:t>
      </w:r>
    </w:p>
    <w:p>
      <w:pPr>
        <w:pStyle w:val="Footnotesection"/>
        <w:ind w:left="890" w:hanging="890"/>
      </w:pPr>
      <w:r>
        <w:tab/>
        <w:t>[Section 5 amended by No. 29 of 2012 s. 33.]</w:t>
      </w:r>
    </w:p>
    <w:p>
      <w:pPr>
        <w:pStyle w:val="Heading5"/>
        <w:spacing w:before="240"/>
        <w:rPr>
          <w:snapToGrid w:val="0"/>
        </w:rPr>
      </w:pPr>
      <w:bookmarkStart w:id="30" w:name="_Toc472003358"/>
      <w:bookmarkStart w:id="31" w:name="_Toc435024121"/>
      <w:r>
        <w:rPr>
          <w:rStyle w:val="CharSectno"/>
        </w:rPr>
        <w:t>6</w:t>
      </w:r>
      <w:r>
        <w:rPr>
          <w:snapToGrid w:val="0"/>
        </w:rPr>
        <w:t>.</w:t>
      </w:r>
      <w:r>
        <w:rPr>
          <w:snapToGrid w:val="0"/>
        </w:rPr>
        <w:tab/>
        <w:t>State concession cards for persons not otherwise eligible</w:t>
      </w:r>
      <w:bookmarkEnd w:id="30"/>
      <w:bookmarkEnd w:id="31"/>
    </w:p>
    <w:p>
      <w:pPr>
        <w:pStyle w:val="Subsection"/>
        <w:spacing w:before="180"/>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spacing w:before="180"/>
        <w:rPr>
          <w:snapToGrid w:val="0"/>
        </w:rPr>
      </w:pPr>
      <w:r>
        <w:rPr>
          <w:snapToGrid w:val="0"/>
        </w:rPr>
        <w:tab/>
        <w:t>(2)</w:t>
      </w:r>
      <w:r>
        <w:rPr>
          <w:snapToGrid w:val="0"/>
        </w:rPr>
        <w:tab/>
        <w:t>On receipt of an application under subsection (1) and if the CEO determines that —</w:t>
      </w:r>
    </w:p>
    <w:p>
      <w:pPr>
        <w:pStyle w:val="Indenta"/>
        <w:rPr>
          <w:snapToGrid w:val="0"/>
        </w:rPr>
      </w:pPr>
      <w:r>
        <w:rPr>
          <w:snapToGrid w:val="0"/>
        </w:rPr>
        <w:tab/>
        <w:t>(a)</w:t>
      </w:r>
      <w:r>
        <w:rPr>
          <w:snapToGrid w:val="0"/>
        </w:rPr>
        <w:tab/>
        <w:t>a test as to the income and assets of that person; and</w:t>
      </w:r>
    </w:p>
    <w:p>
      <w:pPr>
        <w:pStyle w:val="Indenta"/>
        <w:keepNext/>
        <w:rPr>
          <w:snapToGrid w:val="0"/>
        </w:rPr>
      </w:pPr>
      <w:r>
        <w:rPr>
          <w:snapToGrid w:val="0"/>
        </w:rPr>
        <w:tab/>
        <w:t>(b)</w:t>
      </w:r>
      <w:r>
        <w:rPr>
          <w:snapToGrid w:val="0"/>
        </w:rPr>
        <w:tab/>
        <w:t>the conditions, circumstances or other facts relevant to the application otherwise,</w:t>
      </w:r>
    </w:p>
    <w:p>
      <w:pPr>
        <w:pStyle w:val="Subsection"/>
        <w:spacing w:before="180"/>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spacing w:before="180"/>
        <w:rPr>
          <w:snapToGrid w:val="0"/>
        </w:rPr>
      </w:pPr>
      <w:r>
        <w:rPr>
          <w:snapToGrid w:val="0"/>
        </w:rPr>
        <w:tab/>
        <w:t>(3)</w:t>
      </w:r>
      <w:r>
        <w:rPr>
          <w:snapToGrid w:val="0"/>
        </w:rPr>
        <w:tab/>
        <w:t xml:space="preserve">The CEO, on receiving relevant documentation issued by, or satisfactory written notification from, the Commonwealth Department of Veterans’ Affairs of the pension or allowance payable to that person, </w:t>
      </w:r>
      <w:r>
        <w:t xml:space="preserve">or that the person is entitled to be provided with treatment, </w:t>
      </w:r>
      <w:r>
        <w:rPr>
          <w:snapToGrid w:val="0"/>
        </w:rPr>
        <w:t>shall cause a State concession card to be issued —</w:t>
      </w:r>
    </w:p>
    <w:p>
      <w:pPr>
        <w:pStyle w:val="Indenta"/>
      </w:pPr>
      <w:r>
        <w:tab/>
        <w:t>(a)</w:t>
      </w:r>
      <w:r>
        <w:tab/>
        <w:t>to a person, valid for 5 years, if satisfied that —</w:t>
      </w:r>
    </w:p>
    <w:p>
      <w:pPr>
        <w:pStyle w:val="Indenti"/>
      </w:pPr>
      <w:r>
        <w:tab/>
        <w:t>(i)</w:t>
      </w:r>
      <w:r>
        <w:tab/>
        <w:t>the person is receiving a pension to which section 23(2) applies; or</w:t>
      </w:r>
    </w:p>
    <w:p>
      <w:pPr>
        <w:pStyle w:val="Indenti"/>
      </w:pPr>
      <w:r>
        <w:tab/>
        <w:t>(ii)</w:t>
      </w:r>
      <w:r>
        <w:tab/>
        <w:t>the person meets the criteria referred to in section 23(4A)(a); or</w:t>
      </w:r>
    </w:p>
    <w:p>
      <w:pPr>
        <w:pStyle w:val="Indenti"/>
      </w:pPr>
      <w:r>
        <w:tab/>
        <w:t>(iii)</w:t>
      </w:r>
      <w:r>
        <w:tab/>
        <w:t>the person is receiving the Special Rate Disability Pension referred to in section 23(4A)(b); or</w:t>
      </w:r>
    </w:p>
    <w:p>
      <w:pPr>
        <w:pStyle w:val="Indenti"/>
      </w:pPr>
      <w:r>
        <w:tab/>
        <w:t>(iv)</w:t>
      </w:r>
      <w:r>
        <w:tab/>
        <w:t>the person is entitled to be provided with the treatment referred to in section 23(4A)(c),</w:t>
      </w:r>
    </w:p>
    <w:p>
      <w:pPr>
        <w:pStyle w:val="Indenta"/>
      </w:pPr>
      <w:r>
        <w:tab/>
      </w:r>
      <w:r>
        <w:tab/>
        <w:t>regardless of the income or assets of that person; and</w:t>
      </w:r>
    </w:p>
    <w:p>
      <w:pPr>
        <w:pStyle w:val="Indenta"/>
        <w:rPr>
          <w:snapToGrid w:val="0"/>
        </w:rPr>
      </w:pPr>
      <w:r>
        <w:rPr>
          <w:snapToGrid w:val="0"/>
        </w:rPr>
        <w:tab/>
        <w:t>(b)</w:t>
      </w:r>
      <w:r>
        <w:rPr>
          <w:snapToGrid w:val="0"/>
        </w:rPr>
        <w:tab/>
        <w:t>to any other person, valid for one year, if satisfied that —</w:t>
      </w:r>
    </w:p>
    <w:p>
      <w:pPr>
        <w:pStyle w:val="Indenti"/>
        <w:rPr>
          <w:snapToGrid w:val="0"/>
        </w:rPr>
      </w:pPr>
      <w:r>
        <w:rPr>
          <w:snapToGrid w:val="0"/>
        </w:rPr>
        <w:tab/>
        <w:t>(i)</w:t>
      </w:r>
      <w:r>
        <w:rPr>
          <w:snapToGrid w:val="0"/>
        </w:rPr>
        <w:tab/>
        <w:t>the person has an income and assets that do not exceed the limits imposed by the means test; and</w:t>
      </w:r>
    </w:p>
    <w:p>
      <w:pPr>
        <w:pStyle w:val="Indenti"/>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ind w:left="890" w:hanging="890"/>
      </w:pPr>
      <w:r>
        <w:tab/>
        <w:t xml:space="preserve">[Section 6 amended by No. 25 of 1993 s. 17; No. 73 of 1994 s. 4; No. 57 of 1997 s. 102(2); </w:t>
      </w:r>
      <w:r>
        <w:rPr>
          <w:spacing w:val="-6"/>
        </w:rPr>
        <w:t>No. 34 of 2004</w:t>
      </w:r>
      <w:r>
        <w:t xml:space="preserve"> Sch. 2 cl. 22; No. 29 of 2012 s. 34.]</w:t>
      </w:r>
    </w:p>
    <w:p>
      <w:pPr>
        <w:pStyle w:val="Heading5"/>
        <w:spacing w:before="240"/>
        <w:rPr>
          <w:snapToGrid w:val="0"/>
        </w:rPr>
      </w:pPr>
      <w:bookmarkStart w:id="32" w:name="_Toc472003359"/>
      <w:bookmarkStart w:id="33" w:name="_Toc435024122"/>
      <w:r>
        <w:rPr>
          <w:rStyle w:val="CharSectno"/>
        </w:rPr>
        <w:t>7</w:t>
      </w:r>
      <w:r>
        <w:rPr>
          <w:snapToGrid w:val="0"/>
        </w:rPr>
        <w:t>.</w:t>
      </w:r>
      <w:r>
        <w:rPr>
          <w:snapToGrid w:val="0"/>
        </w:rPr>
        <w:tab/>
        <w:t>Entitlement of a person as regards land</w:t>
      </w:r>
      <w:bookmarkEnd w:id="32"/>
      <w:bookmarkEnd w:id="33"/>
    </w:p>
    <w:p>
      <w:pPr>
        <w:pStyle w:val="Subsection"/>
        <w:spacing w:before="180"/>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keepNext/>
        <w:rPr>
          <w:snapToGrid w:val="0"/>
        </w:rPr>
      </w:pPr>
      <w:r>
        <w:rPr>
          <w:snapToGrid w:val="0"/>
        </w:rPr>
        <w:tab/>
        <w:t>(b)</w:t>
      </w:r>
      <w:r>
        <w:rPr>
          <w:snapToGrid w:val="0"/>
        </w:rPr>
        <w:tab/>
        <w:t>section 14(2),</w:t>
      </w:r>
    </w:p>
    <w:p>
      <w:pPr>
        <w:pStyle w:val="Subsection"/>
        <w:spacing w:before="180"/>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spacing w:before="180"/>
        <w:rPr>
          <w:snapToGrid w:val="0"/>
        </w:rPr>
      </w:pPr>
      <w:r>
        <w:rPr>
          <w:snapToGrid w:val="0"/>
        </w:rPr>
        <w:tab/>
        <w:t>(2)</w:t>
      </w:r>
      <w:r>
        <w:rPr>
          <w:snapToGrid w:val="0"/>
        </w:rPr>
        <w:tab/>
      </w:r>
      <w:r>
        <w:t>In relation to a prescribed charge that is not a Water Corporation charge, the</w:t>
      </w:r>
      <w:r>
        <w:rPr>
          <w:snapToGrid w:val="0"/>
        </w:rPr>
        <w:t xml:space="preserve"> determination as to the entitlement of a person made in accordance with section 32(5) shall have effect throughout the rating year in which the charged period occurs.</w:t>
      </w:r>
    </w:p>
    <w:p>
      <w:pPr>
        <w:pStyle w:val="Footnotesection"/>
        <w:spacing w:before="140"/>
        <w:ind w:left="890" w:hanging="890"/>
      </w:pPr>
      <w:r>
        <w:tab/>
        <w:t>[Section 7 amended by No. 25 of 1993 s. 4; No. 4 of 2013 s. 5.]</w:t>
      </w:r>
    </w:p>
    <w:p>
      <w:pPr>
        <w:pStyle w:val="Heading3"/>
      </w:pPr>
      <w:bookmarkStart w:id="34" w:name="_Toc471907566"/>
      <w:bookmarkStart w:id="35" w:name="_Toc472003360"/>
      <w:bookmarkStart w:id="36" w:name="_Toc424293090"/>
      <w:bookmarkStart w:id="37" w:name="_Toc431893897"/>
      <w:bookmarkStart w:id="38" w:name="_Toc435024123"/>
      <w:r>
        <w:rPr>
          <w:rStyle w:val="CharDivNo"/>
        </w:rPr>
        <w:t>Division 4</w:t>
      </w:r>
      <w:r>
        <w:rPr>
          <w:snapToGrid w:val="0"/>
        </w:rPr>
        <w:t> — </w:t>
      </w:r>
      <w:r>
        <w:rPr>
          <w:rStyle w:val="CharDivText"/>
        </w:rPr>
        <w:t>Administration</w:t>
      </w:r>
      <w:bookmarkEnd w:id="34"/>
      <w:bookmarkEnd w:id="35"/>
      <w:bookmarkEnd w:id="36"/>
      <w:bookmarkEnd w:id="37"/>
      <w:bookmarkEnd w:id="38"/>
    </w:p>
    <w:p>
      <w:pPr>
        <w:pStyle w:val="Heading5"/>
        <w:spacing w:before="240"/>
        <w:rPr>
          <w:snapToGrid w:val="0"/>
        </w:rPr>
      </w:pPr>
      <w:bookmarkStart w:id="39" w:name="_Toc472003361"/>
      <w:bookmarkStart w:id="40" w:name="_Toc435024124"/>
      <w:r>
        <w:rPr>
          <w:rStyle w:val="CharSectno"/>
        </w:rPr>
        <w:t>8</w:t>
      </w:r>
      <w:r>
        <w:rPr>
          <w:snapToGrid w:val="0"/>
        </w:rPr>
        <w:t>.</w:t>
      </w:r>
      <w:r>
        <w:rPr>
          <w:snapToGrid w:val="0"/>
        </w:rPr>
        <w:tab/>
        <w:t>Purposes</w:t>
      </w:r>
      <w:bookmarkEnd w:id="39"/>
      <w:bookmarkEnd w:id="40"/>
    </w:p>
    <w:p>
      <w:pPr>
        <w:pStyle w:val="Subsection"/>
        <w:spacing w:before="180"/>
        <w:rPr>
          <w:snapToGrid w:val="0"/>
        </w:rPr>
      </w:pPr>
      <w:r>
        <w:rPr>
          <w:snapToGrid w:val="0"/>
        </w:rPr>
        <w:tab/>
      </w:r>
      <w:r>
        <w:rPr>
          <w:snapToGrid w:val="0"/>
        </w:rPr>
        <w:tab/>
        <w:t>The purposes of this Act are —</w:t>
      </w:r>
    </w:p>
    <w:p>
      <w:pPr>
        <w:pStyle w:val="Indenta"/>
        <w:spacing w:before="100"/>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 and</w:t>
      </w:r>
    </w:p>
    <w:p>
      <w:pPr>
        <w:pStyle w:val="Indenti"/>
        <w:rPr>
          <w:snapToGrid w:val="0"/>
        </w:rPr>
      </w:pPr>
      <w:r>
        <w:rPr>
          <w:snapToGrid w:val="0"/>
        </w:rPr>
        <w:tab/>
        <w:t>(ii)</w:t>
      </w:r>
      <w:r>
        <w:rPr>
          <w:snapToGrid w:val="0"/>
        </w:rPr>
        <w:tab/>
        <w:t>the rebates allowable to seniors; and</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spacing w:before="100"/>
        <w:rPr>
          <w:snapToGrid w:val="0"/>
        </w:rPr>
      </w:pPr>
      <w:r>
        <w:rPr>
          <w:snapToGrid w:val="0"/>
        </w:rPr>
        <w:tab/>
      </w:r>
      <w:r>
        <w:rPr>
          <w:snapToGrid w:val="0"/>
        </w:rPr>
        <w:tab/>
        <w:t>may for the future be rationalised and inequities eliminated; and</w:t>
      </w:r>
    </w:p>
    <w:p>
      <w:pPr>
        <w:pStyle w:val="Indenta"/>
        <w:spacing w:before="100"/>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spacing w:before="100"/>
        <w:rPr>
          <w:snapToGrid w:val="0"/>
        </w:rPr>
      </w:pPr>
      <w:r>
        <w:rPr>
          <w:snapToGrid w:val="0"/>
        </w:rPr>
        <w:tab/>
      </w:r>
      <w:r>
        <w:rPr>
          <w:snapToGrid w:val="0"/>
        </w:rPr>
        <w:tab/>
        <w:t>are kept to a minimum.</w:t>
      </w:r>
    </w:p>
    <w:p>
      <w:pPr>
        <w:pStyle w:val="Footnotesection"/>
        <w:ind w:left="890" w:hanging="890"/>
      </w:pPr>
      <w:r>
        <w:tab/>
        <w:t>[Section 8 amended by No. 22 of 1998 s. 15.]</w:t>
      </w:r>
    </w:p>
    <w:p>
      <w:pPr>
        <w:pStyle w:val="Heading5"/>
        <w:spacing w:before="240"/>
      </w:pPr>
      <w:bookmarkStart w:id="41" w:name="_Toc472003362"/>
      <w:bookmarkStart w:id="42" w:name="_Toc435024125"/>
      <w:r>
        <w:rPr>
          <w:rStyle w:val="CharSectno"/>
        </w:rPr>
        <w:t>9</w:t>
      </w:r>
      <w:r>
        <w:t>.</w:t>
      </w:r>
      <w:r>
        <w:tab/>
        <w:t>Ministerial directions and procedural manuals</w:t>
      </w:r>
      <w:bookmarkEnd w:id="41"/>
      <w:bookmarkEnd w:id="42"/>
    </w:p>
    <w:p>
      <w:pPr>
        <w:pStyle w:val="Subsection"/>
        <w:spacing w:before="180"/>
      </w:pPr>
      <w:r>
        <w:tab/>
        <w:t>(1)</w:t>
      </w:r>
      <w:r>
        <w:tab/>
        <w:t>The Minister may provide advice, make recommendations, or give written directions to administrative authorities as to the implementation of this Act.</w:t>
      </w:r>
    </w:p>
    <w:p>
      <w:pPr>
        <w:pStyle w:val="Subsection"/>
        <w:spacing w:before="180"/>
      </w:pPr>
      <w:r>
        <w:tab/>
        <w:t>(2)</w:t>
      </w:r>
      <w:r>
        <w:tab/>
        <w:t>The Minister may issue, and amend, a procedural manual for the guidance of administrative authorities as to the implementation of this Act.</w:t>
      </w:r>
    </w:p>
    <w:p>
      <w:pPr>
        <w:pStyle w:val="Subsection"/>
        <w:keepNext/>
        <w:spacing w:before="180"/>
      </w:pPr>
      <w:r>
        <w:tab/>
        <w:t>(3)</w:t>
      </w:r>
      <w:r>
        <w:tab/>
        <w:t>All employees, officers and members of an administrative authority must comply with a procedural manual.</w:t>
      </w:r>
    </w:p>
    <w:p>
      <w:pPr>
        <w:pStyle w:val="Subsection"/>
        <w:spacing w:before="180"/>
      </w:pPr>
      <w:r>
        <w:tab/>
        <w:t>(4)</w:t>
      </w:r>
      <w:r>
        <w:tab/>
        <w:t>The Minister may give written directions to an administrative authority with respect to the performance of its functions under this Act, either generally or as to a particular matter.</w:t>
      </w:r>
    </w:p>
    <w:p>
      <w:pPr>
        <w:pStyle w:val="Subsection"/>
        <w:spacing w:before="180"/>
      </w:pPr>
      <w:r>
        <w:tab/>
        <w:t>(5)</w:t>
      </w:r>
      <w:r>
        <w:tab/>
        <w:t>An administrative authority must comply with a direction given to it under subsection (4).</w:t>
      </w:r>
    </w:p>
    <w:p>
      <w:pPr>
        <w:pStyle w:val="Subsection"/>
        <w:spacing w:before="18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 by No. 22 of 1998 s. 16; amended by No. 77 of 2006 Sch. 1 cl. 146(1).]</w:t>
      </w:r>
    </w:p>
    <w:p>
      <w:pPr>
        <w:pStyle w:val="Heading5"/>
        <w:spacing w:before="240"/>
        <w:rPr>
          <w:snapToGrid w:val="0"/>
        </w:rPr>
      </w:pPr>
      <w:bookmarkStart w:id="43" w:name="_Toc472003363"/>
      <w:bookmarkStart w:id="44" w:name="_Toc435024126"/>
      <w:r>
        <w:rPr>
          <w:rStyle w:val="CharSectno"/>
        </w:rPr>
        <w:t>10</w:t>
      </w:r>
      <w:r>
        <w:rPr>
          <w:snapToGrid w:val="0"/>
        </w:rPr>
        <w:t>.</w:t>
      </w:r>
      <w:r>
        <w:rPr>
          <w:snapToGrid w:val="0"/>
        </w:rPr>
        <w:tab/>
        <w:t>Delegation of functions</w:t>
      </w:r>
      <w:bookmarkEnd w:id="43"/>
      <w:bookmarkEnd w:id="44"/>
    </w:p>
    <w:p>
      <w:pPr>
        <w:pStyle w:val="Subsection"/>
        <w:spacing w:before="18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80"/>
        <w:rPr>
          <w:snapToGrid w:val="0"/>
        </w:rPr>
      </w:pPr>
      <w:r>
        <w:tab/>
        <w:t>(2)</w:t>
      </w:r>
      <w:r>
        <w:tab/>
        <w:t>A delegation may be made generally or as otherwise provided in the instrument of delegation.</w:t>
      </w:r>
    </w:p>
    <w:p>
      <w:pPr>
        <w:pStyle w:val="Subsection"/>
        <w:spacing w:before="18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ind w:left="890" w:hanging="890"/>
      </w:pPr>
      <w:r>
        <w:tab/>
        <w:t>[Section 10 amended by No. 22 of 1998 s. 17.]</w:t>
      </w:r>
    </w:p>
    <w:p>
      <w:pPr>
        <w:pStyle w:val="Heading5"/>
        <w:spacing w:before="180"/>
        <w:rPr>
          <w:snapToGrid w:val="0"/>
        </w:rPr>
      </w:pPr>
      <w:bookmarkStart w:id="45" w:name="_Toc472003364"/>
      <w:bookmarkStart w:id="46" w:name="_Toc435024127"/>
      <w:r>
        <w:rPr>
          <w:rStyle w:val="CharSectno"/>
        </w:rPr>
        <w:t>11</w:t>
      </w:r>
      <w:r>
        <w:rPr>
          <w:snapToGrid w:val="0"/>
        </w:rPr>
        <w:t>.</w:t>
      </w:r>
      <w:r>
        <w:rPr>
          <w:snapToGrid w:val="0"/>
        </w:rPr>
        <w:tab/>
        <w:t>Minister to have access to information</w:t>
      </w:r>
      <w:bookmarkEnd w:id="45"/>
      <w:bookmarkEnd w:id="46"/>
    </w:p>
    <w:p>
      <w:pPr>
        <w:pStyle w:val="Subsection"/>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 and</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an administrative authority;</w:t>
      </w:r>
    </w:p>
    <w:p>
      <w:pPr>
        <w:pStyle w:val="Defstart"/>
        <w:keepNex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47" w:name="_Toc471907571"/>
      <w:bookmarkStart w:id="48" w:name="_Toc472003365"/>
      <w:bookmarkStart w:id="49" w:name="_Toc424293095"/>
      <w:bookmarkStart w:id="50" w:name="_Toc431893902"/>
      <w:bookmarkStart w:id="51" w:name="_Toc435024128"/>
      <w:r>
        <w:rPr>
          <w:rStyle w:val="CharDivNo"/>
        </w:rPr>
        <w:t>Division 5</w:t>
      </w:r>
      <w:r>
        <w:rPr>
          <w:snapToGrid w:val="0"/>
        </w:rPr>
        <w:t> — </w:t>
      </w:r>
      <w:r>
        <w:rPr>
          <w:rStyle w:val="CharDivText"/>
        </w:rPr>
        <w:t>Review of determinations</w:t>
      </w:r>
      <w:bookmarkEnd w:id="47"/>
      <w:bookmarkEnd w:id="48"/>
      <w:bookmarkEnd w:id="49"/>
      <w:bookmarkEnd w:id="50"/>
      <w:bookmarkEnd w:id="51"/>
    </w:p>
    <w:p>
      <w:pPr>
        <w:pStyle w:val="Heading5"/>
        <w:rPr>
          <w:snapToGrid w:val="0"/>
        </w:rPr>
      </w:pPr>
      <w:bookmarkStart w:id="52" w:name="_Toc472003366"/>
      <w:bookmarkStart w:id="53" w:name="_Toc435024129"/>
      <w:r>
        <w:rPr>
          <w:rStyle w:val="CharSectno"/>
        </w:rPr>
        <w:t>12</w:t>
      </w:r>
      <w:r>
        <w:rPr>
          <w:snapToGrid w:val="0"/>
        </w:rPr>
        <w:t>.</w:t>
      </w:r>
      <w:r>
        <w:rPr>
          <w:snapToGrid w:val="0"/>
        </w:rPr>
        <w:tab/>
        <w:t>Determination may be referred for review</w:t>
      </w:r>
      <w:bookmarkEnd w:id="52"/>
      <w:bookmarkEnd w:id="53"/>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 or</w:t>
      </w:r>
    </w:p>
    <w:p>
      <w:pPr>
        <w:pStyle w:val="Indenta"/>
        <w:rPr>
          <w:snapToGrid w:val="0"/>
        </w:rPr>
      </w:pPr>
      <w:r>
        <w:rPr>
          <w:snapToGrid w:val="0"/>
        </w:rPr>
        <w:tab/>
        <w:t>(b)</w:t>
      </w:r>
      <w:r>
        <w:rPr>
          <w:snapToGrid w:val="0"/>
        </w:rPr>
        <w:tab/>
        <w:t>as to a change in conditions, circumstances or facts, under section 21; or</w:t>
      </w:r>
    </w:p>
    <w:p>
      <w:pPr>
        <w:pStyle w:val="Indenta"/>
        <w:rPr>
          <w:snapToGrid w:val="0"/>
        </w:rPr>
      </w:pPr>
      <w:r>
        <w:rPr>
          <w:snapToGrid w:val="0"/>
        </w:rPr>
        <w:tab/>
        <w:t>(c)</w:t>
      </w:r>
      <w:r>
        <w:rPr>
          <w:snapToGrid w:val="0"/>
        </w:rPr>
        <w:tab/>
        <w:t>to amend or cancel any registration, under section 37; or</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spacing w:before="120"/>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spacing w:before="120"/>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spacing w:before="120"/>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 18.]</w:t>
      </w:r>
    </w:p>
    <w:p>
      <w:pPr>
        <w:pStyle w:val="Heading5"/>
        <w:rPr>
          <w:snapToGrid w:val="0"/>
        </w:rPr>
      </w:pPr>
      <w:bookmarkStart w:id="54" w:name="_Toc472003367"/>
      <w:bookmarkStart w:id="55" w:name="_Toc435024130"/>
      <w:r>
        <w:rPr>
          <w:rStyle w:val="CharSectno"/>
        </w:rPr>
        <w:t>13</w:t>
      </w:r>
      <w:r>
        <w:rPr>
          <w:snapToGrid w:val="0"/>
        </w:rPr>
        <w:t>.</w:t>
      </w:r>
      <w:r>
        <w:rPr>
          <w:snapToGrid w:val="0"/>
        </w:rPr>
        <w:tab/>
        <w:t>Investigation by authorised review officer</w:t>
      </w:r>
      <w:bookmarkEnd w:id="54"/>
      <w:bookmarkEnd w:id="55"/>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 or</w:t>
      </w:r>
    </w:p>
    <w:p>
      <w:pPr>
        <w:pStyle w:val="Indenta"/>
        <w:rPr>
          <w:snapToGrid w:val="0"/>
        </w:rPr>
      </w:pPr>
      <w:r>
        <w:rPr>
          <w:snapToGrid w:val="0"/>
        </w:rPr>
        <w:tab/>
        <w:t>(b)</w:t>
      </w:r>
      <w:r>
        <w:rPr>
          <w:snapToGrid w:val="0"/>
        </w:rPr>
        <w:tab/>
        <w:t>vary the determination; or</w:t>
      </w:r>
    </w:p>
    <w:p>
      <w:pPr>
        <w:pStyle w:val="Indenta"/>
        <w:keepNext/>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 and</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 19; No. 9 of 2005 s. 5.]</w:t>
      </w:r>
    </w:p>
    <w:p>
      <w:pPr>
        <w:pStyle w:val="Heading5"/>
        <w:rPr>
          <w:snapToGrid w:val="0"/>
        </w:rPr>
      </w:pPr>
      <w:bookmarkStart w:id="56" w:name="_Toc472003368"/>
      <w:bookmarkStart w:id="57" w:name="_Toc435024131"/>
      <w:r>
        <w:rPr>
          <w:rStyle w:val="CharSectno"/>
        </w:rPr>
        <w:t>14</w:t>
      </w:r>
      <w:r>
        <w:rPr>
          <w:snapToGrid w:val="0"/>
        </w:rPr>
        <w:t>.</w:t>
      </w:r>
      <w:r>
        <w:rPr>
          <w:snapToGrid w:val="0"/>
        </w:rPr>
        <w:tab/>
        <w:t>Effect of review or complaint</w:t>
      </w:r>
      <w:bookmarkEnd w:id="56"/>
      <w:bookmarkEnd w:id="57"/>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keepNext/>
        <w:rPr>
          <w:snapToGrid w:val="0"/>
        </w:rPr>
      </w:pPr>
      <w:r>
        <w:rPr>
          <w:snapToGrid w:val="0"/>
        </w:rPr>
        <w:tab/>
        <w:t>(3)</w:t>
      </w:r>
      <w:r>
        <w:rPr>
          <w:snapToGrid w:val="0"/>
        </w:rPr>
        <w:tab/>
        <w:t>Where —</w:t>
      </w:r>
    </w:p>
    <w:p>
      <w:pPr>
        <w:pStyle w:val="Indenta"/>
        <w:keepNext/>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58" w:name="_Toc472003369"/>
      <w:bookmarkStart w:id="59" w:name="_Toc435024132"/>
      <w:r>
        <w:rPr>
          <w:rStyle w:val="CharSectno"/>
        </w:rPr>
        <w:t>15</w:t>
      </w:r>
      <w:r>
        <w:rPr>
          <w:snapToGrid w:val="0"/>
        </w:rPr>
        <w:t>.</w:t>
      </w:r>
      <w:r>
        <w:rPr>
          <w:snapToGrid w:val="0"/>
        </w:rPr>
        <w:tab/>
        <w:t>Compensation for errors</w:t>
      </w:r>
      <w:bookmarkEnd w:id="58"/>
      <w:bookmarkEnd w:id="59"/>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pPr>
        <w:pStyle w:val="Indenta"/>
        <w:keepNext/>
        <w:rPr>
          <w:snapToGrid w:val="0"/>
        </w:rPr>
      </w:pPr>
      <w:r>
        <w:rPr>
          <w:snapToGrid w:val="0"/>
        </w:rPr>
        <w:tab/>
        <w:t>(e)</w:t>
      </w:r>
      <w:r>
        <w:rPr>
          <w:snapToGrid w:val="0"/>
        </w:rPr>
        <w:tab/>
        <w:t>otherwise, may,</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by No. 14 of 1996 s. 4; No. 77 of 2006 s. 8 and Sch. 1 cl. 146(2); No. 31 of 2008 s. 35.]</w:t>
      </w:r>
    </w:p>
    <w:p>
      <w:pPr>
        <w:pStyle w:val="Heading3"/>
      </w:pPr>
      <w:bookmarkStart w:id="60" w:name="_Toc471907576"/>
      <w:bookmarkStart w:id="61" w:name="_Toc472003370"/>
      <w:bookmarkStart w:id="62" w:name="_Toc424293100"/>
      <w:bookmarkStart w:id="63" w:name="_Toc431893907"/>
      <w:bookmarkStart w:id="64" w:name="_Toc435024133"/>
      <w:r>
        <w:rPr>
          <w:rStyle w:val="CharDivNo"/>
        </w:rPr>
        <w:t>Division 6</w:t>
      </w:r>
      <w:r>
        <w:rPr>
          <w:snapToGrid w:val="0"/>
        </w:rPr>
        <w:t> — </w:t>
      </w:r>
      <w:r>
        <w:rPr>
          <w:rStyle w:val="CharDivText"/>
        </w:rPr>
        <w:t>Reimbursement</w:t>
      </w:r>
      <w:bookmarkEnd w:id="60"/>
      <w:bookmarkEnd w:id="61"/>
      <w:bookmarkEnd w:id="62"/>
      <w:bookmarkEnd w:id="63"/>
      <w:bookmarkEnd w:id="64"/>
    </w:p>
    <w:p>
      <w:pPr>
        <w:pStyle w:val="Heading5"/>
        <w:rPr>
          <w:snapToGrid w:val="0"/>
        </w:rPr>
      </w:pPr>
      <w:bookmarkStart w:id="65" w:name="_Toc472003371"/>
      <w:bookmarkStart w:id="66" w:name="_Toc435024134"/>
      <w:r>
        <w:rPr>
          <w:rStyle w:val="CharSectno"/>
        </w:rPr>
        <w:t>16</w:t>
      </w:r>
      <w:r>
        <w:rPr>
          <w:snapToGrid w:val="0"/>
        </w:rPr>
        <w:t>.</w:t>
      </w:r>
      <w:r>
        <w:rPr>
          <w:snapToGrid w:val="0"/>
        </w:rPr>
        <w:tab/>
        <w:t>Claims by administrative authorities</w:t>
      </w:r>
      <w:bookmarkEnd w:id="65"/>
      <w:bookmarkEnd w:id="66"/>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 and</w:t>
      </w:r>
    </w:p>
    <w:p>
      <w:pPr>
        <w:pStyle w:val="Indenti"/>
        <w:rPr>
          <w:snapToGrid w:val="0"/>
        </w:rPr>
      </w:pPr>
      <w:r>
        <w:rPr>
          <w:snapToGrid w:val="0"/>
        </w:rPr>
        <w:tab/>
        <w:t>(ii)</w:t>
      </w:r>
      <w:r>
        <w:rPr>
          <w:snapToGrid w:val="0"/>
        </w:rPr>
        <w:tab/>
        <w:t>the format in which data is to be provided; and</w:t>
      </w:r>
    </w:p>
    <w:p>
      <w:pPr>
        <w:pStyle w:val="Indenti"/>
        <w:rPr>
          <w:snapToGrid w:val="0"/>
        </w:rPr>
      </w:pPr>
      <w:r>
        <w:rPr>
          <w:snapToGrid w:val="0"/>
        </w:rPr>
        <w:tab/>
        <w:t>(iii)</w:t>
      </w:r>
      <w:r>
        <w:rPr>
          <w:snapToGrid w:val="0"/>
        </w:rPr>
        <w:tab/>
        <w:t>the relevant periods; and</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pPr>
      <w:r>
        <w:tab/>
        <w:t>(4)</w:t>
      </w:r>
      <w:r>
        <w:tab/>
        <w:t>When a prescribed licensee allows any rebate to an eligible senior who as such is a registered person, the licensee may make a claim for reimbursement by the Minister of the amount allowed.</w:t>
      </w:r>
    </w:p>
    <w:p>
      <w:pPr>
        <w:pStyle w:val="Subsection"/>
      </w:pPr>
      <w:r>
        <w:tab/>
        <w:t>(5)</w:t>
      </w:r>
      <w:r>
        <w:tab/>
        <w:t xml:space="preserve">In subsection (4) — </w:t>
      </w:r>
    </w:p>
    <w:p>
      <w:pPr>
        <w:pStyle w:val="Defstart"/>
      </w:pPr>
      <w:r>
        <w:rPr>
          <w:b/>
        </w:rPr>
        <w:tab/>
      </w:r>
      <w:r>
        <w:rPr>
          <w:rStyle w:val="CharDefText"/>
        </w:rPr>
        <w:t>prescribed licensee</w:t>
      </w:r>
      <w:r>
        <w:t xml:space="preserve"> means a licensee under the </w:t>
      </w:r>
      <w:r>
        <w:rPr>
          <w:i/>
          <w:iCs/>
        </w:rPr>
        <w:t>Water Services Act 2012</w:t>
      </w:r>
      <w:r>
        <w:t xml:space="preserve"> (other than a body established by or under the </w:t>
      </w:r>
      <w:r>
        <w:rPr>
          <w:i/>
          <w:iCs/>
        </w:rPr>
        <w:t>Water Corporations Act 1995</w:t>
      </w:r>
      <w:r>
        <w:t xml:space="preserve"> section 4 or a local government) who is prescribed for the purposes of subsection (4).</w:t>
      </w:r>
    </w:p>
    <w:p>
      <w:pPr>
        <w:pStyle w:val="Footnotesection"/>
      </w:pPr>
      <w:r>
        <w:tab/>
        <w:t>[Section 16 amended by No. 73 of 1995 s. 188; No. 14 of 1996 s. 4; No. 22 of 1998 s. 20; No. 25 of 2012 s. 226(5) and (6).]</w:t>
      </w:r>
    </w:p>
    <w:p>
      <w:pPr>
        <w:pStyle w:val="Heading5"/>
        <w:rPr>
          <w:snapToGrid w:val="0"/>
        </w:rPr>
      </w:pPr>
      <w:bookmarkStart w:id="67" w:name="_Toc472003372"/>
      <w:bookmarkStart w:id="68" w:name="_Toc435024135"/>
      <w:r>
        <w:rPr>
          <w:rStyle w:val="CharSectno"/>
        </w:rPr>
        <w:t>17</w:t>
      </w:r>
      <w:r>
        <w:rPr>
          <w:snapToGrid w:val="0"/>
        </w:rPr>
        <w:t>.</w:t>
      </w:r>
      <w:r>
        <w:rPr>
          <w:snapToGrid w:val="0"/>
        </w:rPr>
        <w:tab/>
        <w:t>Payment of claims for reimbursement</w:t>
      </w:r>
      <w:bookmarkEnd w:id="67"/>
      <w:bookmarkEnd w:id="68"/>
    </w:p>
    <w:p>
      <w:pPr>
        <w:pStyle w:val="Subsection"/>
        <w:spacing w:before="120"/>
      </w:pPr>
      <w:r>
        <w:tab/>
        <w:t>(1)</w:t>
      </w:r>
      <w:r>
        <w:tab/>
        <w:t>If the Minister is satisfied that a claim for reimbursement under section 16(2) or (4) of the amount of a rebate is validly made, the Minister is to reimburse the amount.</w:t>
      </w:r>
    </w:p>
    <w:p>
      <w:pPr>
        <w:pStyle w:val="Subsection"/>
        <w:spacing w:before="12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spacing w:before="120"/>
      </w:pPr>
      <w:r>
        <w:tab/>
        <w:t>(1b)</w:t>
      </w:r>
      <w:r>
        <w:tab/>
        <w:t>If an amount —</w:t>
      </w:r>
    </w:p>
    <w:p>
      <w:pPr>
        <w:pStyle w:val="Indenta"/>
        <w:spacing w:before="60"/>
      </w:pPr>
      <w:r>
        <w:tab/>
        <w:t>(a)</w:t>
      </w:r>
      <w:r>
        <w:tab/>
        <w:t>to be reimbursed to a local government under subsection (1); or</w:t>
      </w:r>
    </w:p>
    <w:p>
      <w:pPr>
        <w:pStyle w:val="Indenta"/>
        <w:spacing w:before="60"/>
      </w:pPr>
      <w:r>
        <w:tab/>
        <w:t>(b)</w:t>
      </w:r>
      <w:r>
        <w:tab/>
        <w:t>to be paid to a local government under subsection (1a),</w:t>
      </w:r>
    </w:p>
    <w:p>
      <w:pPr>
        <w:pStyle w:val="Subsection"/>
        <w:spacing w:before="100"/>
      </w:pPr>
      <w:r>
        <w:tab/>
      </w:r>
      <w:r>
        <w:tab/>
        <w:t xml:space="preserve">relates to the emergency services levy, the Minister is to reimburse or pay the amount to the FES Commissioner as defined in the </w:t>
      </w:r>
      <w:r>
        <w:rPr>
          <w:i/>
        </w:rPr>
        <w:t>Fire and Emergency Services Act 1998</w:t>
      </w:r>
      <w:r>
        <w:t xml:space="preserve"> section 3.</w:t>
      </w:r>
    </w:p>
    <w:p>
      <w:pPr>
        <w:pStyle w:val="Subsection"/>
        <w:spacing w:before="100"/>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Act 1998</w:t>
      </w:r>
      <w:r>
        <w:t>.</w:t>
      </w:r>
    </w:p>
    <w:p>
      <w:pPr>
        <w:pStyle w:val="Subsection"/>
        <w:spacing w:before="10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6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6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spacing w:before="60"/>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 188; No. 22 of 1998 s. 21; No. 42 of 2002 s. 32; No. 9 of 2005 s. 6; No. 22 of 2012 s. 136.]</w:t>
      </w:r>
    </w:p>
    <w:p>
      <w:pPr>
        <w:pStyle w:val="Heading3"/>
      </w:pPr>
      <w:bookmarkStart w:id="69" w:name="_Toc471907579"/>
      <w:bookmarkStart w:id="70" w:name="_Toc472003373"/>
      <w:bookmarkStart w:id="71" w:name="_Toc424293103"/>
      <w:bookmarkStart w:id="72" w:name="_Toc431893910"/>
      <w:bookmarkStart w:id="73" w:name="_Toc435024136"/>
      <w:r>
        <w:rPr>
          <w:rStyle w:val="CharDivNo"/>
        </w:rPr>
        <w:t>Division 7</w:t>
      </w:r>
      <w:r>
        <w:rPr>
          <w:snapToGrid w:val="0"/>
        </w:rPr>
        <w:t> — </w:t>
      </w:r>
      <w:r>
        <w:rPr>
          <w:rStyle w:val="CharDivText"/>
        </w:rPr>
        <w:t>Transitional provisions</w:t>
      </w:r>
      <w:bookmarkEnd w:id="69"/>
      <w:bookmarkEnd w:id="70"/>
      <w:bookmarkEnd w:id="71"/>
      <w:bookmarkEnd w:id="72"/>
      <w:bookmarkEnd w:id="73"/>
    </w:p>
    <w:p>
      <w:pPr>
        <w:pStyle w:val="Heading5"/>
        <w:rPr>
          <w:snapToGrid w:val="0"/>
        </w:rPr>
      </w:pPr>
      <w:bookmarkStart w:id="74" w:name="_Toc472003374"/>
      <w:bookmarkStart w:id="75" w:name="_Toc435024137"/>
      <w:r>
        <w:rPr>
          <w:rStyle w:val="CharSectno"/>
        </w:rPr>
        <w:t>18</w:t>
      </w:r>
      <w:r>
        <w:rPr>
          <w:snapToGrid w:val="0"/>
        </w:rPr>
        <w:t>.</w:t>
      </w:r>
      <w:r>
        <w:rPr>
          <w:snapToGrid w:val="0"/>
        </w:rPr>
        <w:tab/>
        <w:t>Existing registrations</w:t>
      </w:r>
      <w:bookmarkEnd w:id="74"/>
      <w:bookmarkEnd w:id="75"/>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76" w:name="_Toc472003375"/>
      <w:bookmarkStart w:id="77" w:name="_Toc435024138"/>
      <w:r>
        <w:rPr>
          <w:rStyle w:val="CharSectno"/>
        </w:rPr>
        <w:t>19</w:t>
      </w:r>
      <w:r>
        <w:rPr>
          <w:snapToGrid w:val="0"/>
        </w:rPr>
        <w:t>.</w:t>
      </w:r>
      <w:r>
        <w:rPr>
          <w:snapToGrid w:val="0"/>
        </w:rPr>
        <w:tab/>
        <w:t>Continued deferment of past rates and charges</w:t>
      </w:r>
      <w:bookmarkEnd w:id="76"/>
      <w:bookmarkEnd w:id="77"/>
    </w:p>
    <w:p>
      <w:pPr>
        <w:pStyle w:val="Subsection"/>
        <w:rPr>
          <w:snapToGrid w:val="0"/>
        </w:rPr>
      </w:pPr>
      <w:r>
        <w:rPr>
          <w:snapToGrid w:val="0"/>
        </w:rPr>
        <w:tab/>
      </w:r>
      <w:r>
        <w:rPr>
          <w:snapToGrid w:val="0"/>
        </w:rPr>
        <w:tab/>
        <w:t>Where a person was —</w:t>
      </w:r>
    </w:p>
    <w:p>
      <w:pPr>
        <w:pStyle w:val="Indenta"/>
        <w:rPr>
          <w:snapToGrid w:val="0"/>
        </w:rPr>
      </w:pPr>
      <w:r>
        <w:rPr>
          <w:snapToGrid w:val="0"/>
        </w:rPr>
        <w:tab/>
        <w:t>(a)</w:t>
      </w:r>
      <w:r>
        <w:rPr>
          <w:snapToGrid w:val="0"/>
        </w:rPr>
        <w:tab/>
        <w:t xml:space="preserve">under the </w:t>
      </w:r>
      <w:r>
        <w:rPr>
          <w:i/>
          <w:snapToGrid w:val="0"/>
        </w:rPr>
        <w:t>Pensioners (Rates Rebates and Deferments) Act 1966</w:t>
      </w:r>
      <w:r>
        <w:rPr>
          <w:snapToGrid w:val="0"/>
        </w:rPr>
        <w:t> </w:t>
      </w:r>
      <w:r>
        <w:rPr>
          <w:snapToGrid w:val="0"/>
          <w:vertAlign w:val="superscript"/>
        </w:rPr>
        <w:t>5</w:t>
      </w:r>
      <w:r>
        <w:rPr>
          <w:snapToGrid w:val="0"/>
        </w:rPr>
        <w:t xml:space="preserve"> allowed to defer payment of any rates; or</w:t>
      </w:r>
    </w:p>
    <w:p>
      <w:pPr>
        <w:pStyle w:val="Indenta"/>
        <w:keepNext/>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78" w:name="_Toc472003376"/>
      <w:bookmarkStart w:id="79" w:name="_Toc435024139"/>
      <w:r>
        <w:rPr>
          <w:rStyle w:val="CharSectno"/>
        </w:rPr>
        <w:t>20</w:t>
      </w:r>
      <w:r>
        <w:rPr>
          <w:snapToGrid w:val="0"/>
        </w:rPr>
        <w:t>.</w:t>
      </w:r>
      <w:r>
        <w:rPr>
          <w:snapToGrid w:val="0"/>
        </w:rPr>
        <w:tab/>
        <w:t>Rebates or deferments previously allowable to continue to have effect on future rates and charges</w:t>
      </w:r>
      <w:bookmarkEnd w:id="78"/>
      <w:bookmarkEnd w:id="79"/>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80" w:name="_Toc472003377"/>
      <w:bookmarkStart w:id="81" w:name="_Toc435024140"/>
      <w:r>
        <w:rPr>
          <w:rStyle w:val="CharSectno"/>
        </w:rPr>
        <w:t>21</w:t>
      </w:r>
      <w:r>
        <w:rPr>
          <w:snapToGrid w:val="0"/>
        </w:rPr>
        <w:t>.</w:t>
      </w:r>
      <w:r>
        <w:rPr>
          <w:snapToGrid w:val="0"/>
        </w:rPr>
        <w:tab/>
        <w:t>Transitional effect of existing registrations, rebates allowable, and continued deferment</w:t>
      </w:r>
      <w:bookmarkEnd w:id="80"/>
      <w:bookmarkEnd w:id="81"/>
    </w:p>
    <w:p>
      <w:pPr>
        <w:pStyle w:val="Subsection"/>
        <w:keepNext/>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82" w:name="_Toc471907584"/>
      <w:bookmarkStart w:id="83" w:name="_Toc472003378"/>
      <w:bookmarkStart w:id="84" w:name="_Toc424293108"/>
      <w:bookmarkStart w:id="85" w:name="_Toc431893915"/>
      <w:bookmarkStart w:id="86" w:name="_Toc435024141"/>
      <w:r>
        <w:rPr>
          <w:rStyle w:val="CharPartNo"/>
        </w:rPr>
        <w:t>Part 2</w:t>
      </w:r>
      <w:r>
        <w:t> — </w:t>
      </w:r>
      <w:r>
        <w:rPr>
          <w:rStyle w:val="CharPartText"/>
        </w:rPr>
        <w:t>Eligibility and entitlement</w:t>
      </w:r>
      <w:bookmarkEnd w:id="82"/>
      <w:bookmarkEnd w:id="83"/>
      <w:bookmarkEnd w:id="84"/>
      <w:bookmarkEnd w:id="85"/>
      <w:bookmarkEnd w:id="86"/>
    </w:p>
    <w:p>
      <w:pPr>
        <w:pStyle w:val="Heading3"/>
        <w:spacing w:before="200"/>
      </w:pPr>
      <w:bookmarkStart w:id="87" w:name="_Toc471907585"/>
      <w:bookmarkStart w:id="88" w:name="_Toc472003379"/>
      <w:bookmarkStart w:id="89" w:name="_Toc424293109"/>
      <w:bookmarkStart w:id="90" w:name="_Toc431893916"/>
      <w:bookmarkStart w:id="91" w:name="_Toc435024142"/>
      <w:r>
        <w:rPr>
          <w:rStyle w:val="CharDivNo"/>
        </w:rPr>
        <w:t>Division 1</w:t>
      </w:r>
      <w:r>
        <w:rPr>
          <w:snapToGrid w:val="0"/>
        </w:rPr>
        <w:t> — </w:t>
      </w:r>
      <w:r>
        <w:rPr>
          <w:rStyle w:val="CharDivText"/>
        </w:rPr>
        <w:t>Eligibility</w:t>
      </w:r>
      <w:bookmarkEnd w:id="87"/>
      <w:bookmarkEnd w:id="88"/>
      <w:bookmarkEnd w:id="89"/>
      <w:bookmarkEnd w:id="90"/>
      <w:bookmarkEnd w:id="91"/>
    </w:p>
    <w:p>
      <w:pPr>
        <w:pStyle w:val="Heading5"/>
        <w:spacing w:before="180"/>
        <w:rPr>
          <w:snapToGrid w:val="0"/>
        </w:rPr>
      </w:pPr>
      <w:bookmarkStart w:id="92" w:name="_Toc472003380"/>
      <w:bookmarkStart w:id="93" w:name="_Toc435024143"/>
      <w:r>
        <w:rPr>
          <w:rStyle w:val="CharSectno"/>
        </w:rPr>
        <w:t>22</w:t>
      </w:r>
      <w:r>
        <w:rPr>
          <w:snapToGrid w:val="0"/>
        </w:rPr>
        <w:t>.</w:t>
      </w:r>
      <w:r>
        <w:rPr>
          <w:snapToGrid w:val="0"/>
        </w:rPr>
        <w:tab/>
        <w:t>Seniors may apply for registration</w:t>
      </w:r>
      <w:bookmarkEnd w:id="92"/>
      <w:bookmarkEnd w:id="93"/>
    </w:p>
    <w:p>
      <w:pPr>
        <w:pStyle w:val="Subsection"/>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spacing w:before="180"/>
        <w:rPr>
          <w:snapToGrid w:val="0"/>
        </w:rPr>
      </w:pPr>
      <w:bookmarkStart w:id="94" w:name="_Toc472003381"/>
      <w:bookmarkStart w:id="95" w:name="_Toc435024144"/>
      <w:r>
        <w:rPr>
          <w:rStyle w:val="CharSectno"/>
        </w:rPr>
        <w:t>23</w:t>
      </w:r>
      <w:r>
        <w:rPr>
          <w:snapToGrid w:val="0"/>
        </w:rPr>
        <w:t>.</w:t>
      </w:r>
      <w:r>
        <w:rPr>
          <w:snapToGrid w:val="0"/>
        </w:rPr>
        <w:tab/>
        <w:t>Pensioners eligible to apply for registration</w:t>
      </w:r>
      <w:bookmarkEnd w:id="94"/>
      <w:bookmarkEnd w:id="95"/>
    </w:p>
    <w:p>
      <w:pPr>
        <w:pStyle w:val="Subsection"/>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pPr>
      <w:r>
        <w:tab/>
        <w:t>(a)</w:t>
      </w:r>
      <w:r>
        <w:tab/>
        <w:t>that person is the holder of a pensioner concession card;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spacing w:before="120"/>
      </w:pPr>
      <w:r>
        <w:tab/>
        <w:t>(1a)</w:t>
      </w:r>
      <w:r>
        <w:tab/>
        <w:t>The regulations may provide that a person of a prescribed class is not eligible to make an application under subsection (1) despite being the holder of a pensioner concession card.</w:t>
      </w:r>
    </w:p>
    <w:p>
      <w:pPr>
        <w:pStyle w:val="Subsection"/>
        <w:spacing w:before="12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 or</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 or</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pPr>
      <w:r>
        <w:tab/>
        <w:t>(4A)</w:t>
      </w:r>
      <w:r>
        <w:tab/>
        <w:t xml:space="preserve">Subject to this Act, a person is eligible to apply to the administrative authority to have their entitlement in relation to any land registered if a prescribed charge is payable on that land, on sufficient evidence of eligibility being accepted by the administrative authority under section 26, so long as under the </w:t>
      </w:r>
      <w:r>
        <w:rPr>
          <w:i/>
        </w:rPr>
        <w:t xml:space="preserve">Military Rehabilitation and Compensation Act 2004 </w:t>
      </w:r>
      <w:r>
        <w:t>(Commonwealth) that person —</w:t>
      </w:r>
    </w:p>
    <w:p>
      <w:pPr>
        <w:pStyle w:val="Indenta"/>
      </w:pPr>
      <w:r>
        <w:tab/>
        <w:t>(a)</w:t>
      </w:r>
      <w:r>
        <w:tab/>
        <w:t>meets the criteria listed in section 199(1) of that Act; or</w:t>
      </w:r>
    </w:p>
    <w:p>
      <w:pPr>
        <w:pStyle w:val="Indenta"/>
      </w:pPr>
      <w:r>
        <w:tab/>
        <w:t>(b)</w:t>
      </w:r>
      <w:r>
        <w:tab/>
        <w:t>is receiving a Special Rate Disability Pension under Chapter 4 Part 6 of that Act instead of compensation worked out under Chapter 4 Part 4 Division 2 of that Act; or</w:t>
      </w:r>
    </w:p>
    <w:p>
      <w:pPr>
        <w:pStyle w:val="Indenta"/>
      </w:pPr>
      <w:r>
        <w:tab/>
        <w:t>(c)</w:t>
      </w:r>
      <w:r>
        <w:tab/>
        <w:t>under section 284 of that Act, is entitled to be provided with treatment under Chapter 6 Part 3 of that Act,</w:t>
      </w:r>
    </w:p>
    <w:p>
      <w:pPr>
        <w:pStyle w:val="Subsection"/>
      </w:pPr>
      <w:r>
        <w:tab/>
      </w:r>
      <w:r>
        <w:tab/>
        <w:t>regardless of the income or assets of that person.</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keepNext/>
      </w:pPr>
      <w:r>
        <w:tab/>
        <w:t>(7)</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receives a disability support pension under the </w:t>
      </w:r>
      <w:r>
        <w:rPr>
          <w:i/>
          <w:iCs/>
        </w:rPr>
        <w:t>Social Security Act 1991</w:t>
      </w:r>
      <w:r>
        <w:t xml:space="preserve"> (Commonwealth) Part 2.3;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receives a carer payment under Part 2.5 of that Act in respect of that care.</w:t>
      </w:r>
    </w:p>
    <w:p>
      <w:pPr>
        <w:pStyle w:val="Footnotesection"/>
      </w:pPr>
      <w:r>
        <w:tab/>
        <w:t>[Section 23 amended by No. 25 of 1993 s. 5 and 18; No. 3 of 2001 s. 6; No. 9 of 2005 s. 7; No. 31 of 2006 s. 32; No. 13 of 2007 s. 9; No. 30 of 2008 s. 22; No. 29 of 2012 s. 35.]</w:t>
      </w:r>
    </w:p>
    <w:p>
      <w:pPr>
        <w:pStyle w:val="Heading5"/>
        <w:rPr>
          <w:snapToGrid w:val="0"/>
        </w:rPr>
      </w:pPr>
      <w:bookmarkStart w:id="96" w:name="_Toc472003382"/>
      <w:bookmarkStart w:id="97" w:name="_Toc435024145"/>
      <w:r>
        <w:rPr>
          <w:rStyle w:val="CharSectno"/>
        </w:rPr>
        <w:t>24</w:t>
      </w:r>
      <w:r>
        <w:rPr>
          <w:snapToGrid w:val="0"/>
        </w:rPr>
        <w:t>.</w:t>
      </w:r>
      <w:r>
        <w:rPr>
          <w:snapToGrid w:val="0"/>
        </w:rPr>
        <w:tab/>
        <w:t>Other persons prescribed as eligible</w:t>
      </w:r>
      <w:bookmarkEnd w:id="96"/>
      <w:bookmarkEnd w:id="97"/>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 19; No. 9 of 2005 s. 8.]</w:t>
      </w:r>
    </w:p>
    <w:p>
      <w:pPr>
        <w:pStyle w:val="Heading5"/>
        <w:rPr>
          <w:snapToGrid w:val="0"/>
        </w:rPr>
      </w:pPr>
      <w:bookmarkStart w:id="98" w:name="_Toc472003383"/>
      <w:bookmarkStart w:id="99" w:name="_Toc435024146"/>
      <w:r>
        <w:rPr>
          <w:rStyle w:val="CharSectno"/>
        </w:rPr>
        <w:t>25</w:t>
      </w:r>
      <w:r>
        <w:rPr>
          <w:snapToGrid w:val="0"/>
        </w:rPr>
        <w:t>.</w:t>
      </w:r>
      <w:r>
        <w:rPr>
          <w:snapToGrid w:val="0"/>
        </w:rPr>
        <w:tab/>
        <w:t>Means tests</w:t>
      </w:r>
      <w:bookmarkEnd w:id="98"/>
      <w:bookmarkEnd w:id="99"/>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 xml:space="preserve">the tests applicable to that pension or allowance referred to in paragraph (a) of the interpretation of the </w:t>
      </w:r>
      <w:r>
        <w:rPr>
          <w:b/>
          <w:i/>
          <w:snapToGrid w:val="0"/>
        </w:rPr>
        <w:t>pension means test</w:t>
      </w:r>
      <w:r>
        <w:rPr>
          <w:snapToGrid w:val="0"/>
        </w:rPr>
        <w:t xml:space="preserve">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100" w:name="_Toc472003384"/>
      <w:bookmarkStart w:id="101" w:name="_Toc435024147"/>
      <w:r>
        <w:rPr>
          <w:rStyle w:val="CharSectno"/>
        </w:rPr>
        <w:t>26</w:t>
      </w:r>
      <w:r>
        <w:rPr>
          <w:snapToGrid w:val="0"/>
        </w:rPr>
        <w:t>.</w:t>
      </w:r>
      <w:r>
        <w:rPr>
          <w:snapToGrid w:val="0"/>
        </w:rPr>
        <w:tab/>
        <w:t>Evidence of eligibility, production of relevant card or authorisation</w:t>
      </w:r>
      <w:bookmarkEnd w:id="100"/>
      <w:bookmarkEnd w:id="101"/>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 or</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 or</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 xml:space="preserve">the person is a person to whom section 23(2), </w:t>
      </w:r>
      <w:r>
        <w:t xml:space="preserve">23(3), 23(4A) </w:t>
      </w:r>
      <w:r>
        <w:rPr>
          <w:snapToGrid w:val="0"/>
        </w:rPr>
        <w:t>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 or</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 20; No. 3 of 2001 s. 7; No. 9 of 2005 s. 9; No. 29 of 2012 s. 36.]</w:t>
      </w:r>
    </w:p>
    <w:p>
      <w:pPr>
        <w:pStyle w:val="Heading3"/>
      </w:pPr>
      <w:bookmarkStart w:id="102" w:name="_Toc471907591"/>
      <w:bookmarkStart w:id="103" w:name="_Toc472003385"/>
      <w:bookmarkStart w:id="104" w:name="_Toc424293115"/>
      <w:bookmarkStart w:id="105" w:name="_Toc431893922"/>
      <w:bookmarkStart w:id="106" w:name="_Toc435024148"/>
      <w:r>
        <w:rPr>
          <w:rStyle w:val="CharDivNo"/>
        </w:rPr>
        <w:t>Division 2</w:t>
      </w:r>
      <w:r>
        <w:rPr>
          <w:snapToGrid w:val="0"/>
        </w:rPr>
        <w:t> — </w:t>
      </w:r>
      <w:r>
        <w:rPr>
          <w:rStyle w:val="CharDivText"/>
        </w:rPr>
        <w:t>Entitlement</w:t>
      </w:r>
      <w:bookmarkEnd w:id="102"/>
      <w:bookmarkEnd w:id="103"/>
      <w:bookmarkEnd w:id="104"/>
      <w:bookmarkEnd w:id="105"/>
      <w:bookmarkEnd w:id="106"/>
    </w:p>
    <w:p>
      <w:pPr>
        <w:pStyle w:val="Heading5"/>
        <w:rPr>
          <w:snapToGrid w:val="0"/>
        </w:rPr>
      </w:pPr>
      <w:bookmarkStart w:id="107" w:name="_Toc472003386"/>
      <w:bookmarkStart w:id="108" w:name="_Toc435024149"/>
      <w:r>
        <w:rPr>
          <w:rStyle w:val="CharSectno"/>
        </w:rPr>
        <w:t>27</w:t>
      </w:r>
      <w:r>
        <w:rPr>
          <w:snapToGrid w:val="0"/>
        </w:rPr>
        <w:t>.</w:t>
      </w:r>
      <w:r>
        <w:rPr>
          <w:snapToGrid w:val="0"/>
        </w:rPr>
        <w:tab/>
        <w:t>Concept of land belonging to a person</w:t>
      </w:r>
      <w:bookmarkEnd w:id="107"/>
      <w:bookmarkEnd w:id="108"/>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keepNext/>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 6; amended by No. 28 of 2003 s. 168; No. 31 of 2006 s. 33.]</w:t>
      </w:r>
    </w:p>
    <w:p>
      <w:pPr>
        <w:pStyle w:val="Heading5"/>
        <w:rPr>
          <w:snapToGrid w:val="0"/>
        </w:rPr>
      </w:pPr>
      <w:bookmarkStart w:id="109" w:name="_Toc472003387"/>
      <w:bookmarkStart w:id="110" w:name="_Toc435024150"/>
      <w:r>
        <w:rPr>
          <w:rStyle w:val="CharSectno"/>
        </w:rPr>
        <w:t>28</w:t>
      </w:r>
      <w:r>
        <w:rPr>
          <w:snapToGrid w:val="0"/>
        </w:rPr>
        <w:t>.</w:t>
      </w:r>
      <w:r>
        <w:rPr>
          <w:snapToGrid w:val="0"/>
        </w:rPr>
        <w:tab/>
        <w:t>Proportionate interests</w:t>
      </w:r>
      <w:bookmarkEnd w:id="109"/>
      <w:bookmarkEnd w:id="110"/>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keepLines/>
        <w:spacing w:before="120"/>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spacing w:before="80"/>
        <w:ind w:left="890" w:hanging="890"/>
      </w:pPr>
      <w:r>
        <w:tab/>
        <w:t>[Section 28 amended by No. 25 of 1993 s. 7; No. 3 of 2001 s. 8; No. 28 of 2003 s. 169; No. 9 of 2005 s. 10.]</w:t>
      </w:r>
    </w:p>
    <w:p>
      <w:pPr>
        <w:pStyle w:val="Heading5"/>
        <w:spacing w:before="180"/>
        <w:rPr>
          <w:snapToGrid w:val="0"/>
        </w:rPr>
      </w:pPr>
      <w:bookmarkStart w:id="111" w:name="_Toc472003388"/>
      <w:bookmarkStart w:id="112" w:name="_Toc435024151"/>
      <w:r>
        <w:rPr>
          <w:rStyle w:val="CharSectno"/>
        </w:rPr>
        <w:t>29</w:t>
      </w:r>
      <w:r>
        <w:rPr>
          <w:snapToGrid w:val="0"/>
        </w:rPr>
        <w:t>.</w:t>
      </w:r>
      <w:r>
        <w:rPr>
          <w:snapToGrid w:val="0"/>
        </w:rPr>
        <w:tab/>
        <w:t>Relevant interests</w:t>
      </w:r>
      <w:bookmarkEnd w:id="111"/>
      <w:bookmarkEnd w:id="112"/>
    </w:p>
    <w:p>
      <w:pPr>
        <w:pStyle w:val="Subsection"/>
        <w:keepNext/>
        <w:spacing w:before="120"/>
        <w:rPr>
          <w:snapToGrid w:val="0"/>
        </w:rPr>
      </w:pPr>
      <w:r>
        <w:rPr>
          <w:snapToGrid w:val="0"/>
        </w:rPr>
        <w:tab/>
        <w:t>(1)</w:t>
      </w:r>
      <w:r>
        <w:rPr>
          <w:snapToGrid w:val="0"/>
        </w:rPr>
        <w:tab/>
        <w:t>Where an eligible person —</w:t>
      </w:r>
    </w:p>
    <w:p>
      <w:pPr>
        <w:pStyle w:val="Indenta"/>
        <w:spacing w:before="60"/>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 or</w:t>
      </w:r>
    </w:p>
    <w:p>
      <w:pPr>
        <w:pStyle w:val="Indenta"/>
        <w:spacing w:before="60"/>
        <w:rPr>
          <w:snapToGrid w:val="0"/>
        </w:rPr>
      </w:pPr>
      <w:r>
        <w:rPr>
          <w:snapToGrid w:val="0"/>
        </w:rPr>
        <w:tab/>
        <w:t>(b)</w:t>
      </w:r>
      <w:r>
        <w:rPr>
          <w:snapToGrid w:val="0"/>
        </w:rPr>
        <w:tab/>
        <w:t>occupies land on which the person is and remains liable to pay prescribed charges, if that occupation occurs —</w:t>
      </w:r>
    </w:p>
    <w:p>
      <w:pPr>
        <w:pStyle w:val="Indenti"/>
        <w:spacing w:before="60"/>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spacing w:before="60"/>
        <w:rPr>
          <w:snapToGrid w:val="0"/>
        </w:rPr>
      </w:pPr>
      <w:r>
        <w:rPr>
          <w:snapToGrid w:val="0"/>
        </w:rPr>
        <w:tab/>
        <w:t>(ii)</w:t>
      </w:r>
      <w:r>
        <w:rPr>
          <w:snapToGrid w:val="0"/>
        </w:rPr>
        <w:tab/>
        <w:t>by reason that the eligible person, under that distribution —</w:t>
      </w:r>
    </w:p>
    <w:p>
      <w:pPr>
        <w:pStyle w:val="IndentI0"/>
        <w:spacing w:before="60"/>
        <w:rPr>
          <w:snapToGrid w:val="0"/>
        </w:rPr>
      </w:pPr>
      <w:r>
        <w:rPr>
          <w:snapToGrid w:val="0"/>
        </w:rPr>
        <w:tab/>
        <w:t>(A)</w:t>
      </w:r>
      <w:r>
        <w:rPr>
          <w:snapToGrid w:val="0"/>
        </w:rPr>
        <w:tab/>
        <w:t>as a beneficiary, has a prospective entitlement to the fee simple in that land; or</w:t>
      </w:r>
    </w:p>
    <w:p>
      <w:pPr>
        <w:pStyle w:val="IndentI0"/>
        <w:spacing w:before="60"/>
        <w:rPr>
          <w:snapToGrid w:val="0"/>
        </w:rPr>
      </w:pPr>
      <w:r>
        <w:rPr>
          <w:snapToGrid w:val="0"/>
        </w:rPr>
        <w:tab/>
        <w:t>(B)</w:t>
      </w:r>
      <w:r>
        <w:rPr>
          <w:snapToGrid w:val="0"/>
        </w:rPr>
        <w:tab/>
        <w:t>is a life tenant, on whom is conferred the right to occupy the land; or</w:t>
      </w:r>
    </w:p>
    <w:p>
      <w:pPr>
        <w:pStyle w:val="IndentI0"/>
        <w:spacing w:before="60"/>
        <w:rPr>
          <w:snapToGrid w:val="0"/>
        </w:rPr>
      </w:pPr>
      <w:r>
        <w:tab/>
        <w:t>(C)</w:t>
      </w:r>
      <w:r>
        <w:tab/>
        <w:t>is entitled under the will of the deceased to occupy the land;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 or</w:t>
      </w:r>
    </w:p>
    <w:p>
      <w:pPr>
        <w:pStyle w:val="Indenta"/>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rPr>
          <w:snapToGrid w:val="0"/>
        </w:rPr>
      </w:pPr>
      <w:r>
        <w:rPr>
          <w:snapToGrid w:val="0"/>
        </w:rPr>
        <w:tab/>
        <w:t>(i)</w:t>
      </w:r>
      <w:r>
        <w:rPr>
          <w:snapToGrid w:val="0"/>
        </w:rPr>
        <w:tab/>
        <w:t>before the coming into operation of this Act; or</w:t>
      </w:r>
    </w:p>
    <w:p>
      <w:pPr>
        <w:pStyle w:val="Indenti"/>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spacing w:before="180"/>
        <w:rPr>
          <w:snapToGrid w:val="0"/>
        </w:rPr>
      </w:pPr>
      <w:r>
        <w:rPr>
          <w:snapToGrid w:val="0"/>
        </w:rPr>
        <w:tab/>
      </w:r>
      <w:r>
        <w:rPr>
          <w:snapToGrid w:val="0"/>
        </w:rPr>
        <w:tab/>
        <w:t>that person has an interest in the land which is to be taken to be relevant for the purposes of this Act.</w:t>
      </w:r>
    </w:p>
    <w:p>
      <w:pPr>
        <w:pStyle w:val="Subsection"/>
        <w:spacing w:before="180"/>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 8; No. 22 of 1998 s. 22.]</w:t>
      </w:r>
    </w:p>
    <w:p>
      <w:pPr>
        <w:pStyle w:val="Heading5"/>
        <w:keepLines w:val="0"/>
        <w:spacing w:before="280"/>
      </w:pPr>
      <w:bookmarkStart w:id="113" w:name="_Toc472003389"/>
      <w:bookmarkStart w:id="114" w:name="_Toc435024152"/>
      <w:r>
        <w:rPr>
          <w:rStyle w:val="CharSectno"/>
        </w:rPr>
        <w:t>29A</w:t>
      </w:r>
      <w:r>
        <w:t>.</w:t>
      </w:r>
      <w:r>
        <w:tab/>
        <w:t>Relevant interest — resident of retirement village</w:t>
      </w:r>
      <w:bookmarkEnd w:id="113"/>
      <w:bookmarkEnd w:id="114"/>
    </w:p>
    <w:p>
      <w:pPr>
        <w:pStyle w:val="Subsection"/>
        <w:keepLines/>
      </w:pPr>
      <w:r>
        <w:tab/>
        <w:t>(1)</w:t>
      </w:r>
      <w:r>
        <w:tab/>
        <w:t>In this section —</w:t>
      </w:r>
    </w:p>
    <w:p>
      <w:pPr>
        <w:pStyle w:val="Defstart"/>
      </w:pPr>
      <w:r>
        <w:rPr>
          <w:b/>
        </w:rPr>
        <w:tab/>
      </w:r>
      <w:r>
        <w:rPr>
          <w:rStyle w:val="CharDefText"/>
        </w:rPr>
        <w:t>administering body</w:t>
      </w:r>
      <w:r>
        <w:t xml:space="preserve">, in relation to a retirement village, has the meaning given to that term in the </w:t>
      </w:r>
      <w:r>
        <w:rPr>
          <w:i/>
        </w:rPr>
        <w:t>Retirement Villages Act 1992</w:t>
      </w:r>
      <w:r>
        <w:t>;</w:t>
      </w:r>
    </w:p>
    <w:p>
      <w:pPr>
        <w:pStyle w:val="Defstart"/>
      </w:pPr>
      <w:r>
        <w:rPr>
          <w:b/>
        </w:rPr>
        <w:tab/>
      </w:r>
      <w:r>
        <w:rPr>
          <w:rStyle w:val="CharDefText"/>
        </w:rPr>
        <w:t>residence contract</w:t>
      </w:r>
      <w:r>
        <w:t xml:space="preserve"> has the meaning given to that term in the </w:t>
      </w:r>
      <w:r>
        <w:rPr>
          <w:i/>
        </w:rPr>
        <w:t>Retirement Villages Act 1992</w:t>
      </w:r>
      <w:r>
        <w:t>;</w:t>
      </w:r>
    </w:p>
    <w:p>
      <w:pPr>
        <w:pStyle w:val="Defstart"/>
      </w:pPr>
      <w:r>
        <w:rPr>
          <w:b/>
        </w:rPr>
        <w:tab/>
      </w:r>
      <w:r>
        <w:rPr>
          <w:rStyle w:val="CharDefText"/>
        </w:rPr>
        <w:t>resident</w:t>
      </w:r>
      <w:r>
        <w:t xml:space="preserve">, in relation to a retirement village, has the meaning given to that term in the </w:t>
      </w:r>
      <w:r>
        <w:rPr>
          <w:i/>
        </w:rPr>
        <w:t>Retirement Villages Act 1992</w:t>
      </w:r>
      <w:r>
        <w:t>;</w:t>
      </w:r>
    </w:p>
    <w:p>
      <w:pPr>
        <w:pStyle w:val="Defstart"/>
      </w:pPr>
      <w:r>
        <w:rPr>
          <w:b/>
        </w:rPr>
        <w:tab/>
      </w:r>
      <w:r>
        <w:rPr>
          <w:rStyle w:val="CharDefText"/>
        </w:rPr>
        <w:t>retirement village</w:t>
      </w:r>
      <w:r>
        <w:t xml:space="preserve"> has the meaning given to that term in the </w:t>
      </w:r>
      <w:r>
        <w:rPr>
          <w:i/>
        </w:rPr>
        <w:t>Retirement Villages Act 1992</w:t>
      </w:r>
      <w:r>
        <w:t>.</w:t>
      </w:r>
    </w:p>
    <w:p>
      <w:pPr>
        <w:pStyle w:val="Subsection"/>
        <w:spacing w:before="180"/>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spacing w:before="180"/>
      </w:pPr>
      <w:r>
        <w:tab/>
      </w:r>
      <w:r>
        <w:tab/>
        <w:t>that person has an interest in the land which is to be taken to be relevant for the purposes of this Act.</w:t>
      </w:r>
    </w:p>
    <w:p>
      <w:pPr>
        <w:pStyle w:val="Subsection"/>
        <w:spacing w:before="180"/>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spacing w:before="180"/>
      </w:pPr>
      <w:r>
        <w:tab/>
        <w:t>(4)</w:t>
      </w:r>
      <w:r>
        <w:tab/>
        <w:t>A prescribed charge arrangement may form part of a residence contract.</w:t>
      </w:r>
    </w:p>
    <w:p>
      <w:pPr>
        <w:pStyle w:val="Subsection"/>
        <w:keepNext/>
        <w:spacing w:before="180"/>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spacing w:before="260"/>
      </w:pPr>
      <w:bookmarkStart w:id="115" w:name="_Toc472003390"/>
      <w:bookmarkStart w:id="116" w:name="_Toc435024153"/>
      <w:r>
        <w:rPr>
          <w:rStyle w:val="CharSectno"/>
        </w:rPr>
        <w:t>29B</w:t>
      </w:r>
      <w:r>
        <w:t>.</w:t>
      </w:r>
      <w:r>
        <w:tab/>
        <w:t>Relevant interest — owner</w:t>
      </w:r>
      <w:r>
        <w:noBreakHyphen/>
        <w:t>occupier of caravan or park home</w:t>
      </w:r>
      <w:bookmarkEnd w:id="115"/>
      <w:bookmarkEnd w:id="116"/>
    </w:p>
    <w:p>
      <w:pPr>
        <w:pStyle w:val="Subsection"/>
        <w:spacing w:before="200"/>
      </w:pPr>
      <w:r>
        <w:tab/>
        <w:t>(1)</w:t>
      </w:r>
      <w:r>
        <w:tab/>
        <w:t>In this section —</w:t>
      </w:r>
    </w:p>
    <w:p>
      <w:pPr>
        <w:pStyle w:val="Defstart"/>
        <w:spacing w:before="100"/>
      </w:pPr>
      <w:r>
        <w:rPr>
          <w:b/>
        </w:rPr>
        <w:tab/>
      </w:r>
      <w:r>
        <w:rPr>
          <w:rStyle w:val="CharDefText"/>
        </w:rPr>
        <w:t>caravan</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spacing w:before="100"/>
      </w:pPr>
      <w:r>
        <w:rPr>
          <w:b/>
        </w:rPr>
        <w:tab/>
      </w:r>
      <w:r>
        <w:rPr>
          <w:rStyle w:val="CharDefText"/>
        </w:rPr>
        <w:t>caravan park</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spacing w:before="100"/>
      </w:pPr>
      <w:r>
        <w:tab/>
      </w:r>
      <w:r>
        <w:rPr>
          <w:rStyle w:val="CharDefText"/>
        </w:rPr>
        <w:t>lessor</w:t>
      </w:r>
      <w:r>
        <w:t xml:space="preserve">, in relation to land, has the meaning given in the </w:t>
      </w:r>
      <w:r>
        <w:rPr>
          <w:i/>
        </w:rPr>
        <w:t>Residential Tenancies Act 1987</w:t>
      </w:r>
      <w:r>
        <w:t xml:space="preserve"> section 3;</w:t>
      </w:r>
    </w:p>
    <w:p>
      <w:pPr>
        <w:pStyle w:val="Defstart"/>
        <w:spacing w:before="100"/>
      </w:pPr>
      <w:r>
        <w:rPr>
          <w:b/>
        </w:rPr>
        <w:tab/>
      </w:r>
      <w:r>
        <w:rPr>
          <w:rStyle w:val="CharDefText"/>
        </w:rPr>
        <w:t>park home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spacing w:before="100"/>
      </w:pPr>
      <w:r>
        <w:rPr>
          <w:b/>
        </w:rPr>
        <w:tab/>
      </w:r>
      <w:r>
        <w:rPr>
          <w:rStyle w:val="CharDefText"/>
        </w:rPr>
        <w:t>residential tenancy agreement</w:t>
      </w:r>
      <w:r>
        <w:t xml:space="preserve"> has the meaning given to that term in the </w:t>
      </w:r>
      <w:r>
        <w:rPr>
          <w:i/>
        </w:rPr>
        <w:t>Residential Tenancies Act 1987</w:t>
      </w:r>
      <w:r>
        <w:t>;</w:t>
      </w:r>
    </w:p>
    <w:p>
      <w:pPr>
        <w:pStyle w:val="Defstart"/>
        <w:spacing w:before="100"/>
      </w:pPr>
      <w:r>
        <w:rPr>
          <w:b/>
        </w:rPr>
        <w:tab/>
      </w:r>
      <w:r>
        <w:rPr>
          <w:rStyle w:val="CharDefText"/>
        </w:rPr>
        <w:t>site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Subsection"/>
        <w:keepNext/>
        <w:spacing w:before="200"/>
      </w:pPr>
      <w:r>
        <w:tab/>
        <w:t>(2)</w:t>
      </w:r>
      <w:r>
        <w:tab/>
        <w:t>Where an eligible person who occupies a site on land in a caravan park —</w:t>
      </w:r>
    </w:p>
    <w:p>
      <w:pPr>
        <w:pStyle w:val="Indenta"/>
        <w:spacing w:before="100"/>
      </w:pPr>
      <w:r>
        <w:tab/>
        <w:t>(a)</w:t>
      </w:r>
      <w:r>
        <w:tab/>
        <w:t>has entered into a prescribed charge arrangement described in subsection (3) in relation to the land or is taken to have entered into such an arrangement under subsection (4); and</w:t>
      </w:r>
    </w:p>
    <w:p>
      <w:pPr>
        <w:pStyle w:val="Indenta"/>
        <w:spacing w:before="100"/>
      </w:pPr>
      <w:r>
        <w:tab/>
        <w:t>(b)</w:t>
      </w:r>
      <w:r>
        <w:tab/>
        <w:t>is and remains liable to pay the prescribed charge as an amount payable under the prescribed charge arrangement,</w:t>
      </w:r>
    </w:p>
    <w:p>
      <w:pPr>
        <w:pStyle w:val="Subsection"/>
        <w:spacing w:before="200"/>
      </w:pPr>
      <w:r>
        <w:tab/>
      </w:r>
      <w:r>
        <w:tab/>
        <w:t>that person has an interest in the land which is to be taken to be relevant for the purposes of this Act.</w:t>
      </w:r>
    </w:p>
    <w:p>
      <w:pPr>
        <w:pStyle w:val="Subsection"/>
        <w:spacing w:before="200"/>
      </w:pPr>
      <w:r>
        <w:tab/>
        <w:t>(3)</w:t>
      </w:r>
      <w:r>
        <w:tab/>
        <w:t>An eligible person enters into a prescribed charge arrangement for the purposes of this section if the person enters into a written contract, agreement, scheme, deed or other written arrangement with the lessor of land in a caravan park to pay, either directly or indirectly, a prescribed charge on the land occupied by the person as an owner</w:t>
      </w:r>
      <w:r>
        <w:noBreakHyphen/>
        <w:t>occupier.</w:t>
      </w:r>
    </w:p>
    <w:p>
      <w:pPr>
        <w:pStyle w:val="Subsection"/>
        <w:spacing w:before="200"/>
      </w:pPr>
      <w:r>
        <w:tab/>
        <w:t>(4)</w:t>
      </w:r>
      <w:r>
        <w:tab/>
        <w:t>An eligible person is taken to have entered into a prescribed charge arrangement for the purposes of this section if the eligible person —</w:t>
      </w:r>
    </w:p>
    <w:p>
      <w:pPr>
        <w:pStyle w:val="Indenta"/>
        <w:spacing w:before="100"/>
      </w:pPr>
      <w:r>
        <w:tab/>
        <w:t>(a)</w:t>
      </w:r>
      <w:r>
        <w:tab/>
        <w:t>was the spouse or de facto partner of a deceased eligible person who had entered into a prescribed charge arrangement; and</w:t>
      </w:r>
    </w:p>
    <w:p>
      <w:pPr>
        <w:pStyle w:val="Indenta"/>
        <w:spacing w:before="100"/>
      </w:pPr>
      <w:r>
        <w:tab/>
        <w:t>(b)</w:t>
      </w:r>
      <w:r>
        <w:tab/>
        <w:t>was residing with the deceased eligible person at the time of his or her death.</w:t>
      </w:r>
    </w:p>
    <w:p>
      <w:pPr>
        <w:pStyle w:val="Subsection"/>
        <w:spacing w:before="200"/>
      </w:pPr>
      <w:r>
        <w:tab/>
        <w:t>(5)</w:t>
      </w:r>
      <w:r>
        <w:tab/>
        <w:t>An eligible person occupies a site as an owner</w:t>
      </w:r>
      <w:r>
        <w:noBreakHyphen/>
        <w:t>occupier for the purposes of this section if —</w:t>
      </w:r>
    </w:p>
    <w:p>
      <w:pPr>
        <w:pStyle w:val="Indenta"/>
        <w:spacing w:before="100"/>
      </w:pPr>
      <w:r>
        <w:tab/>
        <w:t>(a)</w:t>
      </w:r>
      <w:r>
        <w:tab/>
        <w:t>the eligible person —</w:t>
      </w:r>
    </w:p>
    <w:p>
      <w:pPr>
        <w:pStyle w:val="Indenti"/>
        <w:spacing w:before="100"/>
      </w:pPr>
      <w:r>
        <w:tab/>
        <w:t>(i)</w:t>
      </w:r>
      <w:r>
        <w:tab/>
        <w:t>is the owner of a caravan or park home situated on the site in a caravan park; and</w:t>
      </w:r>
    </w:p>
    <w:p>
      <w:pPr>
        <w:pStyle w:val="Indenti"/>
        <w:spacing w:before="100"/>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spacing w:before="100"/>
      </w:pPr>
      <w:r>
        <w:tab/>
      </w:r>
      <w:r>
        <w:tab/>
        <w:t>or</w:t>
      </w:r>
    </w:p>
    <w:p>
      <w:pPr>
        <w:pStyle w:val="Indenta"/>
        <w:keepNext/>
        <w:spacing w:before="100"/>
      </w:pPr>
      <w:r>
        <w:tab/>
        <w:t>(b)</w:t>
      </w:r>
      <w:r>
        <w:tab/>
        <w:t>the eligible person —</w:t>
      </w:r>
    </w:p>
    <w:p>
      <w:pPr>
        <w:pStyle w:val="Indenti"/>
        <w:spacing w:before="100"/>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spacing w:before="60"/>
      </w:pPr>
      <w:r>
        <w:tab/>
        <w:t>(ii)</w:t>
      </w:r>
      <w:r>
        <w:tab/>
        <w:t>resides with that person, or was residing with that deceased person at the time of his or her death.</w:t>
      </w:r>
    </w:p>
    <w:p>
      <w:pPr>
        <w:pStyle w:val="Footnotesection"/>
        <w:keepLines w:val="0"/>
        <w:ind w:left="890" w:hanging="890"/>
      </w:pPr>
      <w:r>
        <w:tab/>
        <w:t>[Section 29B inserted by No. 9 of 2005 s. 11; amended by No. 60 of 2011 s. 104.]</w:t>
      </w:r>
    </w:p>
    <w:p>
      <w:pPr>
        <w:pStyle w:val="Heading5"/>
        <w:spacing w:before="240"/>
      </w:pPr>
      <w:bookmarkStart w:id="117" w:name="_Toc472003391"/>
      <w:bookmarkStart w:id="118" w:name="_Toc435024154"/>
      <w:r>
        <w:rPr>
          <w:rStyle w:val="CharSectno"/>
        </w:rPr>
        <w:t>29C</w:t>
      </w:r>
      <w:r>
        <w:t>.</w:t>
      </w:r>
      <w:r>
        <w:tab/>
        <w:t>Relevant interest — owner</w:t>
      </w:r>
      <w:r>
        <w:noBreakHyphen/>
        <w:t>occupier of relocatable home</w:t>
      </w:r>
      <w:bookmarkEnd w:id="117"/>
      <w:bookmarkEnd w:id="118"/>
      <w:r>
        <w:t xml:space="preserve"> </w:t>
      </w:r>
    </w:p>
    <w:p>
      <w:pPr>
        <w:pStyle w:val="Subsection"/>
        <w:spacing w:before="180"/>
      </w:pPr>
      <w:r>
        <w:tab/>
        <w:t>(1)</w:t>
      </w:r>
      <w:r>
        <w:tab/>
        <w:t xml:space="preserve">In this section — </w:t>
      </w:r>
    </w:p>
    <w:p>
      <w:pPr>
        <w:pStyle w:val="Defstart"/>
        <w:spacing w:before="100"/>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Subsection"/>
        <w:spacing w:before="180"/>
      </w:pPr>
      <w:r>
        <w:tab/>
        <w:t>(2)</w:t>
      </w:r>
      <w:r>
        <w:tab/>
        <w:t xml:space="preserve">Where an eligible person who occupies a site on land in a residential park — </w:t>
      </w:r>
    </w:p>
    <w:p>
      <w:pPr>
        <w:pStyle w:val="Indenta"/>
        <w:spacing w:before="100"/>
      </w:pPr>
      <w:r>
        <w:tab/>
        <w:t>(a)</w:t>
      </w:r>
      <w:r>
        <w:tab/>
        <w:t>has entered into a prescribed charge arrangement described in subsection (3) in relation to the land or is taken to have entered into such an arrangement under subsection (4); and</w:t>
      </w:r>
    </w:p>
    <w:p>
      <w:pPr>
        <w:pStyle w:val="Indenta"/>
        <w:spacing w:before="100"/>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Subsection"/>
        <w:spacing w:before="180"/>
      </w:pPr>
      <w:r>
        <w:tab/>
        <w:t>(4)</w:t>
      </w:r>
      <w:r>
        <w:tab/>
        <w:t xml:space="preserve">An eligible person is taken to have entered into a prescribed charge arrangement for the purposes of this section if the eligible person — </w:t>
      </w:r>
    </w:p>
    <w:p>
      <w:pPr>
        <w:pStyle w:val="Indenta"/>
        <w:widowControl w:val="0"/>
        <w:spacing w:before="100"/>
      </w:pPr>
      <w:r>
        <w:tab/>
        <w:t>(a)</w:t>
      </w:r>
      <w:r>
        <w:tab/>
        <w:t>was the spouse or de facto partner of a deceased eligible person who had entered into a prescribed charge arrangement; and</w:t>
      </w:r>
    </w:p>
    <w:p>
      <w:pPr>
        <w:pStyle w:val="Indenta"/>
        <w:spacing w:before="100"/>
      </w:pPr>
      <w:r>
        <w:tab/>
        <w:t>(b)</w:t>
      </w:r>
      <w:r>
        <w:tab/>
        <w:t>was residing with the deceased eligible person at the time of his or her death.</w:t>
      </w:r>
    </w:p>
    <w:p>
      <w:pPr>
        <w:pStyle w:val="Subsection"/>
        <w:spacing w:before="180"/>
      </w:pPr>
      <w:r>
        <w:tab/>
        <w:t>(5)</w:t>
      </w:r>
      <w:r>
        <w:tab/>
        <w:t>An eligible person occupies a site as an owner</w:t>
      </w:r>
      <w:r>
        <w:noBreakHyphen/>
        <w:t xml:space="preserve">occupier for the purposes of this section if — </w:t>
      </w:r>
    </w:p>
    <w:p>
      <w:pPr>
        <w:pStyle w:val="Indenta"/>
        <w:spacing w:before="100"/>
      </w:pPr>
      <w:r>
        <w:tab/>
        <w:t>(a)</w:t>
      </w:r>
      <w:r>
        <w:tab/>
        <w:t xml:space="preserve">the eligible person — </w:t>
      </w:r>
    </w:p>
    <w:p>
      <w:pPr>
        <w:pStyle w:val="Indenti"/>
        <w:spacing w:before="100"/>
      </w:pPr>
      <w:r>
        <w:tab/>
        <w:t>(i)</w:t>
      </w:r>
      <w:r>
        <w:tab/>
        <w:t>is the owner of a relocatable home situated on the site in a residential park; and</w:t>
      </w:r>
    </w:p>
    <w:p>
      <w:pPr>
        <w:pStyle w:val="Indenti"/>
        <w:spacing w:before="100"/>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Indenta"/>
        <w:spacing w:before="100"/>
      </w:pPr>
      <w:r>
        <w:tab/>
      </w:r>
      <w:r>
        <w:tab/>
        <w:t>or</w:t>
      </w:r>
    </w:p>
    <w:p>
      <w:pPr>
        <w:pStyle w:val="Indenta"/>
        <w:keepNext/>
        <w:spacing w:before="100"/>
      </w:pPr>
      <w:r>
        <w:tab/>
        <w:t>(b)</w:t>
      </w:r>
      <w:r>
        <w:tab/>
        <w:t xml:space="preserve">the eligible person — </w:t>
      </w:r>
    </w:p>
    <w:p>
      <w:pPr>
        <w:pStyle w:val="Indenti"/>
        <w:spacing w:before="100"/>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spacing w:before="100"/>
      </w:pPr>
      <w:r>
        <w:tab/>
        <w:t>(ii)</w:t>
      </w:r>
      <w:r>
        <w:tab/>
        <w:t>resides with that person or was residing with that deceased person at the time of his or her death.</w:t>
      </w:r>
    </w:p>
    <w:p>
      <w:pPr>
        <w:pStyle w:val="Footnotesection"/>
        <w:spacing w:before="140"/>
        <w:ind w:left="890" w:hanging="890"/>
      </w:pPr>
      <w:r>
        <w:tab/>
        <w:t>[Section 29C inserted by No. 32 of 2006 s. 98.]</w:t>
      </w:r>
    </w:p>
    <w:p>
      <w:pPr>
        <w:pStyle w:val="Heading5"/>
        <w:spacing w:before="240"/>
        <w:rPr>
          <w:snapToGrid w:val="0"/>
        </w:rPr>
      </w:pPr>
      <w:bookmarkStart w:id="119" w:name="_Toc472003392"/>
      <w:bookmarkStart w:id="120" w:name="_Toc435024155"/>
      <w:r>
        <w:rPr>
          <w:rStyle w:val="CharSectno"/>
        </w:rPr>
        <w:t>30</w:t>
      </w:r>
      <w:r>
        <w:rPr>
          <w:snapToGrid w:val="0"/>
        </w:rPr>
        <w:t>.</w:t>
      </w:r>
      <w:r>
        <w:rPr>
          <w:snapToGrid w:val="0"/>
        </w:rPr>
        <w:tab/>
        <w:t>Ordinary place of residence, not in actual occupation</w:t>
      </w:r>
      <w:bookmarkEnd w:id="119"/>
      <w:bookmarkEnd w:id="120"/>
    </w:p>
    <w:p>
      <w:pPr>
        <w:pStyle w:val="Subsection"/>
        <w:spacing w:before="180"/>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 and</w:t>
      </w:r>
    </w:p>
    <w:p>
      <w:pPr>
        <w:pStyle w:val="Indenta"/>
        <w:rPr>
          <w:snapToGrid w:val="0"/>
        </w:rPr>
      </w:pPr>
      <w:r>
        <w:rPr>
          <w:snapToGrid w:val="0"/>
        </w:rPr>
        <w:tab/>
        <w:t>(b)</w:t>
      </w:r>
      <w:r>
        <w:rPr>
          <w:snapToGrid w:val="0"/>
        </w:rPr>
        <w:tab/>
        <w:t>furniture, household goods or personal effects of that person remain in the residence; and</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 or</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1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spacing w:before="180"/>
      </w:pPr>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keepNext/>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spacing w:before="180"/>
        <w:rPr>
          <w:snapToGrid w:val="0"/>
        </w:rPr>
      </w:pPr>
      <w:bookmarkStart w:id="121" w:name="_Toc472003393"/>
      <w:bookmarkStart w:id="122" w:name="_Toc435024156"/>
      <w:r>
        <w:rPr>
          <w:rStyle w:val="CharSectno"/>
        </w:rPr>
        <w:t>31</w:t>
      </w:r>
      <w:r>
        <w:rPr>
          <w:snapToGrid w:val="0"/>
        </w:rPr>
        <w:t>.</w:t>
      </w:r>
      <w:r>
        <w:rPr>
          <w:snapToGrid w:val="0"/>
        </w:rPr>
        <w:tab/>
        <w:t>Certain cases of former joint occupation</w:t>
      </w:r>
      <w:bookmarkEnd w:id="121"/>
      <w:bookmarkEnd w:id="122"/>
    </w:p>
    <w:p>
      <w:pPr>
        <w:pStyle w:val="Subsection"/>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keepNext/>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 or</w:t>
      </w:r>
    </w:p>
    <w:p>
      <w:pPr>
        <w:pStyle w:val="Indenti"/>
      </w:pPr>
      <w:r>
        <w:tab/>
        <w:t>(ii)</w:t>
      </w:r>
      <w:r>
        <w:tab/>
        <w:t>of the Family Court of Western Australia; or</w:t>
      </w:r>
    </w:p>
    <w:p>
      <w:pPr>
        <w:pStyle w:val="Indenti"/>
        <w:keepNext/>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 or</w:t>
      </w:r>
    </w:p>
    <w:p>
      <w:pPr>
        <w:pStyle w:val="Indenta"/>
      </w:pPr>
      <w:r>
        <w:tab/>
        <w:t>(aa)</w:t>
      </w:r>
      <w:r>
        <w:tab/>
        <w:t>where —</w:t>
      </w:r>
    </w:p>
    <w:p>
      <w:pPr>
        <w:pStyle w:val="Indenti"/>
        <w:spacing w:before="60"/>
      </w:pPr>
      <w:r>
        <w:tab/>
        <w:t>(i)</w:t>
      </w:r>
      <w:r>
        <w:tab/>
        <w:t xml:space="preserve">a financial agreement made under section 90B, 90C or 90D of the </w:t>
      </w:r>
      <w:r>
        <w:rPr>
          <w:i/>
        </w:rPr>
        <w:t>Family Law Act 1975</w:t>
      </w:r>
      <w:r>
        <w:t xml:space="preserve"> of the Commonwealth; or</w:t>
      </w:r>
    </w:p>
    <w:p>
      <w:pPr>
        <w:pStyle w:val="Indenti"/>
        <w:spacing w:before="60"/>
      </w:pPr>
      <w:r>
        <w:tab/>
        <w:t>(ii)</w:t>
      </w:r>
      <w:r>
        <w:tab/>
        <w:t xml:space="preserve">a financial agreement made under section 205ZN, 205ZO or 205ZP of the </w:t>
      </w:r>
      <w:r>
        <w:rPr>
          <w:i/>
        </w:rPr>
        <w:t>Family Court Act 1997</w:t>
      </w:r>
      <w:r>
        <w:t>; or</w:t>
      </w:r>
    </w:p>
    <w:p>
      <w:pPr>
        <w:pStyle w:val="Indenti"/>
        <w:spacing w:before="60"/>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spacing w:before="40"/>
        <w:ind w:left="890" w:hanging="890"/>
      </w:pPr>
      <w:r>
        <w:tab/>
        <w:t>[Section 31 amended by No. 25 of 1993 s. 9; No. 3 of 2001 s. 9; No. 28 of 2003 s. 170; No. 9 of 2005 s. 12.]</w:t>
      </w:r>
    </w:p>
    <w:p>
      <w:pPr>
        <w:pStyle w:val="Heading3"/>
      </w:pPr>
      <w:bookmarkStart w:id="123" w:name="_Toc471907600"/>
      <w:bookmarkStart w:id="124" w:name="_Toc472003394"/>
      <w:bookmarkStart w:id="125" w:name="_Toc424293124"/>
      <w:bookmarkStart w:id="126" w:name="_Toc431893931"/>
      <w:bookmarkStart w:id="127" w:name="_Toc435024157"/>
      <w:r>
        <w:rPr>
          <w:rStyle w:val="CharDivNo"/>
        </w:rPr>
        <w:t>Division 3</w:t>
      </w:r>
      <w:r>
        <w:rPr>
          <w:snapToGrid w:val="0"/>
        </w:rPr>
        <w:t> — </w:t>
      </w:r>
      <w:r>
        <w:rPr>
          <w:rStyle w:val="CharDivText"/>
        </w:rPr>
        <w:t>The registration process</w:t>
      </w:r>
      <w:bookmarkEnd w:id="123"/>
      <w:bookmarkEnd w:id="124"/>
      <w:bookmarkEnd w:id="125"/>
      <w:bookmarkEnd w:id="126"/>
      <w:bookmarkEnd w:id="127"/>
    </w:p>
    <w:p>
      <w:pPr>
        <w:pStyle w:val="Heading5"/>
        <w:rPr>
          <w:snapToGrid w:val="0"/>
        </w:rPr>
      </w:pPr>
      <w:bookmarkStart w:id="128" w:name="_Toc472003395"/>
      <w:bookmarkStart w:id="129" w:name="_Toc435024158"/>
      <w:r>
        <w:rPr>
          <w:rStyle w:val="CharSectno"/>
        </w:rPr>
        <w:t>32</w:t>
      </w:r>
      <w:r>
        <w:rPr>
          <w:snapToGrid w:val="0"/>
        </w:rPr>
        <w:t>.</w:t>
      </w:r>
      <w:r>
        <w:rPr>
          <w:snapToGrid w:val="0"/>
        </w:rPr>
        <w:tab/>
        <w:t>Registration</w:t>
      </w:r>
      <w:bookmarkEnd w:id="128"/>
      <w:bookmarkEnd w:id="129"/>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make an application to the administrative authority in a manner specified in the procedural manual; and</w:t>
      </w:r>
    </w:p>
    <w:p>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pPr>
        <w:pStyle w:val="Subsection"/>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pPr>
      <w:r>
        <w:tab/>
        <w:t>(1b)</w:t>
      </w:r>
      <w:r>
        <w:tab/>
        <w:t>The details of an application made under subsection (1) may be given by the administrative authority to whom the application is made to any other administrative authority to whom the applicant is liable to pay a prescribed charge.</w:t>
      </w:r>
    </w:p>
    <w:p>
      <w:pPr>
        <w:pStyle w:val="Subsection"/>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keepNext/>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keepNext/>
        <w:rPr>
          <w:snapToGrid w:val="0"/>
        </w:rPr>
      </w:pPr>
      <w:r>
        <w:rPr>
          <w:snapToGrid w:val="0"/>
        </w:rPr>
        <w:tab/>
        <w:t>(b)</w:t>
      </w:r>
      <w:r>
        <w:rPr>
          <w:snapToGrid w:val="0"/>
        </w:rPr>
        <w:tab/>
        <w:t>being satisfied —</w:t>
      </w:r>
    </w:p>
    <w:p>
      <w:pPr>
        <w:pStyle w:val="Indenti"/>
        <w:spacing w:before="60"/>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w:t>
      </w:r>
    </w:p>
    <w:p>
      <w:pPr>
        <w:pStyle w:val="Indenta"/>
      </w:pPr>
      <w:r>
        <w:tab/>
        <w:t>(a)</w:t>
      </w:r>
      <w:r>
        <w:tab/>
        <w:t>in the case of a Water Corporation charge — the day on which the application is made; or</w:t>
      </w:r>
    </w:p>
    <w:p>
      <w:pPr>
        <w:pStyle w:val="Indenta"/>
      </w:pPr>
      <w:r>
        <w:tab/>
        <w:t>(b)</w:t>
      </w:r>
      <w:r>
        <w:tab/>
        <w:t>in the case of any other prescribed charge — the commencement of the rating year.</w:t>
      </w:r>
    </w:p>
    <w:p>
      <w:pPr>
        <w:pStyle w:val="Subsection"/>
      </w:pPr>
      <w:r>
        <w:tab/>
        <w:t>(6A)</w:t>
      </w:r>
      <w:r>
        <w:tab/>
        <w:t>If, in the case of a Water Corporation charge, the Water Corporation registers the entitlement of the applicant, the registration has effect on and from the day on which the application was made.</w:t>
      </w:r>
    </w:p>
    <w:p>
      <w:pPr>
        <w:pStyle w:val="Subsection"/>
        <w:keepNext/>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 10; No. 3 of 2001 s. 10; No. 42 of 2002 s. 33(1); No. 9 of 2005 s. 13; No. 31 of 2006 s. 35; No. 13 of 2007 s. 4; No. 4 of 2013 s. 6.]</w:t>
      </w:r>
    </w:p>
    <w:p>
      <w:pPr>
        <w:pStyle w:val="Heading5"/>
        <w:spacing w:before="180"/>
      </w:pPr>
      <w:bookmarkStart w:id="130" w:name="_Toc472003396"/>
      <w:bookmarkStart w:id="131" w:name="_Toc435024159"/>
      <w:r>
        <w:rPr>
          <w:rStyle w:val="CharSectno"/>
        </w:rPr>
        <w:t>32A</w:t>
      </w:r>
      <w:r>
        <w:t>.</w:t>
      </w:r>
      <w:r>
        <w:tab/>
        <w:t>Entitlement of surviving spouse or de facto partner</w:t>
      </w:r>
      <w:bookmarkEnd w:id="130"/>
      <w:bookmarkEnd w:id="131"/>
    </w:p>
    <w:p>
      <w:pPr>
        <w:pStyle w:val="Subsection"/>
      </w:pPr>
      <w:r>
        <w:tab/>
        <w:t>(1)</w:t>
      </w:r>
      <w:r>
        <w:tab/>
        <w:t xml:space="preserve">In this section — </w:t>
      </w:r>
    </w:p>
    <w:p>
      <w:pPr>
        <w:pStyle w:val="Defstart"/>
      </w:pPr>
      <w:r>
        <w:rPr>
          <w:b/>
        </w:rPr>
        <w:tab/>
      </w:r>
      <w:r>
        <w:rPr>
          <w:rStyle w:val="CharDefText"/>
        </w:rPr>
        <w:t>deceased partner</w:t>
      </w:r>
      <w:r>
        <w:t xml:space="preserve"> means the deceased spouse or de facto partner of a surviving partner;</w:t>
      </w:r>
    </w:p>
    <w:p>
      <w:pPr>
        <w:pStyle w:val="Defstart"/>
      </w:pPr>
      <w:r>
        <w:rPr>
          <w:b/>
        </w:rPr>
        <w:tab/>
      </w:r>
      <w:r>
        <w:rPr>
          <w:rStyle w:val="CharDefText"/>
        </w:rPr>
        <w:t>surviving partner</w:t>
      </w:r>
      <w:r>
        <w:t xml:space="preserve"> means the surviving spouse or de facto partner of a deceased partner;</w:t>
      </w:r>
    </w:p>
    <w:p>
      <w:pPr>
        <w:pStyle w:val="Defstart"/>
      </w:pPr>
      <w:r>
        <w:rPr>
          <w:b/>
        </w:rPr>
        <w:tab/>
      </w:r>
      <w:r>
        <w:rPr>
          <w:rStyle w:val="CharDefText"/>
        </w:rPr>
        <w:t>surviving partner’s land</w:t>
      </w:r>
      <w:r>
        <w:t xml:space="preserve"> means land belonging to or occupied by a surviving partner in the circumstances described in subsection (2)(b) or (4A)(b).</w:t>
      </w:r>
    </w:p>
    <w:p>
      <w:pPr>
        <w:pStyle w:val="Subsection"/>
      </w:pPr>
      <w:r>
        <w:tab/>
        <w:t>(2A)</w:t>
      </w:r>
      <w:r>
        <w:tab/>
        <w:t>Subsection (2) applies in relation to prescribed charges that are not Water Corporation charges.</w:t>
      </w:r>
    </w:p>
    <w:p>
      <w:pPr>
        <w:pStyle w:val="Subsection"/>
      </w:pPr>
      <w:r>
        <w:tab/>
        <w:t>(2)</w:t>
      </w:r>
      <w:r>
        <w:tab/>
        <w:t xml:space="preserve">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keepNext/>
        <w:keepLines/>
      </w:pPr>
      <w:r>
        <w:tab/>
        <w:t>(iii)</w:t>
      </w:r>
      <w:r>
        <w:tab/>
        <w:t>is occupied by the surviving partner in the circumstances described in section 29(1)(b)(ii);</w:t>
      </w:r>
    </w:p>
    <w:p>
      <w:pPr>
        <w:pStyle w:val="Indenta"/>
        <w:keepNext/>
        <w:keepLines/>
      </w:pPr>
      <w:r>
        <w:tab/>
      </w:r>
      <w:r>
        <w:tab/>
        <w:t>and</w:t>
      </w:r>
    </w:p>
    <w:p>
      <w:pPr>
        <w:pStyle w:val="Indenta"/>
        <w:keepNext/>
      </w:pPr>
      <w:r>
        <w:tab/>
        <w:t>(c)</w:t>
      </w:r>
      <w:r>
        <w:tab/>
        <w:t xml:space="preserve">the surviving partner was liable for the payment of a prescribed charge in respect of that land — </w:t>
      </w:r>
    </w:p>
    <w:p>
      <w:pPr>
        <w:pStyle w:val="Indenti"/>
      </w:pPr>
      <w:r>
        <w:tab/>
        <w:t>(i)</w:t>
      </w:r>
      <w:r>
        <w:tab/>
        <w:t>at the commencement of the charged period (</w:t>
      </w:r>
      <w:r>
        <w:rPr>
          <w:rStyle w:val="CharDefText"/>
        </w:rPr>
        <w:t>period 1</w:t>
      </w:r>
      <w:r>
        <w:rPr>
          <w:bCs/>
        </w:rPr>
        <w:t xml:space="preserve">) </w:t>
      </w:r>
      <w:r>
        <w:t>immediately following the charged period in which the prescribed charge was last payable by the deceased partner; or</w:t>
      </w:r>
    </w:p>
    <w:p>
      <w:pPr>
        <w:pStyle w:val="Indenti"/>
      </w:pPr>
      <w:r>
        <w:tab/>
        <w:t>(ii)</w:t>
      </w:r>
      <w:r>
        <w:tab/>
        <w:t>at the commencement of each of period 1 and the following charged period (</w:t>
      </w:r>
      <w:r>
        <w:rPr>
          <w:rStyle w:val="CharDefText"/>
        </w:rPr>
        <w:t>period 2</w:t>
      </w:r>
      <w:r>
        <w:rPr>
          <w:bCs/>
        </w:rPr>
        <w:t>)</w:t>
      </w:r>
      <w:r>
        <w:t>;</w:t>
      </w:r>
    </w:p>
    <w:p>
      <w:pPr>
        <w:pStyle w:val="Indenta"/>
      </w:pPr>
      <w:r>
        <w:tab/>
      </w:r>
      <w:r>
        <w:tab/>
        <w:t>and</w:t>
      </w:r>
    </w:p>
    <w:p>
      <w:pPr>
        <w:pStyle w:val="Indenta"/>
      </w:pPr>
      <w:r>
        <w:tab/>
        <w:t>(d)</w:t>
      </w:r>
      <w:r>
        <w:tab/>
        <w:t xml:space="preserve">the surviving partner was eligible under this Act to apply to the administrative authority to have an entitlement in respect of that land registered — </w:t>
      </w:r>
    </w:p>
    <w:p>
      <w:pPr>
        <w:pStyle w:val="Indenti"/>
      </w:pPr>
      <w:r>
        <w:tab/>
        <w:t>(i)</w:t>
      </w:r>
      <w:r>
        <w:tab/>
        <w:t>at the commencement of period 1; or</w:t>
      </w:r>
    </w:p>
    <w:p>
      <w:pPr>
        <w:pStyle w:val="Indenti"/>
      </w:pPr>
      <w:r>
        <w:tab/>
        <w:t>(ii)</w:t>
      </w:r>
      <w:r>
        <w:tab/>
        <w:t>at the commencement of each of period 1 and period 2;</w:t>
      </w:r>
    </w:p>
    <w:p>
      <w:pPr>
        <w:pStyle w:val="Indenta"/>
      </w:pPr>
      <w:r>
        <w:tab/>
      </w:r>
      <w:r>
        <w:tab/>
        <w:t>and</w:t>
      </w:r>
    </w:p>
    <w:p>
      <w:pPr>
        <w:pStyle w:val="Indenta"/>
      </w:pPr>
      <w:r>
        <w:tab/>
        <w:t>(e)</w:t>
      </w:r>
      <w:r>
        <w:tab/>
        <w:t xml:space="preserve">upon application by the surviving partner an entitlement in respect of that land is registered — </w:t>
      </w:r>
    </w:p>
    <w:p>
      <w:pPr>
        <w:pStyle w:val="Indenti"/>
      </w:pPr>
      <w:r>
        <w:tab/>
        <w:t>(i)</w:t>
      </w:r>
      <w:r>
        <w:tab/>
        <w:t>before the end of period 1; or</w:t>
      </w:r>
    </w:p>
    <w:p>
      <w:pPr>
        <w:pStyle w:val="Indenti"/>
      </w:pPr>
      <w:r>
        <w:tab/>
        <w:t>(ii)</w:t>
      </w:r>
      <w:r>
        <w:tab/>
        <w:t>if paragraphs (c)(ii) and (d)(ii) apply, before the end of period 2,</w:t>
      </w:r>
    </w:p>
    <w:p>
      <w:pPr>
        <w:pStyle w:val="Subsection"/>
        <w:spacing w:before="120"/>
      </w:pPr>
      <w:r>
        <w:tab/>
      </w:r>
      <w:r>
        <w:tab/>
        <w:t>the surviving partner is taken to have had a registered entitlement at the commencement of period 1, or periods 1 and 2, as the case requires, and is to be treated accordingly for the purposes of this Act.</w:t>
      </w:r>
    </w:p>
    <w:p>
      <w:pPr>
        <w:pStyle w:val="Subsection"/>
        <w:keepNext/>
        <w:spacing w:before="120"/>
      </w:pPr>
      <w:r>
        <w:tab/>
        <w:t>(3)</w:t>
      </w:r>
      <w:r>
        <w:tab/>
        <w:t xml:space="preserve">If — </w:t>
      </w:r>
    </w:p>
    <w:p>
      <w:pPr>
        <w:pStyle w:val="Indenta"/>
      </w:pPr>
      <w:r>
        <w:tab/>
        <w:t>(a)</w:t>
      </w:r>
      <w:r>
        <w:tab/>
        <w:t>subsection (2)(a) and (b) apply in relation to a deceased partner and the surviving partner</w:t>
      </w:r>
      <w:r>
        <w:rPr>
          <w:bCs/>
        </w:rPr>
        <w:t>; and</w:t>
      </w:r>
    </w:p>
    <w:p>
      <w:pPr>
        <w:pStyle w:val="Indenta"/>
        <w:keepNext/>
      </w:pPr>
      <w:r>
        <w:tab/>
        <w:t>(b)</w:t>
      </w:r>
      <w:r>
        <w:tab/>
        <w:t xml:space="preserve">the surviving partner — </w:t>
      </w:r>
    </w:p>
    <w:p>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rStyle w:val="CharDefText"/>
        </w:rPr>
        <w:t>final period</w:t>
      </w:r>
      <w:r>
        <w:rPr>
          <w:bCs/>
        </w:rPr>
        <w:t>)</w:t>
      </w:r>
      <w:r>
        <w:t>; and</w:t>
      </w:r>
    </w:p>
    <w:p>
      <w:pPr>
        <w:pStyle w:val="Indenti"/>
      </w:pPr>
      <w:r>
        <w:tab/>
        <w:t>(ii)</w:t>
      </w:r>
      <w:r>
        <w:tab/>
        <w:t>was eligible under this Act to apply to the administrative authority to have an entitlement in respect of that land registered at the commencement of each of those charged periods;</w:t>
      </w:r>
    </w:p>
    <w:p>
      <w:pPr>
        <w:pStyle w:val="Indenta"/>
        <w:spacing w:before="0"/>
      </w:pPr>
      <w:r>
        <w:tab/>
      </w:r>
      <w:r>
        <w:tab/>
        <w:t>and</w:t>
      </w:r>
    </w:p>
    <w:p>
      <w:pPr>
        <w:pStyle w:val="Indenta"/>
      </w:pPr>
      <w:r>
        <w:tab/>
        <w:t>(c)</w:t>
      </w:r>
      <w:r>
        <w:tab/>
        <w:t>the Minister is satisfied that, because of exceptional circumstances, an entitlement in respect of a surviving partner’s land has been registered in a charged period that is more than 2 charged periods after the final period,</w:t>
      </w:r>
    </w:p>
    <w:p>
      <w:pPr>
        <w:pStyle w:val="Subsection"/>
      </w:pPr>
      <w:r>
        <w:tab/>
      </w:r>
      <w:r>
        <w:tab/>
        <w:t>the Minister may declare that the surviving partner is taken to have had a registered entitlement in respect of the surviving partner’s land at the commencement of each of the charged periods specified in the declaration.</w:t>
      </w:r>
    </w:p>
    <w:p>
      <w:pPr>
        <w:pStyle w:val="Subsection"/>
      </w:pPr>
      <w:r>
        <w:tab/>
        <w:t>(4A)</w:t>
      </w:r>
      <w:r>
        <w:tab/>
        <w:t xml:space="preserve">Subsection (4B) applies in relation to Water Corporation charges 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keepNext/>
      </w:pPr>
      <w:r>
        <w:tab/>
        <w:t>(iii)</w:t>
      </w:r>
      <w:r>
        <w:tab/>
        <w:t>is occupied by the surviving partner in the circumstances described in section 29(1)(b)(ii);</w:t>
      </w:r>
    </w:p>
    <w:p>
      <w:pPr>
        <w:pStyle w:val="Indenta"/>
      </w:pPr>
      <w:r>
        <w:tab/>
      </w:r>
      <w:r>
        <w:tab/>
        <w:t>and</w:t>
      </w:r>
    </w:p>
    <w:p>
      <w:pPr>
        <w:pStyle w:val="Indenta"/>
      </w:pPr>
      <w:r>
        <w:tab/>
        <w:t>(c)</w:t>
      </w:r>
      <w:r>
        <w:tab/>
        <w:t xml:space="preserve">following the death of the spouse or de facto partner the surviving partner became liable for the payment of a Water Corporation charge in respect of that land (the </w:t>
      </w:r>
      <w:r>
        <w:rPr>
          <w:rStyle w:val="CharDefText"/>
        </w:rPr>
        <w:t>first payment</w:t>
      </w:r>
      <w:r>
        <w:t>); and</w:t>
      </w:r>
    </w:p>
    <w:p>
      <w:pPr>
        <w:pStyle w:val="Indenta"/>
      </w:pPr>
      <w:r>
        <w:tab/>
        <w:t>(d)</w:t>
      </w:r>
      <w:r>
        <w:tab/>
        <w:t>at the time that the surviving partner became liable for the first payment he or she was eligible under this Act to apply to the Water Corporation to have an entitlement in respect of that land registered; and</w:t>
      </w:r>
    </w:p>
    <w:p>
      <w:pPr>
        <w:pStyle w:val="Indenta"/>
      </w:pPr>
      <w:r>
        <w:tab/>
        <w:t>(e)</w:t>
      </w:r>
      <w:r>
        <w:tab/>
        <w:t>upon application by the surviving partner an entitlement in respect of that land is registered within 2 years of the death of the spouse or de facto partner.</w:t>
      </w:r>
    </w:p>
    <w:p>
      <w:pPr>
        <w:pStyle w:val="Subsection"/>
      </w:pPr>
      <w:r>
        <w:tab/>
        <w:t>(4B)</w:t>
      </w:r>
      <w:r>
        <w:tab/>
        <w:t xml:space="preserve">The surviving partner is taken to have had a registered entitlement on and from the day on which he or she became liable for the first payment until the earlier of — </w:t>
      </w:r>
    </w:p>
    <w:p>
      <w:pPr>
        <w:pStyle w:val="Indenta"/>
      </w:pPr>
      <w:r>
        <w:tab/>
        <w:t>(a)</w:t>
      </w:r>
      <w:r>
        <w:tab/>
        <w:t>the day before the day on which the entitlement in respect of that land is registered; or</w:t>
      </w:r>
    </w:p>
    <w:p>
      <w:pPr>
        <w:pStyle w:val="Indenta"/>
      </w:pPr>
      <w:r>
        <w:tab/>
        <w:t>(b)</w:t>
      </w:r>
      <w:r>
        <w:tab/>
        <w:t>the day before the first day (after he or she became liable for the first payment) on which he or she ceased to be eligible to have the entitlement registered,</w:t>
      </w:r>
    </w:p>
    <w:p>
      <w:pPr>
        <w:pStyle w:val="Subsection"/>
      </w:pPr>
      <w:r>
        <w:tab/>
      </w:r>
      <w:r>
        <w:tab/>
        <w:t>and is to be treated accordingly for the purposes of this Act.</w:t>
      </w:r>
    </w:p>
    <w:p>
      <w:pPr>
        <w:pStyle w:val="Subsection"/>
      </w:pPr>
      <w:r>
        <w:tab/>
        <w:t>(4C)</w:t>
      </w:r>
      <w:r>
        <w:tab/>
        <w:t xml:space="preserve">If — </w:t>
      </w:r>
    </w:p>
    <w:p>
      <w:pPr>
        <w:pStyle w:val="Indenta"/>
      </w:pPr>
      <w:r>
        <w:tab/>
        <w:t>(a)</w:t>
      </w:r>
      <w:r>
        <w:tab/>
        <w:t>subsection (4A)(a)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was liable for the payment of a Water Corporation charge in respect of the surviving partner’s land for more than 2 years after the death of the spouse or de facto partner; and</w:t>
      </w:r>
    </w:p>
    <w:p>
      <w:pPr>
        <w:pStyle w:val="Indenti"/>
      </w:pPr>
      <w:r>
        <w:tab/>
        <w:t>(ii)</w:t>
      </w:r>
      <w:r>
        <w:tab/>
        <w:t>was eligible under this Act to apply to the Water Corporation to have an entitlement in respect of that land registered for more than 2 years after the death of the spouse or de facto partner;</w:t>
      </w:r>
    </w:p>
    <w:p>
      <w:pPr>
        <w:pStyle w:val="Indenta"/>
      </w:pPr>
      <w:r>
        <w:tab/>
      </w:r>
      <w:r>
        <w:tab/>
        <w:t>and</w:t>
      </w:r>
    </w:p>
    <w:p>
      <w:pPr>
        <w:pStyle w:val="Indenta"/>
      </w:pPr>
      <w:r>
        <w:tab/>
        <w:t>(c)</w:t>
      </w:r>
      <w:r>
        <w:tab/>
        <w:t>the Minister is satisfied that, because of exceptional circumstances, an entitlement in respect of the surviving partner’s land was not registered within the 2 years referred to in subsection (4A)(e),</w:t>
      </w:r>
    </w:p>
    <w:p>
      <w:pPr>
        <w:pStyle w:val="Subsection"/>
        <w:spacing w:before="180"/>
      </w:pPr>
      <w:r>
        <w:tab/>
      </w:r>
      <w:r>
        <w:tab/>
        <w:t>the Minister may declare that the surviving partner is taken to have had a registered entitlement in respect of the surviving partner’s land for the period specified in the declaration.</w:t>
      </w:r>
    </w:p>
    <w:p>
      <w:pPr>
        <w:pStyle w:val="Subsection"/>
        <w:spacing w:before="180"/>
      </w:pPr>
      <w:r>
        <w:tab/>
        <w:t>(4)</w:t>
      </w:r>
      <w:r>
        <w:tab/>
        <w:t>A declaration under subsection (3) or (4C) has effect according to its terms and the surviving partner is to be treated accordingly for the purposes of this Act.</w:t>
      </w:r>
    </w:p>
    <w:p>
      <w:pPr>
        <w:pStyle w:val="Subsection"/>
        <w:spacing w:before="180"/>
      </w:pPr>
      <w:r>
        <w:tab/>
        <w:t>(5)</w:t>
      </w:r>
      <w:r>
        <w:tab/>
        <w:t>A surviving partner who, under subsection (2) or (3),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pPr>
        <w:pStyle w:val="Footnotesection"/>
        <w:ind w:left="890" w:hanging="890"/>
      </w:pPr>
      <w:r>
        <w:tab/>
        <w:t>[Section 32A inserted by No. 13 of 2007 s. 5; amended by No. 4 of 2013 s. 7.]</w:t>
      </w:r>
    </w:p>
    <w:p>
      <w:pPr>
        <w:pStyle w:val="Heading5"/>
        <w:spacing w:before="240"/>
        <w:rPr>
          <w:snapToGrid w:val="0"/>
        </w:rPr>
      </w:pPr>
      <w:bookmarkStart w:id="132" w:name="_Toc472003397"/>
      <w:bookmarkStart w:id="133" w:name="_Toc435024160"/>
      <w:r>
        <w:rPr>
          <w:rStyle w:val="CharSectno"/>
        </w:rPr>
        <w:t>33</w:t>
      </w:r>
      <w:r>
        <w:rPr>
          <w:snapToGrid w:val="0"/>
        </w:rPr>
        <w:t>.</w:t>
      </w:r>
      <w:r>
        <w:rPr>
          <w:snapToGrid w:val="0"/>
        </w:rPr>
        <w:tab/>
        <w:t>Effect of registration</w:t>
      </w:r>
      <w:bookmarkEnd w:id="132"/>
      <w:bookmarkEnd w:id="133"/>
    </w:p>
    <w:p>
      <w:pPr>
        <w:pStyle w:val="Subsection"/>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rPr>
          <w:snapToGrid w:val="0"/>
        </w:rPr>
      </w:pPr>
      <w:r>
        <w:rPr>
          <w:snapToGrid w:val="0"/>
        </w:rPr>
        <w:tab/>
        <w:t>(a)</w:t>
      </w:r>
      <w:r>
        <w:rPr>
          <w:snapToGrid w:val="0"/>
        </w:rPr>
        <w:tab/>
        <w:t>to pay a rebated amount; or</w:t>
      </w:r>
    </w:p>
    <w:p>
      <w:pPr>
        <w:pStyle w:val="Indenta"/>
        <w:rPr>
          <w:snapToGrid w:val="0"/>
        </w:rPr>
      </w:pPr>
      <w:r>
        <w:rPr>
          <w:snapToGrid w:val="0"/>
        </w:rPr>
        <w:tab/>
        <w:t>(b)</w:t>
      </w:r>
      <w:r>
        <w:rPr>
          <w:snapToGrid w:val="0"/>
        </w:rPr>
        <w:tab/>
        <w:t>to defer payment,</w:t>
      </w:r>
    </w:p>
    <w:p>
      <w:pPr>
        <w:pStyle w:val="Subsection"/>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rPr>
          <w:snapToGrid w:val="0"/>
        </w:rPr>
      </w:pPr>
      <w:r>
        <w:rPr>
          <w:snapToGrid w:val="0"/>
        </w:rPr>
        <w:tab/>
        <w:t>(2)</w:t>
      </w:r>
      <w:r>
        <w:rPr>
          <w:snapToGrid w:val="0"/>
        </w:rPr>
        <w:tab/>
        <w:t xml:space="preserve">Where in relation to any charged period an entitlement to land is </w:t>
      </w:r>
      <w:r>
        <w:t xml:space="preserve">registered in respect of a prescribed charge that is not a Water Corporation charge, </w:t>
      </w:r>
      <w:r>
        <w:rPr>
          <w:snapToGrid w:val="0"/>
        </w:rPr>
        <w:t>effect shall be given by the administrative authority to any rebate or deferment allowable for that charged period as though the entitlement remained that of the registered person, notwithstanding that during the charged period —</w:t>
      </w:r>
    </w:p>
    <w:p>
      <w:pPr>
        <w:pStyle w:val="Indenta"/>
        <w:spacing w:before="100"/>
        <w:rPr>
          <w:snapToGrid w:val="0"/>
        </w:rPr>
      </w:pPr>
      <w:r>
        <w:rPr>
          <w:snapToGrid w:val="0"/>
        </w:rPr>
        <w:tab/>
        <w:t>(a)</w:t>
      </w:r>
      <w:r>
        <w:rPr>
          <w:snapToGrid w:val="0"/>
        </w:rPr>
        <w:tab/>
        <w:t>the registered person dies, or ceases to be an eligible person; or</w:t>
      </w:r>
    </w:p>
    <w:p>
      <w:pPr>
        <w:pStyle w:val="Indenta"/>
        <w:spacing w:before="100"/>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spacing w:before="180"/>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 11; No. 14 of 1996 s. 4; No. 3 of 2001 s. 11; No. 9 of 2005 s. 14; No. 32 of 2006 s. 98; No. 4 of 2013 s. 8.]</w:t>
      </w:r>
    </w:p>
    <w:p>
      <w:pPr>
        <w:pStyle w:val="Ednotesection"/>
        <w:spacing w:before="240"/>
        <w:rPr>
          <w:snapToGrid/>
        </w:rPr>
      </w:pPr>
      <w:r>
        <w:rPr>
          <w:snapToGrid/>
        </w:rPr>
        <w:t>[</w:t>
      </w:r>
      <w:r>
        <w:rPr>
          <w:b/>
          <w:snapToGrid/>
        </w:rPr>
        <w:t>34.</w:t>
      </w:r>
      <w:r>
        <w:rPr>
          <w:snapToGrid/>
        </w:rPr>
        <w:tab/>
        <w:t>Deleted by No. 3 of 2001 s. 12.]</w:t>
      </w:r>
    </w:p>
    <w:p>
      <w:pPr>
        <w:pStyle w:val="Heading5"/>
        <w:spacing w:before="240"/>
        <w:rPr>
          <w:snapToGrid w:val="0"/>
        </w:rPr>
      </w:pPr>
      <w:bookmarkStart w:id="134" w:name="_Toc472003398"/>
      <w:bookmarkStart w:id="135" w:name="_Toc435024161"/>
      <w:r>
        <w:rPr>
          <w:rStyle w:val="CharSectno"/>
        </w:rPr>
        <w:t>35</w:t>
      </w:r>
      <w:r>
        <w:rPr>
          <w:snapToGrid w:val="0"/>
        </w:rPr>
        <w:t>.</w:t>
      </w:r>
      <w:r>
        <w:rPr>
          <w:snapToGrid w:val="0"/>
        </w:rPr>
        <w:tab/>
        <w:t>Change in circumstances of registered person</w:t>
      </w:r>
      <w:bookmarkEnd w:id="134"/>
      <w:bookmarkEnd w:id="135"/>
    </w:p>
    <w:p>
      <w:pPr>
        <w:pStyle w:val="Subsection"/>
        <w:spacing w:before="200"/>
        <w:rPr>
          <w:snapToGrid w:val="0"/>
        </w:rPr>
      </w:pPr>
      <w:r>
        <w:rPr>
          <w:snapToGrid w:val="0"/>
        </w:rPr>
        <w:tab/>
        <w:t>(1)</w:t>
      </w:r>
      <w:r>
        <w:rPr>
          <w:snapToGrid w:val="0"/>
        </w:rPr>
        <w:tab/>
        <w:t>Where the entitlement of a person as regards any land is registered, if —</w:t>
      </w:r>
    </w:p>
    <w:p>
      <w:pPr>
        <w:pStyle w:val="Indenta"/>
        <w:spacing w:before="100"/>
        <w:rPr>
          <w:snapToGrid w:val="0"/>
        </w:rPr>
      </w:pPr>
      <w:r>
        <w:rPr>
          <w:snapToGrid w:val="0"/>
        </w:rPr>
        <w:tab/>
        <w:t>(a)</w:t>
      </w:r>
      <w:r>
        <w:rPr>
          <w:snapToGrid w:val="0"/>
        </w:rPr>
        <w:tab/>
        <w:t>the person ceases —</w:t>
      </w:r>
    </w:p>
    <w:p>
      <w:pPr>
        <w:pStyle w:val="Indenti"/>
        <w:spacing w:before="100"/>
        <w:rPr>
          <w:snapToGrid w:val="0"/>
        </w:rPr>
      </w:pPr>
      <w:r>
        <w:rPr>
          <w:snapToGrid w:val="0"/>
        </w:rPr>
        <w:tab/>
        <w:t>(i)</w:t>
      </w:r>
      <w:r>
        <w:rPr>
          <w:snapToGrid w:val="0"/>
        </w:rPr>
        <w:tab/>
        <w:t>to hold a seniors’ card; or</w:t>
      </w:r>
    </w:p>
    <w:p>
      <w:pPr>
        <w:pStyle w:val="Indenti"/>
        <w:spacing w:before="100"/>
        <w:rPr>
          <w:snapToGrid w:val="0"/>
        </w:rPr>
      </w:pPr>
      <w:r>
        <w:rPr>
          <w:snapToGrid w:val="0"/>
        </w:rPr>
        <w:tab/>
        <w:t>(ii)</w:t>
      </w:r>
      <w:r>
        <w:rPr>
          <w:snapToGrid w:val="0"/>
        </w:rPr>
        <w:tab/>
        <w:t>to be an eligible pensioner; or</w:t>
      </w:r>
    </w:p>
    <w:p>
      <w:pPr>
        <w:pStyle w:val="Indenti"/>
        <w:spacing w:before="100"/>
        <w:rPr>
          <w:snapToGrid w:val="0"/>
        </w:rPr>
      </w:pPr>
      <w:r>
        <w:rPr>
          <w:snapToGrid w:val="0"/>
        </w:rPr>
        <w:tab/>
        <w:t>(iii)</w:t>
      </w:r>
      <w:r>
        <w:rPr>
          <w:snapToGrid w:val="0"/>
        </w:rPr>
        <w:tab/>
        <w:t>to occupy the land as their ordinary place of residence;</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spacing w:before="100"/>
        <w:rPr>
          <w:snapToGrid w:val="0"/>
        </w:rPr>
      </w:pPr>
      <w:r>
        <w:rPr>
          <w:snapToGrid w:val="0"/>
        </w:rPr>
        <w:tab/>
        <w:t>(c)</w:t>
      </w:r>
      <w:r>
        <w:rPr>
          <w:snapToGrid w:val="0"/>
        </w:rPr>
        <w:tab/>
        <w:t>the land no longer belongs to that person,</w:t>
      </w:r>
    </w:p>
    <w:p>
      <w:pPr>
        <w:pStyle w:val="Subsection"/>
        <w:spacing w:before="180"/>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pPr>
        <w:pStyle w:val="Subsection"/>
        <w:spacing w:before="180"/>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 and</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spacing w:before="180"/>
      </w:pPr>
      <w:r>
        <w:tab/>
        <w:t>(2a)</w:t>
      </w:r>
      <w:r>
        <w:tab/>
        <w:t>Subsection (2) does not apply in relation to land registered for a person on the basis of eligibility under section 23(5).</w:t>
      </w:r>
    </w:p>
    <w:p>
      <w:pPr>
        <w:pStyle w:val="Subsection"/>
        <w:keepLines/>
        <w:spacing w:before="180"/>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 No. 13 of 2007 s. 6.]</w:t>
      </w:r>
    </w:p>
    <w:p>
      <w:pPr>
        <w:pStyle w:val="Heading5"/>
        <w:rPr>
          <w:snapToGrid w:val="0"/>
        </w:rPr>
      </w:pPr>
      <w:bookmarkStart w:id="136" w:name="_Toc472003399"/>
      <w:bookmarkStart w:id="137" w:name="_Toc435024162"/>
      <w:r>
        <w:rPr>
          <w:rStyle w:val="CharSectno"/>
        </w:rPr>
        <w:t>36</w:t>
      </w:r>
      <w:r>
        <w:rPr>
          <w:snapToGrid w:val="0"/>
        </w:rPr>
        <w:t>.</w:t>
      </w:r>
      <w:r>
        <w:rPr>
          <w:snapToGrid w:val="0"/>
        </w:rPr>
        <w:tab/>
        <w:t>Review of registration</w:t>
      </w:r>
      <w:bookmarkEnd w:id="136"/>
      <w:bookmarkEnd w:id="137"/>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138" w:name="_Toc472003400"/>
      <w:bookmarkStart w:id="139" w:name="_Toc435024163"/>
      <w:r>
        <w:rPr>
          <w:rStyle w:val="CharSectno"/>
        </w:rPr>
        <w:t>37</w:t>
      </w:r>
      <w:r>
        <w:rPr>
          <w:snapToGrid w:val="0"/>
        </w:rPr>
        <w:t>.</w:t>
      </w:r>
      <w:r>
        <w:rPr>
          <w:snapToGrid w:val="0"/>
        </w:rPr>
        <w:tab/>
        <w:t>Amendment or cancellation of registration</w:t>
      </w:r>
      <w:bookmarkEnd w:id="138"/>
      <w:bookmarkEnd w:id="139"/>
    </w:p>
    <w:p>
      <w:pPr>
        <w:pStyle w:val="Subsection"/>
        <w:spacing w:before="180"/>
        <w:rPr>
          <w:snapToGrid w:val="0"/>
        </w:rPr>
      </w:pPr>
      <w:r>
        <w:rPr>
          <w:snapToGrid w:val="0"/>
        </w:rPr>
        <w:tab/>
        <w:t>(1)</w:t>
      </w:r>
      <w:r>
        <w:rPr>
          <w:snapToGrid w:val="0"/>
        </w:rPr>
        <w:tab/>
        <w:t>An administrative authority —</w:t>
      </w:r>
    </w:p>
    <w:p>
      <w:pPr>
        <w:pStyle w:val="Indenta"/>
        <w:spacing w:before="100"/>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 or</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spacing w:before="180"/>
      </w:pPr>
      <w:r>
        <w:tab/>
      </w:r>
      <w:r>
        <w:tab/>
        <w:t xml:space="preserve">determine to amend or cancel the registration, as the case requires, with effect from — </w:t>
      </w:r>
    </w:p>
    <w:p>
      <w:pPr>
        <w:pStyle w:val="Indenta"/>
      </w:pPr>
      <w:r>
        <w:tab/>
        <w:t>(c)</w:t>
      </w:r>
      <w:r>
        <w:tab/>
        <w:t>in the case of a Water Corporation charge — the day on which the change in the person’s circumstances occurred; or</w:t>
      </w:r>
    </w:p>
    <w:p>
      <w:pPr>
        <w:pStyle w:val="Indenta"/>
      </w:pPr>
      <w:r>
        <w:tab/>
        <w:t>(d)</w:t>
      </w:r>
      <w:r>
        <w:tab/>
        <w:t>in the case of any other prescribed charge — the commencement of the rating year following the determination.</w:t>
      </w:r>
    </w:p>
    <w:p>
      <w:pPr>
        <w:pStyle w:val="Subsection"/>
        <w:spacing w:before="180"/>
        <w:rPr>
          <w:snapToGrid w:val="0"/>
        </w:rPr>
      </w:pPr>
      <w:r>
        <w:rPr>
          <w:snapToGrid w:val="0"/>
        </w:rPr>
        <w:tab/>
        <w:t>(2)</w:t>
      </w:r>
      <w:r>
        <w:rPr>
          <w:snapToGrid w:val="0"/>
        </w:rPr>
        <w:tab/>
      </w:r>
      <w:r>
        <w:t xml:space="preserve">An administrative authority, other than the Water Corporation, </w:t>
      </w:r>
      <w:r>
        <w:rPr>
          <w:snapToGrid w:val="0"/>
        </w:rPr>
        <w:t xml:space="preserve">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pPr>
        <w:pStyle w:val="Subsection"/>
        <w:spacing w:before="180"/>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 12; No. 13 of 2007 s. 7; No. 4 of 2013 s. 9.]</w:t>
      </w:r>
    </w:p>
    <w:p>
      <w:pPr>
        <w:pStyle w:val="Heading3"/>
      </w:pPr>
      <w:bookmarkStart w:id="140" w:name="_Toc471907607"/>
      <w:bookmarkStart w:id="141" w:name="_Toc472003401"/>
      <w:bookmarkStart w:id="142" w:name="_Toc424293131"/>
      <w:bookmarkStart w:id="143" w:name="_Toc431893938"/>
      <w:bookmarkStart w:id="144" w:name="_Toc435024164"/>
      <w:r>
        <w:rPr>
          <w:rStyle w:val="CharDivNo"/>
        </w:rPr>
        <w:t>Division 4</w:t>
      </w:r>
      <w:r>
        <w:rPr>
          <w:snapToGrid w:val="0"/>
        </w:rPr>
        <w:t> — </w:t>
      </w:r>
      <w:r>
        <w:rPr>
          <w:rStyle w:val="CharDivText"/>
        </w:rPr>
        <w:t>Miscellaneous</w:t>
      </w:r>
      <w:bookmarkEnd w:id="140"/>
      <w:bookmarkEnd w:id="141"/>
      <w:bookmarkEnd w:id="142"/>
      <w:bookmarkEnd w:id="143"/>
      <w:bookmarkEnd w:id="144"/>
    </w:p>
    <w:p>
      <w:pPr>
        <w:pStyle w:val="Heading5"/>
        <w:rPr>
          <w:snapToGrid w:val="0"/>
        </w:rPr>
      </w:pPr>
      <w:bookmarkStart w:id="145" w:name="_Toc472003402"/>
      <w:bookmarkStart w:id="146" w:name="_Toc435024165"/>
      <w:r>
        <w:rPr>
          <w:rStyle w:val="CharSectno"/>
        </w:rPr>
        <w:t>38</w:t>
      </w:r>
      <w:r>
        <w:rPr>
          <w:snapToGrid w:val="0"/>
        </w:rPr>
        <w:t>.</w:t>
      </w:r>
      <w:r>
        <w:rPr>
          <w:snapToGrid w:val="0"/>
        </w:rPr>
        <w:tab/>
        <w:t>Offences</w:t>
      </w:r>
      <w:bookmarkEnd w:id="145"/>
      <w:bookmarkEnd w:id="146"/>
    </w:p>
    <w:p>
      <w:pPr>
        <w:pStyle w:val="Subsection"/>
        <w:keepNext/>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for the purposes of any application under this Act, knowingly provides information that is false or misleading in any material particular; or</w:t>
      </w:r>
    </w:p>
    <w:p>
      <w:pPr>
        <w:pStyle w:val="Indenta"/>
        <w:spacing w:before="60"/>
        <w:rPr>
          <w:snapToGrid w:val="0"/>
        </w:rPr>
      </w:pPr>
      <w:r>
        <w:rPr>
          <w:snapToGrid w:val="0"/>
        </w:rPr>
        <w:tab/>
        <w:t>(b)</w:t>
      </w:r>
      <w:r>
        <w:rPr>
          <w:snapToGrid w:val="0"/>
        </w:rPr>
        <w:tab/>
        <w:t>omits to notify an administrative authority of a change of circumstances, as required by section 35; or</w:t>
      </w:r>
    </w:p>
    <w:p>
      <w:pPr>
        <w:pStyle w:val="Indenta"/>
        <w:keepNext/>
        <w:keepLines/>
        <w:spacing w:before="60"/>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keepNext/>
        <w:spacing w:before="120"/>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147" w:name="_Toc472003403"/>
      <w:bookmarkStart w:id="148" w:name="_Toc435024166"/>
      <w:r>
        <w:rPr>
          <w:rStyle w:val="CharSectno"/>
        </w:rPr>
        <w:t>39</w:t>
      </w:r>
      <w:r>
        <w:rPr>
          <w:snapToGrid w:val="0"/>
        </w:rPr>
        <w:t>.</w:t>
      </w:r>
      <w:r>
        <w:rPr>
          <w:snapToGrid w:val="0"/>
        </w:rPr>
        <w:tab/>
        <w:t>Persons allowed rebate or deferment incorrectly</w:t>
      </w:r>
      <w:bookmarkEnd w:id="147"/>
      <w:bookmarkEnd w:id="148"/>
    </w:p>
    <w:p>
      <w:pPr>
        <w:pStyle w:val="Subsection"/>
        <w:keepNext/>
        <w:spacing w:before="120"/>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rPr>
          <w:snapToGrid w:val="0"/>
        </w:rPr>
      </w:pPr>
      <w:r>
        <w:rPr>
          <w:snapToGrid w:val="0"/>
        </w:rPr>
        <w:tab/>
        <w:t>(a)</w:t>
      </w:r>
      <w:r>
        <w:rPr>
          <w:snapToGrid w:val="0"/>
        </w:rPr>
        <w:tab/>
        <w:t>the rebate purportedly allowed is of no effect; and</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is liable to any penalty in respect of arrears of that prescribed charge that may apply apart from this Act; and</w:t>
      </w:r>
    </w:p>
    <w:p>
      <w:pPr>
        <w:pStyle w:val="Indenta"/>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keepNext/>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 and</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149" w:name="_Toc471907610"/>
      <w:bookmarkStart w:id="150" w:name="_Toc472003404"/>
      <w:bookmarkStart w:id="151" w:name="_Toc424293134"/>
      <w:bookmarkStart w:id="152" w:name="_Toc431893941"/>
      <w:bookmarkStart w:id="153" w:name="_Toc435024167"/>
      <w:r>
        <w:rPr>
          <w:rStyle w:val="CharPartNo"/>
        </w:rPr>
        <w:t>Part 3</w:t>
      </w:r>
      <w:r>
        <w:rPr>
          <w:rStyle w:val="CharDivNo"/>
        </w:rPr>
        <w:t> </w:t>
      </w:r>
      <w:r>
        <w:t>—</w:t>
      </w:r>
      <w:r>
        <w:rPr>
          <w:rStyle w:val="CharDivText"/>
        </w:rPr>
        <w:t> </w:t>
      </w:r>
      <w:r>
        <w:rPr>
          <w:rStyle w:val="CharPartText"/>
        </w:rPr>
        <w:t>Rebates</w:t>
      </w:r>
      <w:bookmarkEnd w:id="149"/>
      <w:bookmarkEnd w:id="150"/>
      <w:bookmarkEnd w:id="151"/>
      <w:bookmarkEnd w:id="152"/>
      <w:bookmarkEnd w:id="153"/>
    </w:p>
    <w:p>
      <w:pPr>
        <w:pStyle w:val="Heading5"/>
      </w:pPr>
      <w:bookmarkStart w:id="154" w:name="_Toc472003405"/>
      <w:bookmarkStart w:id="155" w:name="_Toc435024168"/>
      <w:r>
        <w:rPr>
          <w:rStyle w:val="CharSectno"/>
        </w:rPr>
        <w:t>40</w:t>
      </w:r>
      <w:r>
        <w:t>.</w:t>
      </w:r>
      <w:r>
        <w:tab/>
        <w:t>Rebates to registered persons</w:t>
      </w:r>
      <w:bookmarkEnd w:id="154"/>
      <w:bookmarkEnd w:id="155"/>
    </w:p>
    <w:p>
      <w:pPr>
        <w:pStyle w:val="Subsection"/>
      </w:pPr>
      <w:r>
        <w:tab/>
        <w:t>(1A)</w:t>
      </w:r>
      <w:r>
        <w:tab/>
        <w:t>A reference in this section to the liability of a person for the payment of a rebated amount of a prescribed charge includes, in respect of a prescribed charge that is apportioned under section 28, a reference to the liability of a person for the proportion of the prescribed charge that relates to the extent of the entitlement of the person.</w:t>
      </w:r>
    </w:p>
    <w:p>
      <w:pPr>
        <w:pStyle w:val="Subsection"/>
      </w:pPr>
      <w:r>
        <w:tab/>
        <w:t>(1)</w:t>
      </w:r>
      <w:r>
        <w:tab/>
        <w:t>This section applies to a person who —</w:t>
      </w:r>
    </w:p>
    <w:p>
      <w:pPr>
        <w:pStyle w:val="Indenta"/>
      </w:pPr>
      <w:r>
        <w:tab/>
        <w:t>(a)</w:t>
      </w:r>
      <w:r>
        <w:tab/>
        <w:t>is liable for the payment of a prescribed charge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(2A)</w:t>
      </w:r>
      <w:r>
        <w:tab/>
        <w:t>Despite anything else in this Act, this section does not apply to an eligible senior in respect of a prescribed charge for the provision of underground electricity for any charged period other than the first year or part of the first year for which that charge is to be or was made.</w:t>
      </w:r>
    </w:p>
    <w:p>
      <w:pPr>
        <w:pStyle w:val="Subsection"/>
      </w:pPr>
      <w:r>
        <w:tab/>
        <w:t>(2)</w:t>
      </w:r>
      <w:r>
        <w:tab/>
        <w:t xml:space="preserve">The liability of a person to whom this section applies for payment of a prescribed charge may, subject to this Act, be satisfied by the payment of a rebated amount — </w:t>
      </w:r>
    </w:p>
    <w:p>
      <w:pPr>
        <w:pStyle w:val="Indenta"/>
      </w:pPr>
      <w:r>
        <w:tab/>
        <w:t>(a)</w:t>
      </w:r>
      <w:r>
        <w:tab/>
        <w:t>in the case of a Water Corporation charge — by the final payment day or, if that person has been allowed an extended period under subsection (3A), before the end of that period; or</w:t>
      </w:r>
    </w:p>
    <w:p>
      <w:pPr>
        <w:pStyle w:val="Indenta"/>
      </w:pPr>
      <w:r>
        <w:tab/>
        <w:t>(b)</w:t>
      </w:r>
      <w:r>
        <w:tab/>
        <w:t>in the case of any other prescribed charge —before the end of the charged period or, if that person has been allowed an extended period under subsection (3A), before the end of that period.</w:t>
      </w:r>
    </w:p>
    <w:p>
      <w:pPr>
        <w:pStyle w:val="Subsection"/>
      </w:pPr>
      <w:r>
        <w:tab/>
        <w:t>(3A)</w:t>
      </w:r>
      <w:r>
        <w:tab/>
        <w:t xml:space="preserve">If the Minister is satisfied that a person to whom this section applies has, because of exceptional circumstances, failed to pay the rebated amount by — </w:t>
      </w:r>
    </w:p>
    <w:p>
      <w:pPr>
        <w:pStyle w:val="Indenta"/>
      </w:pPr>
      <w:r>
        <w:tab/>
        <w:t>(a)</w:t>
      </w:r>
      <w:r>
        <w:tab/>
        <w:t>in the case of a Water Corporation charge — the final payment day; or</w:t>
      </w:r>
    </w:p>
    <w:p>
      <w:pPr>
        <w:pStyle w:val="Indenta"/>
      </w:pPr>
      <w:r>
        <w:tab/>
        <w:t>(b)</w:t>
      </w:r>
      <w:r>
        <w:tab/>
        <w:t>in the case of any other prescribed charge — the end of the charged period,</w:t>
      </w:r>
    </w:p>
    <w:p>
      <w:pPr>
        <w:pStyle w:val="Subsection"/>
      </w:pPr>
      <w:r>
        <w:tab/>
      </w:r>
      <w:r>
        <w:tab/>
        <w:t>the Minister may allow that person an extended period within which the payment may be made.</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1003300" cy="3937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33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w:t>
      </w:r>
      <w:r>
        <w:rPr>
          <w:snapToGrid w:val="0"/>
        </w:rPr>
        <w:tab/>
        <w:t>is the portion of the prescribed charge calculated under subsection </w:t>
      </w:r>
      <w:r>
        <w:t>(9) in respect of an eligible senior; and</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990600" cy="393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906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w:t>
      </w:r>
      <w:r>
        <w:rPr>
          <w:snapToGrid w:val="0"/>
        </w:rPr>
        <w:tab/>
        <w:t>is the portion of the prescribed charge calculated under subsection </w:t>
      </w:r>
      <w:r>
        <w:t>(9) in respect of an eligible pensioner; and</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2197100" cy="393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97100" cy="393700"/>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PCS</w:t>
      </w:r>
      <w:r>
        <w:rPr>
          <w:snapToGrid w:val="0"/>
        </w:rPr>
        <w:tab/>
        <w:t>is the portion of the prescribed charge calculated under subsection </w:t>
      </w:r>
      <w:r>
        <w:t>(9) in respect of an eligible senior; and</w:t>
      </w:r>
    </w:p>
    <w:p>
      <w:pPr>
        <w:pStyle w:val="Indenta"/>
        <w:rPr>
          <w:snapToGrid w:val="0"/>
        </w:rPr>
      </w:pPr>
      <w:r>
        <w:rPr>
          <w:i/>
          <w:snapToGrid w:val="0"/>
        </w:rPr>
        <w:tab/>
        <w:t>PCP</w:t>
      </w:r>
      <w:r>
        <w:rPr>
          <w:snapToGrid w:val="0"/>
        </w:rPr>
        <w:tab/>
        <w:t>is the portion of the prescribed charge calculated under subsection </w:t>
      </w:r>
      <w:r>
        <w:t>(9) in respect of an eligible pensioner; and</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spacing w:before="120"/>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spacing w:before="120"/>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or underground electricity — 50% of the prescribed charge concerned, up to such limit as is prescribed;</w:t>
      </w:r>
    </w:p>
    <w:p>
      <w:pPr>
        <w:pStyle w:val="Indenta"/>
      </w:pPr>
      <w:r>
        <w:tab/>
        <w:t>(c)</w:t>
      </w:r>
      <w:r>
        <w:tab/>
        <w:t>for an eligible senior, on any prescribed charge for the provision of underground electricity — 25% of the prescribed charge concerned, up to such limit as is prescribed;</w:t>
      </w:r>
    </w:p>
    <w:p>
      <w:pPr>
        <w:pStyle w:val="Indenta"/>
      </w:pPr>
      <w:r>
        <w:tab/>
        <w:t>(d)</w:t>
      </w:r>
      <w:r>
        <w:tab/>
        <w:t>on any other prescribed charge — </w:t>
      </w:r>
    </w:p>
    <w:p>
      <w:pPr>
        <w:pStyle w:val="Indenti"/>
      </w:pPr>
      <w:r>
        <w:tab/>
        <w:t>(i)</w:t>
      </w:r>
      <w:r>
        <w:tab/>
        <w:t>for an eligible senior — the prescribed percentage of the charge, up to such limit as is prescribed;</w:t>
      </w:r>
    </w:p>
    <w:p>
      <w:pPr>
        <w:pStyle w:val="Indenti"/>
      </w:pPr>
      <w:r>
        <w:tab/>
        <w:t>(ii)</w:t>
      </w:r>
      <w:r>
        <w:tab/>
        <w:t>for an eligible pensioner — the prescribed percentage of the charge.</w:t>
      </w:r>
    </w:p>
    <w:p>
      <w:pPr>
        <w:pStyle w:val="Footnotesection"/>
        <w:keepLines w:val="0"/>
        <w:spacing w:before="80"/>
        <w:ind w:left="890" w:hanging="890"/>
      </w:pPr>
      <w:r>
        <w:tab/>
        <w:t>[Section 40 inserted by No. 3 of 2001 s. 13(1); amended by No. 42 of 2002 s. 34; No. 13 of 2007 s. 10; No. 2 of 2012 s. 36; No. 4 of 2013 s. 10; No. 27 of 2015 s. 17.]</w:t>
      </w:r>
    </w:p>
    <w:p>
      <w:pPr>
        <w:pStyle w:val="Heading5"/>
        <w:rPr>
          <w:snapToGrid w:val="0"/>
        </w:rPr>
      </w:pPr>
      <w:bookmarkStart w:id="156" w:name="_Toc472003406"/>
      <w:bookmarkStart w:id="157" w:name="_Toc435024169"/>
      <w:r>
        <w:rPr>
          <w:rStyle w:val="CharSectno"/>
        </w:rPr>
        <w:t>41</w:t>
      </w:r>
      <w:r>
        <w:rPr>
          <w:snapToGrid w:val="0"/>
        </w:rPr>
        <w:t>.</w:t>
      </w:r>
      <w:r>
        <w:rPr>
          <w:snapToGrid w:val="0"/>
        </w:rPr>
        <w:tab/>
        <w:t>Effect of payment of rebated amount</w:t>
      </w:r>
      <w:bookmarkEnd w:id="156"/>
      <w:bookmarkEnd w:id="157"/>
    </w:p>
    <w:p>
      <w:pPr>
        <w:pStyle w:val="Subsection"/>
      </w:pPr>
      <w:r>
        <w:tab/>
        <w:t>(1)</w:t>
      </w:r>
      <w:r>
        <w:tab/>
        <w:t>A reference in this section to a rebated amount in relation to a person includes, in respect of a rebated amount that is apportioned in accordance with section 28, a reference to the proportion of the rebated amount that relates to the extent of the entitlement of the person.</w:t>
      </w:r>
    </w:p>
    <w:p>
      <w:pPr>
        <w:pStyle w:val="Subsection"/>
        <w:keepNext/>
        <w:rPr>
          <w:snapToGrid w:val="0"/>
        </w:rPr>
      </w:pPr>
      <w:r>
        <w:tab/>
        <w:t>(2)</w:t>
      </w:r>
      <w:r>
        <w:tab/>
        <w:t>If the rebated amount of a prescribed charge that is not a Water Corporation charge</w:t>
      </w:r>
      <w:r>
        <w:rPr>
          <w:snapToGrid w:val="0"/>
        </w:rPr>
        <w:t xml:space="preserve"> is paid by or on behalf of a registered person</w:t>
      </w:r>
      <w:r>
        <w:t xml:space="preserve"> before the end of the charged period or, if that person has been allowed an extended period under section 40(3A), before the end of that period</w:t>
      </w:r>
      <w:r>
        <w:rPr>
          <w:snapToGrid w:val="0"/>
        </w:rPr>
        <w:t>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Subsection"/>
      </w:pPr>
      <w:r>
        <w:tab/>
        <w:t>(3)</w:t>
      </w:r>
      <w:r>
        <w:tab/>
        <w:t>If the rebated amount of a Water Corporation charge is paid by or on behalf of a registered person by the final payment day or, if that person has been allowed an extended period under section 40(3A), before the end of that period then, subject to this Act —</w:t>
      </w:r>
    </w:p>
    <w:p>
      <w:pPr>
        <w:pStyle w:val="Indenta"/>
      </w:pPr>
      <w:r>
        <w:tab/>
        <w:t>(a)</w:t>
      </w:r>
      <w:r>
        <w:tab/>
        <w:t>the person is not liable to pay any further amount for the prescribed charge; and</w:t>
      </w:r>
    </w:p>
    <w:p>
      <w:pPr>
        <w:pStyle w:val="Indenta"/>
      </w:pPr>
      <w:r>
        <w:tab/>
        <w:t>(b)</w:t>
      </w:r>
      <w:r>
        <w:tab/>
        <w:t>the Water Corporation has no further claim against the person for the prescribed charge.</w:t>
      </w:r>
    </w:p>
    <w:p>
      <w:pPr>
        <w:pStyle w:val="Footnotesection"/>
      </w:pPr>
      <w:r>
        <w:tab/>
        <w:t>[Section 41 amended by No. 25 of 1993 s. 14; No. 13 of 2007 s. 11; No. 4 of 2013 s. 11.]</w:t>
      </w:r>
    </w:p>
    <w:p>
      <w:pPr>
        <w:pStyle w:val="Heading5"/>
        <w:rPr>
          <w:snapToGrid w:val="0"/>
        </w:rPr>
      </w:pPr>
      <w:bookmarkStart w:id="158" w:name="_Toc472003407"/>
      <w:bookmarkStart w:id="159" w:name="_Toc435024170"/>
      <w:r>
        <w:rPr>
          <w:rStyle w:val="CharSectno"/>
        </w:rPr>
        <w:t>42</w:t>
      </w:r>
      <w:r>
        <w:rPr>
          <w:snapToGrid w:val="0"/>
        </w:rPr>
        <w:t>.</w:t>
      </w:r>
      <w:r>
        <w:rPr>
          <w:snapToGrid w:val="0"/>
        </w:rPr>
        <w:tab/>
        <w:t>Charges for periods preceding, or for improvements made or services provided subsequent to, registration</w:t>
      </w:r>
      <w:bookmarkEnd w:id="158"/>
      <w:bookmarkEnd w:id="159"/>
    </w:p>
    <w:p>
      <w:pPr>
        <w:pStyle w:val="Subsection"/>
        <w:rPr>
          <w:snapToGrid w:val="0"/>
        </w:rPr>
      </w:pPr>
      <w:r>
        <w:rPr>
          <w:snapToGrid w:val="0"/>
        </w:rPr>
        <w:tab/>
        <w:t>(1)</w:t>
      </w:r>
      <w:r>
        <w:rPr>
          <w:snapToGrid w:val="0"/>
        </w:rPr>
        <w:tab/>
        <w:t xml:space="preserve">If an administrative authority </w:t>
      </w:r>
      <w:r>
        <w:t>other than the Water Corporation</w:t>
      </w:r>
      <w:r>
        <w:rPr>
          <w:snapToGrid w:val="0"/>
        </w:rPr>
        <w:t xml:space="preserve">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 and</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pPr>
      <w:r>
        <w:tab/>
        <w:t>(2A)</w:t>
      </w:r>
      <w:r>
        <w:tab/>
        <w:t xml:space="preserve">If — </w:t>
      </w:r>
    </w:p>
    <w:p>
      <w:pPr>
        <w:pStyle w:val="Indenta"/>
      </w:pPr>
      <w:r>
        <w:tab/>
        <w:t>(a)</w:t>
      </w:r>
      <w:r>
        <w:tab/>
        <w:t xml:space="preserve">the Water Corporation makes a prescribed charge in respect of a period (the </w:t>
      </w:r>
      <w:r>
        <w:rPr>
          <w:rStyle w:val="CharDefText"/>
        </w:rPr>
        <w:t>relevant period</w:t>
      </w:r>
      <w:r>
        <w:t>), some of which precedes the date of issue of the notice requiring payment of the prescribed charge; and</w:t>
      </w:r>
    </w:p>
    <w:p>
      <w:pPr>
        <w:pStyle w:val="Indenta"/>
      </w:pPr>
      <w:r>
        <w:tab/>
        <w:t>(b)</w:t>
      </w:r>
      <w:r>
        <w:tab/>
        <w:t>the relevant period is longer than the standard charged period for a charge of that kind; and</w:t>
      </w:r>
    </w:p>
    <w:p>
      <w:pPr>
        <w:pStyle w:val="Indenta"/>
      </w:pPr>
      <w:r>
        <w:tab/>
        <w:t>(c)</w:t>
      </w:r>
      <w:r>
        <w:tab/>
        <w:t>an entitlement, of the person liable for the charge, as regards the land is registered after the date of issue of the notice and before the final payment day,</w:t>
      </w:r>
    </w:p>
    <w:p>
      <w:pPr>
        <w:pStyle w:val="Subsection"/>
      </w:pPr>
      <w:r>
        <w:tab/>
      </w:r>
      <w:r>
        <w:tab/>
        <w:t>the person may, subject to subsection (2), be allowed a rebate on the prescribed charge, for any part of the relevant period during which the person was both liable to pay the charge and entitled to apply for the registration of an entitlement as regards the land.</w:t>
      </w:r>
    </w:p>
    <w:p>
      <w:pPr>
        <w:pStyle w:val="Subsection"/>
        <w:spacing w:before="120"/>
        <w:rPr>
          <w:snapToGrid w:val="0"/>
        </w:rPr>
      </w:pPr>
      <w:r>
        <w:rPr>
          <w:snapToGrid w:val="0"/>
        </w:rPr>
        <w:tab/>
        <w:t>(2)</w:t>
      </w:r>
      <w:r>
        <w:rPr>
          <w:snapToGrid w:val="0"/>
        </w:rPr>
        <w:tab/>
        <w:t xml:space="preserve">A rebate may be allowed under subsection (1) </w:t>
      </w:r>
      <w:r>
        <w:t xml:space="preserve">or (2A) </w:t>
      </w:r>
      <w:r>
        <w:rPr>
          <w:snapToGrid w:val="0"/>
        </w:rPr>
        <w:t>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spacing w:before="120"/>
      </w:pPr>
      <w:r>
        <w:tab/>
        <w:t>(3A)</w:t>
      </w:r>
      <w:r>
        <w:tab/>
        <w:t>If a rebate is allowed under this section, the administrative authority must, when necessary, refund, or give credit for, the amount of the rebate.</w:t>
      </w:r>
    </w:p>
    <w:p>
      <w:pPr>
        <w:pStyle w:val="Subsection"/>
        <w:spacing w:before="120"/>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keepNext/>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spacing w:before="100"/>
        <w:ind w:left="890" w:hanging="890"/>
      </w:pPr>
      <w:r>
        <w:tab/>
        <w:t>[Section 42 amended by No. 3 of 2001 s. 14; No. 42 of 2002 s. 35; No. 4 of 2013 s. 12.]</w:t>
      </w:r>
    </w:p>
    <w:p>
      <w:pPr>
        <w:pStyle w:val="Heading2"/>
      </w:pPr>
      <w:bookmarkStart w:id="160" w:name="_Toc471907614"/>
      <w:bookmarkStart w:id="161" w:name="_Toc472003408"/>
      <w:bookmarkStart w:id="162" w:name="_Toc424293138"/>
      <w:bookmarkStart w:id="163" w:name="_Toc431893945"/>
      <w:bookmarkStart w:id="164" w:name="_Toc435024171"/>
      <w:r>
        <w:rPr>
          <w:rStyle w:val="CharPartNo"/>
        </w:rPr>
        <w:t>Part 4</w:t>
      </w:r>
      <w:r>
        <w:t> — </w:t>
      </w:r>
      <w:r>
        <w:rPr>
          <w:rStyle w:val="CharPartText"/>
        </w:rPr>
        <w:t>Deferment</w:t>
      </w:r>
      <w:bookmarkEnd w:id="160"/>
      <w:bookmarkEnd w:id="161"/>
      <w:bookmarkEnd w:id="162"/>
      <w:bookmarkEnd w:id="163"/>
      <w:bookmarkEnd w:id="164"/>
    </w:p>
    <w:p>
      <w:pPr>
        <w:pStyle w:val="Heading3"/>
      </w:pPr>
      <w:bookmarkStart w:id="165" w:name="_Toc471907615"/>
      <w:bookmarkStart w:id="166" w:name="_Toc472003409"/>
      <w:bookmarkStart w:id="167" w:name="_Toc424293139"/>
      <w:bookmarkStart w:id="168" w:name="_Toc431893946"/>
      <w:bookmarkStart w:id="169" w:name="_Toc435024172"/>
      <w:r>
        <w:rPr>
          <w:rStyle w:val="CharDivNo"/>
        </w:rPr>
        <w:t>Division 1</w:t>
      </w:r>
      <w:r>
        <w:rPr>
          <w:snapToGrid w:val="0"/>
        </w:rPr>
        <w:t> — </w:t>
      </w:r>
      <w:r>
        <w:rPr>
          <w:rStyle w:val="CharDivText"/>
        </w:rPr>
        <w:t>Where charges may be deferred</w:t>
      </w:r>
      <w:bookmarkEnd w:id="165"/>
      <w:bookmarkEnd w:id="166"/>
      <w:bookmarkEnd w:id="167"/>
      <w:bookmarkEnd w:id="168"/>
      <w:bookmarkEnd w:id="169"/>
    </w:p>
    <w:p>
      <w:pPr>
        <w:pStyle w:val="Heading5"/>
        <w:rPr>
          <w:snapToGrid w:val="0"/>
        </w:rPr>
      </w:pPr>
      <w:bookmarkStart w:id="170" w:name="_Toc472003410"/>
      <w:bookmarkStart w:id="171" w:name="_Toc435024173"/>
      <w:r>
        <w:rPr>
          <w:rStyle w:val="CharSectno"/>
        </w:rPr>
        <w:t>43</w:t>
      </w:r>
      <w:r>
        <w:rPr>
          <w:snapToGrid w:val="0"/>
        </w:rPr>
        <w:t>.</w:t>
      </w:r>
      <w:r>
        <w:rPr>
          <w:snapToGrid w:val="0"/>
        </w:rPr>
        <w:tab/>
        <w:t>Circumstances where deferment may be allowed</w:t>
      </w:r>
      <w:bookmarkEnd w:id="170"/>
      <w:bookmarkEnd w:id="171"/>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 and</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 15; No. 3 of 2001 s. 15; No. 28 of 2003 s. 171; No. 9 of 2005 s. 15; No. 31 of 2006 s. 37; No. 32 of 2006 s. 98.]</w:t>
      </w:r>
    </w:p>
    <w:p>
      <w:pPr>
        <w:pStyle w:val="Heading5"/>
        <w:rPr>
          <w:snapToGrid w:val="0"/>
        </w:rPr>
      </w:pPr>
      <w:bookmarkStart w:id="172" w:name="_Toc472003411"/>
      <w:bookmarkStart w:id="173" w:name="_Toc435024174"/>
      <w:r>
        <w:rPr>
          <w:rStyle w:val="CharSectno"/>
        </w:rPr>
        <w:t>44</w:t>
      </w:r>
      <w:r>
        <w:rPr>
          <w:snapToGrid w:val="0"/>
        </w:rPr>
        <w:t>.</w:t>
      </w:r>
      <w:r>
        <w:rPr>
          <w:snapToGrid w:val="0"/>
        </w:rPr>
        <w:tab/>
        <w:t>Deferred payment of rates by eligible pensioner</w:t>
      </w:r>
      <w:bookmarkEnd w:id="172"/>
      <w:bookmarkEnd w:id="173"/>
    </w:p>
    <w:p>
      <w:pPr>
        <w:pStyle w:val="Subsection"/>
        <w:rPr>
          <w:snapToGrid w:val="0"/>
        </w:rPr>
      </w:pPr>
      <w:r>
        <w:rPr>
          <w:snapToGrid w:val="0"/>
        </w:rPr>
        <w:tab/>
        <w:t>(1)</w:t>
      </w:r>
      <w:r>
        <w:rPr>
          <w:snapToGrid w:val="0"/>
        </w:rPr>
        <w:tab/>
        <w:t xml:space="preserve">Where an eligible pensioner who is a registered person does not pay, or does not wholly pay, the rebated amount of any charge </w:t>
      </w:r>
      <w:r>
        <w:t xml:space="preserve">by the day determined in accordance with subsection (2A) </w:t>
      </w:r>
      <w:r>
        <w:rPr>
          <w:snapToGrid w:val="0"/>
        </w:rPr>
        <w:t>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pPr>
      <w:r>
        <w:tab/>
        <w:t>(2A)</w:t>
      </w:r>
      <w:r>
        <w:tab/>
        <w:t>For the purposes of subsection (1) the day is —</w:t>
      </w:r>
    </w:p>
    <w:p>
      <w:pPr>
        <w:pStyle w:val="Indenta"/>
      </w:pPr>
      <w:r>
        <w:tab/>
        <w:t>(a)</w:t>
      </w:r>
      <w:r>
        <w:tab/>
        <w:t>if paragraphs (b) or (c) do not apply —</w:t>
      </w:r>
    </w:p>
    <w:p>
      <w:pPr>
        <w:pStyle w:val="Indenti"/>
      </w:pPr>
      <w:r>
        <w:tab/>
        <w:t>(i)</w:t>
      </w:r>
      <w:r>
        <w:tab/>
        <w:t>if the charge is a Water Corporation charge — the final payment day; or</w:t>
      </w:r>
    </w:p>
    <w:p>
      <w:pPr>
        <w:pStyle w:val="Indenti"/>
      </w:pPr>
      <w:r>
        <w:tab/>
        <w:t>(ii)</w:t>
      </w:r>
      <w:r>
        <w:tab/>
        <w:t>if the charge is not a Water Corporation charge — the last day of the charged period;</w:t>
      </w:r>
    </w:p>
    <w:p>
      <w:pPr>
        <w:pStyle w:val="Indenta"/>
      </w:pPr>
      <w:r>
        <w:tab/>
      </w:r>
      <w:r>
        <w:tab/>
        <w:t>or</w:t>
      </w:r>
    </w:p>
    <w:p>
      <w:pPr>
        <w:pStyle w:val="Indenta"/>
      </w:pPr>
      <w:r>
        <w:tab/>
        <w:t>(b)</w:t>
      </w:r>
      <w:r>
        <w:tab/>
        <w:t>if the person has been allowed an extended period under section 40(3A) — the last day of that period; or</w:t>
      </w:r>
    </w:p>
    <w:p>
      <w:pPr>
        <w:pStyle w:val="Indenta"/>
      </w:pPr>
      <w:r>
        <w:tab/>
        <w:t>(c)</w:t>
      </w:r>
      <w:r>
        <w:tab/>
        <w:t>if a period has been specified under section 42(2) — the last day of that period.</w:t>
      </w:r>
    </w:p>
    <w:p>
      <w:pPr>
        <w:pStyle w:val="Subsection"/>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 or</w:t>
      </w:r>
    </w:p>
    <w:p>
      <w:pPr>
        <w:pStyle w:val="Indenta"/>
        <w:rPr>
          <w:snapToGrid w:val="0"/>
        </w:rPr>
      </w:pPr>
      <w:r>
        <w:rPr>
          <w:snapToGrid w:val="0"/>
        </w:rPr>
        <w:tab/>
        <w:t>(b)</w:t>
      </w:r>
      <w:r>
        <w:rPr>
          <w:snapToGrid w:val="0"/>
        </w:rPr>
        <w:tab/>
        <w:t>ceases to be a person entitled to the land; or</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 or</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spacing w:before="180"/>
        <w:rPr>
          <w:snapToGrid w:val="0"/>
        </w:rPr>
      </w:pPr>
      <w:r>
        <w:rPr>
          <w:snapToGrid w:val="0"/>
        </w:rPr>
        <w:tab/>
      </w:r>
      <w:r>
        <w:rPr>
          <w:snapToGrid w:val="0"/>
        </w:rPr>
        <w:tab/>
        <w:t>whichever happens first.</w:t>
      </w:r>
    </w:p>
    <w:p>
      <w:pPr>
        <w:pStyle w:val="Subsection"/>
        <w:spacing w:before="180"/>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r>
        <w:tab/>
        <w:t>[Section 44 amended by No. 28 of 2003 s. 172; No. 13 of 2007 s. 12; No. 4 of 2013 s. 13.]</w:t>
      </w:r>
    </w:p>
    <w:p>
      <w:pPr>
        <w:pStyle w:val="Heading5"/>
        <w:spacing w:before="240"/>
        <w:rPr>
          <w:snapToGrid w:val="0"/>
        </w:rPr>
      </w:pPr>
      <w:bookmarkStart w:id="174" w:name="_Toc472003412"/>
      <w:bookmarkStart w:id="175" w:name="_Toc435024175"/>
      <w:r>
        <w:rPr>
          <w:rStyle w:val="CharSectno"/>
        </w:rPr>
        <w:t>45</w:t>
      </w:r>
      <w:r>
        <w:rPr>
          <w:snapToGrid w:val="0"/>
        </w:rPr>
        <w:t>.</w:t>
      </w:r>
      <w:r>
        <w:rPr>
          <w:snapToGrid w:val="0"/>
        </w:rPr>
        <w:tab/>
        <w:t>Where charges may remain deferred in favour of a spouse</w:t>
      </w:r>
      <w:r>
        <w:t xml:space="preserve"> or de facto partner</w:t>
      </w:r>
      <w:bookmarkEnd w:id="174"/>
      <w:bookmarkEnd w:id="175"/>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keepNext/>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 or</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r>
        <w:tab/>
        <w:t>[Section 45 amended by No. 28 of 2003 s. 173.]</w:t>
      </w:r>
    </w:p>
    <w:p>
      <w:pPr>
        <w:pStyle w:val="Heading5"/>
        <w:rPr>
          <w:snapToGrid w:val="0"/>
        </w:rPr>
      </w:pPr>
      <w:bookmarkStart w:id="176" w:name="_Toc472003413"/>
      <w:bookmarkStart w:id="177" w:name="_Toc435024176"/>
      <w:r>
        <w:rPr>
          <w:rStyle w:val="CharSectno"/>
        </w:rPr>
        <w:t>46</w:t>
      </w:r>
      <w:r>
        <w:rPr>
          <w:snapToGrid w:val="0"/>
        </w:rPr>
        <w:t>.</w:t>
      </w:r>
      <w:r>
        <w:rPr>
          <w:snapToGrid w:val="0"/>
        </w:rPr>
        <w:tab/>
        <w:t>Continuing liability for payment of deferred charges to be a charge on the land</w:t>
      </w:r>
      <w:bookmarkEnd w:id="176"/>
      <w:bookmarkEnd w:id="177"/>
    </w:p>
    <w:p>
      <w:pPr>
        <w:pStyle w:val="Subsection"/>
        <w:spacing w:before="120"/>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6</w:t>
      </w:r>
      <w:r>
        <w:rPr>
          <w:snapToGrid w:val="0"/>
        </w:rPr>
        <w:t>; or</w:t>
      </w:r>
    </w:p>
    <w:p>
      <w:pPr>
        <w:pStyle w:val="Indenti"/>
        <w:spacing w:before="60"/>
        <w:rPr>
          <w:snapToGrid w:val="0"/>
        </w:rPr>
      </w:pPr>
      <w:r>
        <w:rPr>
          <w:snapToGrid w:val="0"/>
        </w:rPr>
        <w:tab/>
        <w:t>(ii)</w:t>
      </w:r>
      <w:r>
        <w:rPr>
          <w:snapToGrid w:val="0"/>
        </w:rPr>
        <w:tab/>
        <w:t xml:space="preserve">the </w:t>
      </w:r>
      <w:r>
        <w:rPr>
          <w:i/>
          <w:snapToGrid w:val="0"/>
        </w:rPr>
        <w:t>Housing Act 1980</w:t>
      </w:r>
      <w:r>
        <w:rPr>
          <w:snapToGrid w:val="0"/>
        </w:rPr>
        <w:t>;</w:t>
      </w:r>
    </w:p>
    <w:p>
      <w:pPr>
        <w:pStyle w:val="Indenta"/>
        <w:spacing w:before="60"/>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spacing w:before="60"/>
        <w:rPr>
          <w:snapToGrid w:val="0"/>
        </w:rPr>
      </w:pPr>
      <w:r>
        <w:rPr>
          <w:snapToGrid w:val="0"/>
        </w:rPr>
        <w:tab/>
        <w:t>(i)</w:t>
      </w:r>
      <w:r>
        <w:rPr>
          <w:snapToGrid w:val="0"/>
        </w:rPr>
        <w:tab/>
        <w:t>entered into between the Commonwealth and the State; or</w:t>
      </w:r>
    </w:p>
    <w:p>
      <w:pPr>
        <w:pStyle w:val="Indenti"/>
        <w:spacing w:before="60"/>
        <w:rPr>
          <w:snapToGrid w:val="0"/>
        </w:rPr>
      </w:pPr>
      <w:r>
        <w:rPr>
          <w:snapToGrid w:val="0"/>
        </w:rPr>
        <w:tab/>
        <w:t>(ii)</w:t>
      </w:r>
      <w:r>
        <w:rPr>
          <w:snapToGrid w:val="0"/>
        </w:rPr>
        <w:tab/>
        <w:t>administered or managed by</w:t>
      </w:r>
      <w:r>
        <w:t xml:space="preserve"> the Housing Authority</w:t>
      </w:r>
      <w:r>
        <w:rPr>
          <w:snapToGrid w:val="0"/>
        </w:rPr>
        <w:t>,</w:t>
      </w:r>
    </w:p>
    <w:p>
      <w:pPr>
        <w:pStyle w:val="Subsection"/>
        <w:spacing w:before="120"/>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spacing w:before="120"/>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ind w:left="890" w:hanging="890"/>
      </w:pPr>
      <w:r>
        <w:tab/>
        <w:t>[Section 46 amended by No. 28 of 2006 s. 432.]</w:t>
      </w:r>
    </w:p>
    <w:p>
      <w:pPr>
        <w:pStyle w:val="Heading3"/>
      </w:pPr>
      <w:bookmarkStart w:id="178" w:name="_Toc471907620"/>
      <w:bookmarkStart w:id="179" w:name="_Toc472003414"/>
      <w:bookmarkStart w:id="180" w:name="_Toc424293144"/>
      <w:bookmarkStart w:id="181" w:name="_Toc431893951"/>
      <w:bookmarkStart w:id="182" w:name="_Toc435024177"/>
      <w:r>
        <w:rPr>
          <w:rStyle w:val="CharDivNo"/>
        </w:rPr>
        <w:t>Division 2</w:t>
      </w:r>
      <w:r>
        <w:rPr>
          <w:snapToGrid w:val="0"/>
        </w:rPr>
        <w:t> — </w:t>
      </w:r>
      <w:r>
        <w:rPr>
          <w:rStyle w:val="CharDivText"/>
        </w:rPr>
        <w:t>Where charges may not be deferred</w:t>
      </w:r>
      <w:bookmarkEnd w:id="178"/>
      <w:bookmarkEnd w:id="179"/>
      <w:bookmarkEnd w:id="180"/>
      <w:bookmarkEnd w:id="181"/>
      <w:bookmarkEnd w:id="182"/>
    </w:p>
    <w:p>
      <w:pPr>
        <w:pStyle w:val="Heading5"/>
        <w:spacing w:before="180"/>
        <w:rPr>
          <w:snapToGrid w:val="0"/>
        </w:rPr>
      </w:pPr>
      <w:bookmarkStart w:id="183" w:name="_Toc472003415"/>
      <w:bookmarkStart w:id="184" w:name="_Toc435024178"/>
      <w:r>
        <w:rPr>
          <w:rStyle w:val="CharSectno"/>
        </w:rPr>
        <w:t>47</w:t>
      </w:r>
      <w:r>
        <w:rPr>
          <w:snapToGrid w:val="0"/>
        </w:rPr>
        <w:t>.</w:t>
      </w:r>
      <w:r>
        <w:rPr>
          <w:snapToGrid w:val="0"/>
        </w:rPr>
        <w:tab/>
        <w:t>Charges likely not to be recoverable</w:t>
      </w:r>
      <w:bookmarkEnd w:id="183"/>
      <w:bookmarkEnd w:id="184"/>
    </w:p>
    <w:p>
      <w:pPr>
        <w:pStyle w:val="Subsection"/>
        <w:spacing w:before="120"/>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t> </w:t>
      </w:r>
      <w:r>
        <w:rPr>
          <w:vertAlign w:val="superscript"/>
        </w:rPr>
        <w:t>5</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185" w:name="_Toc471907622"/>
      <w:bookmarkStart w:id="186" w:name="_Toc472003416"/>
      <w:bookmarkStart w:id="187" w:name="_Toc424293146"/>
      <w:bookmarkStart w:id="188" w:name="_Toc431893953"/>
      <w:bookmarkStart w:id="189" w:name="_Toc435024179"/>
      <w:r>
        <w:rPr>
          <w:rStyle w:val="CharPartNo"/>
        </w:rPr>
        <w:t>Part 5</w:t>
      </w:r>
      <w:r>
        <w:rPr>
          <w:rStyle w:val="CharDivNo"/>
        </w:rPr>
        <w:t> </w:t>
      </w:r>
      <w:r>
        <w:t>—</w:t>
      </w:r>
      <w:r>
        <w:rPr>
          <w:rStyle w:val="CharDivText"/>
        </w:rPr>
        <w:t> </w:t>
      </w:r>
      <w:r>
        <w:rPr>
          <w:rStyle w:val="CharPartText"/>
        </w:rPr>
        <w:t>General</w:t>
      </w:r>
      <w:bookmarkEnd w:id="185"/>
      <w:bookmarkEnd w:id="186"/>
      <w:bookmarkEnd w:id="187"/>
      <w:bookmarkEnd w:id="188"/>
      <w:bookmarkEnd w:id="189"/>
    </w:p>
    <w:p>
      <w:pPr>
        <w:pStyle w:val="Heading5"/>
        <w:rPr>
          <w:snapToGrid w:val="0"/>
        </w:rPr>
      </w:pPr>
      <w:bookmarkStart w:id="190" w:name="_Toc472003417"/>
      <w:bookmarkStart w:id="191" w:name="_Toc435024180"/>
      <w:r>
        <w:rPr>
          <w:rStyle w:val="CharSectno"/>
        </w:rPr>
        <w:t>48</w:t>
      </w:r>
      <w:r>
        <w:rPr>
          <w:snapToGrid w:val="0"/>
        </w:rPr>
        <w:t>.</w:t>
      </w:r>
      <w:r>
        <w:rPr>
          <w:snapToGrid w:val="0"/>
        </w:rPr>
        <w:tab/>
        <w:t>Registration of documents</w:t>
      </w:r>
      <w:bookmarkEnd w:id="190"/>
      <w:bookmarkEnd w:id="191"/>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spacing w:before="180"/>
        <w:rPr>
          <w:snapToGrid w:val="0"/>
        </w:rPr>
      </w:pPr>
      <w:bookmarkStart w:id="192" w:name="_Toc472003418"/>
      <w:bookmarkStart w:id="193" w:name="_Toc435024181"/>
      <w:r>
        <w:rPr>
          <w:rStyle w:val="CharSectno"/>
        </w:rPr>
        <w:t>49</w:t>
      </w:r>
      <w:r>
        <w:rPr>
          <w:snapToGrid w:val="0"/>
        </w:rPr>
        <w:t>.</w:t>
      </w:r>
      <w:r>
        <w:rPr>
          <w:snapToGrid w:val="0"/>
        </w:rPr>
        <w:tab/>
        <w:t xml:space="preserve">Recovery of deferred charges not prevented by </w:t>
      </w:r>
      <w:r>
        <w:rPr>
          <w:i/>
          <w:snapToGrid w:val="0"/>
        </w:rPr>
        <w:t>Limitation Act 2005</w:t>
      </w:r>
      <w:bookmarkEnd w:id="192"/>
      <w:bookmarkEnd w:id="193"/>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spacing w:before="180"/>
        <w:rPr>
          <w:snapToGrid w:val="0"/>
        </w:rPr>
      </w:pPr>
      <w:bookmarkStart w:id="194" w:name="_Toc472003419"/>
      <w:bookmarkStart w:id="195" w:name="_Toc435024182"/>
      <w:r>
        <w:rPr>
          <w:rStyle w:val="CharSectno"/>
        </w:rPr>
        <w:t>50</w:t>
      </w:r>
      <w:r>
        <w:rPr>
          <w:snapToGrid w:val="0"/>
        </w:rPr>
        <w:t>.</w:t>
      </w:r>
      <w:r>
        <w:rPr>
          <w:snapToGrid w:val="0"/>
        </w:rPr>
        <w:tab/>
        <w:t>Regulations</w:t>
      </w:r>
      <w:bookmarkEnd w:id="194"/>
      <w:bookmarkEnd w:id="195"/>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ection"/>
        <w:ind w:left="890" w:hanging="890"/>
      </w:pPr>
      <w:r>
        <w:t>[</w:t>
      </w:r>
      <w:r>
        <w:rPr>
          <w:b/>
        </w:rPr>
        <w:t>51.</w:t>
      </w:r>
      <w:r>
        <w:tab/>
        <w:t>Omitted under the Reprints Act 1984 s. 7(4)(f).]</w:t>
      </w:r>
    </w:p>
    <w:p>
      <w:pPr>
        <w:pStyle w:val="Ednotesection"/>
        <w:ind w:left="890" w:hanging="890"/>
      </w:pPr>
      <w:r>
        <w:t>[</w:t>
      </w:r>
      <w:r>
        <w:rPr>
          <w:b/>
        </w:rPr>
        <w:t>52.</w:t>
      </w:r>
      <w:r>
        <w:tab/>
        <w:t>Omitted under the Reprints Act 1984 s. 7(4)(e).]</w:t>
      </w:r>
    </w:p>
    <w:p>
      <w:pPr>
        <w:pStyle w:val="Heading5"/>
      </w:pPr>
      <w:bookmarkStart w:id="196" w:name="_Toc472003420"/>
      <w:bookmarkStart w:id="197" w:name="_Toc435024183"/>
      <w:r>
        <w:rPr>
          <w:rStyle w:val="CharSectno"/>
        </w:rPr>
        <w:t>53</w:t>
      </w:r>
      <w:r>
        <w:t>.</w:t>
      </w:r>
      <w:r>
        <w:tab/>
        <w:t>Transitional provisions</w:t>
      </w:r>
      <w:bookmarkEnd w:id="196"/>
      <w:bookmarkEnd w:id="197"/>
    </w:p>
    <w:p>
      <w:pPr>
        <w:pStyle w:val="Subsection"/>
      </w:pPr>
      <w:r>
        <w:tab/>
      </w:r>
      <w:r>
        <w:tab/>
        <w:t>Schedule 1 contains transitional provisions relating to amendments made to this Act.</w:t>
      </w:r>
    </w:p>
    <w:p>
      <w:pPr>
        <w:pStyle w:val="Footnotesection"/>
      </w:pPr>
      <w:r>
        <w:tab/>
        <w:t>[Section 53 inserted by No. 31 of 2006 s. 38.]</w:t>
      </w:r>
    </w:p>
    <w:p>
      <w:pPr>
        <w:sectPr>
          <w:headerReference w:type="even" r:id="rId19"/>
          <w:headerReference w:type="default" r:id="rId20"/>
          <w:footerReference w:type="even" r:id="rId21"/>
          <w:footerReference w:type="default" r:id="rId22"/>
          <w:headerReference w:type="first" r:id="rId23"/>
          <w:foot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98" w:name="_Toc471907627"/>
      <w:bookmarkStart w:id="199" w:name="_Toc472003421"/>
      <w:bookmarkStart w:id="200" w:name="_Toc424293151"/>
      <w:bookmarkStart w:id="201" w:name="_Toc431893958"/>
      <w:bookmarkStart w:id="202" w:name="_Toc435024184"/>
      <w:r>
        <w:rPr>
          <w:rStyle w:val="CharSchNo"/>
        </w:rPr>
        <w:t>Schedule 1</w:t>
      </w:r>
      <w:r>
        <w:t> — </w:t>
      </w:r>
      <w:r>
        <w:rPr>
          <w:rStyle w:val="CharSchText"/>
        </w:rPr>
        <w:t>Transitional provisions</w:t>
      </w:r>
      <w:bookmarkEnd w:id="198"/>
      <w:bookmarkEnd w:id="199"/>
      <w:bookmarkEnd w:id="200"/>
      <w:bookmarkEnd w:id="201"/>
      <w:bookmarkEnd w:id="202"/>
    </w:p>
    <w:p>
      <w:pPr>
        <w:pStyle w:val="yShoulderClause"/>
      </w:pPr>
      <w:r>
        <w:t>[s. 53]</w:t>
      </w:r>
    </w:p>
    <w:p>
      <w:pPr>
        <w:pStyle w:val="yFootnoteheading"/>
      </w:pPr>
      <w:r>
        <w:tab/>
        <w:t>[Heading inserted by No. 31 of 2006 s. 39.]</w:t>
      </w:r>
    </w:p>
    <w:p>
      <w:pPr>
        <w:pStyle w:val="yHeading3"/>
        <w:outlineLvl w:val="9"/>
      </w:pPr>
      <w:bookmarkStart w:id="203" w:name="_Toc471907628"/>
      <w:bookmarkStart w:id="204" w:name="_Toc472003422"/>
      <w:bookmarkStart w:id="205" w:name="_Toc424293152"/>
      <w:bookmarkStart w:id="206" w:name="_Toc431893959"/>
      <w:bookmarkStart w:id="207" w:name="_Toc435024185"/>
      <w:r>
        <w:rPr>
          <w:rStyle w:val="CharSDivNo"/>
        </w:rPr>
        <w:t>Division 1</w:t>
      </w:r>
      <w:r>
        <w:rPr>
          <w:b w:val="0"/>
        </w:rPr>
        <w:t> — </w:t>
      </w:r>
      <w:r>
        <w:rPr>
          <w:rStyle w:val="CharSDivText"/>
        </w:rPr>
        <w:t xml:space="preserve">Provision for </w:t>
      </w:r>
      <w:r>
        <w:rPr>
          <w:rStyle w:val="CharSDivText"/>
          <w:i/>
        </w:rPr>
        <w:t>Revenue Laws Amendment Act 2006</w:t>
      </w:r>
      <w:bookmarkEnd w:id="203"/>
      <w:bookmarkEnd w:id="204"/>
      <w:bookmarkEnd w:id="205"/>
      <w:bookmarkEnd w:id="206"/>
      <w:bookmarkEnd w:id="207"/>
    </w:p>
    <w:p>
      <w:pPr>
        <w:pStyle w:val="yFootnoteheading"/>
      </w:pPr>
      <w:r>
        <w:tab/>
        <w:t>[Heading inserted by No. 31 of 2006 s. 39.]</w:t>
      </w:r>
    </w:p>
    <w:p>
      <w:pPr>
        <w:pStyle w:val="yHeading5"/>
        <w:outlineLvl w:val="9"/>
      </w:pPr>
      <w:bookmarkStart w:id="208" w:name="_Toc472003423"/>
      <w:bookmarkStart w:id="209" w:name="_Toc435024186"/>
      <w:r>
        <w:rPr>
          <w:rStyle w:val="CharSClsNo"/>
        </w:rPr>
        <w:t>1</w:t>
      </w:r>
      <w:r>
        <w:t>.</w:t>
      </w:r>
      <w:r>
        <w:rPr>
          <w:b w:val="0"/>
        </w:rPr>
        <w:tab/>
      </w:r>
      <w:r>
        <w:t>Application of section 40</w:t>
      </w:r>
      <w:bookmarkEnd w:id="208"/>
      <w:bookmarkEnd w:id="209"/>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11" w:name="_Toc471907630"/>
      <w:bookmarkStart w:id="212" w:name="_Toc472003424"/>
      <w:bookmarkStart w:id="213" w:name="_Toc424293154"/>
      <w:bookmarkStart w:id="214" w:name="_Toc431893961"/>
      <w:bookmarkStart w:id="215" w:name="_Toc435024187"/>
      <w:r>
        <w:t>Notes</w:t>
      </w:r>
      <w:bookmarkEnd w:id="211"/>
      <w:bookmarkEnd w:id="212"/>
      <w:bookmarkEnd w:id="213"/>
      <w:bookmarkEnd w:id="214"/>
      <w:bookmarkEnd w:id="215"/>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16" w:name="_Toc472003425"/>
      <w:bookmarkStart w:id="217" w:name="_Toc435024188"/>
      <w:r>
        <w:rPr>
          <w:snapToGrid w:val="0"/>
        </w:rPr>
        <w:t>Compilation table</w:t>
      </w:r>
      <w:bookmarkEnd w:id="216"/>
      <w:bookmarkEnd w:id="217"/>
    </w:p>
    <w:tbl>
      <w:tblPr>
        <w:tblW w:w="0" w:type="auto"/>
        <w:tblInd w:w="28" w:type="dxa"/>
        <w:tblLayout w:type="fixed"/>
        <w:tblCellMar>
          <w:left w:w="56" w:type="dxa"/>
          <w:right w:w="56" w:type="dxa"/>
        </w:tblCellMar>
        <w:tblLook w:val="0000" w:firstRow="0" w:lastRow="0" w:firstColumn="0" w:lastColumn="0" w:noHBand="0" w:noVBand="0"/>
      </w:tblPr>
      <w:tblGrid>
        <w:gridCol w:w="2273"/>
        <w:gridCol w:w="1136"/>
        <w:gridCol w:w="1134"/>
        <w:gridCol w:w="2551"/>
        <w:gridCol w:w="7"/>
      </w:tblGrid>
      <w:tr>
        <w:trPr>
          <w:cantSplit/>
          <w:tblHeader/>
        </w:trPr>
        <w:tc>
          <w:tcPr>
            <w:tcW w:w="2273"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8"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7" w:type="dxa"/>
          <w:cantSplit/>
        </w:trPr>
        <w:tc>
          <w:tcPr>
            <w:tcW w:w="2273" w:type="dxa"/>
          </w:tcPr>
          <w:p>
            <w:pPr>
              <w:pStyle w:val="nTable"/>
              <w:spacing w:after="40"/>
              <w:ind w:right="113"/>
            </w:pPr>
            <w:r>
              <w:rPr>
                <w:i/>
              </w:rPr>
              <w:t>Rates and Charges (Rebates and Deferments) Act 1992</w:t>
            </w:r>
          </w:p>
        </w:tc>
        <w:tc>
          <w:tcPr>
            <w:tcW w:w="1136" w:type="dxa"/>
          </w:tcPr>
          <w:p>
            <w:pPr>
              <w:pStyle w:val="nTable"/>
              <w:spacing w:after="40"/>
            </w:pPr>
            <w:r>
              <w:t>31 of 1992</w:t>
            </w:r>
          </w:p>
        </w:tc>
        <w:tc>
          <w:tcPr>
            <w:tcW w:w="1134" w:type="dxa"/>
          </w:tcPr>
          <w:p>
            <w:pPr>
              <w:pStyle w:val="nTable"/>
              <w:spacing w:after="40"/>
            </w:pPr>
            <w:r>
              <w:t>19 Jun 1992</w:t>
            </w:r>
          </w:p>
        </w:tc>
        <w:tc>
          <w:tcPr>
            <w:tcW w:w="2551" w:type="dxa"/>
          </w:tcPr>
          <w:p>
            <w:pPr>
              <w:pStyle w:val="nTable"/>
              <w:spacing w:after="40"/>
            </w:pPr>
            <w:r>
              <w:t>s. 1 and 2: 19 Jun 1992;</w:t>
            </w:r>
            <w:r>
              <w:br/>
              <w:t xml:space="preserve">Act other than s. 1 and 2: 1 Jul 1992 (see s. 2 and </w:t>
            </w:r>
            <w:r>
              <w:rPr>
                <w:i/>
              </w:rPr>
              <w:t>Gazette</w:t>
            </w:r>
            <w:r>
              <w:t xml:space="preserve"> 26 Jun 1992 p. 2643)</w:t>
            </w:r>
          </w:p>
        </w:tc>
      </w:tr>
      <w:tr>
        <w:trPr>
          <w:gridAfter w:val="1"/>
          <w:wAfter w:w="7" w:type="dxa"/>
          <w:cantSplit/>
        </w:trPr>
        <w:tc>
          <w:tcPr>
            <w:tcW w:w="2273" w:type="dxa"/>
          </w:tcPr>
          <w:p>
            <w:pPr>
              <w:pStyle w:val="nTable"/>
              <w:tabs>
                <w:tab w:val="left" w:pos="893"/>
              </w:tabs>
              <w:spacing w:after="40"/>
              <w:ind w:right="113"/>
            </w:pPr>
            <w:r>
              <w:rPr>
                <w:i/>
              </w:rPr>
              <w:t>Rates and Charges (Rebates and Deferments) Amendment Act 1993</w:t>
            </w:r>
          </w:p>
        </w:tc>
        <w:tc>
          <w:tcPr>
            <w:tcW w:w="1136" w:type="dxa"/>
          </w:tcPr>
          <w:p>
            <w:pPr>
              <w:pStyle w:val="nTable"/>
              <w:spacing w:after="40"/>
            </w:pPr>
            <w:r>
              <w:t>25 of 1993</w:t>
            </w:r>
          </w:p>
        </w:tc>
        <w:tc>
          <w:tcPr>
            <w:tcW w:w="1134" w:type="dxa"/>
          </w:tcPr>
          <w:p>
            <w:pPr>
              <w:pStyle w:val="nTable"/>
              <w:spacing w:after="40"/>
            </w:pPr>
            <w:r>
              <w:t>15 Dec 1993</w:t>
            </w:r>
          </w:p>
        </w:tc>
        <w:tc>
          <w:tcPr>
            <w:tcW w:w="2551" w:type="dxa"/>
          </w:tcPr>
          <w:p>
            <w:pPr>
              <w:pStyle w:val="nTable"/>
              <w:spacing w:after="40"/>
            </w:pPr>
            <w:r>
              <w:t>Pt. 1 and 2: 1 Jul 1993 (see s. 2(1));</w:t>
            </w:r>
            <w:r>
              <w:br/>
              <w:t xml:space="preserve">Pt. 3: 1 Jan 1994 (see s. 2(2) and </w:t>
            </w:r>
            <w:r>
              <w:rPr>
                <w:i/>
              </w:rPr>
              <w:t>Gazette</w:t>
            </w:r>
            <w:r>
              <w:t xml:space="preserve"> 31 Dec 1993 p. 6862)</w:t>
            </w:r>
          </w:p>
        </w:tc>
      </w:tr>
      <w:tr>
        <w:trPr>
          <w:gridAfter w:val="1"/>
          <w:wAfter w:w="7" w:type="dxa"/>
          <w:cantSplit/>
        </w:trPr>
        <w:tc>
          <w:tcPr>
            <w:tcW w:w="2273" w:type="dxa"/>
          </w:tcPr>
          <w:p>
            <w:pPr>
              <w:pStyle w:val="nTable"/>
              <w:spacing w:after="40"/>
              <w:ind w:right="113"/>
            </w:pPr>
            <w:r>
              <w:rPr>
                <w:i/>
              </w:rPr>
              <w:t>Statutes (Repeals and Minor Amendments) Act 1994</w:t>
            </w:r>
            <w:r>
              <w:t xml:space="preserve"> s. 4</w:t>
            </w:r>
          </w:p>
        </w:tc>
        <w:tc>
          <w:tcPr>
            <w:tcW w:w="1136"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gridAfter w:val="1"/>
          <w:wAfter w:w="7" w:type="dxa"/>
          <w:cantSplit/>
        </w:trPr>
        <w:tc>
          <w:tcPr>
            <w:tcW w:w="2273" w:type="dxa"/>
          </w:tcPr>
          <w:p>
            <w:pPr>
              <w:pStyle w:val="nTable"/>
              <w:spacing w:after="40"/>
              <w:ind w:right="113"/>
            </w:pPr>
            <w:r>
              <w:rPr>
                <w:i/>
              </w:rPr>
              <w:t>Water Agencies Restructure (Transitional and Consequential Provisions) Act 1995</w:t>
            </w:r>
            <w:r>
              <w:t xml:space="preserve"> s. 188</w:t>
            </w:r>
          </w:p>
        </w:tc>
        <w:tc>
          <w:tcPr>
            <w:tcW w:w="1136"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gridAfter w:val="1"/>
          <w:wAfter w:w="7" w:type="dxa"/>
          <w:cantSplit/>
        </w:trPr>
        <w:tc>
          <w:tcPr>
            <w:tcW w:w="2273" w:type="dxa"/>
          </w:tcPr>
          <w:p>
            <w:pPr>
              <w:pStyle w:val="nTable"/>
              <w:spacing w:after="40"/>
              <w:ind w:right="113"/>
            </w:pPr>
            <w:r>
              <w:rPr>
                <w:i/>
              </w:rPr>
              <w:t>Local Government (Consequential Amendments) Act 1996</w:t>
            </w:r>
            <w:r>
              <w:t xml:space="preserve"> s. 4</w:t>
            </w:r>
          </w:p>
        </w:tc>
        <w:tc>
          <w:tcPr>
            <w:tcW w:w="1136"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 xml:space="preserve">1 Jul 1996 (see s. 2) </w:t>
            </w:r>
          </w:p>
        </w:tc>
      </w:tr>
      <w:tr>
        <w:trPr>
          <w:gridAfter w:val="1"/>
          <w:wAfter w:w="7" w:type="dxa"/>
          <w:cantSplit/>
        </w:trPr>
        <w:tc>
          <w:tcPr>
            <w:tcW w:w="2273" w:type="dxa"/>
          </w:tcPr>
          <w:p>
            <w:pPr>
              <w:pStyle w:val="nTable"/>
              <w:spacing w:after="40"/>
              <w:ind w:right="113"/>
            </w:pPr>
            <w:r>
              <w:rPr>
                <w:i/>
              </w:rPr>
              <w:t>Statutes (Repeals and Minor Amendments) Act 1997</w:t>
            </w:r>
            <w:r>
              <w:t xml:space="preserve"> s. 102</w:t>
            </w:r>
          </w:p>
        </w:tc>
        <w:tc>
          <w:tcPr>
            <w:tcW w:w="1136"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gridAfter w:val="1"/>
          <w:wAfter w:w="7" w:type="dxa"/>
          <w:cantSplit/>
        </w:trPr>
        <w:tc>
          <w:tcPr>
            <w:tcW w:w="2273" w:type="dxa"/>
          </w:tcPr>
          <w:p>
            <w:pPr>
              <w:pStyle w:val="nTable"/>
              <w:spacing w:after="40"/>
              <w:ind w:right="113"/>
            </w:pPr>
            <w:r>
              <w:rPr>
                <w:i/>
              </w:rPr>
              <w:t>Revenue Laws Amendment (Assessment) Act 1998</w:t>
            </w:r>
            <w:r>
              <w:t xml:space="preserve"> Pt. 4</w:t>
            </w:r>
            <w:r>
              <w:rPr>
                <w:vertAlign w:val="superscript"/>
              </w:rPr>
              <w:t> 7</w:t>
            </w:r>
          </w:p>
        </w:tc>
        <w:tc>
          <w:tcPr>
            <w:tcW w:w="1136" w:type="dxa"/>
          </w:tcPr>
          <w:p>
            <w:pPr>
              <w:pStyle w:val="nTable"/>
              <w:spacing w:after="40"/>
            </w:pPr>
            <w:r>
              <w:t>22 of 1998</w:t>
            </w:r>
          </w:p>
        </w:tc>
        <w:tc>
          <w:tcPr>
            <w:tcW w:w="1134" w:type="dxa"/>
          </w:tcPr>
          <w:p>
            <w:pPr>
              <w:pStyle w:val="nTable"/>
              <w:spacing w:after="40"/>
            </w:pPr>
            <w:r>
              <w:t>30 Jun 1998</w:t>
            </w:r>
          </w:p>
        </w:tc>
        <w:tc>
          <w:tcPr>
            <w:tcW w:w="2551" w:type="dxa"/>
          </w:tcPr>
          <w:p>
            <w:pPr>
              <w:pStyle w:val="nTable"/>
              <w:spacing w:after="40"/>
            </w:pPr>
            <w:r>
              <w:t>1 Jul 1998 (see s. 2(1))</w:t>
            </w:r>
          </w:p>
        </w:tc>
      </w:tr>
      <w:tr>
        <w:trPr>
          <w:gridAfter w:val="1"/>
          <w:wAfter w:w="7" w:type="dxa"/>
          <w:cantSplit/>
        </w:trPr>
        <w:tc>
          <w:tcPr>
            <w:tcW w:w="7094" w:type="dxa"/>
            <w:gridSpan w:val="4"/>
          </w:tcPr>
          <w:p>
            <w:pPr>
              <w:pStyle w:val="nTable"/>
              <w:spacing w:after="40"/>
            </w:pPr>
            <w:r>
              <w:rPr>
                <w:b/>
              </w:rPr>
              <w:t xml:space="preserve">Reprint of the </w:t>
            </w:r>
            <w:r>
              <w:rPr>
                <w:b/>
                <w:i/>
              </w:rPr>
              <w:t>Rates and Charges (Rebates and Deferments) Act 1992</w:t>
            </w:r>
            <w:r>
              <w:rPr>
                <w:b/>
              </w:rPr>
              <w:t xml:space="preserve"> as at 19 May 2000 </w:t>
            </w:r>
            <w:r>
              <w:t>(includes amendments listed above)</w:t>
            </w:r>
          </w:p>
        </w:tc>
      </w:tr>
      <w:tr>
        <w:trPr>
          <w:gridAfter w:val="1"/>
          <w:wAfter w:w="7" w:type="dxa"/>
          <w:cantSplit/>
        </w:trPr>
        <w:tc>
          <w:tcPr>
            <w:tcW w:w="2273" w:type="dxa"/>
          </w:tcPr>
          <w:p>
            <w:pPr>
              <w:pStyle w:val="nTable"/>
              <w:spacing w:after="40"/>
              <w:ind w:right="113"/>
              <w:rPr>
                <w:vertAlign w:val="superscript"/>
              </w:rPr>
            </w:pPr>
            <w:r>
              <w:rPr>
                <w:i/>
              </w:rPr>
              <w:t>Revenue Laws Amendment (Assessment) Act 2001</w:t>
            </w:r>
            <w:r>
              <w:t xml:space="preserve"> Pt. 3</w:t>
            </w:r>
            <w:r>
              <w:rPr>
                <w:vertAlign w:val="superscript"/>
              </w:rPr>
              <w:t> 8, 9</w:t>
            </w:r>
          </w:p>
        </w:tc>
        <w:tc>
          <w:tcPr>
            <w:tcW w:w="1136" w:type="dxa"/>
          </w:tcPr>
          <w:p>
            <w:pPr>
              <w:pStyle w:val="nTable"/>
              <w:spacing w:after="40"/>
            </w:pPr>
            <w:r>
              <w:t>3 of 2001</w:t>
            </w:r>
          </w:p>
        </w:tc>
        <w:tc>
          <w:tcPr>
            <w:tcW w:w="1134" w:type="dxa"/>
          </w:tcPr>
          <w:p>
            <w:pPr>
              <w:pStyle w:val="nTable"/>
              <w:spacing w:after="40"/>
            </w:pPr>
            <w:r>
              <w:t>26 Jun 2001</w:t>
            </w:r>
          </w:p>
        </w:tc>
        <w:tc>
          <w:tcPr>
            <w:tcW w:w="2551" w:type="dxa"/>
          </w:tcPr>
          <w:p>
            <w:pPr>
              <w:pStyle w:val="nTable"/>
              <w:spacing w:after="40"/>
            </w:pPr>
            <w:r>
              <w:t>1 Jul 2001 (see s. 2(2))</w:t>
            </w:r>
          </w:p>
        </w:tc>
      </w:tr>
      <w:tr>
        <w:trPr>
          <w:gridAfter w:val="1"/>
          <w:wAfter w:w="7" w:type="dxa"/>
          <w:cantSplit/>
        </w:trPr>
        <w:tc>
          <w:tcPr>
            <w:tcW w:w="2273" w:type="dxa"/>
          </w:tcPr>
          <w:p>
            <w:pPr>
              <w:pStyle w:val="nTable"/>
              <w:spacing w:after="40"/>
              <w:ind w:right="113"/>
              <w:rPr>
                <w:vertAlign w:val="superscript"/>
              </w:rPr>
            </w:pPr>
            <w:r>
              <w:rPr>
                <w:i/>
              </w:rPr>
              <w:t>Fire and Emergency Services Legislation (Emergency Services Levy) Amendment Act 2002</w:t>
            </w:r>
            <w:r>
              <w:t xml:space="preserve"> Pt. 4</w:t>
            </w:r>
            <w:r>
              <w:rPr>
                <w:vertAlign w:val="superscript"/>
              </w:rPr>
              <w:t> 10</w:t>
            </w:r>
          </w:p>
        </w:tc>
        <w:tc>
          <w:tcPr>
            <w:tcW w:w="1136" w:type="dxa"/>
          </w:tcPr>
          <w:p>
            <w:pPr>
              <w:pStyle w:val="nTable"/>
              <w:spacing w:after="40"/>
            </w:pPr>
            <w:r>
              <w:t>42 of 2002</w:t>
            </w:r>
          </w:p>
        </w:tc>
        <w:tc>
          <w:tcPr>
            <w:tcW w:w="1134" w:type="dxa"/>
          </w:tcPr>
          <w:p>
            <w:pPr>
              <w:pStyle w:val="nTable"/>
              <w:spacing w:after="40"/>
            </w:pPr>
            <w:r>
              <w:t>11 Dec 2002</w:t>
            </w:r>
          </w:p>
        </w:tc>
        <w:tc>
          <w:tcPr>
            <w:tcW w:w="2551" w:type="dxa"/>
          </w:tcPr>
          <w:p>
            <w:pPr>
              <w:pStyle w:val="nTable"/>
              <w:spacing w:after="40"/>
            </w:pPr>
            <w:r>
              <w:t xml:space="preserve">1 Jan 2003 (see s. 2 and </w:t>
            </w:r>
            <w:r>
              <w:rPr>
                <w:i/>
              </w:rPr>
              <w:t>Gazette</w:t>
            </w:r>
            <w:r>
              <w:t xml:space="preserve"> 30 Dec 2002 p. 6635)</w:t>
            </w:r>
          </w:p>
        </w:tc>
      </w:tr>
      <w:tr>
        <w:trPr>
          <w:gridAfter w:val="1"/>
          <w:wAfter w:w="7" w:type="dxa"/>
          <w:cantSplit/>
        </w:trPr>
        <w:tc>
          <w:tcPr>
            <w:tcW w:w="2273" w:type="dxa"/>
          </w:tcPr>
          <w:p>
            <w:pPr>
              <w:pStyle w:val="nTable"/>
              <w:spacing w:after="40"/>
              <w:ind w:right="113"/>
            </w:pPr>
            <w:r>
              <w:rPr>
                <w:i/>
              </w:rPr>
              <w:t>Acts Amendment (Equality of Status) Act 2003</w:t>
            </w:r>
            <w:r>
              <w:t xml:space="preserve"> Pt. 50</w:t>
            </w:r>
          </w:p>
        </w:tc>
        <w:tc>
          <w:tcPr>
            <w:tcW w:w="1136"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rPr>
                <w:u w:val="words"/>
              </w:rPr>
            </w:pPr>
            <w:r>
              <w:t xml:space="preserve">1 Jul 2003 (see s. 2 and </w:t>
            </w:r>
            <w:r>
              <w:rPr>
                <w:i/>
              </w:rPr>
              <w:t xml:space="preserve">Gazette </w:t>
            </w:r>
            <w:r>
              <w:t>30 Jun 2003 p. 2579)</w:t>
            </w:r>
          </w:p>
        </w:tc>
      </w:tr>
      <w:tr>
        <w:trPr>
          <w:gridAfter w:val="1"/>
          <w:wAfter w:w="7" w:type="dxa"/>
          <w:cantSplit/>
        </w:trPr>
        <w:tc>
          <w:tcPr>
            <w:tcW w:w="2273" w:type="dxa"/>
          </w:tcPr>
          <w:p>
            <w:pPr>
              <w:pStyle w:val="nTable"/>
              <w:spacing w:after="40"/>
              <w:rPr>
                <w:snapToGrid w:val="0"/>
              </w:rPr>
            </w:pPr>
            <w:r>
              <w:rPr>
                <w:i/>
                <w:snapToGrid w:val="0"/>
              </w:rPr>
              <w:t>Children and Community Services Act 2004</w:t>
            </w:r>
            <w:r>
              <w:rPr>
                <w:snapToGrid w:val="0"/>
              </w:rPr>
              <w:t xml:space="preserve"> Sch. 2 cl. 22</w:t>
            </w:r>
          </w:p>
        </w:tc>
        <w:tc>
          <w:tcPr>
            <w:tcW w:w="1136"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1" w:type="dxa"/>
          </w:tcPr>
          <w:p>
            <w:pPr>
              <w:pStyle w:val="nTable"/>
              <w:spacing w:after="40"/>
            </w:pPr>
            <w:r>
              <w:t xml:space="preserve">1 Mar 2006 (see s. 2 and </w:t>
            </w:r>
            <w:r>
              <w:rPr>
                <w:i/>
              </w:rPr>
              <w:t>Gazette</w:t>
            </w:r>
            <w:r>
              <w:t xml:space="preserve"> 14 Feb 2006 p. 695)</w:t>
            </w:r>
          </w:p>
        </w:tc>
      </w:tr>
      <w:tr>
        <w:trPr>
          <w:gridAfter w:val="1"/>
          <w:wAfter w:w="7" w:type="dxa"/>
          <w:cantSplit/>
        </w:trPr>
        <w:tc>
          <w:tcPr>
            <w:tcW w:w="2273" w:type="dxa"/>
          </w:tcPr>
          <w:p>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6"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1"/>
          <w:wAfter w:w="7" w:type="dxa"/>
          <w:cantSplit/>
        </w:trPr>
        <w:tc>
          <w:tcPr>
            <w:tcW w:w="2273" w:type="dxa"/>
          </w:tcPr>
          <w:p>
            <w:pPr>
              <w:pStyle w:val="nTable"/>
              <w:spacing w:after="40"/>
              <w:ind w:right="113"/>
              <w:rPr>
                <w:snapToGrid w:val="0"/>
              </w:rPr>
            </w:pPr>
            <w:r>
              <w:rPr>
                <w:i/>
                <w:snapToGrid w:val="0"/>
              </w:rPr>
              <w:t>Rates and Charges (Rebates and Deferments) Amendment Act 2005</w:t>
            </w:r>
            <w:r>
              <w:rPr>
                <w:snapToGrid w:val="0"/>
                <w:vertAlign w:val="superscript"/>
              </w:rPr>
              <w:t> 11</w:t>
            </w:r>
          </w:p>
        </w:tc>
        <w:tc>
          <w:tcPr>
            <w:tcW w:w="1136" w:type="dxa"/>
          </w:tcPr>
          <w:p>
            <w:pPr>
              <w:pStyle w:val="nTable"/>
              <w:spacing w:after="40"/>
              <w:rPr>
                <w:snapToGrid w:val="0"/>
              </w:rPr>
            </w:pPr>
            <w:r>
              <w:rPr>
                <w:snapToGrid w:val="0"/>
              </w:rPr>
              <w:t>9 of 2005</w:t>
            </w:r>
          </w:p>
        </w:tc>
        <w:tc>
          <w:tcPr>
            <w:tcW w:w="1134" w:type="dxa"/>
          </w:tcPr>
          <w:p>
            <w:pPr>
              <w:pStyle w:val="nTable"/>
              <w:spacing w:after="40"/>
            </w:pPr>
            <w:r>
              <w:t>7 Jul 2005</w:t>
            </w:r>
          </w:p>
        </w:tc>
        <w:tc>
          <w:tcPr>
            <w:tcW w:w="2551" w:type="dxa"/>
          </w:tcPr>
          <w:p>
            <w:pPr>
              <w:pStyle w:val="nTable"/>
              <w:spacing w:after="40"/>
              <w:rPr>
                <w:snapToGrid w:val="0"/>
              </w:rPr>
            </w:pPr>
            <w:r>
              <w:rPr>
                <w:snapToGrid w:val="0"/>
              </w:rPr>
              <w:t>s. 4(2), 11, 14(1) and (2) and 15: 1 Jul 2005 (see s. 2(3));</w:t>
            </w:r>
            <w:r>
              <w:rPr>
                <w:snapToGrid w:val="0"/>
              </w:rPr>
              <w:br/>
              <w:t>Act other than s. 4(2), 11, 14(1) and (2) and 15: 7 Jul 2005 (see s. 2(1))</w:t>
            </w:r>
          </w:p>
        </w:tc>
      </w:tr>
      <w:tr>
        <w:trPr>
          <w:gridAfter w:val="1"/>
          <w:wAfter w:w="7" w:type="dxa"/>
        </w:trPr>
        <w:tc>
          <w:tcPr>
            <w:tcW w:w="2273" w:type="dxa"/>
          </w:tcPr>
          <w:p>
            <w:pPr>
              <w:pStyle w:val="nTable"/>
              <w:spacing w:after="40"/>
              <w:rPr>
                <w:snapToGrid w:val="0"/>
                <w:vertAlign w:val="superscript"/>
              </w:rPr>
            </w:pPr>
            <w:r>
              <w:rPr>
                <w:i/>
                <w:snapToGrid w:val="0"/>
              </w:rPr>
              <w:t>Limitation Legislation Amendment and Repeal Act 2005</w:t>
            </w:r>
            <w:r>
              <w:rPr>
                <w:snapToGrid w:val="0"/>
              </w:rPr>
              <w:t xml:space="preserve"> Pt. 10</w:t>
            </w:r>
          </w:p>
        </w:tc>
        <w:tc>
          <w:tcPr>
            <w:tcW w:w="1136" w:type="dxa"/>
          </w:tcPr>
          <w:p>
            <w:pPr>
              <w:pStyle w:val="nTable"/>
              <w:spacing w:after="40"/>
              <w:rPr>
                <w:snapToGrid w:val="0"/>
              </w:rPr>
            </w:pPr>
            <w:r>
              <w:rPr>
                <w:snapToGrid w:val="0"/>
              </w:rPr>
              <w:t>20 of 2005</w:t>
            </w:r>
          </w:p>
        </w:tc>
        <w:tc>
          <w:tcPr>
            <w:tcW w:w="1134" w:type="dxa"/>
          </w:tcPr>
          <w:p>
            <w:pPr>
              <w:pStyle w:val="nTable"/>
              <w:spacing w:after="40"/>
            </w:pPr>
            <w:r>
              <w:t>15 Nov 2005</w:t>
            </w:r>
          </w:p>
        </w:tc>
        <w:tc>
          <w:tcPr>
            <w:tcW w:w="2551" w:type="dxa"/>
          </w:tcPr>
          <w:p>
            <w:pPr>
              <w:pStyle w:val="nTable"/>
              <w:spacing w:after="40"/>
              <w:rPr>
                <w:snapToGrid w:val="0"/>
              </w:rPr>
            </w:pPr>
            <w:r>
              <w:rPr>
                <w:snapToGrid w:val="0"/>
              </w:rPr>
              <w:t>15 Nov 2005 (see s. 2(1))</w:t>
            </w:r>
          </w:p>
        </w:tc>
      </w:tr>
      <w:tr>
        <w:trPr>
          <w:gridAfter w:val="1"/>
          <w:wAfter w:w="7" w:type="dxa"/>
        </w:trPr>
        <w:tc>
          <w:tcPr>
            <w:tcW w:w="2273" w:type="dxa"/>
          </w:tcPr>
          <w:p>
            <w:pPr>
              <w:pStyle w:val="nTable"/>
              <w:spacing w:after="40"/>
              <w:rPr>
                <w:i/>
                <w:snapToGrid w:val="0"/>
              </w:rPr>
            </w:pPr>
            <w:r>
              <w:rPr>
                <w:i/>
                <w:snapToGrid w:val="0"/>
              </w:rPr>
              <w:t xml:space="preserve">Machinery of Government (Miscellaneous Amendments) Act 2006 </w:t>
            </w:r>
            <w:r>
              <w:rPr>
                <w:snapToGrid w:val="0"/>
              </w:rPr>
              <w:t>Pt. 17 Div. 8</w:t>
            </w:r>
          </w:p>
        </w:tc>
        <w:tc>
          <w:tcPr>
            <w:tcW w:w="1136"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rPr>
          <w:gridAfter w:val="1"/>
          <w:wAfter w:w="7" w:type="dxa"/>
        </w:trPr>
        <w:tc>
          <w:tcPr>
            <w:tcW w:w="2273" w:type="dxa"/>
          </w:tcPr>
          <w:p>
            <w:pPr>
              <w:pStyle w:val="nTable"/>
              <w:spacing w:after="40"/>
              <w:rPr>
                <w:noProof/>
                <w:snapToGrid w:val="0"/>
                <w:vertAlign w:val="superscript"/>
              </w:rPr>
            </w:pPr>
            <w:r>
              <w:rPr>
                <w:i/>
                <w:noProof/>
                <w:snapToGrid w:val="0"/>
              </w:rPr>
              <w:t>Revenue Laws Amendment Act 2006</w:t>
            </w:r>
            <w:r>
              <w:rPr>
                <w:noProof/>
                <w:snapToGrid w:val="0"/>
              </w:rPr>
              <w:t xml:space="preserve"> Pt. 5</w:t>
            </w:r>
          </w:p>
        </w:tc>
        <w:tc>
          <w:tcPr>
            <w:tcW w:w="1136" w:type="dxa"/>
          </w:tcPr>
          <w:p>
            <w:pPr>
              <w:pStyle w:val="nTable"/>
              <w:spacing w:after="40"/>
            </w:pPr>
            <w:r>
              <w:t>31 of 2006</w:t>
            </w:r>
          </w:p>
        </w:tc>
        <w:tc>
          <w:tcPr>
            <w:tcW w:w="1134" w:type="dxa"/>
          </w:tcPr>
          <w:p>
            <w:pPr>
              <w:pStyle w:val="nTable"/>
              <w:spacing w:after="40"/>
            </w:pPr>
            <w:r>
              <w:t>4 Jul 2006</w:t>
            </w:r>
          </w:p>
        </w:tc>
        <w:tc>
          <w:tcPr>
            <w:tcW w:w="2551" w:type="dxa"/>
          </w:tcPr>
          <w:p>
            <w:pPr>
              <w:pStyle w:val="nTable"/>
              <w:spacing w:after="40"/>
            </w:pPr>
            <w:r>
              <w:t>1 Jul 2006 (see s. 2(5))</w:t>
            </w:r>
          </w:p>
        </w:tc>
      </w:tr>
      <w:tr>
        <w:trPr>
          <w:gridAfter w:val="1"/>
          <w:wAfter w:w="7" w:type="dxa"/>
        </w:trPr>
        <w:tc>
          <w:tcPr>
            <w:tcW w:w="2273" w:type="dxa"/>
          </w:tcPr>
          <w:p>
            <w:pPr>
              <w:pStyle w:val="nTable"/>
              <w:spacing w:after="40"/>
              <w:rPr>
                <w:i/>
                <w:noProof/>
                <w:snapToGrid w:val="0"/>
              </w:rPr>
            </w:pPr>
            <w:r>
              <w:rPr>
                <w:i/>
                <w:noProof/>
                <w:snapToGrid w:val="0"/>
              </w:rPr>
              <w:t>Residential Parks (Long</w:t>
            </w:r>
            <w:r>
              <w:rPr>
                <w:i/>
                <w:noProof/>
                <w:snapToGrid w:val="0"/>
              </w:rPr>
              <w:noBreakHyphen/>
              <w:t>stay Tenants) Act 2006 </w:t>
            </w:r>
            <w:r>
              <w:rPr>
                <w:noProof/>
                <w:snapToGrid w:val="0"/>
              </w:rPr>
              <w:t>s. 98</w:t>
            </w:r>
          </w:p>
        </w:tc>
        <w:tc>
          <w:tcPr>
            <w:tcW w:w="1136" w:type="dxa"/>
          </w:tcPr>
          <w:p>
            <w:pPr>
              <w:pStyle w:val="nTable"/>
              <w:spacing w:after="40"/>
            </w:pPr>
            <w:r>
              <w:rPr>
                <w:snapToGrid w:val="0"/>
              </w:rPr>
              <w:t>32 of 2006</w:t>
            </w:r>
          </w:p>
        </w:tc>
        <w:tc>
          <w:tcPr>
            <w:tcW w:w="1134" w:type="dxa"/>
          </w:tcPr>
          <w:p>
            <w:pPr>
              <w:pStyle w:val="nTable"/>
              <w:spacing w:after="40"/>
            </w:pPr>
            <w:r>
              <w:rPr>
                <w:snapToGrid w:val="0"/>
              </w:rPr>
              <w:t>4 Jul 2006</w:t>
            </w:r>
          </w:p>
        </w:tc>
        <w:tc>
          <w:tcPr>
            <w:tcW w:w="2551" w:type="dxa"/>
          </w:tcPr>
          <w:p>
            <w:pPr>
              <w:pStyle w:val="nTable"/>
              <w:spacing w:after="40"/>
            </w:pPr>
            <w:r>
              <w:t xml:space="preserve">3 Aug 2007 (see s. 2 and </w:t>
            </w:r>
            <w:r>
              <w:rPr>
                <w:i/>
                <w:iCs/>
              </w:rPr>
              <w:t>Gazette</w:t>
            </w:r>
            <w:r>
              <w:t xml:space="preserve"> 1 Aug 2007 p. 3835)</w:t>
            </w:r>
          </w:p>
        </w:tc>
      </w:tr>
      <w:tr>
        <w:trPr>
          <w:gridAfter w:val="1"/>
          <w:wAfter w:w="7" w:type="dxa"/>
          <w:cantSplit/>
        </w:trPr>
        <w:tc>
          <w:tcPr>
            <w:tcW w:w="7094" w:type="dxa"/>
            <w:gridSpan w:val="4"/>
          </w:tcPr>
          <w:p>
            <w:pPr>
              <w:pStyle w:val="nTable"/>
              <w:spacing w:after="40"/>
            </w:pPr>
            <w:r>
              <w:rPr>
                <w:b/>
              </w:rPr>
              <w:t xml:space="preserve">Reprint 2: The </w:t>
            </w:r>
            <w:r>
              <w:rPr>
                <w:b/>
                <w:i/>
              </w:rPr>
              <w:t>Rates and Charges (Rebates and Deferments) Act 1992</w:t>
            </w:r>
            <w:r>
              <w:rPr>
                <w:b/>
              </w:rPr>
              <w:t xml:space="preserve"> as at 22 Sep 2006 </w:t>
            </w:r>
            <w:r>
              <w:t xml:space="preserve">(includes amendments listed above except those in the </w:t>
            </w:r>
            <w:r>
              <w:rPr>
                <w:i/>
                <w:iCs/>
              </w:rPr>
              <w:t>Residential Parks (Long-stay Tenants) Act 2006</w:t>
            </w:r>
            <w:r>
              <w:t>)</w:t>
            </w:r>
          </w:p>
        </w:tc>
      </w:tr>
      <w:tr>
        <w:trPr>
          <w:gridAfter w:val="1"/>
          <w:wAfter w:w="7" w:type="dxa"/>
        </w:trPr>
        <w:tc>
          <w:tcPr>
            <w:tcW w:w="2273" w:type="dxa"/>
          </w:tcPr>
          <w:p>
            <w:pPr>
              <w:pStyle w:val="nTable"/>
              <w:spacing w:after="40"/>
              <w:rPr>
                <w:noProof/>
                <w:snapToGrid w:val="0"/>
                <w:vertAlign w:val="superscript"/>
              </w:rPr>
            </w:pPr>
            <w:r>
              <w:rPr>
                <w:i/>
                <w:snapToGrid w:val="0"/>
              </w:rPr>
              <w:t xml:space="preserve">Financial Legislation Amendment and Repeal Act 2006 </w:t>
            </w:r>
            <w:r>
              <w:rPr>
                <w:snapToGrid w:val="0"/>
              </w:rPr>
              <w:t>s. 8 and Sch. 1 cl. 146</w:t>
            </w:r>
          </w:p>
        </w:tc>
        <w:tc>
          <w:tcPr>
            <w:tcW w:w="1136"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After w:val="1"/>
          <w:wAfter w:w="7" w:type="dxa"/>
          <w:cantSplit/>
        </w:trPr>
        <w:tc>
          <w:tcPr>
            <w:tcW w:w="2273" w:type="dxa"/>
          </w:tcPr>
          <w:p>
            <w:pPr>
              <w:pStyle w:val="nTable"/>
              <w:spacing w:after="40"/>
              <w:rPr>
                <w:iCs/>
                <w:snapToGrid w:val="0"/>
              </w:rPr>
            </w:pPr>
            <w:r>
              <w:rPr>
                <w:i/>
                <w:snapToGrid w:val="0"/>
              </w:rPr>
              <w:t>Revenue Laws Amendment (Assessment) Act 2007</w:t>
            </w:r>
            <w:r>
              <w:rPr>
                <w:iCs/>
                <w:snapToGrid w:val="0"/>
              </w:rPr>
              <w:t xml:space="preserve"> Pt. 2 </w:t>
            </w:r>
          </w:p>
        </w:tc>
        <w:tc>
          <w:tcPr>
            <w:tcW w:w="1136" w:type="dxa"/>
          </w:tcPr>
          <w:p>
            <w:pPr>
              <w:pStyle w:val="nTable"/>
              <w:spacing w:after="40"/>
              <w:rPr>
                <w:snapToGrid w:val="0"/>
              </w:rPr>
            </w:pPr>
            <w:r>
              <w:rPr>
                <w:snapToGrid w:val="0"/>
              </w:rPr>
              <w:t>13 of 2007</w:t>
            </w:r>
          </w:p>
        </w:tc>
        <w:tc>
          <w:tcPr>
            <w:tcW w:w="1134" w:type="dxa"/>
          </w:tcPr>
          <w:p>
            <w:pPr>
              <w:pStyle w:val="nTable"/>
              <w:spacing w:after="40"/>
              <w:rPr>
                <w:snapToGrid w:val="0"/>
              </w:rPr>
            </w:pPr>
            <w:r>
              <w:rPr>
                <w:snapToGrid w:val="0"/>
              </w:rPr>
              <w:t>29 Jun 2007</w:t>
            </w:r>
          </w:p>
        </w:tc>
        <w:tc>
          <w:tcPr>
            <w:tcW w:w="2551" w:type="dxa"/>
          </w:tcPr>
          <w:p>
            <w:pPr>
              <w:pStyle w:val="nTable"/>
              <w:spacing w:after="40"/>
              <w:rPr>
                <w:snapToGrid w:val="0"/>
              </w:rPr>
            </w:pPr>
            <w:r>
              <w:rPr>
                <w:snapToGrid w:val="0"/>
              </w:rPr>
              <w:t>Pt. 2 Div. 1 and 2: 30 Jun 2007 (see s. 2(b));</w:t>
            </w:r>
            <w:r>
              <w:rPr>
                <w:snapToGrid w:val="0"/>
              </w:rPr>
              <w:br/>
              <w:t>Pt. 2 Div. 3: 1 Jul 2007 (see s. 2(c)(i))</w:t>
            </w:r>
          </w:p>
        </w:tc>
      </w:tr>
      <w:tr>
        <w:trPr>
          <w:gridAfter w:val="1"/>
          <w:wAfter w:w="7" w:type="dxa"/>
          <w:cantSplit/>
        </w:trPr>
        <w:tc>
          <w:tcPr>
            <w:tcW w:w="2273" w:type="dxa"/>
          </w:tcPr>
          <w:p>
            <w:pPr>
              <w:pStyle w:val="nTable"/>
              <w:spacing w:after="40"/>
              <w:rPr>
                <w:i/>
                <w:snapToGrid w:val="0"/>
              </w:rPr>
            </w:pPr>
            <w:r>
              <w:rPr>
                <w:i/>
                <w:noProof/>
                <w:snapToGrid w:val="0"/>
              </w:rPr>
              <w:t>Revenue Laws Amendment Act 2008</w:t>
            </w:r>
            <w:r>
              <w:rPr>
                <w:noProof/>
                <w:snapToGrid w:val="0"/>
              </w:rPr>
              <w:t xml:space="preserve"> Pt. 6</w:t>
            </w:r>
          </w:p>
        </w:tc>
        <w:tc>
          <w:tcPr>
            <w:tcW w:w="1136" w:type="dxa"/>
          </w:tcPr>
          <w:p>
            <w:pPr>
              <w:pStyle w:val="nTable"/>
              <w:keepNext/>
              <w:keepLines/>
              <w:spacing w:after="40"/>
              <w:rPr>
                <w:snapToGrid w:val="0"/>
              </w:rPr>
            </w:pPr>
            <w:r>
              <w:rPr>
                <w:snapToGrid w:val="0"/>
              </w:rPr>
              <w:t>30 of 2008</w:t>
            </w:r>
          </w:p>
        </w:tc>
        <w:tc>
          <w:tcPr>
            <w:tcW w:w="1134" w:type="dxa"/>
          </w:tcPr>
          <w:p>
            <w:pPr>
              <w:pStyle w:val="nTable"/>
              <w:keepNext/>
              <w:keepLines/>
              <w:spacing w:after="40"/>
              <w:rPr>
                <w:snapToGrid w:val="0"/>
              </w:rPr>
            </w:pPr>
            <w:r>
              <w:rPr>
                <w:snapToGrid w:val="0"/>
              </w:rPr>
              <w:t>27 Jun 2008</w:t>
            </w:r>
          </w:p>
        </w:tc>
        <w:tc>
          <w:tcPr>
            <w:tcW w:w="2551" w:type="dxa"/>
          </w:tcPr>
          <w:p>
            <w:pPr>
              <w:pStyle w:val="nTable"/>
              <w:keepNext/>
              <w:keepLines/>
              <w:spacing w:after="40"/>
              <w:rPr>
                <w:snapToGrid w:val="0"/>
              </w:rPr>
            </w:pPr>
            <w:r>
              <w:rPr>
                <w:snapToGrid w:val="0"/>
              </w:rPr>
              <w:t>1 Jul 2008 (see s. 2(1)(c)(i))</w:t>
            </w:r>
          </w:p>
        </w:tc>
      </w:tr>
      <w:tr>
        <w:trPr>
          <w:gridAfter w:val="1"/>
          <w:wAfter w:w="7" w:type="dxa"/>
        </w:trPr>
        <w:tc>
          <w:tcPr>
            <w:tcW w:w="2273" w:type="dxa"/>
          </w:tcPr>
          <w:p>
            <w:pPr>
              <w:pStyle w:val="nTable"/>
              <w:spacing w:after="40"/>
              <w:rPr>
                <w:iCs/>
                <w:snapToGrid w:val="0"/>
              </w:rPr>
            </w:pPr>
            <w:r>
              <w:rPr>
                <w:i/>
                <w:snapToGrid w:val="0"/>
              </w:rPr>
              <w:t>Revenue Laws Amendment Act (No. 2) 2008</w:t>
            </w:r>
            <w:r>
              <w:rPr>
                <w:iCs/>
                <w:snapToGrid w:val="0"/>
              </w:rPr>
              <w:t xml:space="preserve"> s. 35</w:t>
            </w:r>
          </w:p>
        </w:tc>
        <w:tc>
          <w:tcPr>
            <w:tcW w:w="1136" w:type="dxa"/>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551" w:type="dxa"/>
          </w:tcPr>
          <w:p>
            <w:pPr>
              <w:pStyle w:val="nTable"/>
              <w:spacing w:after="40"/>
              <w:rPr>
                <w:snapToGrid w:val="0"/>
              </w:rPr>
            </w:pPr>
            <w:r>
              <w:rPr>
                <w:snapToGrid w:val="0"/>
              </w:rPr>
              <w:t>28 Jun 2008 (see s. 2(b))</w:t>
            </w:r>
          </w:p>
        </w:tc>
      </w:tr>
      <w:tr>
        <w:trPr>
          <w:gridAfter w:val="1"/>
          <w:wAfter w:w="7" w:type="dxa"/>
          <w:cantSplit/>
        </w:trPr>
        <w:tc>
          <w:tcPr>
            <w:tcW w:w="7094" w:type="dxa"/>
            <w:gridSpan w:val="4"/>
          </w:tcPr>
          <w:p>
            <w:pPr>
              <w:pStyle w:val="nTable"/>
              <w:spacing w:after="40"/>
              <w:rPr>
                <w:snapToGrid w:val="0"/>
              </w:rPr>
            </w:pPr>
            <w:r>
              <w:rPr>
                <w:b/>
              </w:rPr>
              <w:t xml:space="preserve">Reprint 3: The </w:t>
            </w:r>
            <w:r>
              <w:rPr>
                <w:b/>
                <w:i/>
              </w:rPr>
              <w:t>Rates and Charges (Rebates and Deferments) Act 1992</w:t>
            </w:r>
            <w:r>
              <w:rPr>
                <w:b/>
              </w:rPr>
              <w:t xml:space="preserve"> as at 7 Nov 2008 </w:t>
            </w:r>
            <w:r>
              <w:t>(includes amendments listed above)</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vertAlign w:val="superscript"/>
              </w:rPr>
            </w:pPr>
            <w:r>
              <w:rPr>
                <w:i/>
                <w:snapToGrid w:val="0"/>
              </w:rPr>
              <w:t xml:space="preserve">Residential Tenancies Amendment Act 2011 </w:t>
            </w:r>
            <w:r>
              <w:rPr>
                <w:snapToGrid w:val="0"/>
              </w:rPr>
              <w:t>Pt. 5 Div. 4</w:t>
            </w:r>
          </w:p>
        </w:tc>
        <w:tc>
          <w:tcPr>
            <w:tcW w:w="1136" w:type="dxa"/>
            <w:tcBorders>
              <w:top w:val="nil"/>
              <w:bottom w:val="nil"/>
            </w:tcBorders>
          </w:tcPr>
          <w:p>
            <w:pPr>
              <w:pStyle w:val="nTable"/>
              <w:spacing w:after="40"/>
              <w:rPr>
                <w:snapToGrid w:val="0"/>
              </w:rPr>
            </w:pPr>
            <w:r>
              <w:rPr>
                <w:snapToGrid w:val="0"/>
              </w:rPr>
              <w:t>60 of 2011</w:t>
            </w:r>
          </w:p>
        </w:tc>
        <w:tc>
          <w:tcPr>
            <w:tcW w:w="1134" w:type="dxa"/>
            <w:tcBorders>
              <w:top w:val="nil"/>
              <w:bottom w:val="nil"/>
            </w:tcBorders>
          </w:tcPr>
          <w:p>
            <w:pPr>
              <w:pStyle w:val="nTable"/>
              <w:spacing w:after="40"/>
            </w:pPr>
            <w:r>
              <w:t>14 Dec 2011</w:t>
            </w:r>
          </w:p>
        </w:tc>
        <w:tc>
          <w:tcPr>
            <w:tcW w:w="2551" w:type="dxa"/>
            <w:tcBorders>
              <w:top w:val="nil"/>
              <w:bottom w:val="nil"/>
            </w:tcBorders>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  </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vertAlign w:val="superscript"/>
              </w:rPr>
            </w:pPr>
            <w:r>
              <w:rPr>
                <w:i/>
                <w:snapToGrid w:val="0"/>
              </w:rPr>
              <w:t>Local Government Amendment Act 2012</w:t>
            </w:r>
            <w:r>
              <w:rPr>
                <w:snapToGrid w:val="0"/>
              </w:rPr>
              <w:t xml:space="preserve"> Pt. 3</w:t>
            </w:r>
          </w:p>
        </w:tc>
        <w:tc>
          <w:tcPr>
            <w:tcW w:w="1136" w:type="dxa"/>
            <w:tcBorders>
              <w:top w:val="nil"/>
              <w:bottom w:val="nil"/>
            </w:tcBorders>
          </w:tcPr>
          <w:p>
            <w:pPr>
              <w:pStyle w:val="nTable"/>
              <w:spacing w:after="40"/>
              <w:rPr>
                <w:snapToGrid w:val="0"/>
              </w:rPr>
            </w:pPr>
            <w:r>
              <w:rPr>
                <w:snapToGrid w:val="0"/>
              </w:rPr>
              <w:t>2 of 2012</w:t>
            </w:r>
          </w:p>
        </w:tc>
        <w:tc>
          <w:tcPr>
            <w:tcW w:w="1134" w:type="dxa"/>
            <w:tcBorders>
              <w:top w:val="nil"/>
              <w:bottom w:val="nil"/>
            </w:tcBorders>
          </w:tcPr>
          <w:p>
            <w:pPr>
              <w:pStyle w:val="nTable"/>
              <w:spacing w:after="40"/>
            </w:pPr>
            <w:r>
              <w:t>4 Apr 2012</w:t>
            </w:r>
          </w:p>
        </w:tc>
        <w:tc>
          <w:tcPr>
            <w:tcW w:w="2551" w:type="dxa"/>
            <w:tcBorders>
              <w:top w:val="nil"/>
              <w:bottom w:val="nil"/>
            </w:tcBorders>
          </w:tcPr>
          <w:p>
            <w:pPr>
              <w:pStyle w:val="nTable"/>
              <w:spacing w:after="40"/>
              <w:rPr>
                <w:snapToGrid w:val="0"/>
              </w:rPr>
            </w:pPr>
            <w:r>
              <w:rPr>
                <w:snapToGrid w:val="0"/>
              </w:rPr>
              <w:t xml:space="preserve">1 Jul 2012 (see s. 2(b) and </w:t>
            </w:r>
            <w:r>
              <w:rPr>
                <w:i/>
                <w:snapToGrid w:val="0"/>
              </w:rPr>
              <w:t>Gazette</w:t>
            </w:r>
            <w:r>
              <w:rPr>
                <w:snapToGrid w:val="0"/>
              </w:rPr>
              <w:t xml:space="preserve"> 20 Apr 2012 p. 1695)</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i/>
                <w:snapToGrid w:val="0"/>
              </w:rPr>
            </w:pPr>
            <w:r>
              <w:rPr>
                <w:i/>
                <w:snapToGrid w:val="0"/>
              </w:rPr>
              <w:t xml:space="preserve">Fire and Emergency Services Legislation Amendment Act 2012 </w:t>
            </w:r>
            <w:r>
              <w:rPr>
                <w:snapToGrid w:val="0"/>
              </w:rPr>
              <w:t>Pt. 7 Div. 12</w:t>
            </w:r>
          </w:p>
        </w:tc>
        <w:tc>
          <w:tcPr>
            <w:tcW w:w="1136" w:type="dxa"/>
            <w:tcBorders>
              <w:top w:val="nil"/>
              <w:bottom w:val="nil"/>
            </w:tcBorders>
          </w:tcPr>
          <w:p>
            <w:pPr>
              <w:pStyle w:val="nTable"/>
              <w:spacing w:after="40"/>
              <w:rPr>
                <w:snapToGrid w:val="0"/>
              </w:rPr>
            </w:pPr>
            <w:r>
              <w:rPr>
                <w:snapToGrid w:val="0"/>
              </w:rPr>
              <w:t>22 of 2012</w:t>
            </w:r>
          </w:p>
        </w:tc>
        <w:tc>
          <w:tcPr>
            <w:tcW w:w="1134" w:type="dxa"/>
            <w:tcBorders>
              <w:top w:val="nil"/>
              <w:bottom w:val="nil"/>
            </w:tcBorders>
          </w:tcPr>
          <w:p>
            <w:pPr>
              <w:pStyle w:val="nTable"/>
              <w:spacing w:after="40"/>
            </w:pPr>
            <w:r>
              <w:t>29 Aug 2012</w:t>
            </w:r>
          </w:p>
        </w:tc>
        <w:tc>
          <w:tcPr>
            <w:tcW w:w="2551" w:type="dxa"/>
            <w:tcBorders>
              <w:top w:val="nil"/>
              <w:bottom w:val="nil"/>
            </w:tcBorders>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rPr>
            </w:pPr>
            <w:r>
              <w:rPr>
                <w:i/>
                <w:snapToGrid w:val="0"/>
              </w:rPr>
              <w:t>Water Services Legislation Amendment and Repeal Act 2012</w:t>
            </w:r>
            <w:r>
              <w:rPr>
                <w:snapToGrid w:val="0"/>
              </w:rPr>
              <w:t xml:space="preserve"> s. 226 (other than 226(4))</w:t>
            </w:r>
          </w:p>
        </w:tc>
        <w:tc>
          <w:tcPr>
            <w:tcW w:w="1136" w:type="dxa"/>
            <w:tcBorders>
              <w:top w:val="nil"/>
              <w:bottom w:val="nil"/>
            </w:tcBorders>
          </w:tcPr>
          <w:p>
            <w:pPr>
              <w:pStyle w:val="nTable"/>
              <w:spacing w:after="40"/>
              <w:rPr>
                <w:snapToGrid w:val="0"/>
              </w:rPr>
            </w:pPr>
            <w:r>
              <w:rPr>
                <w:snapToGrid w:val="0"/>
              </w:rPr>
              <w:t>25 of 2012</w:t>
            </w:r>
          </w:p>
        </w:tc>
        <w:tc>
          <w:tcPr>
            <w:tcW w:w="1134" w:type="dxa"/>
            <w:tcBorders>
              <w:top w:val="nil"/>
              <w:bottom w:val="nil"/>
            </w:tcBorders>
          </w:tcPr>
          <w:p>
            <w:pPr>
              <w:pStyle w:val="nTable"/>
              <w:spacing w:after="40"/>
            </w:pPr>
            <w:r>
              <w:rPr>
                <w:snapToGrid w:val="0"/>
              </w:rPr>
              <w:t>3 Sep 2012</w:t>
            </w:r>
          </w:p>
        </w:tc>
        <w:tc>
          <w:tcPr>
            <w:tcW w:w="2551" w:type="dxa"/>
            <w:tcBorders>
              <w:top w:val="nil"/>
              <w:bottom w:val="nil"/>
            </w:tcBorders>
          </w:tcPr>
          <w:p>
            <w:pPr>
              <w:pStyle w:val="nTable"/>
              <w:spacing w:after="40"/>
              <w:rPr>
                <w:snapToGrid w:val="0"/>
              </w:rPr>
            </w:pPr>
            <w:r>
              <w:rPr>
                <w:snapToGrid w:val="0"/>
              </w:rPr>
              <w:t xml:space="preserve">s. 226(2), (5) and (6): 18 Nov 2013 (see s. 2(b) and </w:t>
            </w:r>
            <w:r>
              <w:rPr>
                <w:i/>
                <w:snapToGrid w:val="0"/>
              </w:rPr>
              <w:t>Gazette</w:t>
            </w:r>
            <w:r>
              <w:rPr>
                <w:snapToGrid w:val="0"/>
              </w:rPr>
              <w:t xml:space="preserve"> 14 Nov 2013 p. 5028);</w:t>
            </w:r>
            <w:r>
              <w:rPr>
                <w:snapToGrid w:val="0"/>
              </w:rPr>
              <w:br/>
              <w:t xml:space="preserve">s. 226(3): 1 Jul 2014 (see s. 2(b)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rPr>
            </w:pPr>
            <w:r>
              <w:rPr>
                <w:i/>
                <w:snapToGrid w:val="0"/>
              </w:rPr>
              <w:t>Revenue Laws Amendment Act 2012</w:t>
            </w:r>
            <w:r>
              <w:rPr>
                <w:snapToGrid w:val="0"/>
              </w:rPr>
              <w:t xml:space="preserve"> Pt. 6</w:t>
            </w:r>
          </w:p>
        </w:tc>
        <w:tc>
          <w:tcPr>
            <w:tcW w:w="1136" w:type="dxa"/>
            <w:tcBorders>
              <w:top w:val="nil"/>
              <w:bottom w:val="nil"/>
            </w:tcBorders>
          </w:tcPr>
          <w:p>
            <w:pPr>
              <w:pStyle w:val="nTable"/>
              <w:spacing w:after="40"/>
              <w:rPr>
                <w:snapToGrid w:val="0"/>
              </w:rPr>
            </w:pPr>
            <w:r>
              <w:rPr>
                <w:snapToGrid w:val="0"/>
              </w:rPr>
              <w:t>29 of 2012</w:t>
            </w:r>
          </w:p>
        </w:tc>
        <w:tc>
          <w:tcPr>
            <w:tcW w:w="1134" w:type="dxa"/>
            <w:tcBorders>
              <w:top w:val="nil"/>
              <w:bottom w:val="nil"/>
            </w:tcBorders>
          </w:tcPr>
          <w:p>
            <w:pPr>
              <w:pStyle w:val="nTable"/>
              <w:spacing w:after="40"/>
            </w:pPr>
            <w:r>
              <w:t>3 Sep 2012</w:t>
            </w:r>
          </w:p>
        </w:tc>
        <w:tc>
          <w:tcPr>
            <w:tcW w:w="2551" w:type="dxa"/>
            <w:tcBorders>
              <w:top w:val="nil"/>
              <w:bottom w:val="nil"/>
            </w:tcBorders>
          </w:tcPr>
          <w:p>
            <w:pPr>
              <w:pStyle w:val="nTable"/>
              <w:spacing w:after="40"/>
              <w:rPr>
                <w:snapToGrid w:val="0"/>
              </w:rPr>
            </w:pPr>
            <w:r>
              <w:rPr>
                <w:snapToGrid w:val="0"/>
              </w:rPr>
              <w:t>4 Sep 2012 (see s. 2(e))</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rPr>
            </w:pPr>
            <w:r>
              <w:rPr>
                <w:i/>
                <w:snapToGrid w:val="0"/>
              </w:rPr>
              <w:t>Rates and Charges (Rebates and Deferments) Amendment Act 2013</w:t>
            </w:r>
            <w:r>
              <w:rPr>
                <w:snapToGrid w:val="0"/>
                <w:vertAlign w:val="superscript"/>
              </w:rPr>
              <w:t> 12</w:t>
            </w:r>
          </w:p>
        </w:tc>
        <w:tc>
          <w:tcPr>
            <w:tcW w:w="1136" w:type="dxa"/>
            <w:tcBorders>
              <w:top w:val="nil"/>
              <w:bottom w:val="nil"/>
            </w:tcBorders>
          </w:tcPr>
          <w:p>
            <w:pPr>
              <w:pStyle w:val="nTable"/>
              <w:spacing w:after="40"/>
              <w:rPr>
                <w:snapToGrid w:val="0"/>
              </w:rPr>
            </w:pPr>
            <w:r>
              <w:rPr>
                <w:snapToGrid w:val="0"/>
              </w:rPr>
              <w:t>4 of 2013</w:t>
            </w:r>
          </w:p>
        </w:tc>
        <w:tc>
          <w:tcPr>
            <w:tcW w:w="1134" w:type="dxa"/>
            <w:tcBorders>
              <w:top w:val="nil"/>
              <w:bottom w:val="nil"/>
            </w:tcBorders>
          </w:tcPr>
          <w:p>
            <w:pPr>
              <w:pStyle w:val="nTable"/>
              <w:spacing w:after="40"/>
            </w:pPr>
            <w:r>
              <w:t>29 Jun 2013</w:t>
            </w:r>
          </w:p>
        </w:tc>
        <w:tc>
          <w:tcPr>
            <w:tcW w:w="2551" w:type="dxa"/>
            <w:tcBorders>
              <w:top w:val="nil"/>
              <w:bottom w:val="nil"/>
            </w:tcBorders>
          </w:tcPr>
          <w:p>
            <w:pPr>
              <w:pStyle w:val="nTable"/>
              <w:keepLines/>
              <w:tabs>
                <w:tab w:val="left" w:pos="893"/>
              </w:tabs>
              <w:spacing w:after="40"/>
              <w:rPr>
                <w:snapToGrid w:val="0"/>
              </w:rPr>
            </w:pPr>
            <w:r>
              <w:rPr>
                <w:snapToGrid w:val="0"/>
              </w:rPr>
              <w:t>s. 1 and 2: 29 Jun 2013 (see s. 2(a));</w:t>
            </w:r>
            <w:r>
              <w:rPr>
                <w:snapToGrid w:val="0"/>
              </w:rPr>
              <w:br/>
              <w:t>Act other than s. 1, 2, 4(3) and (4) and 14: 1 Jul 2013 (see s. 2(b)(i));</w:t>
            </w:r>
            <w:r>
              <w:rPr>
                <w:snapToGrid w:val="0"/>
              </w:rPr>
              <w:br/>
              <w:t xml:space="preserve">s. 4(3): 18 Nov 2013 (see s. 2(c)(ii) and </w:t>
            </w:r>
            <w:r>
              <w:rPr>
                <w:i/>
                <w:snapToGrid w:val="0"/>
              </w:rPr>
              <w:t>Gazette</w:t>
            </w:r>
            <w:r>
              <w:rPr>
                <w:snapToGrid w:val="0"/>
              </w:rPr>
              <w:t xml:space="preserve"> 14 Nov 2013 p. 5028);</w:t>
            </w:r>
            <w:r>
              <w:rPr>
                <w:snapToGrid w:val="0"/>
              </w:rPr>
              <w:br/>
              <w:t xml:space="preserve">s.4(4): 1 Jul 2014 (see s. 2(d)(ii)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rPr>
          <w:gridAfter w:val="1"/>
          <w:wAfter w:w="7" w:type="dxa"/>
        </w:trPr>
        <w:tc>
          <w:tcPr>
            <w:tcW w:w="7094" w:type="dxa"/>
            <w:gridSpan w:val="4"/>
            <w:tcBorders>
              <w:top w:val="nil"/>
              <w:bottom w:val="nil"/>
            </w:tcBorders>
            <w:shd w:val="clear" w:color="auto" w:fill="auto"/>
          </w:tcPr>
          <w:p>
            <w:pPr>
              <w:pStyle w:val="nTable"/>
              <w:keepNext/>
              <w:keepLines/>
              <w:spacing w:after="40"/>
              <w:rPr>
                <w:snapToGrid w:val="0"/>
              </w:rPr>
            </w:pPr>
            <w:r>
              <w:rPr>
                <w:b/>
              </w:rPr>
              <w:t xml:space="preserve">Reprint 4: The </w:t>
            </w:r>
            <w:r>
              <w:rPr>
                <w:b/>
                <w:i/>
              </w:rPr>
              <w:t>Rates and Charges (Rebates and Deferments) Act 1992</w:t>
            </w:r>
            <w:r>
              <w:rPr>
                <w:b/>
              </w:rPr>
              <w:t xml:space="preserve"> as at 4 Oct 2013 </w:t>
            </w:r>
            <w:r>
              <w:t xml:space="preserve">(includes amendments listed above except those in the </w:t>
            </w:r>
            <w:r>
              <w:rPr>
                <w:i/>
              </w:rPr>
              <w:t>Water Services Legislation Amendment and Repeal Act 2012</w:t>
            </w:r>
            <w:r>
              <w:t xml:space="preserve"> s. 226(2), (3), (5) and (6) and the </w:t>
            </w:r>
            <w:r>
              <w:rPr>
                <w:i/>
              </w:rPr>
              <w:t xml:space="preserve">Rates and Charges (Rebates and Deferments) Amendment Act 2013 </w:t>
            </w:r>
            <w:r>
              <w:t>s. 4(3) and (4))</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single" w:sz="4" w:space="0" w:color="auto"/>
            </w:tcBorders>
          </w:tcPr>
          <w:p>
            <w:pPr>
              <w:pStyle w:val="nTable"/>
              <w:spacing w:after="40"/>
              <w:rPr>
                <w:snapToGrid w:val="0"/>
              </w:rPr>
            </w:pPr>
            <w:r>
              <w:rPr>
                <w:i/>
                <w:snapToGrid w:val="0"/>
              </w:rPr>
              <w:t>Revenue Laws Amendment Act 2015</w:t>
            </w:r>
            <w:r>
              <w:rPr>
                <w:snapToGrid w:val="0"/>
              </w:rPr>
              <w:t xml:space="preserve"> Pt. 3</w:t>
            </w:r>
          </w:p>
        </w:tc>
        <w:tc>
          <w:tcPr>
            <w:tcW w:w="1136" w:type="dxa"/>
            <w:tcBorders>
              <w:top w:val="nil"/>
              <w:bottom w:val="single" w:sz="4" w:space="0" w:color="auto"/>
            </w:tcBorders>
          </w:tcPr>
          <w:p>
            <w:pPr>
              <w:pStyle w:val="nTable"/>
              <w:spacing w:after="40"/>
              <w:rPr>
                <w:snapToGrid w:val="0"/>
              </w:rPr>
            </w:pPr>
            <w:r>
              <w:rPr>
                <w:snapToGrid w:val="0"/>
              </w:rPr>
              <w:t>27 of 2015</w:t>
            </w:r>
          </w:p>
        </w:tc>
        <w:tc>
          <w:tcPr>
            <w:tcW w:w="1134" w:type="dxa"/>
            <w:tcBorders>
              <w:top w:val="nil"/>
              <w:bottom w:val="single" w:sz="4" w:space="0" w:color="auto"/>
            </w:tcBorders>
          </w:tcPr>
          <w:p>
            <w:pPr>
              <w:pStyle w:val="nTable"/>
              <w:spacing w:after="40"/>
            </w:pPr>
            <w:r>
              <w:t xml:space="preserve">2 Oct 2015 </w:t>
            </w:r>
          </w:p>
        </w:tc>
        <w:tc>
          <w:tcPr>
            <w:tcW w:w="2551" w:type="dxa"/>
            <w:tcBorders>
              <w:top w:val="nil"/>
              <w:bottom w:val="single" w:sz="4" w:space="0" w:color="auto"/>
            </w:tcBorders>
          </w:tcPr>
          <w:p>
            <w:pPr>
              <w:pStyle w:val="nTable"/>
              <w:keepLines/>
              <w:tabs>
                <w:tab w:val="left" w:pos="893"/>
              </w:tabs>
              <w:spacing w:after="40"/>
              <w:rPr>
                <w:snapToGrid w:val="0"/>
              </w:rPr>
            </w:pPr>
            <w:r>
              <w:rPr>
                <w:snapToGrid w:val="0"/>
              </w:rPr>
              <w:t>3 Oct 2015 (see s. 2(b))</w:t>
            </w:r>
          </w:p>
        </w:tc>
      </w:tr>
    </w:tbl>
    <w:p>
      <w:pPr>
        <w:pStyle w:val="nSubsection"/>
        <w:spacing w:before="160"/>
        <w:ind w:left="482" w:hanging="482"/>
      </w:pPr>
      <w:r>
        <w:rPr>
          <w:vertAlign w:val="superscript"/>
        </w:rPr>
        <w:t>1a</w:t>
      </w:r>
      <w:r>
        <w:tab/>
        <w:t xml:space="preserve">On the date as at which this </w:t>
      </w:r>
      <w:del w:id="218" w:author="svcMRProcess" w:date="2020-02-20T07:56:00Z">
        <w:r>
          <w:delText>reprint</w:delText>
        </w:r>
      </w:del>
      <w:ins w:id="219" w:author="svcMRProcess" w:date="2020-02-20T07:56:00Z">
        <w:r>
          <w:t>compilation</w:t>
        </w:r>
      </w:ins>
      <w:r>
        <w:t xml:space="preserve"> was prepared, provisions referred to in the following table had not come into operation and were therefore not included in </w:t>
      </w:r>
      <w:del w:id="220" w:author="svcMRProcess" w:date="2020-02-20T07:56:00Z">
        <w:r>
          <w:delText>compiling the reprint.</w:delText>
        </w:r>
      </w:del>
      <w:ins w:id="221" w:author="svcMRProcess" w:date="2020-02-20T07:56:00Z">
        <w:r>
          <w:t>this compilation.</w:t>
        </w:r>
      </w:ins>
      <w:r>
        <w:t xml:space="preserve">  For the text of the provisions see the endnotes referred to in the table.</w:t>
      </w:r>
    </w:p>
    <w:p>
      <w:pPr>
        <w:pStyle w:val="nHeading3"/>
        <w:keepNext w:val="0"/>
        <w:widowControl w:val="0"/>
        <w:spacing w:before="120" w:after="40"/>
      </w:pPr>
      <w:bookmarkStart w:id="222" w:name="_Toc472003426"/>
      <w:bookmarkStart w:id="223" w:name="_Toc435024189"/>
      <w:r>
        <w:t>Provisions that have not come into operation</w:t>
      </w:r>
      <w:bookmarkEnd w:id="222"/>
      <w:bookmarkEnd w:id="22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rPr>
          <w:tblHeader/>
        </w:trPr>
        <w:tc>
          <w:tcPr>
            <w:tcW w:w="2268" w:type="dxa"/>
            <w:tcBorders>
              <w:bottom w:val="single" w:sz="4" w:space="0" w:color="auto"/>
            </w:tcBorders>
            <w:shd w:val="clear" w:color="auto" w:fill="auto"/>
          </w:tcPr>
          <w:p>
            <w:pPr>
              <w:pStyle w:val="nTable"/>
              <w:spacing w:after="40"/>
              <w:rPr>
                <w:b/>
                <w:snapToGrid w:val="0"/>
              </w:rPr>
            </w:pPr>
            <w:r>
              <w:rPr>
                <w:b/>
                <w:snapToGrid w:val="0"/>
              </w:rPr>
              <w:t>Short title</w:t>
            </w:r>
          </w:p>
        </w:tc>
        <w:tc>
          <w:tcPr>
            <w:tcW w:w="1134" w:type="dxa"/>
            <w:tcBorders>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bottom w:val="single" w:sz="4" w:space="0" w:color="auto"/>
            </w:tcBorders>
            <w:shd w:val="clear" w:color="auto" w:fill="auto"/>
          </w:tcPr>
          <w:p>
            <w:pPr>
              <w:pStyle w:val="nTable"/>
              <w:keepNext/>
              <w:keepLines/>
              <w:spacing w:after="40"/>
              <w:rPr>
                <w:b/>
                <w:snapToGrid w:val="0"/>
              </w:rPr>
            </w:pPr>
            <w:r>
              <w:rPr>
                <w:b/>
                <w:snapToGrid w:val="0"/>
              </w:rPr>
              <w:t>Assent</w:t>
            </w:r>
          </w:p>
        </w:tc>
        <w:tc>
          <w:tcPr>
            <w:tcW w:w="2551" w:type="dxa"/>
            <w:tcBorders>
              <w:bottom w:val="single" w:sz="4"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68" w:type="dxa"/>
            <w:tcBorders>
              <w:top w:val="single" w:sz="4" w:space="0" w:color="auto"/>
              <w:bottom w:val="nil"/>
            </w:tcBorders>
          </w:tcPr>
          <w:p>
            <w:pPr>
              <w:pStyle w:val="nTable"/>
              <w:spacing w:after="40"/>
              <w:rPr>
                <w:snapToGrid w:val="0"/>
              </w:rPr>
            </w:pPr>
            <w:r>
              <w:rPr>
                <w:i/>
                <w:snapToGrid w:val="0"/>
              </w:rPr>
              <w:t>Water Services Legislation Amendment and Repeal Act 2012</w:t>
            </w:r>
            <w:r>
              <w:rPr>
                <w:snapToGrid w:val="0"/>
              </w:rPr>
              <w:t xml:space="preserve"> s. 226(4)</w:t>
            </w:r>
            <w:r>
              <w:rPr>
                <w:snapToGrid w:val="0"/>
                <w:vertAlign w:val="superscript"/>
              </w:rPr>
              <w:t> 13</w:t>
            </w:r>
          </w:p>
        </w:tc>
        <w:tc>
          <w:tcPr>
            <w:tcW w:w="1134" w:type="dxa"/>
            <w:tcBorders>
              <w:top w:val="single" w:sz="4" w:space="0" w:color="auto"/>
              <w:bottom w:val="nil"/>
            </w:tcBorders>
          </w:tcPr>
          <w:p>
            <w:pPr>
              <w:pStyle w:val="nTable"/>
              <w:spacing w:after="40"/>
              <w:rPr>
                <w:snapToGrid w:val="0"/>
              </w:rPr>
            </w:pPr>
            <w:r>
              <w:rPr>
                <w:snapToGrid w:val="0"/>
              </w:rPr>
              <w:t>25 of 2012</w:t>
            </w:r>
          </w:p>
        </w:tc>
        <w:tc>
          <w:tcPr>
            <w:tcW w:w="1134" w:type="dxa"/>
            <w:tcBorders>
              <w:top w:val="single" w:sz="4" w:space="0" w:color="auto"/>
              <w:bottom w:val="nil"/>
            </w:tcBorders>
          </w:tcPr>
          <w:p>
            <w:pPr>
              <w:pStyle w:val="nTable"/>
              <w:spacing w:after="40"/>
              <w:rPr>
                <w:snapToGrid w:val="0"/>
              </w:rPr>
            </w:pPr>
            <w:r>
              <w:rPr>
                <w:snapToGrid w:val="0"/>
              </w:rPr>
              <w:t>3 Sep 2012</w:t>
            </w:r>
          </w:p>
        </w:tc>
        <w:tc>
          <w:tcPr>
            <w:tcW w:w="2551" w:type="dxa"/>
            <w:tcBorders>
              <w:top w:val="single" w:sz="4" w:space="0" w:color="auto"/>
              <w:bottom w:val="nil"/>
            </w:tcBorders>
          </w:tcPr>
          <w:p>
            <w:pPr>
              <w:pStyle w:val="nTable"/>
              <w:spacing w:after="40"/>
              <w:rPr>
                <w:snapToGrid w:val="0"/>
              </w:rPr>
            </w:pPr>
            <w:r>
              <w:rPr>
                <w:snapToGrid w:val="0"/>
              </w:rPr>
              <w:t>To be proclaimed (see s. 2(b))</w:t>
            </w:r>
          </w:p>
        </w:tc>
      </w:tr>
      <w:tr>
        <w:trPr>
          <w:cantSplit/>
          <w:ins w:id="224" w:author="svcMRProcess" w:date="2020-02-20T07:56:00Z"/>
        </w:trPr>
        <w:tc>
          <w:tcPr>
            <w:tcW w:w="2268" w:type="dxa"/>
            <w:tcBorders>
              <w:top w:val="nil"/>
              <w:bottom w:val="single" w:sz="4" w:space="0" w:color="auto"/>
            </w:tcBorders>
          </w:tcPr>
          <w:p>
            <w:pPr>
              <w:pStyle w:val="nTable"/>
              <w:spacing w:after="40"/>
              <w:rPr>
                <w:ins w:id="225" w:author="svcMRProcess" w:date="2020-02-20T07:56:00Z"/>
                <w:i/>
                <w:snapToGrid w:val="0"/>
              </w:rPr>
            </w:pPr>
            <w:ins w:id="226" w:author="svcMRProcess" w:date="2020-02-20T07:56:00Z">
              <w:r>
                <w:rPr>
                  <w:i/>
                </w:rPr>
                <w:t>Public Health (Consequential Provisions) Act 2016</w:t>
              </w:r>
              <w:r>
                <w:t xml:space="preserve"> s. 101 and Pt. 5 Div. 19</w:t>
              </w:r>
              <w:r>
                <w:rPr>
                  <w:vertAlign w:val="superscript"/>
                </w:rPr>
                <w:t> 14</w:t>
              </w:r>
            </w:ins>
          </w:p>
        </w:tc>
        <w:tc>
          <w:tcPr>
            <w:tcW w:w="1134" w:type="dxa"/>
            <w:tcBorders>
              <w:top w:val="nil"/>
              <w:bottom w:val="single" w:sz="4" w:space="0" w:color="auto"/>
            </w:tcBorders>
          </w:tcPr>
          <w:p>
            <w:pPr>
              <w:pStyle w:val="nTable"/>
              <w:spacing w:after="40"/>
              <w:rPr>
                <w:ins w:id="227" w:author="svcMRProcess" w:date="2020-02-20T07:56:00Z"/>
                <w:snapToGrid w:val="0"/>
              </w:rPr>
            </w:pPr>
            <w:ins w:id="228" w:author="svcMRProcess" w:date="2020-02-20T07:56:00Z">
              <w:r>
                <w:t>19 of 2016</w:t>
              </w:r>
            </w:ins>
          </w:p>
        </w:tc>
        <w:tc>
          <w:tcPr>
            <w:tcW w:w="1134" w:type="dxa"/>
            <w:tcBorders>
              <w:top w:val="nil"/>
              <w:bottom w:val="single" w:sz="4" w:space="0" w:color="auto"/>
            </w:tcBorders>
          </w:tcPr>
          <w:p>
            <w:pPr>
              <w:pStyle w:val="nTable"/>
              <w:spacing w:after="40"/>
              <w:rPr>
                <w:ins w:id="229" w:author="svcMRProcess" w:date="2020-02-20T07:56:00Z"/>
                <w:snapToGrid w:val="0"/>
              </w:rPr>
            </w:pPr>
            <w:ins w:id="230" w:author="svcMRProcess" w:date="2020-02-20T07:56:00Z">
              <w:r>
                <w:t>25 Jul 2016</w:t>
              </w:r>
            </w:ins>
          </w:p>
        </w:tc>
        <w:tc>
          <w:tcPr>
            <w:tcW w:w="2551" w:type="dxa"/>
            <w:tcBorders>
              <w:top w:val="nil"/>
              <w:bottom w:val="single" w:sz="4" w:space="0" w:color="auto"/>
            </w:tcBorders>
          </w:tcPr>
          <w:p>
            <w:pPr>
              <w:pStyle w:val="nTable"/>
              <w:spacing w:after="40"/>
              <w:rPr>
                <w:ins w:id="231" w:author="svcMRProcess" w:date="2020-02-20T07:56:00Z"/>
                <w:snapToGrid w:val="0"/>
              </w:rPr>
            </w:pPr>
            <w:ins w:id="232" w:author="svcMRProcess" w:date="2020-02-20T07:56:00Z">
              <w:r>
                <w:t>s. 101:</w:t>
              </w:r>
              <w:r>
                <w:rPr>
                  <w:snapToGrid w:val="0"/>
                </w:rPr>
                <w:t xml:space="preserve"> 24 Jan 2017 (see s. 2(1)(c) and </w:t>
              </w:r>
              <w:r>
                <w:rPr>
                  <w:i/>
                  <w:snapToGrid w:val="0"/>
                </w:rPr>
                <w:t>Gazette</w:t>
              </w:r>
              <w:r>
                <w:rPr>
                  <w:snapToGrid w:val="0"/>
                </w:rPr>
                <w:t xml:space="preserve"> 10 Jan 2017 p. 165);</w:t>
              </w:r>
              <w:r>
                <w:rPr>
                  <w:snapToGrid w:val="0"/>
                </w:rPr>
                <w:br/>
              </w:r>
              <w:r>
                <w:t xml:space="preserve">Pt. 5 Div. 19: </w:t>
              </w:r>
              <w:r>
                <w:rPr>
                  <w:snapToGrid w:val="0"/>
                </w:rPr>
                <w:t>to be proclaimed (see s. 2(1)(c))</w:t>
              </w:r>
            </w:ins>
          </w:p>
        </w:tc>
      </w:tr>
    </w:tbl>
    <w:p>
      <w:pPr>
        <w:pStyle w:val="nSubsection"/>
        <w:spacing w:before="160"/>
      </w:pPr>
      <w:r>
        <w:rPr>
          <w:vertAlign w:val="superscript"/>
        </w:rPr>
        <w:t>2</w:t>
      </w:r>
      <w:r>
        <w:tab/>
        <w:t xml:space="preserve">The provision in this Act repealing that Act has been omitted under the </w:t>
      </w:r>
      <w:r>
        <w:rPr>
          <w:i/>
        </w:rPr>
        <w:t>Reprints Act 1984</w:t>
      </w:r>
      <w:r>
        <w:t xml:space="preserve"> s. 7(4)(f).</w:t>
      </w:r>
    </w:p>
    <w:p>
      <w:pPr>
        <w:pStyle w:val="nSubsection"/>
      </w:pPr>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pPr>
      <w:r>
        <w:rPr>
          <w:vertAlign w:val="superscript"/>
        </w:rPr>
        <w:t>4</w:t>
      </w:r>
      <w:r>
        <w:tab/>
        <w:t xml:space="preserve">The provision in this Act amending that Act has been omitted under the </w:t>
      </w:r>
      <w:r>
        <w:rPr>
          <w:i/>
        </w:rPr>
        <w:t>Reprints Act 1984</w:t>
      </w:r>
      <w:r>
        <w:t xml:space="preserve"> s. 7(4)(e).</w:t>
      </w:r>
    </w:p>
    <w:p>
      <w:pPr>
        <w:pStyle w:val="nSubsection"/>
      </w:pPr>
      <w:r>
        <w:rPr>
          <w:vertAlign w:val="superscript"/>
        </w:rPr>
        <w:t>5</w:t>
      </w:r>
      <w:r>
        <w:tab/>
        <w:t xml:space="preserve">The </w:t>
      </w:r>
      <w:r>
        <w:rPr>
          <w:i/>
        </w:rPr>
        <w:t>Pensioners (Rates Rebates and Deferments) Act 1966</w:t>
      </w:r>
      <w:r>
        <w:t xml:space="preserve"> was repealed by s. 51(1) of this Act. </w:t>
      </w:r>
    </w:p>
    <w:p>
      <w:pPr>
        <w:pStyle w:val="nSubsection"/>
      </w:pPr>
      <w:r>
        <w:rPr>
          <w:vertAlign w:val="superscript"/>
        </w:rPr>
        <w:t>6</w:t>
      </w:r>
      <w:r>
        <w:tab/>
        <w:t xml:space="preserve">The </w:t>
      </w:r>
      <w:r>
        <w:rPr>
          <w:i/>
        </w:rPr>
        <w:t>State Housing Act 1946</w:t>
      </w:r>
      <w:r>
        <w:t xml:space="preserve"> was repealed by the </w:t>
      </w:r>
      <w:r>
        <w:rPr>
          <w:i/>
        </w:rPr>
        <w:t>Housing Act 1980</w:t>
      </w:r>
      <w:r>
        <w:t>.</w:t>
      </w:r>
    </w:p>
    <w:p>
      <w:pPr>
        <w:pStyle w:val="nSubsection"/>
      </w:pPr>
      <w:r>
        <w:rPr>
          <w:vertAlign w:val="superscript"/>
        </w:rPr>
        <w:t>7</w:t>
      </w:r>
      <w:r>
        <w:tab/>
        <w:t xml:space="preserve">The </w:t>
      </w:r>
      <w:r>
        <w:rPr>
          <w:i/>
        </w:rPr>
        <w:t>Revenue Laws Amendment (Assessment) Act 1998</w:t>
      </w:r>
      <w:r>
        <w:t xml:space="preserve"> s. 25 reads as follows:</w:t>
      </w:r>
    </w:p>
    <w:p>
      <w:pPr>
        <w:pStyle w:val="BlankOpen"/>
      </w:pP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BlankClose"/>
      </w:pPr>
    </w:p>
    <w:p>
      <w:pPr>
        <w:pStyle w:val="nSubsection"/>
        <w:keepNext/>
      </w:pPr>
      <w:r>
        <w:rPr>
          <w:vertAlign w:val="superscript"/>
        </w:rPr>
        <w:t>8</w:t>
      </w:r>
      <w:r>
        <w:tab/>
        <w:t xml:space="preserve">The </w:t>
      </w:r>
      <w:r>
        <w:rPr>
          <w:i/>
        </w:rPr>
        <w:t xml:space="preserve">Revenue Laws Amendment (Assessment) Act 2001 </w:t>
      </w:r>
      <w:r>
        <w:t>s. 13(2) reads as follows:</w:t>
      </w:r>
    </w:p>
    <w:p>
      <w:pPr>
        <w:pStyle w:val="BlankOpen"/>
      </w:pP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keepNext/>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BlankClose"/>
      </w:pPr>
    </w:p>
    <w:p>
      <w:pPr>
        <w:pStyle w:val="nSubsection"/>
      </w:pPr>
      <w:r>
        <w:rPr>
          <w:vertAlign w:val="superscript"/>
        </w:rPr>
        <w:t>9</w:t>
      </w:r>
      <w:r>
        <w:tab/>
        <w:t xml:space="preserve">The </w:t>
      </w:r>
      <w:r>
        <w:rPr>
          <w:i/>
        </w:rPr>
        <w:t>Revenue Laws Amendment (Assessment) Act 2001</w:t>
      </w:r>
      <w:r>
        <w:t xml:space="preserve"> s. 16 reads as follows:</w:t>
      </w:r>
    </w:p>
    <w:p>
      <w:pPr>
        <w:pStyle w:val="BlankOpen"/>
      </w:pPr>
    </w:p>
    <w:p>
      <w:pPr>
        <w:pStyle w:val="nzHeading5"/>
      </w:pPr>
      <w:r>
        <w:rPr>
          <w:rStyle w:val="CharSectno"/>
        </w:rPr>
        <w:t>16</w:t>
      </w:r>
      <w:r>
        <w:t>.</w:t>
      </w:r>
      <w:r>
        <w:tab/>
        <w:t>Transitional</w:t>
      </w:r>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13) applies to that person as if the person were registered on the day the person became eligible to be registered.</w:t>
      </w:r>
    </w:p>
    <w:p>
      <w:pPr>
        <w:pStyle w:val="BlankClose"/>
      </w:pPr>
    </w:p>
    <w:p>
      <w:pPr>
        <w:pStyle w:val="nSubsection"/>
      </w:pPr>
      <w:r>
        <w:rPr>
          <w:vertAlign w:val="superscript"/>
        </w:rPr>
        <w:t>10</w:t>
      </w:r>
      <w:r>
        <w:tab/>
        <w:t xml:space="preserve">The </w:t>
      </w:r>
      <w:r>
        <w:rPr>
          <w:i/>
        </w:rPr>
        <w:t>Fire and Emergency Services Legislation (Emergency Services Levy) Amendment Act 2002</w:t>
      </w:r>
      <w:r>
        <w:t xml:space="preserve"> s. 33(2)</w:t>
      </w:r>
      <w:r>
        <w:noBreakHyphen/>
        <w:t>(4) read as follows:</w:t>
      </w:r>
    </w:p>
    <w:p>
      <w:pPr>
        <w:pStyle w:val="BlankOpen"/>
      </w:pP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nSubsection"/>
        <w:keepNext/>
        <w:keepLines/>
      </w:pPr>
      <w:r>
        <w:rPr>
          <w:vertAlign w:val="superscript"/>
        </w:rPr>
        <w:t>11</w:t>
      </w:r>
      <w:r>
        <w:tab/>
        <w:t xml:space="preserve">The </w:t>
      </w:r>
      <w:r>
        <w:rPr>
          <w:i/>
        </w:rPr>
        <w:t>Rates and Charges (Rebates and Deferments) Amendment Act 2005</w:t>
      </w:r>
      <w:r>
        <w:t xml:space="preserve"> s. 16 reads as follows:</w:t>
      </w:r>
    </w:p>
    <w:p>
      <w:pPr>
        <w:pStyle w:val="BlankOpen"/>
      </w:pPr>
    </w:p>
    <w:p>
      <w:pPr>
        <w:pStyle w:val="nzHeading5"/>
      </w:pPr>
      <w:r>
        <w:rPr>
          <w:rStyle w:val="CharSectno"/>
        </w:rPr>
        <w:t>16</w:t>
      </w:r>
      <w:r>
        <w:t>.</w:t>
      </w:r>
      <w:r>
        <w:tab/>
        <w:t>Transitional</w:t>
      </w:r>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BlankClose"/>
      </w:pPr>
    </w:p>
    <w:p>
      <w:pPr>
        <w:pStyle w:val="nSubsection"/>
        <w:keepLines/>
        <w:rPr>
          <w:snapToGrid w:val="0"/>
        </w:rPr>
      </w:pPr>
      <w:r>
        <w:rPr>
          <w:snapToGrid w:val="0"/>
          <w:vertAlign w:val="superscript"/>
        </w:rPr>
        <w:t>12</w:t>
      </w:r>
      <w:r>
        <w:rPr>
          <w:snapToGrid w:val="0"/>
        </w:rPr>
        <w:tab/>
        <w:t xml:space="preserve">The </w:t>
      </w:r>
      <w:r>
        <w:rPr>
          <w:i/>
          <w:snapToGrid w:val="0"/>
        </w:rPr>
        <w:t>Rates and Charges (Rebates and Deferments) Amendment Act 2013</w:t>
      </w:r>
      <w:r>
        <w:rPr>
          <w:snapToGrid w:val="0"/>
        </w:rPr>
        <w:t xml:space="preserve"> s. 14(2) does not have effect because this Act received the Royal Assent before 1 Jul 2013 (see s. 14(1)).</w:t>
      </w:r>
    </w:p>
    <w:p>
      <w:pPr>
        <w:pStyle w:val="nSubsection"/>
        <w:keepNext/>
        <w:spacing w:before="160"/>
        <w:rPr>
          <w:snapToGrid w:val="0"/>
        </w:rPr>
      </w:pPr>
      <w:r>
        <w:rPr>
          <w:snapToGrid w:val="0"/>
          <w:vertAlign w:val="superscript"/>
        </w:rPr>
        <w:t>13</w:t>
      </w:r>
      <w:r>
        <w:rPr>
          <w:snapToGrid w:val="0"/>
        </w:rPr>
        <w:tab/>
      </w:r>
      <w:r>
        <w:t xml:space="preserve">On the date as at which this </w:t>
      </w:r>
      <w:del w:id="233" w:author="svcMRProcess" w:date="2020-02-20T07:56:00Z">
        <w:r>
          <w:delText>reprint</w:delText>
        </w:r>
      </w:del>
      <w:ins w:id="234" w:author="svcMRProcess" w:date="2020-02-20T07:56:00Z">
        <w:r>
          <w:t>compilation</w:t>
        </w:r>
      </w:ins>
      <w:r>
        <w:t xml:space="preserve"> was prepared, </w:t>
      </w:r>
      <w:r>
        <w:rPr>
          <w:snapToGrid w:val="0"/>
        </w:rPr>
        <w:t xml:space="preserve">the </w:t>
      </w:r>
      <w:r>
        <w:rPr>
          <w:i/>
          <w:snapToGrid w:val="0"/>
        </w:rPr>
        <w:t>Water Services Legislation Amendment and Repeal Act 2012</w:t>
      </w:r>
      <w:r>
        <w:rPr>
          <w:snapToGrid w:val="0"/>
        </w:rPr>
        <w:t xml:space="preserve"> s. 226(4) had not come into operation.  It reads as follows:</w:t>
      </w:r>
    </w:p>
    <w:p>
      <w:pPr>
        <w:pStyle w:val="BlankOpen"/>
        <w:rPr>
          <w:snapToGrid w:val="0"/>
        </w:rPr>
      </w:pPr>
    </w:p>
    <w:p>
      <w:pPr>
        <w:pStyle w:val="nzHeading5"/>
      </w:pPr>
      <w:r>
        <w:rPr>
          <w:rStyle w:val="CharSectno"/>
        </w:rPr>
        <w:t>226</w:t>
      </w:r>
      <w:r>
        <w:t>.</w:t>
      </w:r>
      <w:r>
        <w:tab/>
      </w:r>
      <w:r>
        <w:rPr>
          <w:i/>
          <w:iCs/>
        </w:rPr>
        <w:t>Rates and Charges (Rebates and Deferments) Act 1992</w:t>
      </w:r>
      <w:r>
        <w:t> amended</w:t>
      </w:r>
    </w:p>
    <w:p>
      <w:pPr>
        <w:pStyle w:val="nzSubsection"/>
      </w:pPr>
      <w:r>
        <w:tab/>
        <w:t>(4)</w:t>
      </w:r>
      <w:r>
        <w:tab/>
        <w:t>In section 3(1):</w:t>
      </w:r>
    </w:p>
    <w:p>
      <w:pPr>
        <w:pStyle w:val="nzIndenta"/>
      </w:pPr>
      <w:r>
        <w:tab/>
        <w:t>(a)</w:t>
      </w:r>
      <w:r>
        <w:tab/>
        <w:t xml:space="preserve">in the definition of </w:t>
      </w:r>
      <w:r>
        <w:rPr>
          <w:b/>
          <w:bCs/>
          <w:i/>
          <w:iCs/>
        </w:rPr>
        <w:t>the pension means test</w:t>
      </w:r>
      <w:r>
        <w:t xml:space="preserve"> after paragraph (a)(i) insert:</w:t>
      </w:r>
    </w:p>
    <w:p>
      <w:pPr>
        <w:pStyle w:val="BlankOpen"/>
      </w:pPr>
    </w:p>
    <w:p>
      <w:pPr>
        <w:pStyle w:val="nzIndenta"/>
      </w:pPr>
      <w:r>
        <w:tab/>
      </w:r>
      <w:r>
        <w:tab/>
        <w:t>and</w:t>
      </w:r>
    </w:p>
    <w:p>
      <w:pPr>
        <w:pStyle w:val="BlankClose"/>
      </w:pPr>
    </w:p>
    <w:p>
      <w:pPr>
        <w:pStyle w:val="nzIndenta"/>
        <w:keepNext/>
      </w:pPr>
      <w:r>
        <w:tab/>
        <w:t>(b)</w:t>
      </w:r>
      <w:r>
        <w:tab/>
        <w:t xml:space="preserve">in the definition of </w:t>
      </w:r>
      <w:r>
        <w:rPr>
          <w:b/>
          <w:bCs/>
          <w:i/>
          <w:iCs/>
        </w:rPr>
        <w:t>dependant</w:t>
      </w:r>
      <w:r>
        <w:t xml:space="preserve"> after each of paragraphs (a) and (ab), the definition of </w:t>
      </w:r>
      <w:r>
        <w:rPr>
          <w:b/>
          <w:bCs/>
          <w:i/>
          <w:iCs/>
        </w:rPr>
        <w:t>eligibility</w:t>
      </w:r>
      <w:r>
        <w:t xml:space="preserve"> after each of paragraphs (a) and (a)(i) and (ii) and the definition of </w:t>
      </w:r>
      <w:r>
        <w:rPr>
          <w:b/>
          <w:bCs/>
          <w:i/>
          <w:iCs/>
        </w:rPr>
        <w:t>prescribed charge</w:t>
      </w:r>
      <w:r>
        <w:t xml:space="preserve"> after each of paragraphs (a) and (b) insert:</w:t>
      </w:r>
    </w:p>
    <w:p>
      <w:pPr>
        <w:pStyle w:val="BlankOpen"/>
        <w:rPr>
          <w:sz w:val="16"/>
          <w:szCs w:val="16"/>
        </w:rPr>
      </w:pPr>
    </w:p>
    <w:p>
      <w:pPr>
        <w:pStyle w:val="nzIndenta"/>
      </w:pPr>
      <w:r>
        <w:tab/>
      </w:r>
      <w:r>
        <w:tab/>
        <w:t>or</w:t>
      </w:r>
    </w:p>
    <w:p>
      <w:pPr>
        <w:pStyle w:val="BlankClose"/>
        <w:rPr>
          <w:sz w:val="16"/>
          <w:szCs w:val="16"/>
        </w:rPr>
      </w:pPr>
    </w:p>
    <w:p>
      <w:pPr>
        <w:pStyle w:val="nSubsection"/>
        <w:rPr>
          <w:ins w:id="235" w:author="svcMRProcess" w:date="2020-02-20T07:56:00Z"/>
          <w:snapToGrid w:val="0"/>
        </w:rPr>
      </w:pPr>
      <w:ins w:id="236" w:author="svcMRProcess" w:date="2020-02-20T07:56:00Z">
        <w:r>
          <w:rPr>
            <w:snapToGrid w:val="0"/>
            <w:vertAlign w:val="superscript"/>
          </w:rPr>
          <w:t>14</w:t>
        </w:r>
        <w:r>
          <w:rPr>
            <w:snapToGrid w:val="0"/>
          </w:rPr>
          <w:tab/>
          <w:t xml:space="preserve">On the date as at which this compilation was prepared, the </w:t>
        </w:r>
        <w:r>
          <w:rPr>
            <w:i/>
          </w:rPr>
          <w:t>Public Health (Consequential Provisions) Act 2016</w:t>
        </w:r>
        <w:r>
          <w:t xml:space="preserve"> s. 101 and Pt. 5 Div. 19 </w:t>
        </w:r>
        <w:r>
          <w:rPr>
            <w:snapToGrid w:val="0"/>
          </w:rPr>
          <w:t>had not come into operation.  They read as follows:</w:t>
        </w:r>
      </w:ins>
    </w:p>
    <w:p>
      <w:pPr>
        <w:pStyle w:val="BlankOpen"/>
        <w:rPr>
          <w:ins w:id="237" w:author="svcMRProcess" w:date="2020-02-20T07:56:00Z"/>
          <w:snapToGrid w:val="0"/>
        </w:rPr>
      </w:pPr>
    </w:p>
    <w:p>
      <w:pPr>
        <w:pStyle w:val="nzHeading5"/>
        <w:rPr>
          <w:ins w:id="238" w:author="svcMRProcess" w:date="2020-02-20T07:56:00Z"/>
        </w:rPr>
      </w:pPr>
      <w:ins w:id="239" w:author="svcMRProcess" w:date="2020-02-20T07:56:00Z">
        <w:r>
          <w:rPr>
            <w:rStyle w:val="CharSectno"/>
          </w:rPr>
          <w:t>101</w:t>
        </w:r>
        <w:r>
          <w:t>.</w:t>
        </w:r>
        <w:r>
          <w:tab/>
          <w:t>Various references to “</w:t>
        </w:r>
        <w:r>
          <w:rPr>
            <w:i/>
          </w:rPr>
          <w:t>Health Act 1911</w:t>
        </w:r>
        <w:r>
          <w:t>” amended</w:t>
        </w:r>
      </w:ins>
    </w:p>
    <w:p>
      <w:pPr>
        <w:pStyle w:val="nzSubsection"/>
        <w:rPr>
          <w:ins w:id="240" w:author="svcMRProcess" w:date="2020-02-20T07:56:00Z"/>
        </w:rPr>
      </w:pPr>
      <w:ins w:id="241" w:author="svcMRProcess" w:date="2020-02-20T07:56:00Z">
        <w:r>
          <w:tab/>
          <w:t>(1)</w:t>
        </w:r>
        <w:r>
          <w:tab/>
          <w:t>This section amends the Acts listed in the Table.</w:t>
        </w:r>
      </w:ins>
    </w:p>
    <w:p>
      <w:pPr>
        <w:pStyle w:val="nzSubsection"/>
        <w:rPr>
          <w:ins w:id="242" w:author="svcMRProcess" w:date="2020-02-20T07:56:00Z"/>
        </w:rPr>
      </w:pPr>
      <w:ins w:id="243" w:author="svcMRProcess" w:date="2020-02-20T07:56:00Z">
        <w:r>
          <w:tab/>
          <w:t>(2)</w:t>
        </w:r>
        <w:r>
          <w:tab/>
          <w:t>In the provisions listed in the Table delete “</w:t>
        </w:r>
        <w:r>
          <w:rPr>
            <w:i/>
          </w:rPr>
          <w:t>Health Act 1911</w:t>
        </w:r>
        <w:r>
          <w:t>” (each occurrence) and insert:</w:t>
        </w:r>
      </w:ins>
    </w:p>
    <w:p>
      <w:pPr>
        <w:pStyle w:val="BlankOpen"/>
        <w:rPr>
          <w:ins w:id="244" w:author="svcMRProcess" w:date="2020-02-20T07:56:00Z"/>
        </w:rPr>
      </w:pPr>
    </w:p>
    <w:p>
      <w:pPr>
        <w:pStyle w:val="nzSubsection"/>
        <w:rPr>
          <w:ins w:id="245" w:author="svcMRProcess" w:date="2020-02-20T07:56:00Z"/>
        </w:rPr>
      </w:pPr>
      <w:ins w:id="246" w:author="svcMRProcess" w:date="2020-02-20T07:56:00Z">
        <w:r>
          <w:rPr>
            <w:i/>
          </w:rPr>
          <w:tab/>
        </w:r>
        <w:r>
          <w:rPr>
            <w:i/>
          </w:rPr>
          <w:tab/>
          <w:t>Health (Miscellaneous Provisions) Act 1911</w:t>
        </w:r>
      </w:ins>
    </w:p>
    <w:p>
      <w:pPr>
        <w:pStyle w:val="BlankClose"/>
        <w:rPr>
          <w:ins w:id="247" w:author="svcMRProcess" w:date="2020-02-20T07:56:00Z"/>
        </w:rPr>
      </w:pPr>
    </w:p>
    <w:p>
      <w:pPr>
        <w:pStyle w:val="nzMiscellaneousHeading"/>
        <w:rPr>
          <w:ins w:id="248" w:author="svcMRProcess" w:date="2020-02-20T07:56:00Z"/>
        </w:rPr>
      </w:pPr>
      <w:ins w:id="249" w:author="svcMRProcess" w:date="2020-02-20T07:56:00Z">
        <w:r>
          <w:rPr>
            <w:b/>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250" w:author="svcMRProcess" w:date="2020-02-20T07:56:00Z"/>
        </w:trPr>
        <w:tc>
          <w:tcPr>
            <w:tcW w:w="3402" w:type="dxa"/>
          </w:tcPr>
          <w:p>
            <w:pPr>
              <w:pStyle w:val="TableAm"/>
              <w:rPr>
                <w:ins w:id="251" w:author="svcMRProcess" w:date="2020-02-20T07:56:00Z"/>
                <w:iCs/>
                <w:sz w:val="20"/>
              </w:rPr>
            </w:pPr>
            <w:ins w:id="252" w:author="svcMRProcess" w:date="2020-02-20T07:56:00Z">
              <w:r>
                <w:rPr>
                  <w:i/>
                  <w:iCs/>
                  <w:sz w:val="20"/>
                </w:rPr>
                <w:t>Rates and Charges (Rebates and Deferments) Act 1992</w:t>
              </w:r>
            </w:ins>
          </w:p>
        </w:tc>
        <w:tc>
          <w:tcPr>
            <w:tcW w:w="3402" w:type="dxa"/>
          </w:tcPr>
          <w:p>
            <w:pPr>
              <w:pStyle w:val="TableAm"/>
              <w:rPr>
                <w:ins w:id="253" w:author="svcMRProcess" w:date="2020-02-20T07:56:00Z"/>
                <w:sz w:val="20"/>
              </w:rPr>
            </w:pPr>
            <w:ins w:id="254" w:author="svcMRProcess" w:date="2020-02-20T07:56:00Z">
              <w:r>
                <w:rPr>
                  <w:sz w:val="20"/>
                </w:rPr>
                <w:t xml:space="preserve">s. 3(1) def. of </w:t>
              </w:r>
              <w:r>
                <w:rPr>
                  <w:b/>
                  <w:i/>
                  <w:sz w:val="20"/>
                </w:rPr>
                <w:t>prescribed charge</w:t>
              </w:r>
              <w:r>
                <w:rPr>
                  <w:sz w:val="20"/>
                </w:rPr>
                <w:t xml:space="preserve"> par. (b)(iii)</w:t>
              </w:r>
            </w:ins>
          </w:p>
        </w:tc>
      </w:tr>
    </w:tbl>
    <w:p>
      <w:pPr>
        <w:pStyle w:val="BlankClose"/>
        <w:rPr>
          <w:ins w:id="255" w:author="svcMRProcess" w:date="2020-02-20T07:56:00Z"/>
        </w:rPr>
      </w:pPr>
    </w:p>
    <w:p>
      <w:pPr>
        <w:pStyle w:val="BlankOpen"/>
        <w:rPr>
          <w:ins w:id="256" w:author="svcMRProcess" w:date="2020-02-20T07:56:00Z"/>
        </w:rPr>
      </w:pPr>
    </w:p>
    <w:p>
      <w:pPr>
        <w:pStyle w:val="nzHeading2"/>
        <w:rPr>
          <w:ins w:id="257" w:author="svcMRProcess" w:date="2020-02-20T07:56:00Z"/>
        </w:rPr>
      </w:pPr>
      <w:ins w:id="258" w:author="svcMRProcess" w:date="2020-02-20T07:56:00Z">
        <w:r>
          <w:rPr>
            <w:rStyle w:val="CharPartNo"/>
          </w:rPr>
          <w:t>Part 5</w:t>
        </w:r>
        <w:r>
          <w:t> — </w:t>
        </w:r>
        <w:r>
          <w:rPr>
            <w:rStyle w:val="CharPartText"/>
          </w:rPr>
          <w:t>Other Acts amended</w:t>
        </w:r>
      </w:ins>
    </w:p>
    <w:p>
      <w:pPr>
        <w:pStyle w:val="nzHeading3"/>
        <w:rPr>
          <w:ins w:id="259" w:author="svcMRProcess" w:date="2020-02-20T07:56:00Z"/>
        </w:rPr>
      </w:pPr>
      <w:ins w:id="260" w:author="svcMRProcess" w:date="2020-02-20T07:56:00Z">
        <w:r>
          <w:rPr>
            <w:rStyle w:val="CharDivNo"/>
          </w:rPr>
          <w:t>Division 19</w:t>
        </w:r>
        <w:r>
          <w:t> — </w:t>
        </w:r>
        <w:r>
          <w:rPr>
            <w:rStyle w:val="CharDivText"/>
            <w:i/>
          </w:rPr>
          <w:t>Rates and Charges (Rebates and Deferments) Act 1992</w:t>
        </w:r>
        <w:r>
          <w:rPr>
            <w:rStyle w:val="CharDivText"/>
          </w:rPr>
          <w:t xml:space="preserve"> amended</w:t>
        </w:r>
      </w:ins>
    </w:p>
    <w:p>
      <w:pPr>
        <w:pStyle w:val="nzHeading5"/>
        <w:rPr>
          <w:ins w:id="261" w:author="svcMRProcess" w:date="2020-02-20T07:56:00Z"/>
        </w:rPr>
      </w:pPr>
      <w:ins w:id="262" w:author="svcMRProcess" w:date="2020-02-20T07:56:00Z">
        <w:r>
          <w:rPr>
            <w:rStyle w:val="CharSectno"/>
          </w:rPr>
          <w:t>321</w:t>
        </w:r>
        <w:r>
          <w:t>.</w:t>
        </w:r>
        <w:r>
          <w:tab/>
          <w:t xml:space="preserve">Act </w:t>
        </w:r>
        <w:r>
          <w:rPr>
            <w:iCs/>
          </w:rPr>
          <w:t>amended</w:t>
        </w:r>
      </w:ins>
    </w:p>
    <w:p>
      <w:pPr>
        <w:pStyle w:val="nzSubsection"/>
        <w:rPr>
          <w:ins w:id="263" w:author="svcMRProcess" w:date="2020-02-20T07:56:00Z"/>
        </w:rPr>
      </w:pPr>
      <w:ins w:id="264" w:author="svcMRProcess" w:date="2020-02-20T07:56:00Z">
        <w:r>
          <w:tab/>
        </w:r>
        <w:r>
          <w:tab/>
          <w:t xml:space="preserve">This Division amends the </w:t>
        </w:r>
        <w:r>
          <w:rPr>
            <w:i/>
          </w:rPr>
          <w:t>Rates and Charges (Rebates and Deferments) Act 1992</w:t>
        </w:r>
        <w:r>
          <w:t>.</w:t>
        </w:r>
      </w:ins>
    </w:p>
    <w:p>
      <w:pPr>
        <w:pStyle w:val="nzHeading5"/>
        <w:rPr>
          <w:ins w:id="265" w:author="svcMRProcess" w:date="2020-02-20T07:56:00Z"/>
        </w:rPr>
      </w:pPr>
      <w:ins w:id="266" w:author="svcMRProcess" w:date="2020-02-20T07:56:00Z">
        <w:r>
          <w:rPr>
            <w:rStyle w:val="CharSectno"/>
          </w:rPr>
          <w:t>322</w:t>
        </w:r>
        <w:r>
          <w:t>.</w:t>
        </w:r>
        <w:r>
          <w:tab/>
          <w:t>Section 3 amended</w:t>
        </w:r>
      </w:ins>
    </w:p>
    <w:p>
      <w:pPr>
        <w:pStyle w:val="nzSubsection"/>
        <w:keepNext/>
        <w:rPr>
          <w:ins w:id="267" w:author="svcMRProcess" w:date="2020-02-20T07:56:00Z"/>
        </w:rPr>
      </w:pPr>
      <w:ins w:id="268" w:author="svcMRProcess" w:date="2020-02-20T07:56:00Z">
        <w:r>
          <w:tab/>
          <w:t>(1)</w:t>
        </w:r>
        <w:r>
          <w:tab/>
          <w:t xml:space="preserve">In section 3(1) in the definition of </w:t>
        </w:r>
        <w:r>
          <w:rPr>
            <w:b/>
            <w:bCs/>
            <w:i/>
            <w:iCs/>
          </w:rPr>
          <w:t>prescribed charge</w:t>
        </w:r>
        <w:r>
          <w:t xml:space="preserve"> after paragraph (b)(iii) insert:</w:t>
        </w:r>
      </w:ins>
    </w:p>
    <w:p>
      <w:pPr>
        <w:pStyle w:val="BlankOpen"/>
        <w:rPr>
          <w:ins w:id="269" w:author="svcMRProcess" w:date="2020-02-20T07:56:00Z"/>
        </w:rPr>
      </w:pPr>
    </w:p>
    <w:p>
      <w:pPr>
        <w:pStyle w:val="nzDefstart"/>
        <w:rPr>
          <w:ins w:id="270" w:author="svcMRProcess" w:date="2020-02-20T07:56:00Z"/>
        </w:rPr>
      </w:pPr>
      <w:ins w:id="271" w:author="svcMRProcess" w:date="2020-02-20T07:56:00Z">
        <w:r>
          <w:tab/>
          <w:t>(iva)</w:t>
        </w:r>
        <w:r>
          <w:tab/>
          <w:t xml:space="preserve">the </w:t>
        </w:r>
        <w:r>
          <w:rPr>
            <w:i/>
          </w:rPr>
          <w:t>Public Health Act 2016</w:t>
        </w:r>
        <w:r>
          <w:t>; or</w:t>
        </w:r>
      </w:ins>
    </w:p>
    <w:p>
      <w:pPr>
        <w:pStyle w:val="BlankClose"/>
        <w:rPr>
          <w:ins w:id="272" w:author="svcMRProcess" w:date="2020-02-20T07:56:00Z"/>
        </w:rPr>
      </w:pPr>
    </w:p>
    <w:p>
      <w:pPr>
        <w:pStyle w:val="nzSubsection"/>
        <w:rPr>
          <w:ins w:id="273" w:author="svcMRProcess" w:date="2020-02-20T07:56:00Z"/>
        </w:rPr>
      </w:pPr>
      <w:ins w:id="274" w:author="svcMRProcess" w:date="2020-02-20T07:56:00Z">
        <w:r>
          <w:tab/>
          <w:t>(2)</w:t>
        </w:r>
        <w:r>
          <w:tab/>
          <w:t xml:space="preserve">In section 3(1) in the definition of </w:t>
        </w:r>
        <w:r>
          <w:rPr>
            <w:b/>
            <w:bCs/>
            <w:i/>
            <w:iCs/>
          </w:rPr>
          <w:t>prescribed charge</w:t>
        </w:r>
        <w:r>
          <w:t xml:space="preserve"> delete paragraph (b)(iii).</w:t>
        </w:r>
      </w:ins>
    </w:p>
    <w:p>
      <w:pPr>
        <w:pStyle w:val="BlankClose"/>
        <w:rPr>
          <w:ins w:id="275" w:author="svcMRProcess" w:date="2020-02-20T07:56:00Z"/>
        </w:rPr>
      </w:pPr>
    </w:p>
    <w:p>
      <w:pPr>
        <w:pStyle w:val="BlankClose"/>
      </w:pP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Administration</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styleref CharDivText</w:instrText>
          </w:r>
          <w:r>
            <w:fldChar w:fldCharType="separate"/>
          </w:r>
          <w:r>
            <w:t>Preliminary</w: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Administration</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separate"/>
          </w:r>
          <w:r>
            <w:t>Interpretation</w: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separate"/>
          </w:r>
          <w:r>
            <w:rPr>
              <w:b/>
            </w:rPr>
            <w:t>Division 2</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0" w:name="Schedule"/>
    <w:bookmarkEnd w:id="21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76" w:name="Compilation"/>
    <w:bookmarkEnd w:id="27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7" w:name="Coversheet"/>
    <w:bookmarkEnd w:id="2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E26E74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0757"/>
    <w:docVar w:name="WAFER_20140114160937" w:val="RemoveTocBookmarks,RemoveUnusedBookmarks,RemoveLanguageTags,UsedStyles,ResetPageSize,UpdateArrangement"/>
    <w:docVar w:name="WAFER_20140114160937_GUID" w:val="224f36e9-6beb-45da-bd82-d93e467183d0"/>
    <w:docVar w:name="WAFER_20140114162252" w:val="RemoveTocBookmarks,RunningHeaders"/>
    <w:docVar w:name="WAFER_20140114162252_GUID" w:val="91f2b6b0-bd2c-400b-96cc-a16ccf2293bf"/>
    <w:docVar w:name="WAFER_20140306140145" w:val="RemoveTocBookmarks,RemoveUnusedBookmarks,RemoveLanguageTags,UsedStyles,ResetPageSize"/>
    <w:docVar w:name="WAFER_20140306140145_GUID" w:val="6b217ece-92ff-4c33-97de-5fc2105e1647"/>
    <w:docVar w:name="WAFER_20140306140916" w:val="RemoveTocBookmarks,RunningHeaders"/>
    <w:docVar w:name="WAFER_20140306140916_GUID" w:val="a5c81e1f-8880-4a0e-bb5b-f3bcb22d525c"/>
    <w:docVar w:name="WAFER_20140617111151" w:val="RemoveTocBookmarks,RemoveUnusedBookmarks,RemoveLanguageTags,UsedStyles,ResetPageSize,UpdateArrangement"/>
    <w:docVar w:name="WAFER_20140617111151_GUID" w:val="0be62ce5-d7ca-4d10-ad22-764c2d0a27f6"/>
    <w:docVar w:name="WAFER_20150710114219" w:val="ResetPageSize,UpdateArrangement,UpdateNTable"/>
    <w:docVar w:name="WAFER_20150710114219_GUID" w:val="774a9d1a-2dc1-46fa-9b0c-2936d1fee265"/>
    <w:docVar w:name="WAFER_20151111162713" w:val="UpdateStyles,UsedStyles"/>
    <w:docVar w:name="WAFER_20151111162713_GUID" w:val="f2f7edba-e78b-4b56-8b1e-03b3dcfbcb8d"/>
    <w:docVar w:name="WAFER_20170111140757" w:val="RemoveTocBookmarks,RemoveUnusedBookmarks,RemoveLanguageTags,UsedStyles,ResetPageSize"/>
    <w:docVar w:name="WAFER_20170111140757_GUID" w:val="650c39bf-4cc0-4694-892f-36eb09bddf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wmf"/><Relationship Id="rId26" Type="http://schemas.openxmlformats.org/officeDocument/2006/relationships/header" Target="header7.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image" Target="media/image5.png"/><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header" Target="head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6.xml"/><Relationship Id="rId32" Type="http://schemas.openxmlformats.org/officeDocument/2006/relationships/header" Target="header13.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header" Target="header9.xml"/><Relationship Id="rId36" Type="http://schemas.openxmlformats.org/officeDocument/2006/relationships/header" Target="header15.xml"/><Relationship Id="rId10" Type="http://schemas.openxmlformats.org/officeDocument/2006/relationships/header" Target="header1.xml"/><Relationship Id="rId19" Type="http://schemas.openxmlformats.org/officeDocument/2006/relationships/header" Target="header4.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F13ACD-9761-4A7D-8FA7-E84199E19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20277</Words>
  <Characters>95306</Characters>
  <Application>Microsoft Office Word</Application>
  <DocSecurity>0</DocSecurity>
  <Lines>2647</Lines>
  <Paragraphs>1328</Paragraphs>
  <ScaleCrop>false</ScaleCrop>
  <HeadingPairs>
    <vt:vector size="2" baseType="variant">
      <vt:variant>
        <vt:lpstr>Title</vt:lpstr>
      </vt:variant>
      <vt:variant>
        <vt:i4>1</vt:i4>
      </vt:variant>
    </vt:vector>
  </HeadingPairs>
  <TitlesOfParts>
    <vt:vector size="1" baseType="lpstr">
      <vt:lpstr>Rates And Charges (Rebates And Deferments) Act 1992</vt:lpstr>
    </vt:vector>
  </TitlesOfParts>
  <Manager/>
  <Company/>
  <LinksUpToDate>false</LinksUpToDate>
  <CharactersWithSpaces>114255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04-d0-01 - 04-e0-01</dc:title>
  <dc:subject/>
  <dc:creator/>
  <cp:keywords/>
  <dc:description/>
  <cp:lastModifiedBy>svcMRProcess</cp:lastModifiedBy>
  <cp:revision>2</cp:revision>
  <cp:lastPrinted>2013-10-04T05:58:00Z</cp:lastPrinted>
  <dcterms:created xsi:type="dcterms:W3CDTF">2020-02-19T23:56:00Z</dcterms:created>
  <dcterms:modified xsi:type="dcterms:W3CDTF">2020-02-19T23:56:00Z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DocumentType">
    <vt:lpwstr>Act</vt:lpwstr>
  </property>
  <property fmtid="{D5CDD505-2E9C-101B-9397-08002B2CF9AE}" pid="4" name="OwlsUID">
    <vt:i4>670</vt:i4>
  </property>
  <property fmtid="{D5CDD505-2E9C-101B-9397-08002B2CF9AE}" pid="5" name="ReprintNo">
    <vt:lpwstr>4</vt:lpwstr>
  </property>
  <property fmtid="{D5CDD505-2E9C-101B-9397-08002B2CF9AE}" pid="6" name="ReprintedAsAt">
    <vt:filetime>2013-10-03T16:00:00Z</vt:filetime>
  </property>
  <property fmtid="{D5CDD505-2E9C-101B-9397-08002B2CF9AE}" pid="7" name="CommencementDate">
    <vt:lpwstr>20160725</vt:lpwstr>
  </property>
  <property fmtid="{D5CDD505-2E9C-101B-9397-08002B2CF9AE}" pid="8" name="FromSuffix">
    <vt:lpwstr>04-d0-01</vt:lpwstr>
  </property>
  <property fmtid="{D5CDD505-2E9C-101B-9397-08002B2CF9AE}" pid="9" name="FromAsAtDate">
    <vt:lpwstr>03 Oct 2015</vt:lpwstr>
  </property>
  <property fmtid="{D5CDD505-2E9C-101B-9397-08002B2CF9AE}" pid="10" name="ToSuffix">
    <vt:lpwstr>04-e0-01</vt:lpwstr>
  </property>
  <property fmtid="{D5CDD505-2E9C-101B-9397-08002B2CF9AE}" pid="11" name="ToAsAtDate">
    <vt:lpwstr>25 Jul 2016</vt:lpwstr>
  </property>
</Properties>
</file>