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University Medical School, Teaching Hospitals, Act 1955 </w:t>
      </w:r>
    </w:p>
    <w:p>
      <w:pPr>
        <w:pStyle w:val="LongTitle"/>
        <w:rPr>
          <w:snapToGrid w:val="0"/>
        </w:rPr>
      </w:pPr>
      <w:r>
        <w:rPr>
          <w:snapToGrid w:val="0"/>
        </w:rPr>
        <w:t>A</w:t>
      </w:r>
      <w:bookmarkStart w:id="1" w:name="_GoBack"/>
      <w:bookmarkEnd w:id="1"/>
      <w:r>
        <w:rPr>
          <w:snapToGrid w:val="0"/>
        </w:rPr>
        <w:t xml:space="preserve">n Act to provide facilities in certain hospitals for the teaching of medical students of the University of Western Australia Medical School. </w:t>
      </w:r>
    </w:p>
    <w:p>
      <w:pPr>
        <w:pStyle w:val="Heading5"/>
        <w:rPr>
          <w:snapToGrid w:val="0"/>
        </w:rPr>
      </w:pPr>
      <w:bookmarkStart w:id="2" w:name="_Toc402970395"/>
      <w:bookmarkStart w:id="3" w:name="_Toc472089009"/>
      <w:bookmarkStart w:id="4" w:name="_Toc45541608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pPr>
        <w:pStyle w:val="Heading5"/>
        <w:rPr>
          <w:snapToGrid w:val="0"/>
        </w:rPr>
      </w:pPr>
      <w:bookmarkStart w:id="5" w:name="_Toc402970396"/>
      <w:bookmarkStart w:id="6" w:name="_Toc472089010"/>
      <w:bookmarkStart w:id="7" w:name="_Toc455416084"/>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managing body</w:t>
      </w:r>
      <w:r>
        <w:t xml:space="preserve">, in relation to a hospital, means the health service provider </w:t>
      </w:r>
      <w:r>
        <w:rPr>
          <w:szCs w:val="24"/>
        </w:rPr>
        <w:t>that has control or management of the hospital;</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w:t>
      </w:r>
      <w:r>
        <w:rPr>
          <w:szCs w:val="24"/>
        </w:rPr>
        <w:t xml:space="preserve">meaning given in the </w:t>
      </w:r>
      <w:r>
        <w:rPr>
          <w:i/>
          <w:szCs w:val="24"/>
        </w:rPr>
        <w:t xml:space="preserve">Health Services Act 2016 </w:t>
      </w:r>
      <w:r>
        <w:rPr>
          <w:szCs w:val="24"/>
        </w:rPr>
        <w:t xml:space="preserve">section 6, </w:t>
      </w:r>
      <w:r>
        <w:t>and includes — </w:t>
      </w:r>
    </w:p>
    <w:p>
      <w:pPr>
        <w:pStyle w:val="Defpara"/>
      </w:pPr>
      <w:r>
        <w:tab/>
        <w:t>(a)</w:t>
      </w:r>
      <w:r>
        <w:tab/>
        <w:t xml:space="preserve">a hospital established under Part X of the </w:t>
      </w:r>
      <w:r>
        <w:rPr>
          <w:i/>
        </w:rPr>
        <w:t>Health Act 1911</w:t>
      </w:r>
      <w:r>
        <w:t>; and</w:t>
      </w:r>
    </w:p>
    <w:p>
      <w:pPr>
        <w:pStyle w:val="Defpara"/>
      </w:pPr>
      <w:r>
        <w:tab/>
        <w:t>(b)</w:t>
      </w:r>
      <w:r>
        <w:tab/>
        <w:t>a mental health hospital;</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by No. 21 of 1985 s. 2; No. 103 of 1994 s. 18; No. 69 of 1996 s. 92; No. 11 of 2016 s. 305(2)-(4).] </w:t>
      </w:r>
    </w:p>
    <w:p>
      <w:pPr>
        <w:pStyle w:val="Heading5"/>
        <w:rPr>
          <w:snapToGrid w:val="0"/>
        </w:rPr>
      </w:pPr>
      <w:bookmarkStart w:id="8" w:name="_Toc402970397"/>
      <w:bookmarkStart w:id="9" w:name="_Toc472089011"/>
      <w:bookmarkStart w:id="10" w:name="_Toc455416085"/>
      <w:r>
        <w:rPr>
          <w:rStyle w:val="CharSectno"/>
        </w:rPr>
        <w:t>3</w:t>
      </w:r>
      <w:r>
        <w:rPr>
          <w:snapToGrid w:val="0"/>
        </w:rPr>
        <w:t>.</w:t>
      </w:r>
      <w:r>
        <w:rPr>
          <w:snapToGrid w:val="0"/>
        </w:rPr>
        <w:tab/>
        <w:t>Declaration of teaching hospitals</w:t>
      </w:r>
      <w:bookmarkEnd w:id="8"/>
      <w:bookmarkEnd w:id="9"/>
      <w:bookmarkEnd w:id="10"/>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by No. 21 of 1985 s. 3.] </w:t>
      </w:r>
    </w:p>
    <w:p>
      <w:pPr>
        <w:pStyle w:val="Heading5"/>
        <w:rPr>
          <w:snapToGrid w:val="0"/>
        </w:rPr>
      </w:pPr>
      <w:bookmarkStart w:id="11" w:name="_Toc402970398"/>
      <w:bookmarkStart w:id="12" w:name="_Toc472089012"/>
      <w:bookmarkStart w:id="13" w:name="_Toc455416086"/>
      <w:r>
        <w:rPr>
          <w:rStyle w:val="CharSectno"/>
        </w:rPr>
        <w:t>4</w:t>
      </w:r>
      <w:r>
        <w:rPr>
          <w:snapToGrid w:val="0"/>
        </w:rPr>
        <w:t>.</w:t>
      </w:r>
      <w:r>
        <w:rPr>
          <w:snapToGrid w:val="0"/>
        </w:rPr>
        <w:tab/>
        <w:t>Power of managing body or Minister to enter into agreement with Senate</w:t>
      </w:r>
      <w:bookmarkEnd w:id="11"/>
      <w:bookmarkEnd w:id="12"/>
      <w:bookmarkEnd w:id="13"/>
      <w:r>
        <w:rPr>
          <w:snapToGrid w:val="0"/>
        </w:rPr>
        <w:t xml:space="preserve"> </w:t>
      </w:r>
    </w:p>
    <w:p>
      <w:pPr>
        <w:pStyle w:val="Subsection"/>
      </w:pPr>
      <w:r>
        <w:tab/>
        <w:t>(1)</w:t>
      </w:r>
      <w:r>
        <w:tab/>
        <w:t xml:space="preserve">Subject to subsection (2) and section 5, a health service provider that has control or management of a teaching hospital may enter into an agreement with the State in relation to — </w:t>
      </w:r>
    </w:p>
    <w:p>
      <w:pPr>
        <w:pStyle w:val="Indenta"/>
        <w:rPr>
          <w:snapToGrid w:val="0"/>
        </w:rPr>
      </w:pPr>
      <w:r>
        <w:tab/>
        <w:t>(a)</w:t>
      </w:r>
      <w:r>
        <w:tab/>
      </w:r>
      <w:r>
        <w:rPr>
          <w:snapToGrid w:val="0"/>
        </w:rPr>
        <w:t>the provision in the teaching hospital of facilities for research and for the teaching of medicine, including the use of land under the control of the teaching hospital and the erection of buildings thereon; and</w:t>
      </w:r>
    </w:p>
    <w:p>
      <w:pPr>
        <w:pStyle w:val="Indenta"/>
        <w:rPr>
          <w:snapToGrid w:val="0"/>
        </w:rPr>
      </w:pPr>
      <w:r>
        <w:tab/>
        <w:t>(b)</w:t>
      </w:r>
      <w:r>
        <w:tab/>
      </w:r>
      <w:r>
        <w:rPr>
          <w:snapToGrid w:val="0"/>
        </w:rPr>
        <w:t>the admission of medical students to the practice, referred to in that agreement, of the teaching hospital; and</w:t>
      </w:r>
    </w:p>
    <w:p>
      <w:pPr>
        <w:pStyle w:val="Indenta"/>
        <w:rPr>
          <w:snapToGrid w:val="0"/>
        </w:rPr>
      </w:pPr>
      <w:r>
        <w:tab/>
        <w:t>(c)</w:t>
      </w:r>
      <w:r>
        <w:tab/>
      </w:r>
      <w:r>
        <w:rPr>
          <w:snapToGrid w:val="0"/>
        </w:rPr>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 xml:space="preserve">[Section 4 inserted by No. 21 of 1985 s. 4; amended by No. 11 of 2016 s. 305(5).] </w:t>
      </w:r>
    </w:p>
    <w:p>
      <w:pPr>
        <w:pStyle w:val="Ednotesection"/>
      </w:pPr>
      <w:bookmarkStart w:id="14" w:name="_Toc402970399"/>
      <w:r>
        <w:rPr>
          <w:b/>
        </w:rPr>
        <w:t>[5, 6.</w:t>
      </w:r>
      <w:r>
        <w:rPr>
          <w:b/>
        </w:rPr>
        <w:tab/>
      </w:r>
      <w:r>
        <w:rPr>
          <w:b/>
        </w:rPr>
        <w:tab/>
      </w:r>
      <w:r>
        <w:t xml:space="preserve">Deleted by No. 11 of 2016 s. 305(6).] </w:t>
      </w:r>
    </w:p>
    <w:p>
      <w:pPr>
        <w:pStyle w:val="Heading5"/>
        <w:spacing w:before="120"/>
        <w:rPr>
          <w:snapToGrid w:val="0"/>
        </w:rPr>
      </w:pPr>
      <w:bookmarkStart w:id="15" w:name="_Toc402970401"/>
      <w:bookmarkStart w:id="16" w:name="_Toc472089013"/>
      <w:bookmarkStart w:id="17" w:name="_Toc455416087"/>
      <w:bookmarkEnd w:id="14"/>
      <w:r>
        <w:rPr>
          <w:rStyle w:val="CharSectno"/>
        </w:rPr>
        <w:t>7</w:t>
      </w:r>
      <w:r>
        <w:rPr>
          <w:snapToGrid w:val="0"/>
        </w:rPr>
        <w:t>.</w:t>
      </w:r>
      <w:r>
        <w:rPr>
          <w:snapToGrid w:val="0"/>
        </w:rPr>
        <w:tab/>
        <w:t>Regulations</w:t>
      </w:r>
      <w:bookmarkEnd w:id="15"/>
      <w:bookmarkEnd w:id="16"/>
      <w:bookmarkEnd w:id="17"/>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8" w:name="_Toc402970402"/>
      <w:bookmarkStart w:id="19" w:name="_Toc424558556"/>
      <w:bookmarkStart w:id="20" w:name="_Toc434933916"/>
      <w:bookmarkStart w:id="21" w:name="_Toc435784117"/>
      <w:bookmarkStart w:id="22" w:name="_Toc436131166"/>
      <w:bookmarkStart w:id="23" w:name="_Toc436131199"/>
      <w:bookmarkStart w:id="24" w:name="_Toc452554640"/>
      <w:bookmarkStart w:id="25" w:name="_Toc452554676"/>
      <w:bookmarkStart w:id="26" w:name="_Toc452554766"/>
      <w:bookmarkStart w:id="27" w:name="_Toc455416088"/>
      <w:bookmarkStart w:id="28" w:name="_Toc472089014"/>
      <w:r>
        <w:t>Notes</w:t>
      </w:r>
      <w:bookmarkEnd w:id="18"/>
      <w:bookmarkEnd w:id="19"/>
      <w:bookmarkEnd w:id="20"/>
      <w:bookmarkEnd w:id="21"/>
      <w:bookmarkEnd w:id="22"/>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Medical School, Teaching Hospitals, Act 1955</w:t>
      </w:r>
      <w:r>
        <w:rPr>
          <w:snapToGrid w:val="0"/>
        </w:rPr>
        <w:t xml:space="preserve"> and includes the amendments made by the other written laws referred to in the following table</w:t>
      </w:r>
      <w:ins w:id="29" w:author="svcMRProcess" w:date="2017-01-18T13:5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0" w:name="_Toc402970403"/>
      <w:bookmarkStart w:id="31" w:name="_Toc472089015"/>
      <w:bookmarkStart w:id="32" w:name="_Toc455416089"/>
      <w:r>
        <w:rPr>
          <w:snapToGrid w:val="0"/>
        </w:rPr>
        <w:t>Compilation table</w:t>
      </w:r>
      <w:bookmarkEnd w:id="30"/>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gridSpan w:val="2"/>
          </w:tcPr>
          <w:p>
            <w:pPr>
              <w:pStyle w:val="nTable"/>
            </w:pPr>
            <w:r>
              <w:rPr>
                <w:i/>
              </w:rPr>
              <w:t>University Medical School, Teaching Hospitals, Act 1955</w:t>
            </w:r>
          </w:p>
        </w:tc>
        <w:tc>
          <w:tcPr>
            <w:tcW w:w="1134" w:type="dxa"/>
            <w:gridSpan w:val="2"/>
          </w:tcPr>
          <w:p>
            <w:pPr>
              <w:pStyle w:val="nTable"/>
            </w:pPr>
            <w:r>
              <w:t>31 of 1955</w:t>
            </w:r>
          </w:p>
        </w:tc>
        <w:tc>
          <w:tcPr>
            <w:tcW w:w="1134" w:type="dxa"/>
            <w:gridSpan w:val="2"/>
          </w:tcPr>
          <w:p>
            <w:pPr>
              <w:pStyle w:val="nTable"/>
            </w:pPr>
            <w:r>
              <w:t>24 Nov 1955</w:t>
            </w:r>
          </w:p>
        </w:tc>
        <w:tc>
          <w:tcPr>
            <w:tcW w:w="2551" w:type="dxa"/>
          </w:tcPr>
          <w:p>
            <w:pPr>
              <w:pStyle w:val="nTable"/>
            </w:pPr>
            <w:r>
              <w:t>24 Nov 1955</w:t>
            </w:r>
          </w:p>
        </w:tc>
      </w:tr>
      <w:tr>
        <w:tc>
          <w:tcPr>
            <w:tcW w:w="2268" w:type="dxa"/>
            <w:gridSpan w:val="2"/>
          </w:tcPr>
          <w:p>
            <w:pPr>
              <w:pStyle w:val="nTable"/>
            </w:pPr>
            <w:r>
              <w:rPr>
                <w:i/>
              </w:rPr>
              <w:t>Health Legislation Amendment Act 1984</w:t>
            </w:r>
            <w:r>
              <w:t xml:space="preserve"> Pt. XXIII</w:t>
            </w:r>
          </w:p>
        </w:tc>
        <w:tc>
          <w:tcPr>
            <w:tcW w:w="1134" w:type="dxa"/>
            <w:gridSpan w:val="2"/>
          </w:tcPr>
          <w:p>
            <w:pPr>
              <w:pStyle w:val="nTable"/>
            </w:pPr>
            <w:r>
              <w:t>28 of 1984</w:t>
            </w:r>
          </w:p>
        </w:tc>
        <w:tc>
          <w:tcPr>
            <w:tcW w:w="1134" w:type="dxa"/>
            <w:gridSpan w:val="2"/>
          </w:tcPr>
          <w:p>
            <w:pPr>
              <w:pStyle w:val="nTable"/>
            </w:pPr>
            <w:r>
              <w:t>31 May 1984</w:t>
            </w:r>
          </w:p>
        </w:tc>
        <w:tc>
          <w:tcPr>
            <w:tcW w:w="2551" w:type="dxa"/>
          </w:tcPr>
          <w:p>
            <w:pPr>
              <w:pStyle w:val="nTable"/>
            </w:pPr>
            <w:r>
              <w:t xml:space="preserve">1 Jul 1984 (see s. 2 and </w:t>
            </w:r>
            <w:r>
              <w:rPr>
                <w:i/>
              </w:rPr>
              <w:t>Gazette</w:t>
            </w:r>
            <w:r>
              <w:t xml:space="preserve"> 15 Jun 1984 p. 1629)</w:t>
            </w:r>
          </w:p>
        </w:tc>
      </w:tr>
      <w:tr>
        <w:tc>
          <w:tcPr>
            <w:tcW w:w="2268" w:type="dxa"/>
            <w:gridSpan w:val="2"/>
          </w:tcPr>
          <w:p>
            <w:pPr>
              <w:pStyle w:val="nTable"/>
            </w:pPr>
            <w:r>
              <w:rPr>
                <w:i/>
              </w:rPr>
              <w:t>University Medical School, Teaching Hospitals, Amendment Act 1985</w:t>
            </w:r>
          </w:p>
        </w:tc>
        <w:tc>
          <w:tcPr>
            <w:tcW w:w="1134" w:type="dxa"/>
            <w:gridSpan w:val="2"/>
          </w:tcPr>
          <w:p>
            <w:pPr>
              <w:pStyle w:val="nTable"/>
            </w:pPr>
            <w:r>
              <w:t>21 of 1985</w:t>
            </w:r>
          </w:p>
        </w:tc>
        <w:tc>
          <w:tcPr>
            <w:tcW w:w="1134" w:type="dxa"/>
            <w:gridSpan w:val="2"/>
          </w:tcPr>
          <w:p>
            <w:pPr>
              <w:pStyle w:val="nTable"/>
            </w:pPr>
            <w:r>
              <w:t>19 Apr 1985</w:t>
            </w:r>
          </w:p>
        </w:tc>
        <w:tc>
          <w:tcPr>
            <w:tcW w:w="2551" w:type="dxa"/>
          </w:tcPr>
          <w:p>
            <w:pPr>
              <w:pStyle w:val="nTable"/>
            </w:pPr>
            <w:r>
              <w:t>17 May 1985</w:t>
            </w:r>
          </w:p>
        </w:tc>
      </w:tr>
      <w:tr>
        <w:trPr>
          <w:cantSplit/>
        </w:trPr>
        <w:tc>
          <w:tcPr>
            <w:tcW w:w="7087" w:type="dxa"/>
            <w:gridSpan w:val="7"/>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c>
          <w:tcPr>
            <w:tcW w:w="2268" w:type="dxa"/>
            <w:gridSpan w:val="2"/>
          </w:tcPr>
          <w:p>
            <w:pPr>
              <w:pStyle w:val="nTable"/>
            </w:pPr>
            <w:r>
              <w:rPr>
                <w:i/>
              </w:rPr>
              <w:t xml:space="preserve">Hospitals Amendment Act 1994 </w:t>
            </w:r>
            <w:r>
              <w:t>s. 18</w:t>
            </w:r>
          </w:p>
        </w:tc>
        <w:tc>
          <w:tcPr>
            <w:tcW w:w="1134" w:type="dxa"/>
            <w:gridSpan w:val="2"/>
          </w:tcPr>
          <w:p>
            <w:pPr>
              <w:pStyle w:val="nTable"/>
            </w:pPr>
            <w:r>
              <w:t>103 of 1994</w:t>
            </w:r>
          </w:p>
        </w:tc>
        <w:tc>
          <w:tcPr>
            <w:tcW w:w="1134" w:type="dxa"/>
            <w:gridSpan w:val="2"/>
          </w:tcPr>
          <w:p>
            <w:pPr>
              <w:pStyle w:val="nTable"/>
            </w:pPr>
            <w:r>
              <w:t>11 Jan 1995</w:t>
            </w:r>
          </w:p>
        </w:tc>
        <w:tc>
          <w:tcPr>
            <w:tcW w:w="2551" w:type="dxa"/>
          </w:tcPr>
          <w:p>
            <w:pPr>
              <w:pStyle w:val="nTable"/>
            </w:pPr>
            <w:r>
              <w:t xml:space="preserve">3 Feb 1995 (see s. 2 and </w:t>
            </w:r>
            <w:r>
              <w:rPr>
                <w:i/>
              </w:rPr>
              <w:t>Gazette</w:t>
            </w:r>
            <w:r>
              <w:t xml:space="preserve"> 3 Feb 1995 p. 333)</w:t>
            </w:r>
          </w:p>
        </w:tc>
      </w:tr>
      <w:tr>
        <w:tc>
          <w:tcPr>
            <w:tcW w:w="2268" w:type="dxa"/>
            <w:gridSpan w:val="2"/>
          </w:tcPr>
          <w:p>
            <w:pPr>
              <w:pStyle w:val="nTable"/>
            </w:pPr>
            <w:r>
              <w:rPr>
                <w:i/>
              </w:rPr>
              <w:t>Mental Health (Consequential Provisions) Act 1996</w:t>
            </w:r>
            <w:r>
              <w:t xml:space="preserve"> Pt. 21</w:t>
            </w:r>
          </w:p>
        </w:tc>
        <w:tc>
          <w:tcPr>
            <w:tcW w:w="1134" w:type="dxa"/>
            <w:gridSpan w:val="2"/>
          </w:tcPr>
          <w:p>
            <w:pPr>
              <w:pStyle w:val="nTable"/>
            </w:pPr>
            <w:r>
              <w:t>69 of 1996</w:t>
            </w:r>
          </w:p>
        </w:tc>
        <w:tc>
          <w:tcPr>
            <w:tcW w:w="1134" w:type="dxa"/>
            <w:gridSpan w:val="2"/>
          </w:tcPr>
          <w:p>
            <w:pPr>
              <w:pStyle w:val="nTable"/>
            </w:pPr>
            <w:r>
              <w:t>13 Nov 1996</w:t>
            </w:r>
          </w:p>
        </w:tc>
        <w:tc>
          <w:tcPr>
            <w:tcW w:w="2551" w:type="dxa"/>
          </w:tcPr>
          <w:p>
            <w:pPr>
              <w:pStyle w:val="nTable"/>
            </w:pPr>
            <w:r>
              <w:t>13 Nov 1997 (see s. 2)</w:t>
            </w:r>
          </w:p>
        </w:tc>
      </w:tr>
      <w:tr>
        <w:trPr>
          <w:cantSplit/>
        </w:trPr>
        <w:tc>
          <w:tcPr>
            <w:tcW w:w="7087" w:type="dxa"/>
            <w:gridSpan w:val="7"/>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vertAlign w:val="superscript"/>
              </w:rPr>
            </w:pPr>
            <w:r>
              <w:rPr>
                <w:i/>
              </w:rPr>
              <w:t>Mental Health Legislation Amendment Act 2014</w:t>
            </w:r>
            <w:r>
              <w:t xml:space="preserve"> Pt. 4 Div. 4 Subdiv. 23</w:t>
            </w:r>
          </w:p>
        </w:tc>
        <w:tc>
          <w:tcPr>
            <w:tcW w:w="1134" w:type="dxa"/>
            <w:gridSpan w:val="2"/>
            <w:tcBorders>
              <w:top w:val="nil"/>
              <w:bottom w:val="nil"/>
            </w:tcBorders>
          </w:tcPr>
          <w:p>
            <w:pPr>
              <w:pStyle w:val="nTable"/>
              <w:spacing w:after="40"/>
              <w:rPr>
                <w:snapToGrid w:val="0"/>
                <w:lang w:val="en-US"/>
              </w:rPr>
            </w:pPr>
            <w:r>
              <w:rPr>
                <w:snapToGrid w:val="0"/>
                <w:lang w:val="en-US"/>
              </w:rPr>
              <w:t>25 of 2014</w:t>
            </w:r>
          </w:p>
        </w:tc>
        <w:tc>
          <w:tcPr>
            <w:tcW w:w="1134" w:type="dxa"/>
            <w:gridSpan w:val="2"/>
            <w:tcBorders>
              <w:top w:val="nil"/>
              <w:bottom w:val="nil"/>
            </w:tcBorders>
          </w:tcPr>
          <w:p>
            <w:pPr>
              <w:pStyle w:val="nTable"/>
              <w:spacing w:after="40"/>
              <w:rPr>
                <w:snapToGrid w:val="0"/>
                <w:lang w:val="en-US"/>
              </w:rPr>
            </w:pPr>
            <w:r>
              <w:t>3 Nov 2014</w:t>
            </w:r>
          </w:p>
        </w:tc>
        <w:tc>
          <w:tcPr>
            <w:tcW w:w="2565" w:type="dxa"/>
            <w:gridSpan w:val="2"/>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rPr>
            </w:pPr>
            <w:r>
              <w:rPr>
                <w:i/>
                <w:snapToGrid w:val="0"/>
              </w:rPr>
              <w:t>Health Services Act 2016</w:t>
            </w:r>
            <w:r>
              <w:rPr>
                <w:snapToGrid w:val="0"/>
              </w:rPr>
              <w:t xml:space="preserve"> s. 305</w:t>
            </w:r>
          </w:p>
        </w:tc>
        <w:tc>
          <w:tcPr>
            <w:tcW w:w="1134" w:type="dxa"/>
            <w:gridSpan w:val="2"/>
            <w:tcBorders>
              <w:top w:val="nil"/>
              <w:bottom w:val="single" w:sz="4" w:space="0" w:color="auto"/>
            </w:tcBorders>
          </w:tcPr>
          <w:p>
            <w:pPr>
              <w:pStyle w:val="nTable"/>
              <w:spacing w:after="40"/>
              <w:rPr>
                <w:snapToGrid w:val="0"/>
                <w:lang w:val="en-US"/>
              </w:rPr>
            </w:pPr>
            <w:r>
              <w:t>11 of 2016</w:t>
            </w:r>
          </w:p>
        </w:tc>
        <w:tc>
          <w:tcPr>
            <w:tcW w:w="1134" w:type="dxa"/>
            <w:gridSpan w:val="2"/>
            <w:tcBorders>
              <w:top w:val="nil"/>
              <w:bottom w:val="single" w:sz="4" w:space="0" w:color="auto"/>
            </w:tcBorders>
          </w:tcPr>
          <w:p>
            <w:pPr>
              <w:pStyle w:val="nTable"/>
              <w:spacing w:after="40"/>
            </w:pPr>
            <w:r>
              <w:t>26 May 2016</w:t>
            </w:r>
          </w:p>
        </w:tc>
        <w:tc>
          <w:tcPr>
            <w:tcW w:w="2565" w:type="dxa"/>
            <w:gridSpan w:val="2"/>
            <w:tcBorders>
              <w:top w:val="nil"/>
              <w:bottom w:val="single" w:sz="4" w:space="0" w:color="auto"/>
            </w:tcBorders>
          </w:tcPr>
          <w:p>
            <w:pPr>
              <w:pStyle w:val="nTable"/>
              <w:spacing w:after="40"/>
              <w:rPr>
                <w:snapToGrid w:val="0"/>
                <w:lang w:val="en-US"/>
              </w:rPr>
            </w:pPr>
            <w:r>
              <w:rPr>
                <w:snapToGrid w:val="0"/>
                <w:lang w:val="en-US"/>
              </w:rPr>
              <w:t xml:space="preserve">1 Jul 2016 (see s. 2(b) and </w:t>
            </w:r>
            <w:r>
              <w:rPr>
                <w:i/>
                <w:snapToGrid w:val="0"/>
                <w:lang w:val="en-US"/>
              </w:rPr>
              <w:t>Gazette</w:t>
            </w:r>
            <w:r>
              <w:rPr>
                <w:snapToGrid w:val="0"/>
                <w:lang w:val="en-US"/>
              </w:rPr>
              <w:t xml:space="preserve"> 24 Jun 2016 p. 2291)</w:t>
            </w:r>
          </w:p>
        </w:tc>
      </w:tr>
    </w:tbl>
    <w:p>
      <w:pPr>
        <w:pStyle w:val="nSubsection"/>
        <w:spacing w:before="360"/>
        <w:rPr>
          <w:ins w:id="33" w:author="svcMRProcess" w:date="2017-01-18T13:51:00Z"/>
        </w:rPr>
      </w:pPr>
      <w:ins w:id="34" w:author="svcMRProcess" w:date="2017-01-18T13:5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 w:author="svcMRProcess" w:date="2017-01-18T13:51:00Z"/>
        </w:rPr>
      </w:pPr>
      <w:bookmarkStart w:id="36" w:name="_Toc472089016"/>
      <w:ins w:id="37" w:author="svcMRProcess" w:date="2017-01-18T13:51:00Z">
        <w:r>
          <w:t>Provisions that have not come into operation</w:t>
        </w:r>
        <w:bookmarkEnd w:id="3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3"/>
      </w:tblGrid>
      <w:tr>
        <w:trPr>
          <w:gridAfter w:val="1"/>
          <w:wAfter w:w="63" w:type="dxa"/>
          <w:tblHeader/>
          <w:ins w:id="38" w:author="svcMRProcess" w:date="2017-01-18T13:51:00Z"/>
        </w:trPr>
        <w:tc>
          <w:tcPr>
            <w:tcW w:w="2273" w:type="dxa"/>
          </w:tcPr>
          <w:p>
            <w:pPr>
              <w:pStyle w:val="nTable"/>
              <w:keepNext/>
              <w:spacing w:after="40"/>
              <w:rPr>
                <w:ins w:id="39" w:author="svcMRProcess" w:date="2017-01-18T13:51:00Z"/>
                <w:b/>
              </w:rPr>
            </w:pPr>
            <w:ins w:id="40" w:author="svcMRProcess" w:date="2017-01-18T13:51:00Z">
              <w:r>
                <w:rPr>
                  <w:b/>
                </w:rPr>
                <w:t>Short title</w:t>
              </w:r>
            </w:ins>
          </w:p>
        </w:tc>
        <w:tc>
          <w:tcPr>
            <w:tcW w:w="1134" w:type="dxa"/>
          </w:tcPr>
          <w:p>
            <w:pPr>
              <w:pStyle w:val="nTable"/>
              <w:keepNext/>
              <w:spacing w:after="40"/>
              <w:rPr>
                <w:ins w:id="41" w:author="svcMRProcess" w:date="2017-01-18T13:51:00Z"/>
                <w:b/>
              </w:rPr>
            </w:pPr>
            <w:ins w:id="42" w:author="svcMRProcess" w:date="2017-01-18T13:51:00Z">
              <w:r>
                <w:rPr>
                  <w:b/>
                </w:rPr>
                <w:t>Number and year</w:t>
              </w:r>
            </w:ins>
          </w:p>
        </w:tc>
        <w:tc>
          <w:tcPr>
            <w:tcW w:w="1134" w:type="dxa"/>
          </w:tcPr>
          <w:p>
            <w:pPr>
              <w:pStyle w:val="nTable"/>
              <w:keepNext/>
              <w:spacing w:after="40"/>
              <w:rPr>
                <w:ins w:id="43" w:author="svcMRProcess" w:date="2017-01-18T13:51:00Z"/>
                <w:b/>
              </w:rPr>
            </w:pPr>
            <w:ins w:id="44" w:author="svcMRProcess" w:date="2017-01-18T13:51:00Z">
              <w:r>
                <w:rPr>
                  <w:b/>
                </w:rPr>
                <w:t>Assent</w:t>
              </w:r>
            </w:ins>
          </w:p>
        </w:tc>
        <w:tc>
          <w:tcPr>
            <w:tcW w:w="2552" w:type="dxa"/>
          </w:tcPr>
          <w:p>
            <w:pPr>
              <w:pStyle w:val="nTable"/>
              <w:keepNext/>
              <w:spacing w:after="40"/>
              <w:rPr>
                <w:ins w:id="45" w:author="svcMRProcess" w:date="2017-01-18T13:51:00Z"/>
                <w:b/>
              </w:rPr>
            </w:pPr>
            <w:ins w:id="46" w:author="svcMRProcess" w:date="2017-01-18T13:51:00Z">
              <w:r>
                <w:rPr>
                  <w:b/>
                </w:rPr>
                <w:t>Commencement</w:t>
              </w:r>
            </w:ins>
          </w:p>
        </w:tc>
      </w:tr>
      <w:tr>
        <w:tblPrEx>
          <w:tblCellMar>
            <w:left w:w="57" w:type="dxa"/>
            <w:right w:w="57" w:type="dxa"/>
          </w:tblCellMar>
        </w:tblPrEx>
        <w:trPr>
          <w:ins w:id="47" w:author="svcMRProcess" w:date="2017-01-18T13:51:00Z"/>
        </w:trPr>
        <w:tc>
          <w:tcPr>
            <w:tcW w:w="2268" w:type="dxa"/>
            <w:tcBorders>
              <w:top w:val="nil"/>
              <w:bottom w:val="single" w:sz="4" w:space="0" w:color="auto"/>
            </w:tcBorders>
          </w:tcPr>
          <w:p>
            <w:pPr>
              <w:pStyle w:val="nTable"/>
              <w:spacing w:after="40"/>
              <w:rPr>
                <w:ins w:id="48" w:author="svcMRProcess" w:date="2017-01-18T13:51:00Z"/>
                <w:noProof/>
                <w:snapToGrid w:val="0"/>
                <w:vertAlign w:val="superscript"/>
              </w:rPr>
            </w:pPr>
            <w:ins w:id="49" w:author="svcMRProcess" w:date="2017-01-18T13:51:00Z">
              <w:r>
                <w:rPr>
                  <w:i/>
                </w:rPr>
                <w:t>Public Health (Consequential Provisions) Act 2016</w:t>
              </w:r>
              <w:r>
                <w:t xml:space="preserve"> Pt. 3 Div. 28 </w:t>
              </w:r>
              <w:r>
                <w:rPr>
                  <w:vertAlign w:val="superscript"/>
                </w:rPr>
                <w:t>3</w:t>
              </w:r>
            </w:ins>
          </w:p>
        </w:tc>
        <w:tc>
          <w:tcPr>
            <w:tcW w:w="1134" w:type="dxa"/>
            <w:tcBorders>
              <w:top w:val="nil"/>
              <w:bottom w:val="single" w:sz="4" w:space="0" w:color="auto"/>
            </w:tcBorders>
          </w:tcPr>
          <w:p>
            <w:pPr>
              <w:pStyle w:val="nTable"/>
              <w:spacing w:after="40"/>
              <w:rPr>
                <w:ins w:id="50" w:author="svcMRProcess" w:date="2017-01-18T13:51:00Z"/>
              </w:rPr>
            </w:pPr>
            <w:ins w:id="51" w:author="svcMRProcess" w:date="2017-01-18T13:51:00Z">
              <w:r>
                <w:t>19 of 2016</w:t>
              </w:r>
            </w:ins>
          </w:p>
        </w:tc>
        <w:tc>
          <w:tcPr>
            <w:tcW w:w="1134" w:type="dxa"/>
            <w:tcBorders>
              <w:top w:val="nil"/>
              <w:bottom w:val="single" w:sz="4" w:space="0" w:color="auto"/>
            </w:tcBorders>
          </w:tcPr>
          <w:p>
            <w:pPr>
              <w:pStyle w:val="nTable"/>
              <w:spacing w:after="40"/>
              <w:rPr>
                <w:ins w:id="52" w:author="svcMRProcess" w:date="2017-01-18T13:51:00Z"/>
              </w:rPr>
            </w:pPr>
            <w:ins w:id="53" w:author="svcMRProcess" w:date="2017-01-18T13:51:00Z">
              <w:r>
                <w:t>25 Jul 2016</w:t>
              </w:r>
            </w:ins>
          </w:p>
        </w:tc>
        <w:tc>
          <w:tcPr>
            <w:tcW w:w="2615" w:type="dxa"/>
            <w:gridSpan w:val="2"/>
            <w:tcBorders>
              <w:top w:val="nil"/>
              <w:bottom w:val="single" w:sz="4" w:space="0" w:color="auto"/>
            </w:tcBorders>
          </w:tcPr>
          <w:p>
            <w:pPr>
              <w:pStyle w:val="nTable"/>
              <w:spacing w:after="40"/>
              <w:rPr>
                <w:ins w:id="54" w:author="svcMRProcess" w:date="2017-01-18T13:51:00Z"/>
                <w:snapToGrid w:val="0"/>
              </w:rPr>
            </w:pPr>
            <w:ins w:id="55" w:author="svcMRProcess" w:date="2017-01-18T13:51:00Z">
              <w:r>
                <w:rPr>
                  <w:snapToGrid w:val="0"/>
                </w:rPr>
                <w:t xml:space="preserve">24 Jan 2017 (see s. 2(1)(c) and </w:t>
              </w:r>
              <w:r>
                <w:rPr>
                  <w:i/>
                  <w:snapToGrid w:val="0"/>
                </w:rPr>
                <w:t>Gazette</w:t>
              </w:r>
              <w:r>
                <w:rPr>
                  <w:snapToGrid w:val="0"/>
                </w:rPr>
                <w:t xml:space="preserve"> 10 Jan 2017 p. 165)</w:t>
              </w:r>
            </w:ins>
          </w:p>
        </w:tc>
      </w:tr>
    </w:tbl>
    <w:p>
      <w:pPr>
        <w:pStyle w:val="nSubsection"/>
        <w:rPr>
          <w:vertAlign w:val="superscript"/>
        </w:rPr>
      </w:pPr>
    </w:p>
    <w:p>
      <w:pPr>
        <w:pStyle w:val="nSubsection"/>
      </w:pPr>
      <w:r>
        <w:rPr>
          <w:vertAlign w:val="superscript"/>
        </w:rPr>
        <w:t>2</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 Amendment Act 1994</w:t>
      </w:r>
      <w:r>
        <w:t xml:space="preserve"> s. 5.  Reference changed under the </w:t>
      </w:r>
      <w:r>
        <w:rPr>
          <w:i/>
        </w:rPr>
        <w:t>Reprints Act 1984</w:t>
      </w:r>
      <w:r>
        <w:t xml:space="preserve"> s. 7(5)(a).</w:t>
      </w:r>
    </w:p>
    <w:p>
      <w:pPr>
        <w:pStyle w:val="nSubsection"/>
        <w:keepNext/>
        <w:keepLines/>
        <w:spacing w:before="120"/>
        <w:rPr>
          <w:ins w:id="56" w:author="svcMRProcess" w:date="2017-01-18T13:51:00Z"/>
        </w:rPr>
      </w:pPr>
      <w:ins w:id="57" w:author="svcMRProcess" w:date="2017-01-18T13:51:00Z">
        <w:r>
          <w:rPr>
            <w:vertAlign w:val="superscript"/>
          </w:rPr>
          <w:t>3</w:t>
        </w:r>
        <w:r>
          <w:tab/>
        </w:r>
        <w:r>
          <w:rPr>
            <w:snapToGrid w:val="0"/>
          </w:rPr>
          <w:t xml:space="preserve">On the date as at which this compilation was prepared, the </w:t>
        </w:r>
        <w:r>
          <w:rPr>
            <w:i/>
            <w:noProof/>
          </w:rPr>
          <w:t>Public Health (Consequential Provisions) Act 2016</w:t>
        </w:r>
        <w:r>
          <w:rPr>
            <w:noProof/>
          </w:rPr>
          <w:t xml:space="preserve"> Pt. 3 Div. 28</w:t>
        </w:r>
        <w:r>
          <w:rPr>
            <w:snapToGrid w:val="0"/>
          </w:rPr>
          <w:t xml:space="preserve"> had not come into operation. It reads as follows:</w:t>
        </w:r>
      </w:ins>
    </w:p>
    <w:p>
      <w:pPr>
        <w:pStyle w:val="BlankOpen"/>
        <w:rPr>
          <w:ins w:id="58" w:author="svcMRProcess" w:date="2017-01-18T13:51:00Z"/>
        </w:rPr>
      </w:pPr>
    </w:p>
    <w:p>
      <w:pPr>
        <w:pStyle w:val="nzHeading2"/>
        <w:rPr>
          <w:ins w:id="59" w:author="svcMRProcess" w:date="2017-01-18T13:51:00Z"/>
          <w:rStyle w:val="CharPartText"/>
        </w:rPr>
      </w:pPr>
      <w:bookmarkStart w:id="60" w:name="_Toc403555103"/>
      <w:bookmarkStart w:id="61" w:name="_Toc403555597"/>
      <w:bookmarkStart w:id="62" w:name="_Toc403557229"/>
      <w:bookmarkStart w:id="63" w:name="_Toc403557723"/>
      <w:bookmarkStart w:id="64" w:name="_Toc403559951"/>
      <w:bookmarkStart w:id="65" w:name="_Toc404175115"/>
      <w:bookmarkStart w:id="66" w:name="_Toc404179420"/>
      <w:bookmarkStart w:id="67" w:name="_Toc404181430"/>
      <w:bookmarkStart w:id="68" w:name="_Toc404253698"/>
      <w:bookmarkStart w:id="69" w:name="_Toc436300702"/>
      <w:bookmarkStart w:id="70" w:name="_Toc436303685"/>
      <w:bookmarkStart w:id="71" w:name="_Toc436304181"/>
      <w:bookmarkStart w:id="72" w:name="_Toc436661057"/>
      <w:bookmarkStart w:id="73" w:name="_Toc455465868"/>
      <w:bookmarkStart w:id="74" w:name="_Toc455475126"/>
      <w:bookmarkStart w:id="75" w:name="_Toc455475608"/>
      <w:bookmarkStart w:id="76" w:name="_Toc455749690"/>
      <w:bookmarkStart w:id="77" w:name="_Toc456087351"/>
      <w:bookmarkStart w:id="78" w:name="_Toc457226561"/>
      <w:ins w:id="79" w:author="svcMRProcess" w:date="2017-01-18T13:51:00Z">
        <w:r>
          <w:rPr>
            <w:rStyle w:val="CharPartNo"/>
          </w:rPr>
          <w:t>Part 3</w:t>
        </w:r>
        <w:r>
          <w:t> — </w:t>
        </w:r>
        <w:r>
          <w:rPr>
            <w:rStyle w:val="CharPartText"/>
          </w:rPr>
          <w:t>Amendments to other Acts and repeals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ins>
    </w:p>
    <w:p>
      <w:pPr>
        <w:pStyle w:val="nzHeading3"/>
        <w:rPr>
          <w:ins w:id="80" w:author="svcMRProcess" w:date="2017-01-18T13:51:00Z"/>
        </w:rPr>
      </w:pPr>
      <w:bookmarkStart w:id="81" w:name="_Toc403555240"/>
      <w:bookmarkStart w:id="82" w:name="_Toc403555734"/>
      <w:bookmarkStart w:id="83" w:name="_Toc403557366"/>
      <w:bookmarkStart w:id="84" w:name="_Toc403557860"/>
      <w:bookmarkStart w:id="85" w:name="_Toc403560088"/>
      <w:bookmarkStart w:id="86" w:name="_Toc404175252"/>
      <w:bookmarkStart w:id="87" w:name="_Toc404179557"/>
      <w:bookmarkStart w:id="88" w:name="_Toc404181567"/>
      <w:bookmarkStart w:id="89" w:name="_Toc404253835"/>
      <w:bookmarkStart w:id="90" w:name="_Toc436300840"/>
      <w:bookmarkStart w:id="91" w:name="_Toc436303823"/>
      <w:bookmarkStart w:id="92" w:name="_Toc436304319"/>
      <w:bookmarkStart w:id="93" w:name="_Toc436661195"/>
      <w:bookmarkStart w:id="94" w:name="_Toc455466006"/>
      <w:bookmarkStart w:id="95" w:name="_Toc455475253"/>
      <w:bookmarkStart w:id="96" w:name="_Toc455475735"/>
      <w:bookmarkStart w:id="97" w:name="_Toc455749817"/>
      <w:bookmarkStart w:id="98" w:name="_Toc456087478"/>
      <w:bookmarkStart w:id="99" w:name="_Toc457226688"/>
      <w:ins w:id="100" w:author="svcMRProcess" w:date="2017-01-18T13:51:00Z">
        <w:r>
          <w:rPr>
            <w:rStyle w:val="CharDivNo"/>
          </w:rPr>
          <w:t>Division 28</w:t>
        </w:r>
        <w:r>
          <w:t> — </w:t>
        </w:r>
        <w:r>
          <w:rPr>
            <w:rStyle w:val="CharDivText"/>
            <w:i/>
          </w:rPr>
          <w:t>University Medical School, Teaching Hospitals, Act 1955</w:t>
        </w:r>
        <w:r>
          <w:rPr>
            <w:rStyle w:val="CharDivText"/>
          </w:rPr>
          <w:t xml:space="preserve"> amended</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ins>
    </w:p>
    <w:p>
      <w:pPr>
        <w:pStyle w:val="nzHeading5"/>
        <w:rPr>
          <w:ins w:id="101" w:author="svcMRProcess" w:date="2017-01-18T13:51:00Z"/>
        </w:rPr>
      </w:pPr>
      <w:bookmarkStart w:id="102" w:name="_Toc456087479"/>
      <w:bookmarkStart w:id="103" w:name="_Toc457226689"/>
      <w:ins w:id="104" w:author="svcMRProcess" w:date="2017-01-18T13:51:00Z">
        <w:r>
          <w:rPr>
            <w:rStyle w:val="CharSectno"/>
          </w:rPr>
          <w:t>197</w:t>
        </w:r>
        <w:r>
          <w:t>.</w:t>
        </w:r>
        <w:r>
          <w:tab/>
          <w:t xml:space="preserve">Act </w:t>
        </w:r>
        <w:r>
          <w:rPr>
            <w:iCs/>
          </w:rPr>
          <w:t>amended</w:t>
        </w:r>
        <w:bookmarkEnd w:id="102"/>
        <w:bookmarkEnd w:id="103"/>
      </w:ins>
    </w:p>
    <w:p>
      <w:pPr>
        <w:pStyle w:val="nzSubsection"/>
        <w:rPr>
          <w:ins w:id="105" w:author="svcMRProcess" w:date="2017-01-18T13:51:00Z"/>
        </w:rPr>
      </w:pPr>
      <w:ins w:id="106" w:author="svcMRProcess" w:date="2017-01-18T13:51:00Z">
        <w:r>
          <w:tab/>
        </w:r>
        <w:r>
          <w:tab/>
          <w:t xml:space="preserve">This Division amends the </w:t>
        </w:r>
        <w:r>
          <w:rPr>
            <w:i/>
          </w:rPr>
          <w:t>University Medical School, Teaching Hospitals, Act 1955</w:t>
        </w:r>
        <w:r>
          <w:rPr>
            <w:iCs/>
          </w:rPr>
          <w:t>.</w:t>
        </w:r>
      </w:ins>
    </w:p>
    <w:p>
      <w:pPr>
        <w:pStyle w:val="nzHeading5"/>
        <w:rPr>
          <w:ins w:id="107" w:author="svcMRProcess" w:date="2017-01-18T13:51:00Z"/>
        </w:rPr>
      </w:pPr>
      <w:bookmarkStart w:id="108" w:name="_Toc456087480"/>
      <w:bookmarkStart w:id="109" w:name="_Toc457226690"/>
      <w:ins w:id="110" w:author="svcMRProcess" w:date="2017-01-18T13:51:00Z">
        <w:r>
          <w:rPr>
            <w:rStyle w:val="CharSectno"/>
          </w:rPr>
          <w:t>198</w:t>
        </w:r>
        <w:r>
          <w:t>.</w:t>
        </w:r>
        <w:r>
          <w:tab/>
          <w:t>Section 2 amended</w:t>
        </w:r>
        <w:bookmarkEnd w:id="108"/>
        <w:bookmarkEnd w:id="109"/>
      </w:ins>
    </w:p>
    <w:p>
      <w:pPr>
        <w:pStyle w:val="nzSubsection"/>
        <w:rPr>
          <w:ins w:id="111" w:author="svcMRProcess" w:date="2017-01-18T13:51:00Z"/>
        </w:rPr>
      </w:pPr>
      <w:ins w:id="112" w:author="svcMRProcess" w:date="2017-01-18T13:51:00Z">
        <w:r>
          <w:tab/>
        </w:r>
        <w:r>
          <w:tab/>
          <w:t xml:space="preserve">In section 2 in the definition of </w:t>
        </w:r>
        <w:r>
          <w:rPr>
            <w:b/>
            <w:bCs/>
            <w:i/>
            <w:iCs/>
          </w:rPr>
          <w:t>public hospital</w:t>
        </w:r>
        <w:r>
          <w:t xml:space="preserve"> paragraph (a) delete “Part X of the </w:t>
        </w:r>
        <w:r>
          <w:rPr>
            <w:i/>
            <w:iCs/>
          </w:rPr>
          <w:t>Health Act 1911</w:t>
        </w:r>
        <w:r>
          <w:t>; and” and insert:</w:t>
        </w:r>
      </w:ins>
    </w:p>
    <w:p>
      <w:pPr>
        <w:pStyle w:val="BlankOpen"/>
        <w:rPr>
          <w:ins w:id="113" w:author="svcMRProcess" w:date="2017-01-18T13:51:00Z"/>
        </w:rPr>
      </w:pPr>
    </w:p>
    <w:p>
      <w:pPr>
        <w:pStyle w:val="nzSubsection"/>
        <w:rPr>
          <w:ins w:id="114" w:author="svcMRProcess" w:date="2017-01-18T13:51:00Z"/>
        </w:rPr>
      </w:pPr>
      <w:ins w:id="115" w:author="svcMRProcess" w:date="2017-01-18T13:51:00Z">
        <w:r>
          <w:tab/>
        </w:r>
        <w:r>
          <w:tab/>
          <w:t xml:space="preserve">the </w:t>
        </w:r>
        <w:r>
          <w:rPr>
            <w:i/>
            <w:iCs/>
          </w:rPr>
          <w:t>Health (Miscellaneous Provisions) Act 1911</w:t>
        </w:r>
        <w:r>
          <w:t xml:space="preserve"> Part XII; and</w:t>
        </w:r>
      </w:ins>
    </w:p>
    <w:p>
      <w:pPr>
        <w:pStyle w:val="BlankClose"/>
        <w:rPr>
          <w:ins w:id="116" w:author="svcMRProcess" w:date="2017-01-18T13:51:00Z"/>
        </w:rPr>
      </w:pPr>
    </w:p>
    <w:p>
      <w:pPr>
        <w:pStyle w:val="BlankClose"/>
        <w:rPr>
          <w:ins w:id="117" w:author="svcMRProcess" w:date="2017-01-18T13:51: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83B37B5"/>
    <w:multiLevelType w:val="multilevel"/>
    <w:tmpl w:val="B8E83C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767BF2"/>
    <w:multiLevelType w:val="hybridMultilevel"/>
    <w:tmpl w:val="8F5AF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25"/>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1500</Words>
  <Characters>7159</Characters>
  <Application>Microsoft Office Word</Application>
  <DocSecurity>0</DocSecurity>
  <Lines>223</Lines>
  <Paragraphs>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02-f0-00 - 02-g0-01</dc:title>
  <dc:subject/>
  <dc:creator/>
  <cp:keywords/>
  <dc:description/>
  <cp:lastModifiedBy>svcMRProcess</cp:lastModifiedBy>
  <cp:revision>2</cp:revision>
  <cp:lastPrinted>2004-04-07T02:17:00Z</cp:lastPrinted>
  <dcterms:created xsi:type="dcterms:W3CDTF">2017-01-18T05:51:00Z</dcterms:created>
  <dcterms:modified xsi:type="dcterms:W3CDTF">2017-01-18T05:51:00Z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CommencementDate">
    <vt:lpwstr>20160725</vt:lpwstr>
  </property>
  <property fmtid="{D5CDD505-2E9C-101B-9397-08002B2CF9AE}" pid="6" name="FromSuffix">
    <vt:lpwstr>02-f0-00</vt:lpwstr>
  </property>
  <property fmtid="{D5CDD505-2E9C-101B-9397-08002B2CF9AE}" pid="7" name="FromAsAtDate">
    <vt:lpwstr>01 Jul 2016</vt:lpwstr>
  </property>
  <property fmtid="{D5CDD505-2E9C-101B-9397-08002B2CF9AE}" pid="8" name="ToSuffix">
    <vt:lpwstr>02-g0-01</vt:lpwstr>
  </property>
  <property fmtid="{D5CDD505-2E9C-101B-9397-08002B2CF9AE}" pid="9" name="ToAsAtDate">
    <vt:lpwstr>25 Jul 2016</vt:lpwstr>
  </property>
</Properties>
</file>