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2009</w:t>
      </w:r>
      <w:r>
        <w:fldChar w:fldCharType="end"/>
      </w:r>
      <w:r>
        <w:t xml:space="preserve">, </w:t>
      </w:r>
      <w:r>
        <w:fldChar w:fldCharType="begin"/>
      </w:r>
      <w:r>
        <w:instrText xml:space="preserve"> DocProperty FromSuffix </w:instrText>
      </w:r>
      <w:r>
        <w:fldChar w:fldCharType="separate"/>
      </w:r>
      <w:r>
        <w:t>00-c0-08</w:t>
      </w:r>
      <w:r>
        <w:fldChar w:fldCharType="end"/>
      </w:r>
      <w:r>
        <w:t>] and [</w:t>
      </w:r>
      <w:r>
        <w:fldChar w:fldCharType="begin"/>
      </w:r>
      <w:r>
        <w:instrText xml:space="preserve"> DocProperty ToAsAtDate</w:instrText>
      </w:r>
      <w:r>
        <w:fldChar w:fldCharType="separate"/>
      </w:r>
      <w:r>
        <w:t>12 Aug 2016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Waste Avoidance and Resource Recovery Levy Act 2007</w:t>
      </w:r>
    </w:p>
    <w:p>
      <w:pPr>
        <w:pStyle w:val="LongTitle"/>
        <w:rPr>
          <w:snapToGrid w:val="0"/>
        </w:rPr>
      </w:pPr>
      <w:bookmarkStart w:id="1" w:name="BillCited"/>
      <w:bookmarkEnd w:id="1"/>
      <w:r>
        <w:rPr>
          <w:snapToGrid w:val="0"/>
        </w:rPr>
        <w:t>A</w:t>
      </w:r>
      <w:bookmarkStart w:id="2" w:name="_GoBack"/>
      <w:bookmarkEnd w:id="2"/>
      <w:r>
        <w:rPr>
          <w:snapToGrid w:val="0"/>
        </w:rPr>
        <w:t>n Act to impose a levy in respect of certain waste.</w:t>
      </w:r>
    </w:p>
    <w:p>
      <w:pPr>
        <w:pStyle w:val="Enactment"/>
        <w:rPr>
          <w:del w:id="3" w:author="svcMRProcess" w:date="2019-02-14T16:43:00Z"/>
        </w:rPr>
      </w:pPr>
      <w:bookmarkStart w:id="4" w:name="_Toc536183284"/>
      <w:del w:id="5" w:author="svcMRProcess" w:date="2019-02-14T16:43:00Z">
        <w:r>
          <w:rPr>
            <w:snapToGrid w:val="0"/>
          </w:rPr>
          <w:delText>The Parliament of Western Australia enacts as follows:</w:delText>
        </w:r>
      </w:del>
    </w:p>
    <w:p>
      <w:pPr>
        <w:pStyle w:val="Heading5"/>
      </w:pPr>
      <w:bookmarkStart w:id="6" w:name="_Toc379274629"/>
      <w:bookmarkStart w:id="7" w:name="_Toc434934844"/>
      <w:r>
        <w:rPr>
          <w:rStyle w:val="CharSectno"/>
        </w:rPr>
        <w:t>1</w:t>
      </w:r>
      <w:r>
        <w:t>.</w:t>
      </w:r>
      <w:r>
        <w:tab/>
      </w:r>
      <w:r>
        <w:rPr>
          <w:snapToGrid w:val="0"/>
        </w:rPr>
        <w:t>Short title</w:t>
      </w:r>
      <w:bookmarkEnd w:id="4"/>
      <w:bookmarkEnd w:id="6"/>
      <w:bookmarkEnd w:id="7"/>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8" w:name="_Toc536183285"/>
      <w:bookmarkStart w:id="9" w:name="_Toc379274630"/>
      <w:bookmarkStart w:id="10" w:name="_Toc434934845"/>
      <w:r>
        <w:rPr>
          <w:rStyle w:val="CharSectno"/>
        </w:rPr>
        <w:t>2</w:t>
      </w:r>
      <w:r>
        <w:rPr>
          <w:snapToGrid w:val="0"/>
        </w:rPr>
        <w:t>.</w:t>
      </w:r>
      <w:r>
        <w:rPr>
          <w:snapToGrid w:val="0"/>
        </w:rPr>
        <w:tab/>
      </w:r>
      <w:r>
        <w:t>Commencement</w:t>
      </w:r>
      <w:bookmarkEnd w:id="8"/>
      <w:bookmarkEnd w:id="9"/>
      <w:bookmarkEnd w:id="10"/>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Heading5"/>
      </w:pPr>
      <w:bookmarkStart w:id="11" w:name="_Toc379274631"/>
      <w:bookmarkStart w:id="12" w:name="_Toc434934846"/>
      <w:bookmarkStart w:id="13" w:name="_Toc536183286"/>
      <w:r>
        <w:rPr>
          <w:rStyle w:val="CharSectno"/>
        </w:rPr>
        <w:t>3</w:t>
      </w:r>
      <w:r>
        <w:t>.</w:t>
      </w:r>
      <w:r>
        <w:tab/>
      </w:r>
      <w:del w:id="14" w:author="svcMRProcess" w:date="2019-02-14T16:43:00Z">
        <w:r>
          <w:delText>Interpretation</w:delText>
        </w:r>
      </w:del>
      <w:bookmarkEnd w:id="11"/>
      <w:bookmarkEnd w:id="12"/>
      <w:ins w:id="15" w:author="svcMRProcess" w:date="2019-02-14T16:43:00Z">
        <w:r>
          <w:t>Terms used</w:t>
        </w:r>
      </w:ins>
      <w:bookmarkEnd w:id="13"/>
    </w:p>
    <w:p>
      <w:pPr>
        <w:pStyle w:val="Subsection"/>
      </w:pPr>
      <w:r>
        <w:tab/>
      </w:r>
      <w:r>
        <w:tab/>
        <w:t xml:space="preserve">In this Act — </w:t>
      </w:r>
    </w:p>
    <w:p>
      <w:pPr>
        <w:pStyle w:val="Defstart"/>
      </w:pPr>
      <w:r>
        <w:rPr>
          <w:b/>
        </w:rP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r>
        <w:rPr>
          <w:rStyle w:val="CharDefText"/>
        </w:rPr>
        <w:t>EP Act</w:t>
      </w:r>
      <w:r>
        <w:t xml:space="preserve"> means the </w:t>
      </w:r>
      <w:r>
        <w:rPr>
          <w:i/>
          <w:iCs/>
        </w:rPr>
        <w:t>Environmental Protection Act 1986</w:t>
      </w:r>
      <w:r>
        <w:t>;</w:t>
      </w:r>
    </w:p>
    <w:p>
      <w:pPr>
        <w:pStyle w:val="Defstart"/>
      </w:pPr>
      <w:r>
        <w:rPr>
          <w:b/>
        </w:rPr>
        <w:tab/>
      </w:r>
      <w:r>
        <w:rPr>
          <w:rStyle w:val="CharDefText"/>
        </w:rPr>
        <w:t>licence</w:t>
      </w:r>
      <w:r>
        <w:t xml:space="preserve"> has the same meaning as in the EP Act;</w:t>
      </w:r>
    </w:p>
    <w:p>
      <w:pPr>
        <w:pStyle w:val="Defstart"/>
      </w:pPr>
      <w:r>
        <w:rPr>
          <w:b/>
        </w:rPr>
        <w:lastRenderedPageBreak/>
        <w:tab/>
      </w:r>
      <w:r>
        <w:rPr>
          <w:rStyle w:val="CharDefText"/>
        </w:rPr>
        <w:t>Waste Authority</w:t>
      </w:r>
      <w:r>
        <w:t xml:space="preserve"> means the Waste Authority established under the </w:t>
      </w:r>
      <w:r>
        <w:rPr>
          <w:i/>
          <w:iCs/>
        </w:rPr>
        <w:t>Waste Avoidance and Resource Recovery Act 2007</w:t>
      </w:r>
      <w:r>
        <w:t>.</w:t>
      </w:r>
    </w:p>
    <w:p>
      <w:pPr>
        <w:pStyle w:val="Heading5"/>
      </w:pPr>
      <w:bookmarkStart w:id="16" w:name="_Toc536183287"/>
      <w:bookmarkStart w:id="17" w:name="_Toc379274632"/>
      <w:bookmarkStart w:id="18" w:name="_Toc434934847"/>
      <w:r>
        <w:rPr>
          <w:rStyle w:val="CharSectno"/>
        </w:rPr>
        <w:t>4</w:t>
      </w:r>
      <w:r>
        <w:t>.</w:t>
      </w:r>
      <w:r>
        <w:tab/>
        <w:t>Levy may be prescribed</w:t>
      </w:r>
      <w:bookmarkEnd w:id="16"/>
      <w:bookmarkEnd w:id="17"/>
      <w:bookmarkEnd w:id="18"/>
    </w:p>
    <w:p>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pPr>
      <w:r>
        <w:tab/>
        <w:t>(2A)</w:t>
      </w:r>
      <w:r>
        <w:tab/>
        <w:t>The Waste Authority may provide advice to the Minister for the purpose of making a recommendation under subsection (1) as to the amount by way of levy to be prescribed.</w:t>
      </w:r>
    </w:p>
    <w:p>
      <w:pPr>
        <w:pStyle w:val="Subsection"/>
      </w:pPr>
      <w:r>
        <w:tab/>
        <w:t>(2B)</w:t>
      </w:r>
      <w:r>
        <w:tab/>
        <w:t>The Minister must give due weight to, but is not bound to accept, the advice of the Waste Authority under subsection (2A).</w:t>
      </w:r>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Footnotesection"/>
      </w:pPr>
      <w:r>
        <w:tab/>
        <w:t>[Section 4 amended</w:t>
      </w:r>
      <w:del w:id="19" w:author="svcMRProcess" w:date="2019-02-14T16:43:00Z">
        <w:r>
          <w:delText xml:space="preserve"> by</w:delText>
        </w:r>
      </w:del>
      <w:ins w:id="20" w:author="svcMRProcess" w:date="2019-02-14T16:43:00Z">
        <w:r>
          <w:t>:</w:t>
        </w:r>
      </w:ins>
      <w:r>
        <w:t xml:space="preserve"> No. 48 of 2009 s. 12.]</w:t>
      </w:r>
    </w:p>
    <w:p>
      <w:pPr>
        <w:pStyle w:val="Heading5"/>
      </w:pPr>
      <w:bookmarkStart w:id="21" w:name="_Toc536183288"/>
      <w:bookmarkStart w:id="22" w:name="_Toc379274633"/>
      <w:bookmarkStart w:id="23" w:name="_Toc434934848"/>
      <w:r>
        <w:rPr>
          <w:rStyle w:val="CharSectno"/>
        </w:rPr>
        <w:t>5</w:t>
      </w:r>
      <w:r>
        <w:t>.</w:t>
      </w:r>
      <w:r>
        <w:tab/>
        <w:t>Levy imposed</w:t>
      </w:r>
      <w:bookmarkEnd w:id="21"/>
      <w:bookmarkEnd w:id="22"/>
      <w:bookmarkEnd w:id="23"/>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24" w:name="_Toc536183289"/>
      <w:bookmarkStart w:id="25" w:name="_Toc379274634"/>
      <w:bookmarkStart w:id="26" w:name="_Toc434934849"/>
      <w:r>
        <w:rPr>
          <w:rStyle w:val="CharSectno"/>
        </w:rPr>
        <w:t>6</w:t>
      </w:r>
      <w:r>
        <w:t>.</w:t>
      </w:r>
      <w:r>
        <w:tab/>
        <w:t>Liability to pay levy</w:t>
      </w:r>
      <w:bookmarkEnd w:id="24"/>
      <w:bookmarkEnd w:id="25"/>
      <w:bookmarkEnd w:id="26"/>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pStyle w:val="CentredBaseLine"/>
        <w:jc w:val="center"/>
        <w:rPr>
          <w:ins w:id="27" w:author="svcMRProcess" w:date="2019-02-14T16:43:00Z"/>
        </w:rPr>
      </w:pPr>
      <w:ins w:id="28" w:author="svcMRProcess" w:date="2019-02-14T16: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29" w:author="svcMRProcess" w:date="2019-02-14T16:43:00Z"/>
        </w:rPr>
      </w:pPr>
    </w:p>
    <w:p>
      <w:pPr>
        <w:pStyle w:val="Subsection"/>
        <w:rPr>
          <w:ins w:id="30" w:author="svcMRProcess" w:date="2019-02-14T16:4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1" w:name="_Toc458091371"/>
      <w:bookmarkStart w:id="32" w:name="_Toc536183290"/>
      <w:bookmarkStart w:id="33" w:name="_Toc379274635"/>
      <w:bookmarkStart w:id="34" w:name="_Toc424567369"/>
      <w:bookmarkStart w:id="35" w:name="_Toc434934850"/>
      <w:r>
        <w:t>Notes</w:t>
      </w:r>
      <w:bookmarkEnd w:id="31"/>
      <w:bookmarkEnd w:id="32"/>
      <w:bookmarkEnd w:id="33"/>
      <w:bookmarkEnd w:id="34"/>
      <w:bookmarkEnd w:id="35"/>
    </w:p>
    <w:p>
      <w:pPr>
        <w:pStyle w:val="nSubsection"/>
      </w:pPr>
      <w:r>
        <w:rPr>
          <w:vertAlign w:val="superscript"/>
        </w:rPr>
        <w:t>1</w:t>
      </w:r>
      <w:r>
        <w:tab/>
        <w:t xml:space="preserve">This is a compilation of the </w:t>
      </w:r>
      <w:r>
        <w:rPr>
          <w:i/>
          <w:noProof/>
        </w:rPr>
        <w:t>Waste Avoidance and Resource Recovery Levy Act</w:t>
      </w:r>
      <w:del w:id="36" w:author="svcMRProcess" w:date="2019-02-14T16:43:00Z">
        <w:r>
          <w:rPr>
            <w:i/>
            <w:snapToGrid w:val="0"/>
          </w:rPr>
          <w:delText> </w:delText>
        </w:r>
      </w:del>
      <w:ins w:id="37" w:author="svcMRProcess" w:date="2019-02-14T16:43:00Z">
        <w:r>
          <w:rPr>
            <w:i/>
            <w:noProof/>
          </w:rPr>
          <w:t xml:space="preserve"> </w:t>
        </w:r>
      </w:ins>
      <w:r>
        <w:rPr>
          <w:i/>
          <w:noProof/>
        </w:rPr>
        <w:t>2007</w:t>
      </w:r>
      <w:r>
        <w:t xml:space="preserve"> and includes the amendments made by the other written laws referred to in the following table.  </w:t>
      </w:r>
      <w:ins w:id="38" w:author="svcMRProcess" w:date="2019-02-14T16:43:00Z">
        <w:r>
          <w:t>The table also contains information about any reprint.</w:t>
        </w:r>
      </w:ins>
    </w:p>
    <w:p>
      <w:pPr>
        <w:pStyle w:val="nHeading3"/>
        <w:rPr>
          <w:snapToGrid w:val="0"/>
        </w:rPr>
      </w:pPr>
      <w:bookmarkStart w:id="39" w:name="_Toc536183291"/>
      <w:bookmarkStart w:id="40" w:name="_Toc379274636"/>
      <w:bookmarkStart w:id="41" w:name="_Toc434934851"/>
      <w:r>
        <w:rPr>
          <w:snapToGrid w:val="0"/>
        </w:rPr>
        <w:t>Compilation table</w:t>
      </w:r>
      <w:bookmarkEnd w:id="39"/>
      <w:bookmarkEnd w:id="40"/>
      <w:bookmarkEnd w:id="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snapToGrid w:val="0"/>
              </w:rPr>
              <w:t>Waste Avoidance and Resource Recovery Levy Act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37 of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21 Dec 2007</w:t>
            </w:r>
          </w:p>
        </w:tc>
        <w:tc>
          <w:tcPr>
            <w:tcW w:w="2551" w:type="dxa"/>
            <w:tcBorders>
              <w:top w:val="single" w:sz="8" w:space="0" w:color="auto"/>
              <w:bottom w:val="nil"/>
            </w:tcBorders>
          </w:tcPr>
          <w:p>
            <w:pPr>
              <w:pStyle w:val="nTable"/>
              <w:spacing w:after="40"/>
              <w:rPr>
                <w:rFonts w:ascii="Times New Roman" w:hAnsi="Times New Roman"/>
              </w:rPr>
            </w:pPr>
            <w:r>
              <w:rPr>
                <w:rFonts w:ascii="Times New Roman" w:hAnsi="Times New Roman"/>
              </w:rPr>
              <w:t>s. 1 and 2: 21 Dec 2007 (see s. 2(a))</w:t>
            </w:r>
            <w:r>
              <w:rPr>
                <w:rFonts w:ascii="Times New Roman" w:hAnsi="Times New Roman"/>
              </w:rPr>
              <w:br/>
              <w:t xml:space="preserve">Act other than s. 1 and 2: 1 Jul 2008 (see s. 2(b) and </w:t>
            </w:r>
            <w:r>
              <w:rPr>
                <w:rFonts w:ascii="Times New Roman" w:hAnsi="Times New Roman"/>
                <w:i/>
                <w:iCs/>
              </w:rPr>
              <w:t>Gazette</w:t>
            </w:r>
            <w:r>
              <w:rPr>
                <w:rFonts w:ascii="Times New Roman" w:hAnsi="Times New Roman"/>
              </w:rPr>
              <w:t xml:space="preserve"> 20 Jun 2008 p. 2705)</w:t>
            </w:r>
          </w:p>
        </w:tc>
      </w:tr>
      <w:tr>
        <w:tc>
          <w:tcPr>
            <w:tcW w:w="2268" w:type="dxa"/>
            <w:tcBorders>
              <w:top w:val="nil"/>
              <w:bottom w:val="nil"/>
            </w:tcBorders>
          </w:tcPr>
          <w:p>
            <w:pPr>
              <w:pStyle w:val="nTable"/>
              <w:spacing w:after="40"/>
              <w:rPr>
                <w:rFonts w:ascii="Times New Roman" w:hAnsi="Times New Roman"/>
                <w:iCs/>
                <w:snapToGrid w:val="0"/>
              </w:rPr>
            </w:pPr>
            <w:r>
              <w:rPr>
                <w:rFonts w:ascii="Times New Roman" w:hAnsi="Times New Roman"/>
                <w:i/>
                <w:snapToGrid w:val="0"/>
              </w:rPr>
              <w:t>Waste Avoidance and Resource Recovery Amendment Act 2009</w:t>
            </w:r>
            <w:r>
              <w:rPr>
                <w:rFonts w:ascii="Times New Roman" w:hAnsi="Times New Roman"/>
                <w:iCs/>
                <w:snapToGrid w:val="0"/>
              </w:rPr>
              <w:t xml:space="preserve"> 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48 of 2009</w:t>
            </w:r>
          </w:p>
        </w:tc>
        <w:tc>
          <w:tcPr>
            <w:tcW w:w="1134" w:type="dxa"/>
            <w:tcBorders>
              <w:top w:val="nil"/>
              <w:bottom w:val="nil"/>
            </w:tcBorders>
          </w:tcPr>
          <w:p>
            <w:pPr>
              <w:pStyle w:val="nTable"/>
              <w:spacing w:after="40"/>
              <w:rPr>
                <w:rFonts w:ascii="Times New Roman" w:hAnsi="Times New Roman"/>
              </w:rPr>
            </w:pPr>
            <w:del w:id="42" w:author="svcMRProcess" w:date="2019-02-14T16:43:00Z">
              <w:r>
                <w:delText>8</w:delText>
              </w:r>
            </w:del>
            <w:ins w:id="43" w:author="svcMRProcess" w:date="2019-02-14T16:43:00Z">
              <w:r>
                <w:rPr>
                  <w:rFonts w:ascii="Times New Roman" w:hAnsi="Times New Roman"/>
                </w:rPr>
                <w:t>7</w:t>
              </w:r>
            </w:ins>
            <w:r>
              <w:rPr>
                <w:rFonts w:ascii="Times New Roman" w:hAnsi="Times New Roman"/>
              </w:rPr>
              <w:t>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2009 (see s. 2(b))</w:t>
            </w:r>
          </w:p>
        </w:tc>
      </w:tr>
      <w:tr>
        <w:trPr>
          <w:ins w:id="44" w:author="svcMRProcess" w:date="2019-02-14T16:43:00Z"/>
        </w:trPr>
        <w:tc>
          <w:tcPr>
            <w:tcW w:w="7087" w:type="dxa"/>
            <w:gridSpan w:val="4"/>
            <w:tcBorders>
              <w:top w:val="nil"/>
            </w:tcBorders>
            <w:shd w:val="clear" w:color="auto" w:fill="auto"/>
          </w:tcPr>
          <w:p>
            <w:pPr>
              <w:pStyle w:val="nTable"/>
              <w:spacing w:after="40"/>
              <w:rPr>
                <w:ins w:id="45" w:author="svcMRProcess" w:date="2019-02-14T16:43:00Z"/>
                <w:rFonts w:ascii="Times New Roman" w:hAnsi="Times New Roman"/>
              </w:rPr>
            </w:pPr>
            <w:ins w:id="46" w:author="svcMRProcess" w:date="2019-02-14T16:43:00Z">
              <w:r>
                <w:rPr>
                  <w:rFonts w:ascii="Times New Roman" w:hAnsi="Times New Roman"/>
                  <w:b/>
                </w:rPr>
                <w:t xml:space="preserve">Reprint 1: The </w:t>
              </w:r>
              <w:r>
                <w:rPr>
                  <w:rFonts w:ascii="Times New Roman" w:hAnsi="Times New Roman"/>
                  <w:b/>
                  <w:i/>
                  <w:noProof/>
                </w:rPr>
                <w:t>Waste Avoidance and Resource Recovery Levy Act 2007</w:t>
              </w:r>
              <w:r>
                <w:rPr>
                  <w:rFonts w:ascii="Times New Roman" w:hAnsi="Times New Roman"/>
                  <w:b/>
                </w:rPr>
                <w:t xml:space="preserve"> as at 12 Aug 2016</w:t>
              </w:r>
              <w:r>
                <w:rPr>
                  <w:rFonts w:ascii="Times New Roman" w:hAnsi="Times New Roman"/>
                </w:rPr>
                <w:t xml:space="preserve"> (includes amendments listed above)</w:t>
              </w:r>
            </w:ins>
          </w:p>
        </w:tc>
      </w:tr>
    </w:tbl>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4162604"/>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 w:name="WAFER_20160804162549" w:val="RemoveTocBookmarks,RemoveUnusedBookmarks,RemoveLanguageTags,UsedStyles,RemoveTrackChanges"/>
    <w:docVar w:name="WAFER_20160804162549_GUID" w:val="aeff2028-0102-4402-b07c-c77e5c3427b6"/>
    <w:docVar w:name="WAFER_20160804162604" w:val="RemoveTocBookmarks,RemoveLanguageTags,RemoveTrackChanges,RunningHeaders"/>
    <w:docVar w:name="WAFER_20160804162604_GUID" w:val="9dda19ef-d289-4d2a-ac9f-f0a39512f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3120</Characters>
  <Application>Microsoft Office Word</Application>
  <DocSecurity>0</DocSecurity>
  <Lines>107</Lines>
  <Paragraphs>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00-c0-08 - 01-a0-03</dc:title>
  <dc:subject/>
  <dc:creator/>
  <cp:keywords/>
  <dc:description/>
  <cp:lastModifiedBy>svcMRProcess</cp:lastModifiedBy>
  <cp:revision>2</cp:revision>
  <cp:lastPrinted>2016-08-04T08:28:00Z</cp:lastPrinted>
  <dcterms:created xsi:type="dcterms:W3CDTF">2019-02-14T08:43:00Z</dcterms:created>
  <dcterms:modified xsi:type="dcterms:W3CDTF">2019-02-14T08:43:00Z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DocumentType">
    <vt:lpwstr>Act</vt:lpwstr>
  </property>
  <property fmtid="{D5CDD505-2E9C-101B-9397-08002B2CF9AE}" pid="4" name="OwlsUID">
    <vt:i4>146644</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20160812</vt:lpwstr>
  </property>
  <property fmtid="{D5CDD505-2E9C-101B-9397-08002B2CF9AE}" pid="8" name="FromSuffix">
    <vt:lpwstr>00-c0-08</vt:lpwstr>
  </property>
  <property fmtid="{D5CDD505-2E9C-101B-9397-08002B2CF9AE}" pid="9" name="FromAsAtDate">
    <vt:lpwstr>08 Dec 2009</vt:lpwstr>
  </property>
  <property fmtid="{D5CDD505-2E9C-101B-9397-08002B2CF9AE}" pid="10" name="ToSuffix">
    <vt:lpwstr>01-a0-03</vt:lpwstr>
  </property>
  <property fmtid="{D5CDD505-2E9C-101B-9397-08002B2CF9AE}" pid="11" name="ToAsAtDate">
    <vt:lpwstr>12 Aug 2016</vt:lpwstr>
  </property>
</Properties>
</file>