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Tobacco Products Control Regulations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26 Jul 2016</w:t>
      </w:r>
      <w:r>
        <w:fldChar w:fldCharType="end"/>
      </w:r>
      <w:r>
        <w:t xml:space="preserve">, </w:t>
      </w:r>
      <w:r>
        <w:fldChar w:fldCharType="begin"/>
      </w:r>
      <w:r>
        <w:instrText xml:space="preserve"> DocProperty FromSuffix </w:instrText>
      </w:r>
      <w:r>
        <w:fldChar w:fldCharType="separate"/>
      </w:r>
      <w:r>
        <w:t>02-j0-01</w:t>
      </w:r>
      <w:r>
        <w:fldChar w:fldCharType="end"/>
      </w:r>
      <w:r>
        <w:t>] and [</w:t>
      </w:r>
      <w:r>
        <w:fldChar w:fldCharType="begin"/>
      </w:r>
      <w:r>
        <w:instrText xml:space="preserve"> DocProperty ToAsAtDate</w:instrText>
      </w:r>
      <w:r>
        <w:fldChar w:fldCharType="separate"/>
      </w:r>
      <w:r>
        <w:t>01 Sep 2016</w:t>
      </w:r>
      <w:r>
        <w:fldChar w:fldCharType="end"/>
      </w:r>
      <w:r>
        <w:t xml:space="preserve">, </w:t>
      </w:r>
      <w:r>
        <w:fldChar w:fldCharType="begin"/>
      </w:r>
      <w:r>
        <w:instrText xml:space="preserve"> DocProperty ToSuffix</w:instrText>
      </w:r>
      <w:r>
        <w:fldChar w:fldCharType="separate"/>
      </w:r>
      <w:r>
        <w:t>02-k0-00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Tobacco Products Control Act 2006</w:t>
      </w:r>
    </w:p>
    <w:p>
      <w:pPr>
        <w:pStyle w:val="NameofActReg"/>
        <w:spacing w:after="720"/>
      </w:pPr>
      <w:r>
        <w:t>Tobacco Products Control Regulations 2006</w:t>
      </w:r>
    </w:p>
    <w:p>
      <w:pPr>
        <w:pStyle w:val="Heading2"/>
        <w:pageBreakBefore w:val="0"/>
        <w:spacing w:before="240"/>
      </w:pPr>
      <w:bookmarkStart w:id="1" w:name="_Toc450221233"/>
      <w:bookmarkStart w:id="2" w:name="_Toc450294969"/>
      <w:bookmarkStart w:id="3" w:name="_Toc455401164"/>
      <w:bookmarkStart w:id="4" w:name="_Toc524928859"/>
      <w:r>
        <w:rPr>
          <w:rStyle w:val="CharPartNo"/>
        </w:rPr>
        <w:t>P</w:t>
      </w:r>
      <w:bookmarkStart w:id="5" w:name="_GoBack"/>
      <w:bookmarkEnd w:id="5"/>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p>
    <w:p>
      <w:pPr>
        <w:pStyle w:val="Heading5"/>
      </w:pPr>
      <w:bookmarkStart w:id="6" w:name="_Toc524928860"/>
      <w:bookmarkStart w:id="7" w:name="_Toc455401165"/>
      <w:r>
        <w:rPr>
          <w:rStyle w:val="CharSectno"/>
        </w:rPr>
        <w:t>1</w:t>
      </w:r>
      <w:r>
        <w:t>.</w:t>
      </w:r>
      <w:r>
        <w:tab/>
        <w:t>Citation</w:t>
      </w:r>
      <w:bookmarkEnd w:id="6"/>
      <w:bookmarkEnd w:id="7"/>
    </w:p>
    <w:p>
      <w:pPr>
        <w:pStyle w:val="Subsection"/>
      </w:pPr>
      <w:r>
        <w:tab/>
      </w:r>
      <w:r>
        <w:tab/>
      </w:r>
      <w:bookmarkStart w:id="8" w:name="Start_Cursor"/>
      <w:bookmarkEnd w:id="8"/>
      <w:r>
        <w:rPr>
          <w:spacing w:val="-2"/>
        </w:rPr>
        <w:t>These</w:t>
      </w:r>
      <w:r>
        <w:t xml:space="preserve"> </w:t>
      </w:r>
      <w:r>
        <w:rPr>
          <w:spacing w:val="-2"/>
        </w:rPr>
        <w:t>regulations</w:t>
      </w:r>
      <w:r>
        <w:t xml:space="preserve"> are the </w:t>
      </w:r>
      <w:r>
        <w:rPr>
          <w:i/>
        </w:rPr>
        <w:t>Tobacco Products Control Regulations 2006</w:t>
      </w:r>
      <w:r>
        <w:rPr>
          <w:iCs/>
          <w:vertAlign w:val="superscript"/>
        </w:rPr>
        <w:t> 1</w:t>
      </w:r>
      <w:r>
        <w:t>.</w:t>
      </w:r>
    </w:p>
    <w:p>
      <w:pPr>
        <w:pStyle w:val="Heading5"/>
        <w:rPr>
          <w:spacing w:val="-2"/>
        </w:rPr>
      </w:pPr>
      <w:bookmarkStart w:id="9" w:name="_Toc524928861"/>
      <w:bookmarkStart w:id="10" w:name="_Toc455401166"/>
      <w:r>
        <w:rPr>
          <w:rStyle w:val="CharSectno"/>
        </w:rPr>
        <w:t>2</w:t>
      </w:r>
      <w:r>
        <w:rPr>
          <w:spacing w:val="-2"/>
        </w:rPr>
        <w:t>.</w:t>
      </w:r>
      <w:r>
        <w:rPr>
          <w:spacing w:val="-2"/>
        </w:rPr>
        <w:tab/>
        <w:t>Commencement</w:t>
      </w:r>
      <w:bookmarkEnd w:id="9"/>
      <w:bookmarkEnd w:id="10"/>
    </w:p>
    <w:p>
      <w:pPr>
        <w:pStyle w:val="Subsection"/>
        <w:rPr>
          <w:spacing w:val="-2"/>
        </w:rPr>
      </w:pPr>
      <w:r>
        <w:rPr>
          <w:spacing w:val="-2"/>
        </w:rPr>
        <w:tab/>
      </w:r>
      <w:r>
        <w:rPr>
          <w:spacing w:val="-2"/>
        </w:rPr>
        <w:tab/>
        <w:t>These regulations come into operation on 31 July 2006.</w:t>
      </w:r>
    </w:p>
    <w:p>
      <w:pPr>
        <w:pStyle w:val="Heading5"/>
      </w:pPr>
      <w:bookmarkStart w:id="11" w:name="_Toc524928862"/>
      <w:bookmarkStart w:id="12" w:name="_Toc455401167"/>
      <w:r>
        <w:rPr>
          <w:rStyle w:val="CharSectno"/>
        </w:rPr>
        <w:t>3</w:t>
      </w:r>
      <w:r>
        <w:t>.</w:t>
      </w:r>
      <w:r>
        <w:tab/>
        <w:t>Terms used</w:t>
      </w:r>
      <w:bookmarkEnd w:id="11"/>
      <w:bookmarkEnd w:id="12"/>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in Gazette 28 Feb 2007 p. 643; 10 Sep 2010 p. 4378; 27 Nov 2012 p. 5734.]</w:t>
      </w:r>
    </w:p>
    <w:p>
      <w:pPr>
        <w:pStyle w:val="Ednotepart"/>
      </w:pPr>
      <w:r>
        <w:t>[Part 2 (r. 4-6) deleted in Gazette 28 Feb 2007 p. 644.]</w:t>
      </w:r>
    </w:p>
    <w:p>
      <w:pPr>
        <w:pStyle w:val="Heading2"/>
      </w:pPr>
      <w:bookmarkStart w:id="13" w:name="_Toc450221237"/>
      <w:bookmarkStart w:id="14" w:name="_Toc450294973"/>
      <w:bookmarkStart w:id="15" w:name="_Toc455401168"/>
      <w:bookmarkStart w:id="16" w:name="_Toc524928863"/>
      <w:r>
        <w:rPr>
          <w:rStyle w:val="CharPartNo"/>
        </w:rPr>
        <w:t>Part 3</w:t>
      </w:r>
      <w:r>
        <w:t> — </w:t>
      </w:r>
      <w:r>
        <w:rPr>
          <w:rStyle w:val="CharPartText"/>
        </w:rPr>
        <w:t>Smoking in enclosed public places</w:t>
      </w:r>
      <w:bookmarkEnd w:id="13"/>
      <w:bookmarkEnd w:id="14"/>
      <w:bookmarkEnd w:id="15"/>
      <w:bookmarkEnd w:id="16"/>
    </w:p>
    <w:p>
      <w:pPr>
        <w:pStyle w:val="Heading3"/>
      </w:pPr>
      <w:bookmarkStart w:id="17" w:name="_Toc450221238"/>
      <w:bookmarkStart w:id="18" w:name="_Toc450294974"/>
      <w:bookmarkStart w:id="19" w:name="_Toc455401169"/>
      <w:bookmarkStart w:id="20" w:name="_Toc524928864"/>
      <w:r>
        <w:rPr>
          <w:rStyle w:val="CharDivNo"/>
        </w:rPr>
        <w:t>Division 1</w:t>
      </w:r>
      <w:r>
        <w:t> — </w:t>
      </w:r>
      <w:r>
        <w:rPr>
          <w:rStyle w:val="CharDivText"/>
        </w:rPr>
        <w:t>Preliminary</w:t>
      </w:r>
      <w:bookmarkEnd w:id="17"/>
      <w:bookmarkEnd w:id="18"/>
      <w:bookmarkEnd w:id="19"/>
      <w:bookmarkEnd w:id="20"/>
    </w:p>
    <w:p>
      <w:pPr>
        <w:pStyle w:val="Heading5"/>
      </w:pPr>
      <w:bookmarkStart w:id="21" w:name="_Toc524928865"/>
      <w:bookmarkStart w:id="22" w:name="_Toc455401170"/>
      <w:r>
        <w:rPr>
          <w:rStyle w:val="CharSectno"/>
        </w:rPr>
        <w:t>7</w:t>
      </w:r>
      <w:r>
        <w:t>.</w:t>
      </w:r>
      <w:r>
        <w:tab/>
        <w:t>Terms used</w:t>
      </w:r>
      <w:bookmarkEnd w:id="21"/>
      <w:bookmarkEnd w:id="22"/>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in Gazette 10 Sep 2010 p. 4378.]</w:t>
      </w:r>
    </w:p>
    <w:p>
      <w:pPr>
        <w:pStyle w:val="Heading5"/>
      </w:pPr>
      <w:bookmarkStart w:id="23" w:name="_Toc524928866"/>
      <w:bookmarkStart w:id="24" w:name="_Toc455401171"/>
      <w:r>
        <w:rPr>
          <w:rStyle w:val="CharSectno"/>
        </w:rPr>
        <w:t>8</w:t>
      </w:r>
      <w:r>
        <w:t>.</w:t>
      </w:r>
      <w:r>
        <w:tab/>
        <w:t>Enclosed public places</w:t>
      </w:r>
      <w:bookmarkEnd w:id="23"/>
      <w:bookmarkEnd w:id="24"/>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in Gazette 10 Sep 2010 p. 4379.]</w:t>
      </w:r>
    </w:p>
    <w:p>
      <w:pPr>
        <w:pStyle w:val="Heading5"/>
      </w:pPr>
      <w:bookmarkStart w:id="25" w:name="_Toc524928867"/>
      <w:bookmarkStart w:id="26" w:name="_Toc455401172"/>
      <w:r>
        <w:rPr>
          <w:rStyle w:val="CharSectno"/>
        </w:rPr>
        <w:t>9</w:t>
      </w:r>
      <w:r>
        <w:t>.</w:t>
      </w:r>
      <w:r>
        <w:tab/>
        <w:t>Notional vertical surface area</w:t>
      </w:r>
      <w:bookmarkEnd w:id="25"/>
      <w:bookmarkEnd w:id="26"/>
    </w:p>
    <w:p>
      <w:pPr>
        <w:pStyle w:val="Subsection"/>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27" w:name="_Toc450221242"/>
      <w:bookmarkStart w:id="28" w:name="_Toc450294978"/>
      <w:bookmarkStart w:id="29" w:name="_Toc455401173"/>
      <w:bookmarkStart w:id="30" w:name="_Toc524928868"/>
      <w:r>
        <w:rPr>
          <w:rStyle w:val="CharDivNo"/>
        </w:rPr>
        <w:t>Division 2</w:t>
      </w:r>
      <w:r>
        <w:t> — </w:t>
      </w:r>
      <w:r>
        <w:rPr>
          <w:rStyle w:val="CharDivText"/>
        </w:rPr>
        <w:t>Offences</w:t>
      </w:r>
      <w:bookmarkEnd w:id="27"/>
      <w:bookmarkEnd w:id="28"/>
      <w:bookmarkEnd w:id="29"/>
      <w:bookmarkEnd w:id="30"/>
    </w:p>
    <w:p>
      <w:pPr>
        <w:pStyle w:val="Heading5"/>
      </w:pPr>
      <w:bookmarkStart w:id="31" w:name="_Toc524928869"/>
      <w:bookmarkStart w:id="32" w:name="_Toc455401174"/>
      <w:r>
        <w:rPr>
          <w:rStyle w:val="CharSectno"/>
        </w:rPr>
        <w:t>10</w:t>
      </w:r>
      <w:r>
        <w:t>.</w:t>
      </w:r>
      <w:r>
        <w:tab/>
        <w:t>Prohibition on smoking in enclosed public places</w:t>
      </w:r>
      <w:bookmarkEnd w:id="31"/>
      <w:bookmarkEnd w:id="32"/>
    </w:p>
    <w:p>
      <w:pPr>
        <w:pStyle w:val="Subsection"/>
      </w:pPr>
      <w:r>
        <w:tab/>
        <w:t>(1)</w:t>
      </w:r>
      <w:r>
        <w:tab/>
        <w:t>A person must not smoke in an enclosed public place.</w:t>
      </w:r>
    </w:p>
    <w:p>
      <w:pPr>
        <w:pStyle w:val="Penstart"/>
      </w:pPr>
      <w:r>
        <w:tab/>
        <w:t>Penalty: a fine of $2 000.</w:t>
      </w:r>
    </w:p>
    <w:p>
      <w:pPr>
        <w:pStyle w:val="Subsection"/>
      </w:pPr>
      <w:r>
        <w:tab/>
        <w:t>(2)</w:t>
      </w:r>
      <w:r>
        <w:tab/>
        <w:t xml:space="preserve">Subregulation (1) does not apply to the International Room at the premises at </w:t>
      </w:r>
      <w:smartTag w:uri="urn:schemas-microsoft-com:office:smarttags" w:element="place">
        <w:smartTag w:uri="urn:schemas-microsoft-com:office:smarttags" w:element="PlaceName">
          <w:r>
            <w:t>Burswood</w:t>
          </w:r>
        </w:smartTag>
        <w:r>
          <w:t xml:space="preserve"> </w:t>
        </w:r>
        <w:smartTag w:uri="urn:schemas-microsoft-com:office:smarttags" w:element="PlaceType">
          <w:r>
            <w:t>Island</w:t>
          </w:r>
        </w:smartTag>
      </w:smartTag>
      <w:r>
        <w:t xml:space="preserve"> that are the subject of a casino gaming licence granted under the </w:t>
      </w:r>
      <w:r>
        <w:rPr>
          <w:i/>
        </w:rPr>
        <w:t>Casino Control Act 1984</w:t>
      </w:r>
      <w:r>
        <w:rPr>
          <w:iCs/>
        </w:rPr>
        <w:t>, if the International Room has adequate ventilation.</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Heading5"/>
      </w:pPr>
      <w:bookmarkStart w:id="33" w:name="_Toc524928870"/>
      <w:bookmarkStart w:id="34" w:name="_Toc455401175"/>
      <w:r>
        <w:rPr>
          <w:rStyle w:val="CharSectno"/>
        </w:rPr>
        <w:t>11</w:t>
      </w:r>
      <w:r>
        <w:t>.</w:t>
      </w:r>
      <w:r>
        <w:tab/>
        <w:t>Offence by occupier</w:t>
      </w:r>
      <w:bookmarkEnd w:id="33"/>
      <w:bookmarkEnd w:id="34"/>
    </w:p>
    <w:p>
      <w:pPr>
        <w:pStyle w:val="Subsection"/>
      </w:pPr>
      <w:r>
        <w:tab/>
        <w:t>(1)</w:t>
      </w:r>
      <w:r>
        <w:tab/>
        <w:t>If a person commits an offence under regulation 10(1) the occupier of the enclosed public place commits an offence.</w:t>
      </w:r>
    </w:p>
    <w:p>
      <w:pPr>
        <w:pStyle w:val="Penstart"/>
      </w:pPr>
      <w:r>
        <w:tab/>
        <w:t>Penalty: a fine of $2 000.</w:t>
      </w:r>
    </w:p>
    <w:p>
      <w:pPr>
        <w:pStyle w:val="Subsection"/>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Heading5"/>
      </w:pPr>
      <w:bookmarkStart w:id="35" w:name="_Toc524928871"/>
      <w:bookmarkStart w:id="36" w:name="_Toc455401176"/>
      <w:r>
        <w:rPr>
          <w:rStyle w:val="CharSectno"/>
        </w:rPr>
        <w:t>12</w:t>
      </w:r>
      <w:r>
        <w:t>.</w:t>
      </w:r>
      <w:r>
        <w:tab/>
        <w:t>Display of no smoking signs in entrances to liquor licensed premises</w:t>
      </w:r>
      <w:bookmarkEnd w:id="35"/>
      <w:bookmarkEnd w:id="36"/>
    </w:p>
    <w:p>
      <w:pPr>
        <w:pStyle w:val="Subsection"/>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in Gazette 10 Sep 2010 p. 4379.]</w:t>
      </w:r>
    </w:p>
    <w:p>
      <w:pPr>
        <w:pStyle w:val="Heading5"/>
      </w:pPr>
      <w:bookmarkStart w:id="37" w:name="_Toc524928872"/>
      <w:bookmarkStart w:id="38" w:name="_Toc455401177"/>
      <w:r>
        <w:rPr>
          <w:rStyle w:val="CharSectno"/>
        </w:rPr>
        <w:t>13</w:t>
      </w:r>
      <w:r>
        <w:t>.</w:t>
      </w:r>
      <w:r>
        <w:tab/>
        <w:t>Duty to prevent smoke entering enclosed public places</w:t>
      </w:r>
      <w:bookmarkEnd w:id="37"/>
      <w:bookmarkEnd w:id="38"/>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3"/>
      </w:pPr>
      <w:bookmarkStart w:id="39" w:name="_Toc450221247"/>
      <w:bookmarkStart w:id="40" w:name="_Toc450294983"/>
      <w:bookmarkStart w:id="41" w:name="_Toc455401178"/>
      <w:bookmarkStart w:id="42" w:name="_Toc524928873"/>
      <w:r>
        <w:rPr>
          <w:rStyle w:val="CharDivNo"/>
        </w:rPr>
        <w:t>Division 3</w:t>
      </w:r>
      <w:r>
        <w:t> — </w:t>
      </w:r>
      <w:r>
        <w:rPr>
          <w:rStyle w:val="CharDivText"/>
        </w:rPr>
        <w:t>Investigators</w:t>
      </w:r>
      <w:bookmarkEnd w:id="39"/>
      <w:bookmarkEnd w:id="40"/>
      <w:bookmarkEnd w:id="41"/>
      <w:bookmarkEnd w:id="42"/>
    </w:p>
    <w:p>
      <w:pPr>
        <w:pStyle w:val="Heading5"/>
      </w:pPr>
      <w:bookmarkStart w:id="43" w:name="_Toc524928874"/>
      <w:bookmarkStart w:id="44" w:name="_Toc455401179"/>
      <w:r>
        <w:rPr>
          <w:rStyle w:val="CharSectno"/>
        </w:rPr>
        <w:t>14</w:t>
      </w:r>
      <w:r>
        <w:t>.</w:t>
      </w:r>
      <w:r>
        <w:tab/>
        <w:t>Investigators to notify occupiers before taking action under Part 3</w:t>
      </w:r>
      <w:bookmarkEnd w:id="43"/>
      <w:bookmarkEnd w:id="44"/>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45" w:name="_Toc524928875"/>
      <w:bookmarkStart w:id="46" w:name="_Toc455401180"/>
      <w:r>
        <w:rPr>
          <w:rStyle w:val="CharSectno"/>
        </w:rPr>
        <w:t>15</w:t>
      </w:r>
      <w:r>
        <w:t>.</w:t>
      </w:r>
      <w:r>
        <w:tab/>
        <w:t>Directions by investigators</w:t>
      </w:r>
      <w:bookmarkEnd w:id="45"/>
      <w:bookmarkEnd w:id="46"/>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(2)</w:t>
      </w:r>
      <w:r>
        <w:tab/>
        <w:t>A direction under subregulation (1) may be given orally or in writing and if given orally must be reduced to writing as soon as is practicable.</w:t>
      </w:r>
    </w:p>
    <w:p>
      <w:pPr>
        <w:pStyle w:val="Subsection"/>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Heading2"/>
      </w:pPr>
      <w:bookmarkStart w:id="47" w:name="_Toc450221250"/>
      <w:bookmarkStart w:id="48" w:name="_Toc450294986"/>
      <w:bookmarkStart w:id="49" w:name="_Toc455401181"/>
      <w:bookmarkStart w:id="50" w:name="_Toc524928876"/>
      <w:r>
        <w:rPr>
          <w:rStyle w:val="CharPartNo"/>
        </w:rPr>
        <w:t>Part 4A</w:t>
      </w:r>
      <w:r>
        <w:rPr>
          <w:b w:val="0"/>
        </w:rPr>
        <w:t> — </w:t>
      </w:r>
      <w:r>
        <w:rPr>
          <w:rStyle w:val="CharPartText"/>
        </w:rPr>
        <w:t>Smoking in outdoor public places</w:t>
      </w:r>
      <w:bookmarkEnd w:id="47"/>
      <w:bookmarkEnd w:id="48"/>
      <w:bookmarkEnd w:id="49"/>
      <w:bookmarkEnd w:id="50"/>
    </w:p>
    <w:p>
      <w:pPr>
        <w:pStyle w:val="Footnoteheading"/>
      </w:pPr>
      <w:r>
        <w:tab/>
        <w:t>[Heading inserted in Gazette 10 Sep 2010 p. 4379.]</w:t>
      </w:r>
    </w:p>
    <w:p>
      <w:pPr>
        <w:pStyle w:val="Heading3"/>
      </w:pPr>
      <w:bookmarkStart w:id="51" w:name="_Toc450221251"/>
      <w:bookmarkStart w:id="52" w:name="_Toc450294987"/>
      <w:bookmarkStart w:id="53" w:name="_Toc455401182"/>
      <w:bookmarkStart w:id="54" w:name="_Toc524928877"/>
      <w:r>
        <w:rPr>
          <w:rStyle w:val="CharDivNo"/>
        </w:rPr>
        <w:t>Division 1</w:t>
      </w:r>
      <w:r>
        <w:t> — </w:t>
      </w:r>
      <w:r>
        <w:rPr>
          <w:rStyle w:val="CharDivText"/>
        </w:rPr>
        <w:t>Outdoor eating areas</w:t>
      </w:r>
      <w:bookmarkEnd w:id="51"/>
      <w:bookmarkEnd w:id="52"/>
      <w:bookmarkEnd w:id="53"/>
      <w:bookmarkEnd w:id="54"/>
    </w:p>
    <w:p>
      <w:pPr>
        <w:pStyle w:val="Footnoteheading"/>
      </w:pPr>
      <w:r>
        <w:tab/>
        <w:t>[Heading inserted in Gazette 10 Sep 2010 p. 4379.]</w:t>
      </w:r>
    </w:p>
    <w:p>
      <w:pPr>
        <w:pStyle w:val="Heading5"/>
      </w:pPr>
      <w:bookmarkStart w:id="55" w:name="_Toc524928878"/>
      <w:bookmarkStart w:id="56" w:name="_Toc455401183"/>
      <w:r>
        <w:rPr>
          <w:rStyle w:val="CharSectno"/>
        </w:rPr>
        <w:t>16A</w:t>
      </w:r>
      <w:r>
        <w:t>.</w:t>
      </w:r>
      <w:r>
        <w:tab/>
        <w:t>Term used: non</w:t>
      </w:r>
      <w:r>
        <w:noBreakHyphen/>
        <w:t>smoking zone</w:t>
      </w:r>
      <w:bookmarkEnd w:id="55"/>
      <w:bookmarkEnd w:id="56"/>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in Gazette 10 Sep 2010 p. 4379.]</w:t>
      </w:r>
    </w:p>
    <w:p>
      <w:pPr>
        <w:pStyle w:val="Heading5"/>
      </w:pPr>
      <w:bookmarkStart w:id="57" w:name="_Toc524928879"/>
      <w:bookmarkStart w:id="58" w:name="_Toc455401184"/>
      <w:r>
        <w:rPr>
          <w:rStyle w:val="CharSectno"/>
        </w:rPr>
        <w:t>16B</w:t>
      </w:r>
      <w:r>
        <w:t>.</w:t>
      </w:r>
      <w:r>
        <w:tab/>
        <w:t>Display of no smoking signs in non</w:t>
      </w:r>
      <w:r>
        <w:noBreakHyphen/>
        <w:t>smoking zones</w:t>
      </w:r>
      <w:bookmarkEnd w:id="57"/>
      <w:bookmarkEnd w:id="58"/>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a fine of $1 000.</w:t>
      </w:r>
    </w:p>
    <w:p>
      <w:pPr>
        <w:pStyle w:val="Footnotesection"/>
        <w:spacing w:before="80"/>
        <w:ind w:left="890" w:hanging="890"/>
      </w:pPr>
      <w:r>
        <w:tab/>
        <w:t>[Regulation 16B inserted in Gazette 10 Sep 2010 p. 4379-80.]</w:t>
      </w:r>
    </w:p>
    <w:p>
      <w:pPr>
        <w:pStyle w:val="Heading5"/>
      </w:pPr>
      <w:bookmarkStart w:id="59" w:name="_Toc524928880"/>
      <w:bookmarkStart w:id="60" w:name="_Toc455401185"/>
      <w:r>
        <w:rPr>
          <w:rStyle w:val="CharSectno"/>
        </w:rPr>
        <w:t>16C</w:t>
      </w:r>
      <w:r>
        <w:t>.</w:t>
      </w:r>
      <w:r>
        <w:tab/>
        <w:t>Investigators to notify occupiers before taking action under Div. 1</w:t>
      </w:r>
      <w:bookmarkEnd w:id="59"/>
      <w:bookmarkEnd w:id="60"/>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in Gazette 10 Sep 2010 p. 4380-1.]</w:t>
      </w:r>
    </w:p>
    <w:p>
      <w:pPr>
        <w:pStyle w:val="Heading3"/>
      </w:pPr>
      <w:bookmarkStart w:id="61" w:name="_Toc450221255"/>
      <w:bookmarkStart w:id="62" w:name="_Toc450294991"/>
      <w:bookmarkStart w:id="63" w:name="_Toc455401186"/>
      <w:bookmarkStart w:id="64" w:name="_Toc524928881"/>
      <w:r>
        <w:rPr>
          <w:rStyle w:val="CharDivNo"/>
        </w:rPr>
        <w:t>Division 2</w:t>
      </w:r>
      <w:r>
        <w:t xml:space="preserve"> — </w:t>
      </w:r>
      <w:r>
        <w:rPr>
          <w:rStyle w:val="CharDivText"/>
        </w:rPr>
        <w:t>Miscellaneous</w:t>
      </w:r>
      <w:bookmarkEnd w:id="61"/>
      <w:bookmarkEnd w:id="62"/>
      <w:bookmarkEnd w:id="63"/>
      <w:bookmarkEnd w:id="64"/>
    </w:p>
    <w:p>
      <w:pPr>
        <w:pStyle w:val="Footnoteheading"/>
        <w:spacing w:before="80"/>
      </w:pPr>
      <w:r>
        <w:tab/>
        <w:t>[Heading inserted in Gazette 10 Sep 2010 p. 4381.]</w:t>
      </w:r>
    </w:p>
    <w:p>
      <w:pPr>
        <w:pStyle w:val="Heading5"/>
      </w:pPr>
      <w:bookmarkStart w:id="65" w:name="_Toc524928882"/>
      <w:bookmarkStart w:id="66" w:name="_Toc455401187"/>
      <w:r>
        <w:rPr>
          <w:rStyle w:val="CharSectno"/>
        </w:rPr>
        <w:t>16D</w:t>
      </w:r>
      <w:r>
        <w:t>.</w:t>
      </w:r>
      <w:r>
        <w:tab/>
        <w:t>Directions by investigators</w:t>
      </w:r>
      <w:bookmarkEnd w:id="65"/>
      <w:bookmarkEnd w:id="66"/>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spacing w:before="140"/>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in Gazette 10 Sep 2010 p. 4381.]</w:t>
      </w:r>
    </w:p>
    <w:p>
      <w:pPr>
        <w:pStyle w:val="Heading2"/>
        <w:rPr>
          <w:del w:id="67" w:author="Master Repository Process" w:date="2021-09-25T08:56:00Z"/>
        </w:rPr>
      </w:pPr>
      <w:ins w:id="68" w:author="Master Repository Process" w:date="2021-09-25T08:56:00Z">
        <w:r>
          <w:t>[</w:t>
        </w:r>
      </w:ins>
      <w:bookmarkStart w:id="69" w:name="_Toc450221257"/>
      <w:bookmarkStart w:id="70" w:name="_Toc450294993"/>
      <w:bookmarkStart w:id="71" w:name="_Toc455401188"/>
      <w:r>
        <w:t>Part 4</w:t>
      </w:r>
      <w:del w:id="72" w:author="Master Repository Process" w:date="2021-09-25T08:56:00Z">
        <w:r>
          <w:rPr>
            <w:rStyle w:val="CharDivNo"/>
          </w:rPr>
          <w:delText> </w:delText>
        </w:r>
        <w:r>
          <w:delText>—</w:delText>
        </w:r>
        <w:r>
          <w:rPr>
            <w:rStyle w:val="CharDivText"/>
          </w:rPr>
          <w:delText> </w:delText>
        </w:r>
        <w:r>
          <w:rPr>
            <w:rStyle w:val="CharPartText"/>
          </w:rPr>
          <w:delText>Western Australian Health Promotion Foundation and administration</w:delText>
        </w:r>
        <w:bookmarkEnd w:id="69"/>
        <w:bookmarkEnd w:id="70"/>
        <w:bookmarkEnd w:id="71"/>
      </w:del>
    </w:p>
    <w:p>
      <w:pPr>
        <w:pStyle w:val="Heading5"/>
        <w:rPr>
          <w:del w:id="73" w:author="Master Repository Process" w:date="2021-09-25T08:56:00Z"/>
        </w:rPr>
      </w:pPr>
      <w:ins w:id="74" w:author="Master Repository Process" w:date="2021-09-25T08:56:00Z">
        <w:r>
          <w:t xml:space="preserve"> (r. </w:t>
        </w:r>
      </w:ins>
      <w:bookmarkStart w:id="75" w:name="_Toc455401189"/>
      <w:r>
        <w:t>16</w:t>
      </w:r>
      <w:del w:id="76" w:author="Master Repository Process" w:date="2021-09-25T08:56:00Z">
        <w:r>
          <w:delText>.</w:delText>
        </w:r>
        <w:r>
          <w:tab/>
          <w:delText>Funds of Foundation</w:delText>
        </w:r>
        <w:bookmarkEnd w:id="75"/>
      </w:del>
    </w:p>
    <w:p>
      <w:pPr>
        <w:pStyle w:val="Subsection"/>
        <w:rPr>
          <w:del w:id="77" w:author="Master Repository Process" w:date="2021-09-25T08:56:00Z"/>
        </w:rPr>
      </w:pPr>
      <w:del w:id="78" w:author="Master Repository Process" w:date="2021-09-25T08:56:00Z">
        <w:r>
          <w:tab/>
          <w:delText>(1)</w:delText>
        </w:r>
        <w:r>
          <w:tab/>
          <w:delText>For the purposes of section 71(2) the amount of $18 153 000.00 is prescribed for the financial year beginning on 1 July 2006.</w:delText>
        </w:r>
      </w:del>
    </w:p>
    <w:p>
      <w:pPr>
        <w:pStyle w:val="Subsection"/>
        <w:rPr>
          <w:del w:id="79" w:author="Master Repository Process" w:date="2021-09-25T08:56:00Z"/>
        </w:rPr>
      </w:pPr>
      <w:del w:id="80" w:author="Master Repository Process" w:date="2021-09-25T08:56:00Z">
        <w:r>
          <w:tab/>
          <w:delText>(2)</w:delText>
        </w:r>
        <w:r>
          <w:tab/>
          <w:delText>For the purposes of section 71(2), the amount specified in Column 2 of the Table opposite a financial year specified in Column 1 of the Table is the prescribed amount for that financial year.</w:delText>
        </w:r>
      </w:del>
    </w:p>
    <w:p>
      <w:pPr>
        <w:pStyle w:val="THeadingNAm"/>
        <w:rPr>
          <w:del w:id="81" w:author="Master Repository Process" w:date="2021-09-25T08:56:00Z"/>
        </w:rPr>
      </w:pPr>
      <w:del w:id="82" w:author="Master Repository Process" w:date="2021-09-25T08:56:00Z">
        <w:r>
          <w:delText>Table</w:delText>
        </w:r>
      </w:del>
    </w:p>
    <w:tbl>
      <w:tblPr>
        <w:tblW w:w="0" w:type="auto"/>
        <w:tblInd w:w="1526" w:type="dxa"/>
        <w:tblLayout w:type="fixed"/>
        <w:tblCellMar>
          <w:bottom w:w="113" w:type="dxa"/>
        </w:tblCellMar>
        <w:tblLook w:val="0000" w:firstRow="0" w:lastRow="0" w:firstColumn="0" w:lastColumn="0" w:noHBand="0" w:noVBand="0"/>
      </w:tblPr>
      <w:tblGrid>
        <w:gridCol w:w="3260"/>
        <w:gridCol w:w="2268"/>
      </w:tblGrid>
      <w:tr>
        <w:trPr>
          <w:tblHeader/>
          <w:del w:id="83" w:author="Master Repository Process" w:date="2021-09-25T08:56:00Z"/>
        </w:trPr>
        <w:tc>
          <w:tcPr>
            <w:tcW w:w="3260" w:type="dxa"/>
            <w:tcBorders>
              <w:top w:val="single" w:sz="4" w:space="0" w:color="auto"/>
              <w:bottom w:val="single" w:sz="4" w:space="0" w:color="auto"/>
            </w:tcBorders>
          </w:tcPr>
          <w:p>
            <w:pPr>
              <w:pStyle w:val="TableNAm"/>
              <w:jc w:val="center"/>
              <w:rPr>
                <w:del w:id="84" w:author="Master Repository Process" w:date="2021-09-25T08:56:00Z"/>
                <w:b/>
              </w:rPr>
            </w:pPr>
            <w:del w:id="85" w:author="Master Repository Process" w:date="2021-09-25T08:56:00Z">
              <w:r>
                <w:rPr>
                  <w:b/>
                </w:rPr>
                <w:delText>Column 1</w:delText>
              </w:r>
              <w:r>
                <w:rPr>
                  <w:b/>
                </w:rPr>
                <w:br/>
                <w:delText>Financial year</w:delText>
              </w:r>
            </w:del>
          </w:p>
        </w:tc>
        <w:tc>
          <w:tcPr>
            <w:tcW w:w="2268" w:type="dxa"/>
            <w:tcBorders>
              <w:top w:val="single" w:sz="4" w:space="0" w:color="auto"/>
              <w:bottom w:val="single" w:sz="4" w:space="0" w:color="auto"/>
            </w:tcBorders>
          </w:tcPr>
          <w:p>
            <w:pPr>
              <w:pStyle w:val="TableNAm"/>
              <w:jc w:val="center"/>
              <w:rPr>
                <w:del w:id="86" w:author="Master Repository Process" w:date="2021-09-25T08:56:00Z"/>
                <w:b/>
              </w:rPr>
            </w:pPr>
            <w:del w:id="87" w:author="Master Repository Process" w:date="2021-09-25T08:56:00Z">
              <w:r>
                <w:rPr>
                  <w:b/>
                </w:rPr>
                <w:delText>Column 2</w:delText>
              </w:r>
              <w:r>
                <w:rPr>
                  <w:b/>
                </w:rPr>
                <w:br/>
                <w:delText>$</w:delText>
              </w:r>
            </w:del>
          </w:p>
        </w:tc>
      </w:tr>
      <w:tr>
        <w:trPr>
          <w:del w:id="88" w:author="Master Repository Process" w:date="2021-09-25T08:56:00Z"/>
        </w:trPr>
        <w:tc>
          <w:tcPr>
            <w:tcW w:w="3260" w:type="dxa"/>
            <w:tcBorders>
              <w:top w:val="single" w:sz="4" w:space="0" w:color="auto"/>
            </w:tcBorders>
          </w:tcPr>
          <w:p>
            <w:pPr>
              <w:pStyle w:val="TableNAm"/>
              <w:rPr>
                <w:del w:id="89" w:author="Master Repository Process" w:date="2021-09-25T08:56:00Z"/>
              </w:rPr>
            </w:pPr>
            <w:del w:id="90" w:author="Master Repository Process" w:date="2021-09-25T08:56:00Z">
              <w:r>
                <w:delText>1 July 2010  — 30 June 2011</w:delText>
              </w:r>
            </w:del>
          </w:p>
        </w:tc>
        <w:tc>
          <w:tcPr>
            <w:tcW w:w="2268" w:type="dxa"/>
            <w:tcBorders>
              <w:top w:val="single" w:sz="4" w:space="0" w:color="auto"/>
            </w:tcBorders>
          </w:tcPr>
          <w:p>
            <w:pPr>
              <w:pStyle w:val="TableNAm"/>
              <w:jc w:val="center"/>
              <w:rPr>
                <w:del w:id="91" w:author="Master Repository Process" w:date="2021-09-25T08:56:00Z"/>
              </w:rPr>
            </w:pPr>
            <w:del w:id="92" w:author="Master Repository Process" w:date="2021-09-25T08:56:00Z">
              <w:r>
                <w:delText>20 087 000</w:delText>
              </w:r>
            </w:del>
          </w:p>
        </w:tc>
      </w:tr>
      <w:tr>
        <w:trPr>
          <w:del w:id="93" w:author="Master Repository Process" w:date="2021-09-25T08:56:00Z"/>
        </w:trPr>
        <w:tc>
          <w:tcPr>
            <w:tcW w:w="3260" w:type="dxa"/>
          </w:tcPr>
          <w:p>
            <w:pPr>
              <w:pStyle w:val="TableNAm"/>
              <w:rPr>
                <w:del w:id="94" w:author="Master Repository Process" w:date="2021-09-25T08:56:00Z"/>
              </w:rPr>
            </w:pPr>
            <w:del w:id="95" w:author="Master Repository Process" w:date="2021-09-25T08:56:00Z">
              <w:r>
                <w:delText>1 July 2011 — 30 June 2012</w:delText>
              </w:r>
            </w:del>
          </w:p>
        </w:tc>
        <w:tc>
          <w:tcPr>
            <w:tcW w:w="2268" w:type="dxa"/>
          </w:tcPr>
          <w:p>
            <w:pPr>
              <w:pStyle w:val="TableNAm"/>
              <w:jc w:val="center"/>
              <w:rPr>
                <w:del w:id="96" w:author="Master Repository Process" w:date="2021-09-25T08:56:00Z"/>
              </w:rPr>
            </w:pPr>
            <w:del w:id="97" w:author="Master Repository Process" w:date="2021-09-25T08:56:00Z">
              <w:r>
                <w:delText>20 649 000</w:delText>
              </w:r>
            </w:del>
          </w:p>
        </w:tc>
      </w:tr>
      <w:tr>
        <w:trPr>
          <w:del w:id="98" w:author="Master Repository Process" w:date="2021-09-25T08:56:00Z"/>
        </w:trPr>
        <w:tc>
          <w:tcPr>
            <w:tcW w:w="3260" w:type="dxa"/>
          </w:tcPr>
          <w:p>
            <w:pPr>
              <w:pStyle w:val="TableNAm"/>
              <w:rPr>
                <w:del w:id="99" w:author="Master Repository Process" w:date="2021-09-25T08:56:00Z"/>
              </w:rPr>
            </w:pPr>
            <w:del w:id="100" w:author="Master Repository Process" w:date="2021-09-25T08:56:00Z">
              <w:r>
                <w:delText>1 July 2012 — 30 June 2013</w:delText>
              </w:r>
            </w:del>
          </w:p>
        </w:tc>
        <w:tc>
          <w:tcPr>
            <w:tcW w:w="2268" w:type="dxa"/>
          </w:tcPr>
          <w:p>
            <w:pPr>
              <w:pStyle w:val="TableNAm"/>
              <w:jc w:val="center"/>
              <w:rPr>
                <w:del w:id="101" w:author="Master Repository Process" w:date="2021-09-25T08:56:00Z"/>
              </w:rPr>
            </w:pPr>
            <w:del w:id="102" w:author="Master Repository Process" w:date="2021-09-25T08:56:00Z">
              <w:r>
                <w:delText>21 240 000</w:delText>
              </w:r>
            </w:del>
          </w:p>
        </w:tc>
      </w:tr>
      <w:tr>
        <w:trPr>
          <w:del w:id="103" w:author="Master Repository Process" w:date="2021-09-25T08:56:00Z"/>
        </w:trPr>
        <w:tc>
          <w:tcPr>
            <w:tcW w:w="3260" w:type="dxa"/>
          </w:tcPr>
          <w:p>
            <w:pPr>
              <w:pStyle w:val="TableNAm"/>
              <w:rPr>
                <w:del w:id="104" w:author="Master Repository Process" w:date="2021-09-25T08:56:00Z"/>
              </w:rPr>
            </w:pPr>
            <w:del w:id="105" w:author="Master Repository Process" w:date="2021-09-25T08:56:00Z">
              <w:r>
                <w:delText>1 July 2013 — 30 June 2014</w:delText>
              </w:r>
            </w:del>
          </w:p>
        </w:tc>
        <w:tc>
          <w:tcPr>
            <w:tcW w:w="2268" w:type="dxa"/>
          </w:tcPr>
          <w:p>
            <w:pPr>
              <w:pStyle w:val="TableNAm"/>
              <w:jc w:val="center"/>
              <w:rPr>
                <w:del w:id="106" w:author="Master Repository Process" w:date="2021-09-25T08:56:00Z"/>
              </w:rPr>
            </w:pPr>
            <w:del w:id="107" w:author="Master Repository Process" w:date="2021-09-25T08:56:00Z">
              <w:r>
                <w:delText>21 808 000</w:delText>
              </w:r>
            </w:del>
          </w:p>
        </w:tc>
      </w:tr>
      <w:tr>
        <w:trPr>
          <w:del w:id="108" w:author="Master Repository Process" w:date="2021-09-25T08:56:00Z"/>
        </w:trPr>
        <w:tc>
          <w:tcPr>
            <w:tcW w:w="3260" w:type="dxa"/>
          </w:tcPr>
          <w:p>
            <w:pPr>
              <w:pStyle w:val="TableNAm"/>
              <w:rPr>
                <w:del w:id="109" w:author="Master Repository Process" w:date="2021-09-25T08:56:00Z"/>
              </w:rPr>
            </w:pPr>
            <w:del w:id="110" w:author="Master Repository Process" w:date="2021-09-25T08:56:00Z">
              <w:r>
                <w:delText>1 July 2014 — 30 June 2015</w:delText>
              </w:r>
            </w:del>
          </w:p>
        </w:tc>
        <w:tc>
          <w:tcPr>
            <w:tcW w:w="2268" w:type="dxa"/>
          </w:tcPr>
          <w:p>
            <w:pPr>
              <w:pStyle w:val="TableNAm"/>
              <w:jc w:val="center"/>
              <w:rPr>
                <w:del w:id="111" w:author="Master Repository Process" w:date="2021-09-25T08:56:00Z"/>
              </w:rPr>
            </w:pPr>
            <w:del w:id="112" w:author="Master Repository Process" w:date="2021-09-25T08:56:00Z">
              <w:r>
                <w:delText>22 113 000</w:delText>
              </w:r>
            </w:del>
          </w:p>
        </w:tc>
      </w:tr>
      <w:tr>
        <w:trPr>
          <w:del w:id="113" w:author="Master Repository Process" w:date="2021-09-25T08:56:00Z"/>
        </w:trPr>
        <w:tc>
          <w:tcPr>
            <w:tcW w:w="3260" w:type="dxa"/>
          </w:tcPr>
          <w:p>
            <w:pPr>
              <w:pStyle w:val="TableNAm"/>
              <w:rPr>
                <w:del w:id="114" w:author="Master Repository Process" w:date="2021-09-25T08:56:00Z"/>
              </w:rPr>
            </w:pPr>
            <w:del w:id="115" w:author="Master Repository Process" w:date="2021-09-25T08:56:00Z">
              <w:r>
                <w:delText>1 July 2015 — 30 June 2016</w:delText>
              </w:r>
            </w:del>
          </w:p>
        </w:tc>
        <w:tc>
          <w:tcPr>
            <w:tcW w:w="2268" w:type="dxa"/>
          </w:tcPr>
          <w:p>
            <w:pPr>
              <w:pStyle w:val="TableNAm"/>
              <w:jc w:val="center"/>
              <w:rPr>
                <w:del w:id="116" w:author="Master Repository Process" w:date="2021-09-25T08:56:00Z"/>
              </w:rPr>
            </w:pPr>
            <w:del w:id="117" w:author="Master Repository Process" w:date="2021-09-25T08:56:00Z">
              <w:r>
                <w:delText>22 487 000</w:delText>
              </w:r>
            </w:del>
          </w:p>
        </w:tc>
      </w:tr>
      <w:tr>
        <w:trPr>
          <w:del w:id="118" w:author="Master Repository Process" w:date="2021-09-25T08:56:00Z"/>
        </w:trPr>
        <w:tc>
          <w:tcPr>
            <w:tcW w:w="3260" w:type="dxa"/>
          </w:tcPr>
          <w:p>
            <w:pPr>
              <w:pStyle w:val="TableNAm"/>
              <w:rPr>
                <w:del w:id="119" w:author="Master Repository Process" w:date="2021-09-25T08:56:00Z"/>
              </w:rPr>
            </w:pPr>
            <w:del w:id="120" w:author="Master Repository Process" w:date="2021-09-25T08:56:00Z">
              <w:r>
                <w:delText>1 July 2016 — 30 June 2017</w:delText>
              </w:r>
            </w:del>
          </w:p>
        </w:tc>
        <w:tc>
          <w:tcPr>
            <w:tcW w:w="2268" w:type="dxa"/>
          </w:tcPr>
          <w:p>
            <w:pPr>
              <w:pStyle w:val="TableNAm"/>
              <w:jc w:val="center"/>
              <w:rPr>
                <w:del w:id="121" w:author="Master Repository Process" w:date="2021-09-25T08:56:00Z"/>
              </w:rPr>
            </w:pPr>
            <w:del w:id="122" w:author="Master Repository Process" w:date="2021-09-25T08:56:00Z">
              <w:r>
                <w:delText>23 037 000</w:delText>
              </w:r>
            </w:del>
          </w:p>
        </w:tc>
      </w:tr>
      <w:tr>
        <w:trPr>
          <w:del w:id="123" w:author="Master Repository Process" w:date="2021-09-25T08:56:00Z"/>
        </w:trPr>
        <w:tc>
          <w:tcPr>
            <w:tcW w:w="3260" w:type="dxa"/>
          </w:tcPr>
          <w:p>
            <w:pPr>
              <w:pStyle w:val="TableNAm"/>
              <w:rPr>
                <w:del w:id="124" w:author="Master Repository Process" w:date="2021-09-25T08:56:00Z"/>
              </w:rPr>
            </w:pPr>
            <w:del w:id="125" w:author="Master Repository Process" w:date="2021-09-25T08:56:00Z">
              <w:r>
                <w:delText>1 July 2017 — 30 June 2018</w:delText>
              </w:r>
            </w:del>
          </w:p>
        </w:tc>
        <w:tc>
          <w:tcPr>
            <w:tcW w:w="2268" w:type="dxa"/>
          </w:tcPr>
          <w:p>
            <w:pPr>
              <w:pStyle w:val="TableNAm"/>
              <w:jc w:val="center"/>
              <w:rPr>
                <w:del w:id="126" w:author="Master Repository Process" w:date="2021-09-25T08:56:00Z"/>
              </w:rPr>
            </w:pPr>
            <w:del w:id="127" w:author="Master Repository Process" w:date="2021-09-25T08:56:00Z">
              <w:r>
                <w:delText>23 614 000</w:delText>
              </w:r>
            </w:del>
          </w:p>
        </w:tc>
      </w:tr>
      <w:tr>
        <w:trPr>
          <w:del w:id="128" w:author="Master Repository Process" w:date="2021-09-25T08:56:00Z"/>
        </w:trPr>
        <w:tc>
          <w:tcPr>
            <w:tcW w:w="3260" w:type="dxa"/>
            <w:tcBorders>
              <w:bottom w:val="single" w:sz="4" w:space="0" w:color="auto"/>
            </w:tcBorders>
          </w:tcPr>
          <w:p>
            <w:pPr>
              <w:pStyle w:val="TableNAm"/>
              <w:rPr>
                <w:del w:id="129" w:author="Master Repository Process" w:date="2021-09-25T08:56:00Z"/>
              </w:rPr>
            </w:pPr>
            <w:del w:id="130" w:author="Master Repository Process" w:date="2021-09-25T08:56:00Z">
              <w:r>
                <w:delText>1 July 2018 — 30 June 2019</w:delText>
              </w:r>
            </w:del>
          </w:p>
        </w:tc>
        <w:tc>
          <w:tcPr>
            <w:tcW w:w="2268" w:type="dxa"/>
            <w:tcBorders>
              <w:bottom w:val="single" w:sz="4" w:space="0" w:color="auto"/>
            </w:tcBorders>
          </w:tcPr>
          <w:p>
            <w:pPr>
              <w:pStyle w:val="TableNAm"/>
              <w:jc w:val="center"/>
              <w:rPr>
                <w:del w:id="131" w:author="Master Repository Process" w:date="2021-09-25T08:56:00Z"/>
              </w:rPr>
            </w:pPr>
            <w:del w:id="132" w:author="Master Repository Process" w:date="2021-09-25T08:56:00Z">
              <w:r>
                <w:delText>24 204 000</w:delText>
              </w:r>
            </w:del>
          </w:p>
        </w:tc>
      </w:tr>
    </w:tbl>
    <w:p>
      <w:pPr>
        <w:pStyle w:val="Ednotepart"/>
      </w:pPr>
      <w:del w:id="133" w:author="Master Repository Process" w:date="2021-09-25T08:56:00Z">
        <w:r>
          <w:tab/>
          <w:delText>[Regulation 16 amended</w:delText>
        </w:r>
      </w:del>
      <w:ins w:id="134" w:author="Master Repository Process" w:date="2021-09-25T08:56:00Z">
        <w:r>
          <w:t>) deleted</w:t>
        </w:r>
      </w:ins>
      <w:r>
        <w:t xml:space="preserve"> in Gazette </w:t>
      </w:r>
      <w:del w:id="135" w:author="Master Repository Process" w:date="2021-09-25T08:56:00Z">
        <w:r>
          <w:rPr>
            <w:szCs w:val="24"/>
          </w:rPr>
          <w:delText>1 Mar 2011</w:delText>
        </w:r>
      </w:del>
      <w:ins w:id="136" w:author="Master Repository Process" w:date="2021-09-25T08:56:00Z">
        <w:r>
          <w:t>26 Jul 2016</w:t>
        </w:r>
      </w:ins>
      <w:r>
        <w:t xml:space="preserve"> p. </w:t>
      </w:r>
      <w:del w:id="137" w:author="Master Repository Process" w:date="2021-09-25T08:56:00Z">
        <w:r>
          <w:rPr>
            <w:szCs w:val="24"/>
          </w:rPr>
          <w:delText>676</w:delText>
        </w:r>
        <w:r>
          <w:rPr>
            <w:szCs w:val="24"/>
          </w:rPr>
          <w:noBreakHyphen/>
          <w:delText>7; 18 May 2012 p. 2141; 20 Jun 2014 p. 2025; 6 May 2016 p. 1383.]</w:delText>
        </w:r>
      </w:del>
      <w:ins w:id="138" w:author="Master Repository Process" w:date="2021-09-25T08:56:00Z">
        <w:r>
          <w:t>3150.] </w:t>
        </w:r>
      </w:ins>
    </w:p>
    <w:p>
      <w:pPr>
        <w:pStyle w:val="Heading2"/>
      </w:pPr>
      <w:bookmarkStart w:id="139" w:name="_Toc450221259"/>
      <w:bookmarkStart w:id="140" w:name="_Toc450294995"/>
      <w:bookmarkStart w:id="141" w:name="_Toc455401190"/>
      <w:bookmarkStart w:id="142" w:name="_Toc524928883"/>
      <w:r>
        <w:rPr>
          <w:rStyle w:val="CharPartNo"/>
        </w:rPr>
        <w:t>Part 5</w:t>
      </w:r>
      <w:r>
        <w:rPr>
          <w:b w:val="0"/>
        </w:rPr>
        <w:t> </w:t>
      </w:r>
      <w:r>
        <w:t>—</w:t>
      </w:r>
      <w:r>
        <w:rPr>
          <w:b w:val="0"/>
        </w:rPr>
        <w:t> </w:t>
      </w:r>
      <w:r>
        <w:rPr>
          <w:rStyle w:val="CharPartText"/>
        </w:rPr>
        <w:t>Licensing</w:t>
      </w:r>
      <w:bookmarkEnd w:id="139"/>
      <w:bookmarkEnd w:id="140"/>
      <w:bookmarkEnd w:id="141"/>
      <w:bookmarkEnd w:id="142"/>
    </w:p>
    <w:p>
      <w:pPr>
        <w:pStyle w:val="Footnoteheading"/>
      </w:pPr>
      <w:r>
        <w:tab/>
        <w:t>[Heading inserted in Gazette 28 Feb 2007 p. 644.]</w:t>
      </w:r>
    </w:p>
    <w:p>
      <w:pPr>
        <w:pStyle w:val="Heading3"/>
      </w:pPr>
      <w:bookmarkStart w:id="143" w:name="_Toc450221260"/>
      <w:bookmarkStart w:id="144" w:name="_Toc450294996"/>
      <w:bookmarkStart w:id="145" w:name="_Toc455401191"/>
      <w:bookmarkStart w:id="146" w:name="_Toc524928884"/>
      <w:r>
        <w:rPr>
          <w:rStyle w:val="CharDivNo"/>
        </w:rPr>
        <w:t>Division 1</w:t>
      </w:r>
      <w:r>
        <w:t> — </w:t>
      </w:r>
      <w:r>
        <w:rPr>
          <w:rStyle w:val="CharDivText"/>
        </w:rPr>
        <w:t>Licensing procedures</w:t>
      </w:r>
      <w:bookmarkEnd w:id="143"/>
      <w:bookmarkEnd w:id="144"/>
      <w:bookmarkEnd w:id="145"/>
      <w:bookmarkEnd w:id="146"/>
    </w:p>
    <w:p>
      <w:pPr>
        <w:pStyle w:val="Footnoteheading"/>
      </w:pPr>
      <w:r>
        <w:tab/>
        <w:t>[Heading inserted in Gazette 28 Feb 2007 p. 644.]</w:t>
      </w:r>
    </w:p>
    <w:p>
      <w:pPr>
        <w:pStyle w:val="Heading5"/>
      </w:pPr>
      <w:bookmarkStart w:id="147" w:name="_Toc524928885"/>
      <w:bookmarkStart w:id="148" w:name="_Toc455401192"/>
      <w:r>
        <w:rPr>
          <w:rStyle w:val="CharSectno"/>
        </w:rPr>
        <w:t>17</w:t>
      </w:r>
      <w:r>
        <w:t>.</w:t>
      </w:r>
      <w:r>
        <w:tab/>
        <w:t>Application for licence — proof of individual’s identity</w:t>
      </w:r>
      <w:bookmarkEnd w:id="147"/>
      <w:bookmarkEnd w:id="148"/>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 xml:space="preserve">a certificate of the applicant’s descent issued by the department of the Commonwealth public service responsible for the administration of immigration or issued by a consulate within </w:t>
      </w:r>
      <w:smartTag w:uri="urn:schemas-microsoft-com:office:smarttags" w:element="place">
        <w:smartTag w:uri="urn:schemas-microsoft-com:office:smarttags" w:element="country-region">
          <w:r>
            <w:rPr>
              <w:snapToGrid w:val="0"/>
            </w:rPr>
            <w:t>Australia</w:t>
          </w:r>
        </w:smartTag>
      </w:smartTag>
      <w:r>
        <w:rPr>
          <w:snapToGrid w:val="0"/>
        </w:rPr>
        <w:t>.</w:t>
      </w:r>
    </w:p>
    <w:p>
      <w:pPr>
        <w:pStyle w:val="Footnotesection"/>
        <w:ind w:left="890" w:hanging="890"/>
      </w:pPr>
      <w:r>
        <w:tab/>
        <w:t>[Regulation 17 inserted in Gazette 28 Feb 2007 p. 644-5.]</w:t>
      </w:r>
    </w:p>
    <w:p>
      <w:pPr>
        <w:pStyle w:val="Heading5"/>
        <w:keepNext w:val="0"/>
        <w:keepLines w:val="0"/>
        <w:pageBreakBefore/>
        <w:spacing w:before="0"/>
      </w:pPr>
      <w:bookmarkStart w:id="149" w:name="_Toc524928886"/>
      <w:bookmarkStart w:id="150" w:name="_Toc455401193"/>
      <w:r>
        <w:rPr>
          <w:rStyle w:val="CharSectno"/>
        </w:rPr>
        <w:t>18</w:t>
      </w:r>
      <w:r>
        <w:t>.</w:t>
      </w:r>
      <w:r>
        <w:tab/>
        <w:t>Application for licence — other evidence</w:t>
      </w:r>
      <w:bookmarkEnd w:id="149"/>
      <w:bookmarkEnd w:id="150"/>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pPr>
      <w:r>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in Gazette 28 Feb 2007 p. 645-6; amended in Gazette 27 Nov 2012 p. 5734.]</w:t>
      </w:r>
    </w:p>
    <w:p>
      <w:pPr>
        <w:pStyle w:val="Heading5"/>
      </w:pPr>
      <w:bookmarkStart w:id="151" w:name="_Toc524928887"/>
      <w:bookmarkStart w:id="152" w:name="_Toc455401194"/>
      <w:r>
        <w:rPr>
          <w:rStyle w:val="CharSectno"/>
        </w:rPr>
        <w:t>19</w:t>
      </w:r>
      <w:r>
        <w:t>.</w:t>
      </w:r>
      <w:r>
        <w:tab/>
        <w:t>Application for renewal of licence</w:t>
      </w:r>
      <w:bookmarkEnd w:id="151"/>
      <w:bookmarkEnd w:id="152"/>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in Gazette 28 Feb 2007 p. 646-7; amended in Gazette 27 Nov 2012 p. 5734.]</w:t>
      </w:r>
    </w:p>
    <w:p>
      <w:pPr>
        <w:pStyle w:val="Heading5"/>
      </w:pPr>
      <w:bookmarkStart w:id="153" w:name="_Toc524928888"/>
      <w:bookmarkStart w:id="154" w:name="_Toc455401195"/>
      <w:r>
        <w:rPr>
          <w:rStyle w:val="CharSectno"/>
        </w:rPr>
        <w:t>20</w:t>
      </w:r>
      <w:r>
        <w:t>.</w:t>
      </w:r>
      <w:r>
        <w:tab/>
        <w:t>Conditions of general application</w:t>
      </w:r>
      <w:bookmarkEnd w:id="153"/>
      <w:bookmarkEnd w:id="154"/>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in Gazette 28 Feb 2007 p. 647-9; amended in Gazette 10 Sep 2010 p. 4382.]</w:t>
      </w:r>
    </w:p>
    <w:p>
      <w:pPr>
        <w:pStyle w:val="Heading5"/>
      </w:pPr>
      <w:bookmarkStart w:id="155" w:name="_Toc524928889"/>
      <w:bookmarkStart w:id="156" w:name="_Toc455401196"/>
      <w:r>
        <w:rPr>
          <w:rStyle w:val="CharSectno"/>
        </w:rPr>
        <w:t>21</w:t>
      </w:r>
      <w:r>
        <w:t>.</w:t>
      </w:r>
      <w:r>
        <w:tab/>
        <w:t>Application to amend licence</w:t>
      </w:r>
      <w:bookmarkEnd w:id="155"/>
      <w:bookmarkEnd w:id="156"/>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in Gazette 28 Feb 2007 p. 649-50; amended in Gazette 27 Nov 2012 p. 5735.]</w:t>
      </w:r>
    </w:p>
    <w:p>
      <w:pPr>
        <w:pStyle w:val="Heading5"/>
      </w:pPr>
      <w:bookmarkStart w:id="157" w:name="_Toc524928890"/>
      <w:bookmarkStart w:id="158" w:name="_Toc455401197"/>
      <w:r>
        <w:rPr>
          <w:rStyle w:val="CharSectno"/>
        </w:rPr>
        <w:t>22</w:t>
      </w:r>
      <w:r>
        <w:t>.</w:t>
      </w:r>
      <w:r>
        <w:tab/>
        <w:t>Register of licences</w:t>
      </w:r>
      <w:bookmarkEnd w:id="157"/>
      <w:bookmarkEnd w:id="158"/>
    </w:p>
    <w:p>
      <w:pPr>
        <w:pStyle w:val="Subsection"/>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in Gazette 28 Feb 2007 p. 650.]</w:t>
      </w:r>
    </w:p>
    <w:p>
      <w:pPr>
        <w:pStyle w:val="Heading3"/>
        <w:pageBreakBefore/>
        <w:spacing w:before="0"/>
      </w:pPr>
      <w:bookmarkStart w:id="159" w:name="_Toc450221267"/>
      <w:bookmarkStart w:id="160" w:name="_Toc450295003"/>
      <w:bookmarkStart w:id="161" w:name="_Toc455401198"/>
      <w:bookmarkStart w:id="162" w:name="_Toc524928891"/>
      <w:r>
        <w:rPr>
          <w:rStyle w:val="CharDivNo"/>
        </w:rPr>
        <w:t>Division 2</w:t>
      </w:r>
      <w:r>
        <w:t> — </w:t>
      </w:r>
      <w:r>
        <w:rPr>
          <w:rStyle w:val="CharDivText"/>
        </w:rPr>
        <w:t>Further obligations of licence holders</w:t>
      </w:r>
      <w:bookmarkEnd w:id="159"/>
      <w:bookmarkEnd w:id="160"/>
      <w:bookmarkEnd w:id="161"/>
      <w:bookmarkEnd w:id="162"/>
    </w:p>
    <w:p>
      <w:pPr>
        <w:pStyle w:val="Footnoteheading"/>
      </w:pPr>
      <w:r>
        <w:tab/>
        <w:t>[Heading inserted in Gazette 28 Feb 2007 p. 650.]</w:t>
      </w:r>
    </w:p>
    <w:p>
      <w:pPr>
        <w:pStyle w:val="Heading5"/>
      </w:pPr>
      <w:bookmarkStart w:id="163" w:name="_Toc524928892"/>
      <w:bookmarkStart w:id="164" w:name="_Toc455401199"/>
      <w:r>
        <w:rPr>
          <w:rStyle w:val="CharSectno"/>
        </w:rPr>
        <w:t>23</w:t>
      </w:r>
      <w:r>
        <w:t>.</w:t>
      </w:r>
      <w:r>
        <w:tab/>
        <w:t>Licence details on invoices etc.</w:t>
      </w:r>
      <w:bookmarkEnd w:id="163"/>
      <w:bookmarkEnd w:id="164"/>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 xml:space="preserve">the tobacco product was supplied from outside </w:t>
      </w:r>
      <w:smartTag w:uri="urn:schemas-microsoft-com:office:smarttags" w:element="place">
        <w:smartTag w:uri="urn:schemas-microsoft-com:office:smarttags" w:element="State">
          <w:r>
            <w:t>Western Australia</w:t>
          </w:r>
        </w:smartTag>
      </w:smartTag>
      <w:r>
        <w:t>;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in Gazette 28 Feb 2007 p. 650-1.]</w:t>
      </w:r>
    </w:p>
    <w:p>
      <w:pPr>
        <w:pStyle w:val="Heading5"/>
      </w:pPr>
      <w:bookmarkStart w:id="165" w:name="_Toc524928893"/>
      <w:bookmarkStart w:id="166" w:name="_Toc455401200"/>
      <w:r>
        <w:rPr>
          <w:rStyle w:val="CharSectno"/>
        </w:rPr>
        <w:t>24</w:t>
      </w:r>
      <w:r>
        <w:t>.</w:t>
      </w:r>
      <w:r>
        <w:tab/>
        <w:t>Records to be kept</w:t>
      </w:r>
      <w:bookmarkEnd w:id="165"/>
      <w:bookmarkEnd w:id="166"/>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in Gazette 10 Sep 2010 p. 4382.]</w:t>
      </w:r>
    </w:p>
    <w:p>
      <w:pPr>
        <w:pStyle w:val="Heading3"/>
      </w:pPr>
      <w:bookmarkStart w:id="167" w:name="_Toc450221270"/>
      <w:bookmarkStart w:id="168" w:name="_Toc450295006"/>
      <w:bookmarkStart w:id="169" w:name="_Toc455401201"/>
      <w:bookmarkStart w:id="170" w:name="_Toc524928894"/>
      <w:r>
        <w:rPr>
          <w:rStyle w:val="CharDivNo"/>
        </w:rPr>
        <w:t>Division 3</w:t>
      </w:r>
      <w:r>
        <w:t> — </w:t>
      </w:r>
      <w:r>
        <w:rPr>
          <w:rStyle w:val="CharDivText"/>
        </w:rPr>
        <w:t>Fees</w:t>
      </w:r>
      <w:bookmarkEnd w:id="167"/>
      <w:bookmarkEnd w:id="168"/>
      <w:bookmarkEnd w:id="169"/>
      <w:bookmarkEnd w:id="170"/>
    </w:p>
    <w:p>
      <w:pPr>
        <w:pStyle w:val="Footnoteheading"/>
      </w:pPr>
      <w:r>
        <w:tab/>
        <w:t>[Heading inserted in Gazette 28 Feb 2007 p. 651.]</w:t>
      </w:r>
    </w:p>
    <w:p>
      <w:pPr>
        <w:pStyle w:val="Heading5"/>
        <w:rPr>
          <w:snapToGrid w:val="0"/>
        </w:rPr>
      </w:pPr>
      <w:bookmarkStart w:id="171" w:name="_Toc524928895"/>
      <w:bookmarkStart w:id="172" w:name="_Toc455401202"/>
      <w:r>
        <w:rPr>
          <w:rStyle w:val="CharSectno"/>
        </w:rPr>
        <w:t>25</w:t>
      </w:r>
      <w:r>
        <w:rPr>
          <w:snapToGrid w:val="0"/>
        </w:rPr>
        <w:t>.</w:t>
      </w:r>
      <w:r>
        <w:rPr>
          <w:snapToGrid w:val="0"/>
        </w:rPr>
        <w:tab/>
        <w:t>Fees to be paid on application for issue of licence</w:t>
      </w:r>
      <w:bookmarkEnd w:id="171"/>
      <w:bookmarkEnd w:id="172"/>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r>
      <w:r>
        <w:t>$65.00</w:t>
      </w:r>
      <w:r>
        <w:rPr>
          <w:snapToGrid w:val="0"/>
        </w:rPr>
        <w:t xml:space="preserve"> for a retailer’s licence; and</w:t>
      </w:r>
    </w:p>
    <w:p>
      <w:pPr>
        <w:pStyle w:val="Indenta"/>
        <w:rPr>
          <w:snapToGrid w:val="0"/>
        </w:rPr>
      </w:pPr>
      <w:r>
        <w:tab/>
        <w:t>(b)</w:t>
      </w:r>
      <w:r>
        <w:tab/>
        <w:t>$65.00</w:t>
      </w:r>
      <w:r>
        <w:rPr>
          <w:snapToGrid w:val="0"/>
        </w:rPr>
        <w:t xml:space="preserve"> </w:t>
      </w:r>
      <w:r>
        <w:t xml:space="preserve">for </w:t>
      </w:r>
      <w:r>
        <w:rPr>
          <w:snapToGrid w:val="0"/>
        </w:rPr>
        <w:t>an indirect seller’s licence; and</w:t>
      </w:r>
    </w:p>
    <w:p>
      <w:pPr>
        <w:pStyle w:val="Indenta"/>
      </w:pPr>
      <w:r>
        <w:tab/>
        <w:t>(c)</w:t>
      </w:r>
      <w:r>
        <w:tab/>
        <w:t xml:space="preserve">$163.00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$190.00 </w:t>
      </w:r>
      <w:r>
        <w:rPr>
          <w:snapToGrid w:val="0"/>
        </w:rPr>
        <w:t>for a retailer’s licence; and</w:t>
      </w:r>
    </w:p>
    <w:p>
      <w:pPr>
        <w:pStyle w:val="Indenta"/>
        <w:rPr>
          <w:snapToGrid w:val="0"/>
        </w:rPr>
      </w:pPr>
      <w:r>
        <w:tab/>
        <w:t>(b)</w:t>
      </w:r>
      <w:r>
        <w:tab/>
        <w:t xml:space="preserve">$190.00 for </w:t>
      </w:r>
      <w:r>
        <w:rPr>
          <w:snapToGrid w:val="0"/>
        </w:rPr>
        <w:t>an indirect seller’s licence; and</w:t>
      </w:r>
    </w:p>
    <w:p>
      <w:pPr>
        <w:pStyle w:val="Indenta"/>
      </w:pPr>
      <w:r>
        <w:tab/>
        <w:t>(c)</w:t>
      </w:r>
      <w:r>
        <w:tab/>
        <w:t xml:space="preserve">$487.00 for </w:t>
      </w:r>
      <w:r>
        <w:rPr>
          <w:snapToGrid w:val="0"/>
        </w:rPr>
        <w:t>a wholesaler’s licence.</w:t>
      </w:r>
      <w:r>
        <w:t xml:space="preserve"> </w:t>
      </w:r>
    </w:p>
    <w:p>
      <w:pPr>
        <w:pStyle w:val="Footnotesection"/>
      </w:pPr>
      <w:r>
        <w:tab/>
        <w:t>[Regulation 25 inserted in Gazette 28 Feb 2007 p. 651; amended in Gazette 20 Aug 2010 p. 4069</w:t>
      </w:r>
      <w:r>
        <w:noBreakHyphen/>
        <w:t>70; 12 Dec 2014 p. 4715</w:t>
      </w:r>
      <w:r>
        <w:noBreakHyphen/>
        <w:t>16; 19 May 2015 p. 1758; 17 Jun 2016 p. 2105.]</w:t>
      </w:r>
    </w:p>
    <w:p>
      <w:pPr>
        <w:pStyle w:val="Heading5"/>
        <w:rPr>
          <w:snapToGrid w:val="0"/>
        </w:rPr>
      </w:pPr>
      <w:bookmarkStart w:id="173" w:name="_Toc524928896"/>
      <w:bookmarkStart w:id="174" w:name="_Toc455401203"/>
      <w:r>
        <w:rPr>
          <w:rStyle w:val="CharSectno"/>
        </w:rPr>
        <w:t>26</w:t>
      </w:r>
      <w:r>
        <w:rPr>
          <w:snapToGrid w:val="0"/>
        </w:rPr>
        <w:t>.</w:t>
      </w:r>
      <w:r>
        <w:rPr>
          <w:snapToGrid w:val="0"/>
        </w:rPr>
        <w:tab/>
        <w:t>Fees to be paid on application for renewal of licence</w:t>
      </w:r>
      <w:bookmarkEnd w:id="173"/>
      <w:bookmarkEnd w:id="174"/>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r>
      <w:r>
        <w:t>$220.00</w:t>
      </w:r>
      <w:r>
        <w:rPr>
          <w:snapToGrid w:val="0"/>
        </w:rPr>
        <w:t xml:space="preserve"> for a retailer’s licence; and</w:t>
      </w:r>
    </w:p>
    <w:p>
      <w:pPr>
        <w:pStyle w:val="Indenta"/>
        <w:rPr>
          <w:snapToGrid w:val="0"/>
        </w:rPr>
      </w:pPr>
      <w:r>
        <w:tab/>
        <w:t>(b)</w:t>
      </w:r>
      <w:r>
        <w:tab/>
        <w:t>$220.00</w:t>
      </w:r>
      <w:r>
        <w:rPr>
          <w:snapToGrid w:val="0"/>
        </w:rPr>
        <w:t xml:space="preserve"> </w:t>
      </w:r>
      <w:r>
        <w:t xml:space="preserve">for </w:t>
      </w:r>
      <w:r>
        <w:rPr>
          <w:snapToGrid w:val="0"/>
        </w:rPr>
        <w:t>an indirect seller’s licence; and</w:t>
      </w:r>
    </w:p>
    <w:p>
      <w:pPr>
        <w:pStyle w:val="Indenta"/>
      </w:pPr>
      <w:r>
        <w:tab/>
        <w:t>(c)</w:t>
      </w:r>
      <w:r>
        <w:tab/>
        <w:t xml:space="preserve">$550.00 for </w:t>
      </w:r>
      <w:r>
        <w:rPr>
          <w:snapToGrid w:val="0"/>
        </w:rPr>
        <w:t>a wholesaler’s licence.</w:t>
      </w:r>
      <w:r>
        <w:t xml:space="preserve"> </w:t>
      </w:r>
    </w:p>
    <w:p>
      <w:pPr>
        <w:pStyle w:val="Footnotesection"/>
      </w:pPr>
      <w:r>
        <w:tab/>
        <w:t>[Regulation 26 inserted in Gazette 28 Feb 2007 p. 652; amended in Gazette 20 Aug 2010 p. 4069</w:t>
      </w:r>
      <w:r>
        <w:noBreakHyphen/>
        <w:t>70; 12 Dec 2014 p. 4716; 19 May 2015 p. 1758; 17 Jun 2016 p. 2105.]</w:t>
      </w:r>
    </w:p>
    <w:p>
      <w:pPr>
        <w:pStyle w:val="Heading5"/>
        <w:rPr>
          <w:snapToGrid w:val="0"/>
        </w:rPr>
      </w:pPr>
      <w:bookmarkStart w:id="175" w:name="_Toc524928897"/>
      <w:bookmarkStart w:id="176" w:name="_Toc455401204"/>
      <w:r>
        <w:rPr>
          <w:rStyle w:val="CharSectno"/>
        </w:rPr>
        <w:t>27</w:t>
      </w:r>
      <w:r>
        <w:rPr>
          <w:snapToGrid w:val="0"/>
        </w:rPr>
        <w:t>.</w:t>
      </w:r>
      <w:r>
        <w:rPr>
          <w:snapToGrid w:val="0"/>
        </w:rPr>
        <w:tab/>
        <w:t>Fee to be paid on application for amendment of licence</w:t>
      </w:r>
      <w:bookmarkEnd w:id="175"/>
      <w:bookmarkEnd w:id="176"/>
    </w:p>
    <w:p>
      <w:pPr>
        <w:pStyle w:val="Subsection"/>
        <w:rPr>
          <w:snapToGrid w:val="0"/>
        </w:rPr>
      </w:pPr>
      <w:r>
        <w:rPr>
          <w:snapToGrid w:val="0"/>
        </w:rPr>
        <w:tab/>
      </w:r>
      <w:r>
        <w:rPr>
          <w:snapToGrid w:val="0"/>
        </w:rPr>
        <w:tab/>
        <w:t xml:space="preserve">The application fee to be paid for the purposes of section 44(2)(c)(ii) is </w:t>
      </w:r>
      <w:r>
        <w:t>$65.00</w:t>
      </w:r>
      <w:r>
        <w:rPr>
          <w:snapToGrid w:val="0"/>
        </w:rPr>
        <w:t>.</w:t>
      </w:r>
    </w:p>
    <w:p>
      <w:pPr>
        <w:pStyle w:val="Footnotesection"/>
      </w:pPr>
      <w:r>
        <w:tab/>
        <w:t>[Regulation 27 inserted in Gazette 28 Feb 2007 p. 652; amended in Gazette 20 Aug 2010 p. 4069</w:t>
      </w:r>
      <w:r>
        <w:noBreakHyphen/>
        <w:t>70; 12 Dec 2014 p. 4716; 19 May 2015 p. 1758; 17 Jun 2016 p. 2105.]</w:t>
      </w:r>
    </w:p>
    <w:p>
      <w:pPr>
        <w:pStyle w:val="Heading5"/>
        <w:rPr>
          <w:snapToGrid w:val="0"/>
        </w:rPr>
      </w:pPr>
      <w:bookmarkStart w:id="177" w:name="_Toc524928898"/>
      <w:bookmarkStart w:id="178" w:name="_Toc455401205"/>
      <w:r>
        <w:rPr>
          <w:rStyle w:val="CharSectno"/>
        </w:rPr>
        <w:t>28</w:t>
      </w:r>
      <w:r>
        <w:rPr>
          <w:snapToGrid w:val="0"/>
        </w:rPr>
        <w:t>.</w:t>
      </w:r>
      <w:r>
        <w:rPr>
          <w:snapToGrid w:val="0"/>
        </w:rPr>
        <w:tab/>
        <w:t>Fee to be paid for extract of registered particulars</w:t>
      </w:r>
      <w:bookmarkEnd w:id="177"/>
      <w:bookmarkEnd w:id="178"/>
    </w:p>
    <w:p>
      <w:pPr>
        <w:pStyle w:val="Subsection"/>
        <w:rPr>
          <w:snapToGrid w:val="0"/>
        </w:rPr>
      </w:pPr>
      <w:r>
        <w:rPr>
          <w:snapToGrid w:val="0"/>
        </w:rPr>
        <w:tab/>
      </w:r>
      <w:r>
        <w:rPr>
          <w:snapToGrid w:val="0"/>
        </w:rPr>
        <w:tab/>
        <w:t xml:space="preserve">The fee to be paid for the purposes of section 45(3) is </w:t>
      </w:r>
      <w:r>
        <w:t>$32.00</w:t>
      </w:r>
      <w:r>
        <w:rPr>
          <w:snapToGrid w:val="0"/>
        </w:rPr>
        <w:t>.</w:t>
      </w:r>
    </w:p>
    <w:p>
      <w:pPr>
        <w:pStyle w:val="Footnotesection"/>
      </w:pPr>
      <w:r>
        <w:tab/>
        <w:t>[Regulation 28 inserted in Gazette 28 Feb 2007 p. 652; amended in Gazette 20 Aug 2010 p. 4069</w:t>
      </w:r>
      <w:r>
        <w:noBreakHyphen/>
        <w:t>70; 12 Dec 2014 p. 4716; 19 May 2015 p. 1758; 17 Jun 2016 p. 2105.]</w:t>
      </w:r>
    </w:p>
    <w:p>
      <w:pPr>
        <w:pStyle w:val="Heading5"/>
        <w:rPr>
          <w:snapToGrid w:val="0"/>
        </w:rPr>
      </w:pPr>
      <w:bookmarkStart w:id="179" w:name="_Toc524928899"/>
      <w:bookmarkStart w:id="180" w:name="_Toc455401206"/>
      <w:r>
        <w:rPr>
          <w:rStyle w:val="CharSectno"/>
        </w:rPr>
        <w:t>29</w:t>
      </w:r>
      <w:r>
        <w:rPr>
          <w:snapToGrid w:val="0"/>
        </w:rPr>
        <w:t>.</w:t>
      </w:r>
      <w:r>
        <w:rPr>
          <w:snapToGrid w:val="0"/>
        </w:rPr>
        <w:tab/>
        <w:t>Fee to be paid for duplicate licence</w:t>
      </w:r>
      <w:bookmarkEnd w:id="179"/>
      <w:bookmarkEnd w:id="180"/>
    </w:p>
    <w:p>
      <w:pPr>
        <w:pStyle w:val="Subsection"/>
        <w:rPr>
          <w:snapToGrid w:val="0"/>
        </w:rPr>
      </w:pPr>
      <w:r>
        <w:rPr>
          <w:snapToGrid w:val="0"/>
        </w:rPr>
        <w:tab/>
      </w:r>
      <w:r>
        <w:rPr>
          <w:snapToGrid w:val="0"/>
        </w:rPr>
        <w:tab/>
        <w:t xml:space="preserve">The fee to be paid for the purposes of section 54(2) is </w:t>
      </w:r>
      <w:r>
        <w:t>$32.00</w:t>
      </w:r>
      <w:r>
        <w:rPr>
          <w:snapToGrid w:val="0"/>
        </w:rPr>
        <w:t>.</w:t>
      </w:r>
    </w:p>
    <w:p>
      <w:pPr>
        <w:pStyle w:val="Footnotesection"/>
      </w:pPr>
      <w:r>
        <w:tab/>
        <w:t>[Regulation 29 inserted in Gazette 28 Feb 2007 p. 652; amended in Gazette 20 Aug 2010 p. 4069</w:t>
      </w:r>
      <w:r>
        <w:noBreakHyphen/>
        <w:t>70; 12 Dec 2014 p. 4716; 19 May 2015 p. 1758; 17 Jun 2016 p. 2105.]</w:t>
      </w:r>
    </w:p>
    <w:p>
      <w:pPr>
        <w:pStyle w:val="Heading2"/>
      </w:pPr>
      <w:bookmarkStart w:id="181" w:name="_Toc450221276"/>
      <w:bookmarkStart w:id="182" w:name="_Toc450295012"/>
      <w:bookmarkStart w:id="183" w:name="_Toc455401207"/>
      <w:bookmarkStart w:id="184" w:name="_Toc524928900"/>
      <w:r>
        <w:rPr>
          <w:rStyle w:val="CharPartNo"/>
        </w:rPr>
        <w:t>Part 6</w:t>
      </w:r>
      <w:r>
        <w:rPr>
          <w:b w:val="0"/>
        </w:rPr>
        <w:t> </w:t>
      </w:r>
      <w:r>
        <w:t>—</w:t>
      </w:r>
      <w:r>
        <w:rPr>
          <w:b w:val="0"/>
        </w:rPr>
        <w:t> </w:t>
      </w:r>
      <w:smartTag w:uri="urn:schemas-microsoft-com:office:smarttags" w:element="place">
        <w:smartTag w:uri="urn:schemas-microsoft-com:office:smarttags" w:element="City">
          <w:r>
            <w:rPr>
              <w:rStyle w:val="CharPartText"/>
            </w:rPr>
            <w:t>Sale</w:t>
          </w:r>
        </w:smartTag>
      </w:smartTag>
      <w:r>
        <w:rPr>
          <w:rStyle w:val="CharPartText"/>
        </w:rPr>
        <w:t xml:space="preserve"> and supply</w:t>
      </w:r>
      <w:bookmarkEnd w:id="181"/>
      <w:bookmarkEnd w:id="182"/>
      <w:bookmarkEnd w:id="183"/>
      <w:bookmarkEnd w:id="184"/>
    </w:p>
    <w:p>
      <w:pPr>
        <w:pStyle w:val="Footnoteheading"/>
      </w:pPr>
      <w:r>
        <w:tab/>
        <w:t>[Heading inserted in Gazette 28 Feb 2007 p. 653.]</w:t>
      </w:r>
    </w:p>
    <w:p>
      <w:pPr>
        <w:pStyle w:val="Heading3"/>
      </w:pPr>
      <w:bookmarkStart w:id="185" w:name="_Toc450221277"/>
      <w:bookmarkStart w:id="186" w:name="_Toc450295013"/>
      <w:bookmarkStart w:id="187" w:name="_Toc455401208"/>
      <w:bookmarkStart w:id="188" w:name="_Toc524928901"/>
      <w:r>
        <w:rPr>
          <w:rStyle w:val="CharDivNo"/>
        </w:rPr>
        <w:t>Division 1</w:t>
      </w:r>
      <w:r>
        <w:t> — </w:t>
      </w:r>
      <w:r>
        <w:rPr>
          <w:rStyle w:val="CharDivText"/>
        </w:rPr>
        <w:t>Terms used in this Part</w:t>
      </w:r>
      <w:bookmarkEnd w:id="185"/>
      <w:bookmarkEnd w:id="186"/>
      <w:bookmarkEnd w:id="187"/>
      <w:bookmarkEnd w:id="188"/>
    </w:p>
    <w:p>
      <w:pPr>
        <w:pStyle w:val="Footnoteheading"/>
      </w:pPr>
      <w:r>
        <w:tab/>
        <w:t>[Heading inserted in Gazette 28 Feb 2007 p. 653.]</w:t>
      </w:r>
    </w:p>
    <w:p>
      <w:pPr>
        <w:pStyle w:val="Heading5"/>
      </w:pPr>
      <w:bookmarkStart w:id="189" w:name="_Toc524928902"/>
      <w:bookmarkStart w:id="190" w:name="_Toc455401209"/>
      <w:r>
        <w:rPr>
          <w:rStyle w:val="CharSectno"/>
        </w:rPr>
        <w:t>30</w:t>
      </w:r>
      <w:r>
        <w:t>.</w:t>
      </w:r>
      <w:r>
        <w:tab/>
        <w:t>Terms used</w:t>
      </w:r>
      <w:bookmarkEnd w:id="189"/>
      <w:bookmarkEnd w:id="190"/>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ind w:left="890" w:hanging="890"/>
      </w:pPr>
      <w:r>
        <w:tab/>
        <w:t>[Regulation 30 inserted in Gazette 28 Feb 2007 p. 653-4; amended in Gazette 10 Sep 2010 p. 4382-3.]</w:t>
      </w:r>
    </w:p>
    <w:p>
      <w:pPr>
        <w:pStyle w:val="Heading3"/>
      </w:pPr>
      <w:bookmarkStart w:id="191" w:name="_Toc450221279"/>
      <w:bookmarkStart w:id="192" w:name="_Toc450295015"/>
      <w:bookmarkStart w:id="193" w:name="_Toc455401210"/>
      <w:bookmarkStart w:id="194" w:name="_Toc524928903"/>
      <w:r>
        <w:rPr>
          <w:rStyle w:val="CharDivNo"/>
        </w:rPr>
        <w:t>Division 2</w:t>
      </w:r>
      <w:r>
        <w:t> — </w:t>
      </w:r>
      <w:r>
        <w:rPr>
          <w:rStyle w:val="CharDivText"/>
        </w:rPr>
        <w:t>Proof of age</w:t>
      </w:r>
      <w:bookmarkEnd w:id="191"/>
      <w:bookmarkEnd w:id="192"/>
      <w:bookmarkEnd w:id="193"/>
      <w:bookmarkEnd w:id="194"/>
    </w:p>
    <w:p>
      <w:pPr>
        <w:pStyle w:val="Footnoteheading"/>
      </w:pPr>
      <w:r>
        <w:tab/>
        <w:t>[Heading inserted in Gazette 28 Feb 2007 p. 654.]</w:t>
      </w:r>
    </w:p>
    <w:p>
      <w:pPr>
        <w:pStyle w:val="Heading5"/>
      </w:pPr>
      <w:bookmarkStart w:id="195" w:name="_Toc524928904"/>
      <w:bookmarkStart w:id="196" w:name="_Toc455401211"/>
      <w:r>
        <w:rPr>
          <w:rStyle w:val="CharSectno"/>
        </w:rPr>
        <w:t>31</w:t>
      </w:r>
      <w:r>
        <w:t>.</w:t>
      </w:r>
      <w:r>
        <w:tab/>
        <w:t>Proof of age</w:t>
      </w:r>
      <w:bookmarkEnd w:id="195"/>
      <w:bookmarkEnd w:id="196"/>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in Gazette 27 Jun 2014 p. 2331.]</w:t>
      </w:r>
    </w:p>
    <w:p>
      <w:pPr>
        <w:pStyle w:val="Heading3"/>
      </w:pPr>
      <w:bookmarkStart w:id="197" w:name="_Toc450221281"/>
      <w:bookmarkStart w:id="198" w:name="_Toc450295017"/>
      <w:bookmarkStart w:id="199" w:name="_Toc455401212"/>
      <w:bookmarkStart w:id="200" w:name="_Toc524928905"/>
      <w:r>
        <w:rPr>
          <w:rStyle w:val="CharDivNo"/>
        </w:rPr>
        <w:t>Division 3</w:t>
      </w:r>
      <w:r>
        <w:t> — </w:t>
      </w:r>
      <w:r>
        <w:rPr>
          <w:rStyle w:val="CharDivText"/>
        </w:rPr>
        <w:t>Labelling of tobacco products</w:t>
      </w:r>
      <w:bookmarkEnd w:id="197"/>
      <w:bookmarkEnd w:id="198"/>
      <w:bookmarkEnd w:id="199"/>
      <w:bookmarkEnd w:id="200"/>
    </w:p>
    <w:p>
      <w:pPr>
        <w:pStyle w:val="Footnoteheading"/>
        <w:keepNext/>
      </w:pPr>
      <w:r>
        <w:tab/>
        <w:t>[Heading inserted in Gazette 28 Feb 2007 p. 655.]</w:t>
      </w:r>
    </w:p>
    <w:p>
      <w:pPr>
        <w:pStyle w:val="Heading5"/>
      </w:pPr>
      <w:bookmarkStart w:id="201" w:name="_Toc524928906"/>
      <w:bookmarkStart w:id="202" w:name="_Toc455401213"/>
      <w:r>
        <w:rPr>
          <w:rStyle w:val="CharSectno"/>
        </w:rPr>
        <w:t>32</w:t>
      </w:r>
      <w:r>
        <w:t>.</w:t>
      </w:r>
      <w:r>
        <w:tab/>
        <w:t>Labelling of tobacco products</w:t>
      </w:r>
      <w:bookmarkEnd w:id="201"/>
      <w:bookmarkEnd w:id="202"/>
    </w:p>
    <w:p>
      <w:pPr>
        <w:pStyle w:val="Subsection"/>
      </w:pPr>
      <w:r>
        <w:tab/>
      </w:r>
      <w:r>
        <w:tab/>
        <w:t>For the purposes of section 19, a package is to be labelled in accordance with the provisions of the Commonwealth</w:t>
      </w:r>
      <w:r>
        <w:rPr>
          <w:i/>
          <w:iCs/>
        </w:rPr>
        <w:t xml:space="preserve"> Trade Practices (Consumer Product Information Standards) (Tobacco) Regulations 2004</w:t>
      </w:r>
      <w:r>
        <w:t xml:space="preserve"> that are in force from time to time and that apply to the package.</w:t>
      </w:r>
    </w:p>
    <w:p>
      <w:pPr>
        <w:pStyle w:val="Footnotesection"/>
        <w:ind w:left="890" w:hanging="890"/>
      </w:pPr>
      <w:r>
        <w:tab/>
        <w:t>[Regulation 32 inserted in Gazette 28 Feb 2007 p. 655.]</w:t>
      </w:r>
    </w:p>
    <w:p>
      <w:pPr>
        <w:pStyle w:val="Heading3"/>
      </w:pPr>
      <w:bookmarkStart w:id="203" w:name="_Toc450221283"/>
      <w:bookmarkStart w:id="204" w:name="_Toc450295019"/>
      <w:bookmarkStart w:id="205" w:name="_Toc455401214"/>
      <w:bookmarkStart w:id="206" w:name="_Toc524928907"/>
      <w:r>
        <w:rPr>
          <w:rStyle w:val="CharDivNo"/>
        </w:rPr>
        <w:t>Division 4</w:t>
      </w:r>
      <w:r>
        <w:t> — </w:t>
      </w:r>
      <w:r>
        <w:rPr>
          <w:rStyle w:val="CharDivText"/>
        </w:rPr>
        <w:t>Location and display of tobacco products and smoking implements</w:t>
      </w:r>
      <w:bookmarkEnd w:id="203"/>
      <w:bookmarkEnd w:id="204"/>
      <w:bookmarkEnd w:id="205"/>
      <w:bookmarkEnd w:id="206"/>
    </w:p>
    <w:p>
      <w:pPr>
        <w:pStyle w:val="Footnoteheading"/>
      </w:pPr>
      <w:r>
        <w:tab/>
        <w:t>[Heading inserted in Gazette 10 Sep 2010 p. 4383.]</w:t>
      </w:r>
    </w:p>
    <w:p>
      <w:pPr>
        <w:pStyle w:val="Heading5"/>
      </w:pPr>
      <w:bookmarkStart w:id="207" w:name="_Toc524928908"/>
      <w:bookmarkStart w:id="208" w:name="_Toc455401215"/>
      <w:r>
        <w:rPr>
          <w:rStyle w:val="CharSectno"/>
        </w:rPr>
        <w:t>33</w:t>
      </w:r>
      <w:r>
        <w:t>.</w:t>
      </w:r>
      <w:r>
        <w:tab/>
        <w:t>Packages that cannot be displayed by specialist retailer</w:t>
      </w:r>
      <w:bookmarkEnd w:id="207"/>
      <w:bookmarkEnd w:id="208"/>
    </w:p>
    <w:p>
      <w:pPr>
        <w:pStyle w:val="Subsection"/>
      </w:pPr>
      <w:r>
        <w:tab/>
      </w:r>
      <w:r>
        <w:tab/>
        <w:t xml:space="preserve">A specialist retailer must not display, or authorise or allow to be displayed, any of the following kinds of package — </w:t>
      </w:r>
    </w:p>
    <w:p>
      <w:pPr>
        <w:pStyle w:val="Indenta"/>
      </w:pPr>
      <w:r>
        <w:tab/>
        <w:t>(a)</w:t>
      </w:r>
      <w:r>
        <w:tab/>
        <w:t xml:space="preserve">a package containing cigarettes that, when smoked, have a flavour or aroma of — </w:t>
      </w:r>
    </w:p>
    <w:p>
      <w:pPr>
        <w:pStyle w:val="Indenti"/>
      </w:pPr>
      <w:r>
        <w:tab/>
        <w:t>(i)</w:t>
      </w:r>
      <w:r>
        <w:tab/>
        <w:t>any kind of fruit; or</w:t>
      </w:r>
    </w:p>
    <w:p>
      <w:pPr>
        <w:pStyle w:val="Indenti"/>
      </w:pPr>
      <w:r>
        <w:tab/>
        <w:t>(ii)</w:t>
      </w:r>
      <w:r>
        <w:tab/>
        <w:t xml:space="preserve">mint (but not menthol), chocolate, vanilla, caramel, coconut or any other flavour (but not a spice) commonly used in the production of confectionery; </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(a) or (b);</w:t>
      </w:r>
    </w:p>
    <w:p>
      <w:pPr>
        <w:pStyle w:val="Indenta"/>
      </w:pPr>
      <w:r>
        <w:tab/>
        <w:t>(d)</w:t>
      </w:r>
      <w:r>
        <w:tab/>
        <w:t>a package that is designed or capable of being split into 2 or more portions each containing less than 20 cigarettes.</w:t>
      </w:r>
    </w:p>
    <w:p>
      <w:pPr>
        <w:pStyle w:val="Penstart"/>
      </w:pPr>
      <w:r>
        <w:tab/>
        <w:t>Penalty: a fine of $2 000.</w:t>
      </w:r>
    </w:p>
    <w:p>
      <w:pPr>
        <w:pStyle w:val="Footnotesection"/>
      </w:pPr>
      <w:r>
        <w:tab/>
        <w:t>[Regulation 33 inserted in Gazette 28 Feb 2007 p. 655-6; amended in Gazette 10 Sep 2010 p. 4384.]</w:t>
      </w:r>
    </w:p>
    <w:p>
      <w:pPr>
        <w:pStyle w:val="Heading5"/>
      </w:pPr>
      <w:bookmarkStart w:id="209" w:name="_Toc524928909"/>
      <w:bookmarkStart w:id="210" w:name="_Toc455401216"/>
      <w:r>
        <w:rPr>
          <w:rStyle w:val="CharSectno"/>
        </w:rPr>
        <w:t>34</w:t>
      </w:r>
      <w:r>
        <w:t>.</w:t>
      </w:r>
      <w:r>
        <w:tab/>
        <w:t>Location of tobacco products or smoking implements on retail premises</w:t>
      </w:r>
      <w:bookmarkEnd w:id="209"/>
      <w:bookmarkEnd w:id="210"/>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a fine of $2 000.</w:t>
      </w:r>
    </w:p>
    <w:p>
      <w:pPr>
        <w:pStyle w:val="Subsection"/>
      </w:pPr>
      <w:r>
        <w:tab/>
        <w:t>(2)</w:t>
      </w:r>
      <w:r>
        <w:tab/>
        <w:t>A retailer must ensure that tobacco products and smoking implements are not sold from more than one place on the retail premises.</w:t>
      </w:r>
    </w:p>
    <w:p>
      <w:pPr>
        <w:pStyle w:val="Penstart"/>
      </w:pPr>
      <w:r>
        <w:tab/>
        <w:t>Penalty: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kept in one or 2 cigar cabinets located in accordance with paragraph (a).</w:t>
      </w:r>
    </w:p>
    <w:p>
      <w:pPr>
        <w:pStyle w:val="Penstart"/>
      </w:pPr>
      <w:r>
        <w:tab/>
        <w:t>Penalty: a fine of $2 000.</w:t>
      </w:r>
    </w:p>
    <w:p>
      <w:pPr>
        <w:pStyle w:val="Subsection"/>
        <w:keepNext/>
        <w:spacing w:before="120"/>
      </w:pPr>
      <w:r>
        <w:tab/>
        <w:t>(4)</w:t>
      </w:r>
      <w:r>
        <w:tab/>
        <w:t xml:space="preserve">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spacing w:before="60"/>
      </w:pPr>
      <w:r>
        <w:tab/>
        <w:t>(i)</w:t>
      </w:r>
      <w:r>
        <w:tab/>
        <w:t>behind (but not on) a counter across which customers are served on the seller’s side; or</w:t>
      </w:r>
    </w:p>
    <w:p>
      <w:pPr>
        <w:pStyle w:val="Indenti"/>
        <w:spacing w:before="60"/>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60"/>
      </w:pPr>
      <w:r>
        <w:tab/>
      </w:r>
      <w:r>
        <w:tab/>
        <w:t>and</w:t>
      </w:r>
    </w:p>
    <w:p>
      <w:pPr>
        <w:pStyle w:val="Indenta"/>
      </w:pPr>
      <w:r>
        <w:tab/>
        <w:t>(b)</w:t>
      </w:r>
      <w:r>
        <w:tab/>
        <w:t>cigars kept at the sales place on the premises are located in accordance with paragraph (a) or in one or 2 cigar cabinets on either side of a counter across which customers are served.</w:t>
      </w:r>
    </w:p>
    <w:p>
      <w:pPr>
        <w:pStyle w:val="Penstart"/>
      </w:pPr>
      <w:r>
        <w:tab/>
        <w:t>Penalty: a fine of $2 000.</w:t>
      </w:r>
    </w:p>
    <w:p>
      <w:pPr>
        <w:pStyle w:val="Subsection"/>
        <w:spacing w:before="120"/>
      </w:pPr>
      <w:r>
        <w:tab/>
        <w:t>(5)</w:t>
      </w:r>
      <w:r>
        <w:tab/>
        <w:t>A retailer must ensure that tobacco products and smoking implements kept on the retail premises —</w:t>
      </w:r>
    </w:p>
    <w:p>
      <w:pPr>
        <w:pStyle w:val="Indenta"/>
        <w:spacing w:before="60"/>
      </w:pPr>
      <w:r>
        <w:tab/>
        <w:t>(a)</w:t>
      </w:r>
      <w:r>
        <w:tab/>
        <w:t>are not located within 1 m of confectionery or products that are designed specifically for, or marketed specifically to, children; or</w:t>
      </w:r>
    </w:p>
    <w:p>
      <w:pPr>
        <w:pStyle w:val="Indenta"/>
        <w:spacing w:before="6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60"/>
      </w:pPr>
      <w:r>
        <w:tab/>
        <w:t>Penalty: a fine of $2 000.</w:t>
      </w:r>
    </w:p>
    <w:p>
      <w:pPr>
        <w:pStyle w:val="Footnotesection"/>
        <w:keepLines w:val="0"/>
        <w:spacing w:before="60"/>
        <w:ind w:left="890" w:hanging="890"/>
      </w:pPr>
      <w:r>
        <w:tab/>
        <w:t>[Regulation 34 inserted in Gazette 10 Sep 2010 p. 4384-6.]</w:t>
      </w:r>
    </w:p>
    <w:p>
      <w:pPr>
        <w:pStyle w:val="Heading5"/>
      </w:pPr>
      <w:bookmarkStart w:id="211" w:name="_Toc524928910"/>
      <w:bookmarkStart w:id="212" w:name="_Toc455401217"/>
      <w:r>
        <w:rPr>
          <w:rStyle w:val="CharSectno"/>
        </w:rPr>
        <w:t>35</w:t>
      </w:r>
      <w:r>
        <w:t>.</w:t>
      </w:r>
      <w:r>
        <w:tab/>
        <w:t>Surface area of displays in cigar cabinets</w:t>
      </w:r>
      <w:bookmarkEnd w:id="211"/>
      <w:bookmarkEnd w:id="212"/>
    </w:p>
    <w:p>
      <w:pPr>
        <w:pStyle w:val="Subsection"/>
      </w:pPr>
      <w:r>
        <w:tab/>
      </w:r>
      <w:r>
        <w:tab/>
        <w:t>For the purposes of assessing the surface area of tobacco products and packages in a cigar cabinet under section 23(4)(b), the total surface area of the outside surface of the cigar cabinet’s transparent window is to be taken to be the total surface area of tobacco products and packages in the cabinet.</w:t>
      </w:r>
    </w:p>
    <w:p>
      <w:pPr>
        <w:pStyle w:val="Footnotesection"/>
      </w:pPr>
      <w:r>
        <w:tab/>
        <w:t>[Regulation 35 inserted in Gazette 28 Feb 2007 p. 657; amended in Gazette 10 Sep 2010 p. 4386.]</w:t>
      </w:r>
    </w:p>
    <w:p>
      <w:pPr>
        <w:pStyle w:val="Heading5"/>
      </w:pPr>
      <w:bookmarkStart w:id="213" w:name="_Toc524928911"/>
      <w:bookmarkStart w:id="214" w:name="_Toc455401218"/>
      <w:r>
        <w:rPr>
          <w:rStyle w:val="CharSectno"/>
        </w:rPr>
        <w:t>36</w:t>
      </w:r>
      <w:r>
        <w:t>.</w:t>
      </w:r>
      <w:r>
        <w:tab/>
        <w:t>Type of tobacco products on retail premises and manner of storage</w:t>
      </w:r>
      <w:bookmarkEnd w:id="213"/>
      <w:bookmarkEnd w:id="214"/>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pPr>
      <w:r>
        <w:tab/>
        <w:t>(b)</w:t>
      </w:r>
      <w:r>
        <w:tab/>
        <w:t>occupy no more than 1 m</w:t>
      </w:r>
      <w:r>
        <w:rPr>
          <w:vertAlign w:val="superscript"/>
        </w:rPr>
        <w:t>2</w:t>
      </w:r>
      <w:r>
        <w:t xml:space="preserve"> in area.</w:t>
      </w:r>
    </w:p>
    <w:p>
      <w:pPr>
        <w:pStyle w:val="Penstart"/>
      </w:pPr>
      <w:r>
        <w:tab/>
        <w:t>Penalty: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a fine of $2 000.</w:t>
      </w:r>
    </w:p>
    <w:p>
      <w:pPr>
        <w:pStyle w:val="Footnotesection"/>
      </w:pPr>
      <w:r>
        <w:tab/>
        <w:t>[Regulation 36 inserted in Gazette 10 Sep 2010 p. 4387-8.]</w:t>
      </w:r>
    </w:p>
    <w:p>
      <w:pPr>
        <w:pStyle w:val="Heading5"/>
      </w:pPr>
      <w:bookmarkStart w:id="215" w:name="_Toc524928912"/>
      <w:bookmarkStart w:id="216" w:name="_Toc455401219"/>
      <w:r>
        <w:rPr>
          <w:rStyle w:val="CharSectno"/>
        </w:rPr>
        <w:t>37</w:t>
      </w:r>
      <w:r>
        <w:t>.</w:t>
      </w:r>
      <w:r>
        <w:tab/>
        <w:t>Display of tobacco products, smoking implements or product lines by specialist retailer</w:t>
      </w:r>
      <w:bookmarkEnd w:id="215"/>
      <w:bookmarkEnd w:id="216"/>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in Gazette 10 Sep 2010 p. 4388.]</w:t>
      </w:r>
    </w:p>
    <w:p>
      <w:pPr>
        <w:pStyle w:val="Ednotesection"/>
      </w:pPr>
      <w:r>
        <w:t>[</w:t>
      </w:r>
      <w:r>
        <w:rPr>
          <w:b/>
          <w:bCs/>
        </w:rPr>
        <w:t>38.</w:t>
      </w:r>
      <w:r>
        <w:tab/>
        <w:t>Deleted in Gazette 10 Sep 2010 p. 4387.]</w:t>
      </w:r>
    </w:p>
    <w:p>
      <w:pPr>
        <w:pStyle w:val="Heading3"/>
        <w:keepNext w:val="0"/>
        <w:pageBreakBefore/>
        <w:spacing w:before="0"/>
      </w:pPr>
      <w:bookmarkStart w:id="217" w:name="_Toc450221289"/>
      <w:bookmarkStart w:id="218" w:name="_Toc450295025"/>
      <w:bookmarkStart w:id="219" w:name="_Toc455401220"/>
      <w:bookmarkStart w:id="220" w:name="_Toc524928913"/>
      <w:r>
        <w:rPr>
          <w:rStyle w:val="CharDivNo"/>
        </w:rPr>
        <w:t>Division 5</w:t>
      </w:r>
      <w:r>
        <w:t> — </w:t>
      </w:r>
      <w:r>
        <w:rPr>
          <w:rStyle w:val="CharDivText"/>
        </w:rPr>
        <w:t>Information about availability, price of tobacco products or smoking implements</w:t>
      </w:r>
      <w:bookmarkEnd w:id="217"/>
      <w:bookmarkEnd w:id="218"/>
      <w:bookmarkEnd w:id="219"/>
      <w:bookmarkEnd w:id="220"/>
    </w:p>
    <w:p>
      <w:pPr>
        <w:pStyle w:val="Footnoteheading"/>
      </w:pPr>
      <w:r>
        <w:tab/>
        <w:t>[Heading inserted in Gazette 28 Feb 2007 p. 659; amended in Gazette 10 Sep 2010 p. 4388.]</w:t>
      </w:r>
    </w:p>
    <w:p>
      <w:pPr>
        <w:pStyle w:val="Heading5"/>
      </w:pPr>
      <w:bookmarkStart w:id="221" w:name="_Toc524928914"/>
      <w:bookmarkStart w:id="222" w:name="_Toc455401221"/>
      <w:r>
        <w:rPr>
          <w:rStyle w:val="CharSectno"/>
        </w:rPr>
        <w:t>39</w:t>
      </w:r>
      <w:r>
        <w:t>.</w:t>
      </w:r>
      <w:r>
        <w:tab/>
        <w:t>Information signs about availability or prices of tobacco products or smoking implements sold by retailers — location</w:t>
      </w:r>
      <w:bookmarkEnd w:id="221"/>
      <w:bookmarkEnd w:id="222"/>
    </w:p>
    <w:p>
      <w:pPr>
        <w:pStyle w:val="Subsection"/>
      </w:pPr>
      <w:r>
        <w:tab/>
      </w:r>
      <w:r>
        <w:tab/>
        <w:t>For the purposes of section 24(1)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Footnotesection"/>
      </w:pPr>
      <w:r>
        <w:tab/>
        <w:t>[Regulation 39 inserted in Gazette 28 Feb 2007 p. 659; amended in Gazette 10 Sep 2010 p. 4389.]</w:t>
      </w:r>
    </w:p>
    <w:p>
      <w:pPr>
        <w:pStyle w:val="Heading5"/>
      </w:pPr>
      <w:bookmarkStart w:id="223" w:name="_Toc524928915"/>
      <w:bookmarkStart w:id="224" w:name="_Toc455401222"/>
      <w:r>
        <w:rPr>
          <w:rStyle w:val="CharSectno"/>
        </w:rPr>
        <w:t>40</w:t>
      </w:r>
      <w:r>
        <w:t>.</w:t>
      </w:r>
      <w:r>
        <w:tab/>
        <w:t>Information signs about availability or prices of tobacco products or smoking implements sold by retailers — contents</w:t>
      </w:r>
      <w:bookmarkEnd w:id="223"/>
      <w:bookmarkEnd w:id="224"/>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in Gazette 28 Feb 2007 p. 659-60; amended in Gazette 10 Sep 2010 p. 4389-90.]</w:t>
      </w:r>
    </w:p>
    <w:p>
      <w:pPr>
        <w:pStyle w:val="Heading5"/>
        <w:keepNext w:val="0"/>
        <w:keepLines w:val="0"/>
        <w:pageBreakBefore/>
        <w:spacing w:before="0"/>
      </w:pPr>
      <w:bookmarkStart w:id="225" w:name="_Toc524928916"/>
      <w:bookmarkStart w:id="226" w:name="_Toc455401223"/>
      <w:r>
        <w:rPr>
          <w:rStyle w:val="CharSectno"/>
        </w:rPr>
        <w:t>41</w:t>
      </w:r>
      <w:r>
        <w:t>.</w:t>
      </w:r>
      <w:r>
        <w:tab/>
        <w:t>Information signs about availability or prices of tobacco products or smoking implements sold by retailers — specifications</w:t>
      </w:r>
      <w:bookmarkEnd w:id="225"/>
      <w:bookmarkEnd w:id="226"/>
    </w:p>
    <w:p>
      <w:pPr>
        <w:pStyle w:val="Subsection"/>
      </w:pPr>
      <w:r>
        <w:tab/>
      </w:r>
      <w:r>
        <w:tab/>
        <w:t>For the purposes of section 24(1) signage giving information about the availability or price of tobacco products or smoking implements —</w:t>
      </w:r>
    </w:p>
    <w:p>
      <w:pPr>
        <w:pStyle w:val="Indenta"/>
      </w:pPr>
      <w:r>
        <w:tab/>
        <w:t>(a)</w:t>
      </w:r>
      <w:r>
        <w:tab/>
        <w:t xml:space="preserve">must not exceed — </w:t>
      </w:r>
    </w:p>
    <w:p>
      <w:pPr>
        <w:pStyle w:val="Indenti"/>
      </w:pPr>
      <w:r>
        <w:tab/>
        <w:t>(i)</w:t>
      </w:r>
      <w:r>
        <w:tab/>
        <w:t>in the case of a sign referred to in regulation 40(2) — 1 m</w:t>
      </w:r>
      <w:r>
        <w:rPr>
          <w:vertAlign w:val="superscript"/>
        </w:rPr>
        <w:t>2</w:t>
      </w:r>
      <w:r>
        <w:t xml:space="preserve"> in area (not including the area occupied by the Quitline logo required by regulation 40(2)(d)); and</w:t>
      </w:r>
    </w:p>
    <w:p>
      <w:pPr>
        <w:pStyle w:val="Indenti"/>
      </w:pPr>
      <w:r>
        <w:tab/>
        <w:t>(ii)</w:t>
      </w:r>
      <w:r>
        <w:tab/>
        <w:t>in the case of a sign referred to in regulation 40(3) — 297 mm x 210 mm in area;</w:t>
      </w:r>
    </w:p>
    <w:p>
      <w:pPr>
        <w:pStyle w:val="Indenta"/>
      </w:pPr>
      <w:r>
        <w:tab/>
      </w:r>
      <w:r>
        <w:tab/>
        <w:t>and</w:t>
      </w:r>
    </w:p>
    <w:p>
      <w:pPr>
        <w:pStyle w:val="Indenta"/>
      </w:pPr>
      <w:r>
        <w:tab/>
        <w:t>(b)</w:t>
      </w:r>
      <w:r>
        <w:tab/>
        <w:t>may comprise one or more signs as long as each sign is the same size and the total area of all the signs does not exceed 1 m</w:t>
      </w:r>
      <w:r>
        <w:rPr>
          <w:vertAlign w:val="superscript"/>
        </w:rPr>
        <w:t>2</w:t>
      </w:r>
      <w:r>
        <w:t>; and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in Gazette 28 Feb 2007 p. 660-1; amended in Gazette 10 Sep 2010 p. 4390-1.]</w:t>
      </w:r>
    </w:p>
    <w:p>
      <w:pPr>
        <w:pStyle w:val="Heading5"/>
      </w:pPr>
      <w:bookmarkStart w:id="227" w:name="_Toc524928917"/>
      <w:bookmarkStart w:id="228" w:name="_Toc455401224"/>
      <w:r>
        <w:rPr>
          <w:rStyle w:val="CharSectno"/>
        </w:rPr>
        <w:t>42</w:t>
      </w:r>
      <w:r>
        <w:t>.</w:t>
      </w:r>
      <w:r>
        <w:tab/>
        <w:t>Information signs about availability or prices of tobacco products sold by retailers — cigar cabinets</w:t>
      </w:r>
      <w:bookmarkEnd w:id="227"/>
      <w:bookmarkEnd w:id="228"/>
    </w:p>
    <w:p>
      <w:pPr>
        <w:pStyle w:val="Subsection"/>
      </w:pPr>
      <w:r>
        <w:tab/>
      </w:r>
      <w:r>
        <w:tab/>
        <w:t xml:space="preserve">For the purposes of section 24(1), in addition to signage complying with regulation 41(a) and (b), there may be a sign giving information about the availability or price of cigars in a cigar cabinet if — </w:t>
      </w:r>
    </w:p>
    <w:p>
      <w:pPr>
        <w:pStyle w:val="Indenta"/>
      </w:pPr>
      <w:r>
        <w:tab/>
        <w:t>(a)</w:t>
      </w:r>
      <w:r>
        <w:tab/>
        <w:t>the length of the sign’s perimeter does not exceed 1 m (not including the perimeter of the Quitline logo required by subregulation (c)); and</w:t>
      </w:r>
    </w:p>
    <w:p>
      <w:pPr>
        <w:pStyle w:val="Indenta"/>
      </w:pPr>
      <w:r>
        <w:tab/>
        <w:t>(b)</w:t>
      </w:r>
      <w:r>
        <w:tab/>
        <w:t>the sign is affixed, or located immediately adjacent, to the cigar cabinet; and</w:t>
      </w:r>
    </w:p>
    <w:p>
      <w:pPr>
        <w:pStyle w:val="Indenta"/>
      </w:pPr>
      <w:r>
        <w:tab/>
        <w:t>(c)</w:t>
      </w:r>
      <w:r>
        <w:tab/>
        <w:t>there is displayed at the top of the sign an approved Quitline logo that is at least 1 cm in height; and</w:t>
      </w:r>
    </w:p>
    <w:p>
      <w:pPr>
        <w:pStyle w:val="Indenta"/>
      </w:pPr>
      <w:r>
        <w:tab/>
        <w:t>(d)</w:t>
      </w:r>
      <w:r>
        <w:tab/>
        <w:t xml:space="preserve">the sign complies with regulations 40(2)(a) and (b) and 41(c), (d), (e) and (f). </w:t>
      </w:r>
    </w:p>
    <w:p>
      <w:pPr>
        <w:pStyle w:val="Footnotesection"/>
      </w:pPr>
      <w:r>
        <w:tab/>
        <w:t>[Regulation 42 inserted in Gazette 28 Feb 2007 p. 661.]</w:t>
      </w:r>
    </w:p>
    <w:p>
      <w:pPr>
        <w:pStyle w:val="Heading5"/>
      </w:pPr>
      <w:bookmarkStart w:id="229" w:name="_Toc524928918"/>
      <w:bookmarkStart w:id="230" w:name="_Toc455401225"/>
      <w:r>
        <w:rPr>
          <w:rStyle w:val="CharSectno"/>
        </w:rPr>
        <w:t>43</w:t>
      </w:r>
      <w:r>
        <w:t>.</w:t>
      </w:r>
      <w:r>
        <w:tab/>
        <w:t>Price tickets for tobacco products sold by retailers — location and numbers</w:t>
      </w:r>
      <w:bookmarkEnd w:id="229"/>
      <w:bookmarkEnd w:id="230"/>
    </w:p>
    <w:p>
      <w:pPr>
        <w:pStyle w:val="Subsection"/>
      </w:pPr>
      <w:r>
        <w:tab/>
        <w:t>(1)</w:t>
      </w:r>
      <w:r>
        <w:tab/>
        <w:t>For the purposes of section 24(1) —</w:t>
      </w:r>
    </w:p>
    <w:p>
      <w:pPr>
        <w:pStyle w:val="Indenta"/>
      </w:pPr>
      <w:r>
        <w:tab/>
        <w:t>(a)</w:t>
      </w:r>
      <w:r>
        <w:tab/>
        <w:t>there must not be more than one price ticket for each product line in a display of tobacco products; and</w:t>
      </w:r>
    </w:p>
    <w:p>
      <w:pPr>
        <w:pStyle w:val="Indenta"/>
      </w:pPr>
      <w:r>
        <w:tab/>
        <w:t>(b)</w:t>
      </w:r>
      <w:r>
        <w:tab/>
        <w:t>the price ticket for a product line must be located immediately below the display of the product line; and</w:t>
      </w:r>
    </w:p>
    <w:p>
      <w:pPr>
        <w:pStyle w:val="Indenta"/>
      </w:pPr>
      <w:r>
        <w:tab/>
        <w:t>(c)</w:t>
      </w:r>
      <w:r>
        <w:tab/>
        <w:t xml:space="preserve">if a facility is used to store but not display tobacco products, there must not be more than one price ticket displayed on the facility for each product line. </w:t>
      </w:r>
    </w:p>
    <w:p>
      <w:pPr>
        <w:pStyle w:val="Subsection"/>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in Gazette 28 Feb 2007 p. 661-2; amended in Gazette 10 Sep 2010 p. 4391.]</w:t>
      </w:r>
    </w:p>
    <w:p>
      <w:pPr>
        <w:pStyle w:val="Heading5"/>
      </w:pPr>
      <w:bookmarkStart w:id="231" w:name="_Toc524928919"/>
      <w:bookmarkStart w:id="232" w:name="_Toc455401226"/>
      <w:r>
        <w:rPr>
          <w:rStyle w:val="CharSectno"/>
        </w:rPr>
        <w:t>44</w:t>
      </w:r>
      <w:r>
        <w:t>.</w:t>
      </w:r>
      <w:r>
        <w:tab/>
        <w:t>Price tickets for tobacco products sold by retailers — contents</w:t>
      </w:r>
      <w:bookmarkEnd w:id="231"/>
      <w:bookmarkEnd w:id="232"/>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in Gazette 28 Feb 2007 p. 662.]</w:t>
      </w:r>
    </w:p>
    <w:p>
      <w:pPr>
        <w:pStyle w:val="Heading5"/>
      </w:pPr>
      <w:bookmarkStart w:id="233" w:name="_Toc524928920"/>
      <w:bookmarkStart w:id="234" w:name="_Toc455401227"/>
      <w:r>
        <w:rPr>
          <w:rStyle w:val="CharSectno"/>
        </w:rPr>
        <w:t>45</w:t>
      </w:r>
      <w:r>
        <w:t>.</w:t>
      </w:r>
      <w:r>
        <w:tab/>
        <w:t>Price tickets for tobacco products sold by retailers — specifications</w:t>
      </w:r>
      <w:bookmarkEnd w:id="233"/>
      <w:bookmarkEnd w:id="234"/>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pPr>
      <w:r>
        <w:tab/>
        <w:t>(c)</w:t>
      </w:r>
      <w:r>
        <w:tab/>
        <w:t>all price tickets for tobacco products at the premises must have the same colour lettering and the same colour background; and</w:t>
      </w:r>
    </w:p>
    <w:p>
      <w:pPr>
        <w:pStyle w:val="Indenta"/>
      </w:pPr>
      <w:r>
        <w:tab/>
        <w:t>(d)</w:t>
      </w:r>
      <w:r>
        <w:tab/>
        <w:t>a price ticket must not contain a fluorescent colour unless the price ticket is in electronic form on a vending machine; and</w:t>
      </w:r>
    </w:p>
    <w:p>
      <w:pPr>
        <w:pStyle w:val="Indenta"/>
      </w:pPr>
      <w:r>
        <w:tab/>
        <w:t>(e)</w:t>
      </w:r>
      <w:r>
        <w:tab/>
        <w:t>a price ticket must not contain lettering or numbers for the product line information exceeding 8 mm in height; and</w:t>
      </w:r>
    </w:p>
    <w:p>
      <w:pPr>
        <w:pStyle w:val="Indenta"/>
      </w:pPr>
      <w:r>
        <w:tab/>
        <w:t>(f)</w:t>
      </w:r>
      <w:r>
        <w:tab/>
        <w:t>a price ticket must not contain lettering or numbers for the product line information of a height exceeding that of the lettering or numbers for the price; and</w:t>
      </w:r>
    </w:p>
    <w:p>
      <w:pPr>
        <w:pStyle w:val="Indenta"/>
      </w:pPr>
      <w:r>
        <w:tab/>
        <w:t>(g)</w:t>
      </w:r>
      <w:r>
        <w:tab/>
        <w:t>the lettering and numbers for the product line information must be of the same height on all price tickets on vending machines at the premises; and</w:t>
      </w:r>
    </w:p>
    <w:p>
      <w:pPr>
        <w:pStyle w:val="Indenta"/>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pPr>
      <w:r>
        <w:tab/>
        <w:t>(i)</w:t>
      </w:r>
      <w:r>
        <w:tab/>
        <w:t>the lettering and numbers for the price must be of the same height on all price tickets on vending machines at the premises; and</w:t>
      </w:r>
    </w:p>
    <w:p>
      <w:pPr>
        <w:pStyle w:val="Indenta"/>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in Gazette 28 Feb 2007 p. 662-4.]</w:t>
      </w:r>
    </w:p>
    <w:p>
      <w:pPr>
        <w:pStyle w:val="Heading5"/>
      </w:pPr>
      <w:bookmarkStart w:id="235" w:name="_Toc524928921"/>
      <w:bookmarkStart w:id="236" w:name="_Toc455401228"/>
      <w:r>
        <w:rPr>
          <w:rStyle w:val="CharSectno"/>
        </w:rPr>
        <w:t>46</w:t>
      </w:r>
      <w:r>
        <w:t>.</w:t>
      </w:r>
      <w:r>
        <w:tab/>
        <w:t>Price lists for tobacco products or smoking implements sold by retailers</w:t>
      </w:r>
      <w:bookmarkEnd w:id="235"/>
      <w:bookmarkEnd w:id="236"/>
    </w:p>
    <w:p>
      <w:pPr>
        <w:pStyle w:val="Subsection"/>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in Gazette 28 Feb 2007 p. 664; amended in Gazette 10 Sep 2010 p. 4392.]</w:t>
      </w:r>
    </w:p>
    <w:p>
      <w:pPr>
        <w:pStyle w:val="Heading5"/>
        <w:spacing w:before="180"/>
      </w:pPr>
      <w:bookmarkStart w:id="237" w:name="_Toc524928922"/>
      <w:bookmarkStart w:id="238" w:name="_Toc455401229"/>
      <w:r>
        <w:rPr>
          <w:rStyle w:val="CharSectno"/>
        </w:rPr>
        <w:t>47</w:t>
      </w:r>
      <w:r>
        <w:t>.</w:t>
      </w:r>
      <w:r>
        <w:tab/>
        <w:t>Facsimiles of tobacco products displayed on price list</w:t>
      </w:r>
      <w:bookmarkEnd w:id="237"/>
      <w:bookmarkEnd w:id="238"/>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pPr>
      <w:r>
        <w:tab/>
        <w:t>(d)</w:t>
      </w:r>
      <w:r>
        <w:tab/>
        <w:t>in the case of a facsimile of a package, it is a facsimile of the front face of the package that is labelled as required by section 19.</w:t>
      </w:r>
    </w:p>
    <w:p>
      <w:pPr>
        <w:pStyle w:val="Footnotesection"/>
      </w:pPr>
      <w:r>
        <w:tab/>
        <w:t>[Regulation 47 inserted in Gazette 10 Sep 2010 p. 4392.]</w:t>
      </w:r>
    </w:p>
    <w:p>
      <w:pPr>
        <w:pStyle w:val="Heading3"/>
        <w:spacing w:before="200"/>
      </w:pPr>
      <w:bookmarkStart w:id="239" w:name="_Toc450221299"/>
      <w:bookmarkStart w:id="240" w:name="_Toc450295035"/>
      <w:bookmarkStart w:id="241" w:name="_Toc455401230"/>
      <w:bookmarkStart w:id="242" w:name="_Toc524928923"/>
      <w:r>
        <w:rPr>
          <w:rStyle w:val="CharDivNo"/>
        </w:rPr>
        <w:t>Division 6</w:t>
      </w:r>
      <w:r>
        <w:t> — </w:t>
      </w:r>
      <w:r>
        <w:rPr>
          <w:rStyle w:val="CharDivText"/>
        </w:rPr>
        <w:t>Warnings</w:t>
      </w:r>
      <w:bookmarkEnd w:id="239"/>
      <w:bookmarkEnd w:id="240"/>
      <w:bookmarkEnd w:id="241"/>
      <w:bookmarkEnd w:id="242"/>
    </w:p>
    <w:p>
      <w:pPr>
        <w:pStyle w:val="Footnoteheading"/>
        <w:spacing w:before="100"/>
      </w:pPr>
      <w:r>
        <w:tab/>
        <w:t>[Heading inserted in Gazette 28 Feb 2007 p. 666.]</w:t>
      </w:r>
    </w:p>
    <w:p>
      <w:pPr>
        <w:pStyle w:val="Heading5"/>
        <w:spacing w:before="180"/>
      </w:pPr>
      <w:bookmarkStart w:id="243" w:name="_Toc524928924"/>
      <w:bookmarkStart w:id="244" w:name="_Toc455401231"/>
      <w:r>
        <w:rPr>
          <w:rStyle w:val="CharSectno"/>
        </w:rPr>
        <w:t>48</w:t>
      </w:r>
      <w:r>
        <w:t>.</w:t>
      </w:r>
      <w:r>
        <w:tab/>
        <w:t>Warning signs about purchase of tobacco products etc. to underage persons — location</w:t>
      </w:r>
      <w:bookmarkEnd w:id="243"/>
      <w:bookmarkEnd w:id="244"/>
    </w:p>
    <w:p>
      <w:pPr>
        <w:pStyle w:val="Subsection"/>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in Gazette 28 Feb 2007 p. 666.]</w:t>
      </w:r>
    </w:p>
    <w:p>
      <w:pPr>
        <w:pStyle w:val="Heading5"/>
      </w:pPr>
      <w:bookmarkStart w:id="245" w:name="_Toc524928925"/>
      <w:bookmarkStart w:id="246" w:name="_Toc455401232"/>
      <w:r>
        <w:rPr>
          <w:rStyle w:val="CharSectno"/>
        </w:rPr>
        <w:t>49</w:t>
      </w:r>
      <w:r>
        <w:t>.</w:t>
      </w:r>
      <w:r>
        <w:tab/>
        <w:t>Warning signs about purchase of tobacco products etc. to underage persons — content and specifications</w:t>
      </w:r>
      <w:bookmarkEnd w:id="245"/>
      <w:bookmarkEnd w:id="246"/>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in Gazette 28 Feb 2007 p. 666-7.]</w:t>
      </w:r>
    </w:p>
    <w:p>
      <w:pPr>
        <w:pStyle w:val="Heading5"/>
      </w:pPr>
      <w:bookmarkStart w:id="247" w:name="_Toc524928926"/>
      <w:bookmarkStart w:id="248" w:name="_Toc455401233"/>
      <w:r>
        <w:rPr>
          <w:rStyle w:val="CharSectno"/>
        </w:rPr>
        <w:t>50</w:t>
      </w:r>
      <w:r>
        <w:t>.</w:t>
      </w:r>
      <w:r>
        <w:tab/>
        <w:t>Health warning signs — location</w:t>
      </w:r>
      <w:bookmarkEnd w:id="247"/>
      <w:bookmarkEnd w:id="248"/>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in Gazette 28 Feb 2007 p. 667.]</w:t>
      </w:r>
    </w:p>
    <w:p>
      <w:pPr>
        <w:pStyle w:val="Heading5"/>
      </w:pPr>
      <w:bookmarkStart w:id="249" w:name="_Toc524928927"/>
      <w:bookmarkStart w:id="250" w:name="_Toc455401234"/>
      <w:r>
        <w:rPr>
          <w:rStyle w:val="CharSectno"/>
        </w:rPr>
        <w:t>51</w:t>
      </w:r>
      <w:r>
        <w:t>.</w:t>
      </w:r>
      <w:r>
        <w:tab/>
        <w:t>Health warning signs — content and specifications</w:t>
      </w:r>
      <w:bookmarkEnd w:id="249"/>
      <w:bookmarkEnd w:id="250"/>
      <w:r>
        <w:t xml:space="preserve"> </w:t>
      </w:r>
    </w:p>
    <w:p>
      <w:pPr>
        <w:pStyle w:val="Subsection"/>
      </w:pPr>
      <w:r>
        <w:tab/>
        <w:t>(1)</w:t>
      </w:r>
      <w:r>
        <w:tab/>
        <w:t xml:space="preserve">For the purposes of section 25(2)(b) and (3)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Cs/>
        </w:rPr>
        <w:t xml:space="preserve"> </w:t>
      </w:r>
      <w:r>
        <w:t>colouring, of a sign set out in Schedule 2.</w:t>
      </w:r>
    </w:p>
    <w:p>
      <w:pPr>
        <w:pStyle w:val="Subsection"/>
      </w:pPr>
      <w:r>
        <w:tab/>
        <w:t>(2)</w:t>
      </w:r>
      <w:r>
        <w:tab/>
        <w:t xml:space="preserve">For the purposes of section 25(2)(b) and (3) and regulation 40(4) in relation to tobacco products in a cigar cabinet or humidified room a health warning sign — </w:t>
      </w:r>
    </w:p>
    <w:p>
      <w:pPr>
        <w:pStyle w:val="Indenta"/>
      </w:pPr>
      <w:r>
        <w:tab/>
        <w:t>(a)</w:t>
      </w:r>
      <w:r>
        <w:tab/>
        <w:t>must be at least 210 mm x 148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set out in Schedule 3.</w:t>
      </w:r>
    </w:p>
    <w:p>
      <w:pPr>
        <w:pStyle w:val="Subsection"/>
      </w:pPr>
      <w:r>
        <w:tab/>
        <w:t>(3)</w:t>
      </w:r>
      <w:r>
        <w:tab/>
        <w:t xml:space="preserve">For the purposes of section 25(2)(b) and (3) and regulation 40(4) a health warning sign — </w:t>
      </w:r>
    </w:p>
    <w:p>
      <w:pPr>
        <w:pStyle w:val="Indenta"/>
      </w:pPr>
      <w:r>
        <w:tab/>
        <w:t>(a)</w:t>
      </w:r>
      <w:r>
        <w:tab/>
        <w:t>may display a reference to the State, the Department of Health, the Act, or more than one of those; and</w:t>
      </w:r>
    </w:p>
    <w:p>
      <w:pPr>
        <w:pStyle w:val="Indenta"/>
      </w:pPr>
      <w:r>
        <w:tab/>
        <w:t>(b)</w:t>
      </w:r>
      <w:r>
        <w:tab/>
        <w:t>must not display any information other than required under subregulation (1)(b) or (2)(b), as is relevant to the case, or allowed under paragraph (a); and</w:t>
      </w:r>
    </w:p>
    <w:p>
      <w:pPr>
        <w:pStyle w:val="Indenta"/>
      </w:pPr>
      <w:r>
        <w:tab/>
        <w:t>(c)</w:t>
      </w:r>
      <w:r>
        <w:tab/>
        <w:t xml:space="preserve">may display any information required under subregulation (1)(b) or (2)(b), as is relevant to the case, or allowed under paragraph (a) in a language other than English in addition to the display in the English language. </w:t>
      </w:r>
    </w:p>
    <w:p>
      <w:pPr>
        <w:pStyle w:val="Footnotesection"/>
      </w:pPr>
      <w:r>
        <w:tab/>
        <w:t>[Regulation 51 inserted in Gazette 28 Feb 2007 p. 667-8; amended in Gazette 10 Sep 2010 p. 4393.]</w:t>
      </w:r>
    </w:p>
    <w:p>
      <w:pPr>
        <w:pStyle w:val="Heading3"/>
      </w:pPr>
      <w:bookmarkStart w:id="251" w:name="_Toc450221304"/>
      <w:bookmarkStart w:id="252" w:name="_Toc450295040"/>
      <w:bookmarkStart w:id="253" w:name="_Toc455401235"/>
      <w:bookmarkStart w:id="254" w:name="_Toc524928928"/>
      <w:r>
        <w:rPr>
          <w:rStyle w:val="CharDivNo"/>
        </w:rPr>
        <w:t>Division 7</w:t>
      </w:r>
      <w:r>
        <w:t> — </w:t>
      </w:r>
      <w:r>
        <w:rPr>
          <w:rStyle w:val="CharDivText"/>
        </w:rPr>
        <w:t>Information and advice</w:t>
      </w:r>
      <w:bookmarkEnd w:id="251"/>
      <w:bookmarkEnd w:id="252"/>
      <w:bookmarkEnd w:id="253"/>
      <w:bookmarkEnd w:id="254"/>
    </w:p>
    <w:p>
      <w:pPr>
        <w:pStyle w:val="Footnoteheading"/>
      </w:pPr>
      <w:r>
        <w:tab/>
        <w:t>[Heading inserted in Gazette 28 Feb 2007 p. 668.]</w:t>
      </w:r>
    </w:p>
    <w:p>
      <w:pPr>
        <w:pStyle w:val="Heading5"/>
      </w:pPr>
      <w:bookmarkStart w:id="255" w:name="_Toc524928929"/>
      <w:bookmarkStart w:id="256" w:name="_Toc455401236"/>
      <w:r>
        <w:rPr>
          <w:rStyle w:val="CharSectno"/>
        </w:rPr>
        <w:t>52</w:t>
      </w:r>
      <w:r>
        <w:t>.</w:t>
      </w:r>
      <w:r>
        <w:tab/>
        <w:t>Retailers providing purchasers of tobacco products with approved guides</w:t>
      </w:r>
      <w:bookmarkEnd w:id="255"/>
      <w:bookmarkEnd w:id="256"/>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in Gazette 28 Feb 2007 p. 668.]</w:t>
      </w:r>
    </w:p>
    <w:p>
      <w:pPr>
        <w:pStyle w:val="Heading5"/>
      </w:pPr>
      <w:bookmarkStart w:id="257" w:name="_Toc524928930"/>
      <w:bookmarkStart w:id="258" w:name="_Toc455401237"/>
      <w:r>
        <w:rPr>
          <w:rStyle w:val="CharSectno"/>
        </w:rPr>
        <w:t>53</w:t>
      </w:r>
      <w:r>
        <w:t>.</w:t>
      </w:r>
      <w:r>
        <w:tab/>
        <w:t>Retailers making approved guides available to purchasers of tobacco products</w:t>
      </w:r>
      <w:bookmarkEnd w:id="257"/>
      <w:bookmarkEnd w:id="258"/>
    </w:p>
    <w:p>
      <w:pPr>
        <w:pStyle w:val="Subsection"/>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in Gazette 28 Feb 2007 p. 669.]</w:t>
      </w:r>
    </w:p>
    <w:p>
      <w:pPr>
        <w:pStyle w:val="Heading5"/>
      </w:pPr>
      <w:bookmarkStart w:id="259" w:name="_Toc524928931"/>
      <w:bookmarkStart w:id="260" w:name="_Toc455401238"/>
      <w:r>
        <w:rPr>
          <w:rStyle w:val="CharSectno"/>
        </w:rPr>
        <w:t>54</w:t>
      </w:r>
      <w:r>
        <w:t>.</w:t>
      </w:r>
      <w:r>
        <w:tab/>
        <w:t>Wholesalers providing retailers with approved guides</w:t>
      </w:r>
      <w:bookmarkEnd w:id="259"/>
      <w:bookmarkEnd w:id="260"/>
    </w:p>
    <w:p>
      <w:pPr>
        <w:pStyle w:val="Subsection"/>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in Gazette 28 Feb 2007 p. 669.]</w:t>
      </w:r>
    </w:p>
    <w:p>
      <w:pPr>
        <w:pStyle w:val="Heading3"/>
      </w:pPr>
      <w:bookmarkStart w:id="261" w:name="_Toc450221308"/>
      <w:bookmarkStart w:id="262" w:name="_Toc450295044"/>
      <w:bookmarkStart w:id="263" w:name="_Toc455401239"/>
      <w:bookmarkStart w:id="264" w:name="_Toc524928932"/>
      <w:r>
        <w:rPr>
          <w:rStyle w:val="CharDivNo"/>
        </w:rPr>
        <w:t>Division 8</w:t>
      </w:r>
      <w:r>
        <w:t> — </w:t>
      </w:r>
      <w:r>
        <w:rPr>
          <w:rStyle w:val="CharDivText"/>
        </w:rPr>
        <w:t>Vending machines</w:t>
      </w:r>
      <w:bookmarkEnd w:id="261"/>
      <w:bookmarkEnd w:id="262"/>
      <w:bookmarkEnd w:id="263"/>
      <w:bookmarkEnd w:id="264"/>
    </w:p>
    <w:p>
      <w:pPr>
        <w:pStyle w:val="Footnoteheading"/>
      </w:pPr>
      <w:r>
        <w:tab/>
        <w:t>[Heading inserted in Gazette 28 Feb 2007 p. 669.]</w:t>
      </w:r>
    </w:p>
    <w:p>
      <w:pPr>
        <w:pStyle w:val="Heading5"/>
      </w:pPr>
      <w:bookmarkStart w:id="265" w:name="_Toc524928933"/>
      <w:bookmarkStart w:id="266" w:name="_Toc455401240"/>
      <w:r>
        <w:rPr>
          <w:rStyle w:val="CharSectno"/>
        </w:rPr>
        <w:t>55</w:t>
      </w:r>
      <w:r>
        <w:t>.</w:t>
      </w:r>
      <w:r>
        <w:tab/>
        <w:t>Number of vending machines</w:t>
      </w:r>
      <w:bookmarkEnd w:id="265"/>
      <w:bookmarkEnd w:id="266"/>
    </w:p>
    <w:p>
      <w:pPr>
        <w:pStyle w:val="Subsection"/>
      </w:pPr>
      <w:r>
        <w:tab/>
      </w:r>
      <w:r>
        <w:tab/>
        <w:t>The number of vending machines prescribed for the purposes of section 27(2)(a) is 2.</w:t>
      </w:r>
    </w:p>
    <w:p>
      <w:pPr>
        <w:pStyle w:val="Footnotesection"/>
      </w:pPr>
      <w:r>
        <w:tab/>
        <w:t>[Regulation 55 inserted in Gazette 28 Feb 2007 p. 669.]</w:t>
      </w:r>
    </w:p>
    <w:p>
      <w:pPr>
        <w:pStyle w:val="Heading5"/>
      </w:pPr>
      <w:bookmarkStart w:id="267" w:name="_Toc524928934"/>
      <w:bookmarkStart w:id="268" w:name="_Toc455401241"/>
      <w:r>
        <w:rPr>
          <w:rStyle w:val="CharSectno"/>
        </w:rPr>
        <w:t>56</w:t>
      </w:r>
      <w:r>
        <w:t>.</w:t>
      </w:r>
      <w:r>
        <w:tab/>
        <w:t>Location of vending machines</w:t>
      </w:r>
      <w:bookmarkEnd w:id="267"/>
      <w:bookmarkEnd w:id="268"/>
    </w:p>
    <w:p>
      <w:pPr>
        <w:pStyle w:val="Subsection"/>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in Gazette 28 Feb 2007 p. 669.]</w:t>
      </w:r>
    </w:p>
    <w:p>
      <w:pPr>
        <w:pStyle w:val="Heading3"/>
      </w:pPr>
      <w:bookmarkStart w:id="269" w:name="_Toc450221311"/>
      <w:bookmarkStart w:id="270" w:name="_Toc450295047"/>
      <w:bookmarkStart w:id="271" w:name="_Toc455401242"/>
      <w:bookmarkStart w:id="272" w:name="_Toc524928935"/>
      <w:r>
        <w:rPr>
          <w:rStyle w:val="CharDivNo"/>
        </w:rPr>
        <w:t>Division 9</w:t>
      </w:r>
      <w:r>
        <w:t> — </w:t>
      </w:r>
      <w:r>
        <w:rPr>
          <w:rStyle w:val="CharDivText"/>
        </w:rPr>
        <w:t>Smokeless tobacco</w:t>
      </w:r>
      <w:bookmarkEnd w:id="269"/>
      <w:bookmarkEnd w:id="270"/>
      <w:bookmarkEnd w:id="271"/>
      <w:bookmarkEnd w:id="272"/>
    </w:p>
    <w:p>
      <w:pPr>
        <w:pStyle w:val="Footnoteheading"/>
      </w:pPr>
      <w:r>
        <w:tab/>
        <w:t>[Heading inserted in Gazette 28 Feb 2007 p. 670.]</w:t>
      </w:r>
    </w:p>
    <w:p>
      <w:pPr>
        <w:pStyle w:val="Heading5"/>
      </w:pPr>
      <w:bookmarkStart w:id="273" w:name="_Toc524928936"/>
      <w:bookmarkStart w:id="274" w:name="_Toc455401243"/>
      <w:r>
        <w:rPr>
          <w:rStyle w:val="CharSectno"/>
        </w:rPr>
        <w:t>57</w:t>
      </w:r>
      <w:r>
        <w:t>.</w:t>
      </w:r>
      <w:r>
        <w:tab/>
        <w:t>Smokeless tobacco</w:t>
      </w:r>
      <w:bookmarkEnd w:id="273"/>
      <w:bookmarkEnd w:id="274"/>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in Gazette 28 Feb 2007 p. 670.]</w:t>
      </w:r>
    </w:p>
    <w:p>
      <w:pPr>
        <w:pStyle w:val="Heading2"/>
      </w:pPr>
      <w:bookmarkStart w:id="275" w:name="_Toc450221313"/>
      <w:bookmarkStart w:id="276" w:name="_Toc450295049"/>
      <w:bookmarkStart w:id="277" w:name="_Toc455401244"/>
      <w:bookmarkStart w:id="278" w:name="_Toc524928937"/>
      <w:r>
        <w:rPr>
          <w:rStyle w:val="CharPartNo"/>
        </w:rPr>
        <w:t>Part 7</w:t>
      </w:r>
      <w:r>
        <w:rPr>
          <w:rStyle w:val="CharDivNo"/>
        </w:rPr>
        <w:t> </w:t>
      </w:r>
      <w:r>
        <w:t>—</w:t>
      </w:r>
      <w:r>
        <w:rPr>
          <w:rStyle w:val="CharDivText"/>
        </w:rPr>
        <w:t> </w:t>
      </w:r>
      <w:r>
        <w:rPr>
          <w:rStyle w:val="CharPartText"/>
        </w:rPr>
        <w:t>Miscellaneous</w:t>
      </w:r>
      <w:bookmarkEnd w:id="275"/>
      <w:bookmarkEnd w:id="276"/>
      <w:bookmarkEnd w:id="277"/>
      <w:bookmarkEnd w:id="278"/>
    </w:p>
    <w:p>
      <w:pPr>
        <w:pStyle w:val="Footnoteheading"/>
      </w:pPr>
      <w:r>
        <w:tab/>
        <w:t>[Heading inserted in Gazette 28 Feb 2007 p. 671.]</w:t>
      </w:r>
    </w:p>
    <w:p>
      <w:pPr>
        <w:pStyle w:val="Heading5"/>
      </w:pPr>
      <w:bookmarkStart w:id="279" w:name="_Toc524928938"/>
      <w:bookmarkStart w:id="280" w:name="_Toc455401245"/>
      <w:r>
        <w:rPr>
          <w:rStyle w:val="CharSectno"/>
        </w:rPr>
        <w:t>58</w:t>
      </w:r>
      <w:r>
        <w:t>.</w:t>
      </w:r>
      <w:r>
        <w:tab/>
        <w:t>Confidentiality — exceptions</w:t>
      </w:r>
      <w:bookmarkEnd w:id="279"/>
      <w:bookmarkEnd w:id="280"/>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Ednotesubpara"/>
      </w:pPr>
      <w:r>
        <w:tab/>
        <w:t>[(ii)</w:t>
      </w:r>
      <w:r>
        <w:tab/>
        <w:t>deleted]</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pPr>
      <w:r>
        <w:tab/>
        <w:t>(ca)</w:t>
      </w:r>
      <w:r>
        <w:tab/>
        <w:t xml:space="preserve">assisting an officer of Customs as defined in the </w:t>
      </w:r>
      <w:r>
        <w:rPr>
          <w:i/>
        </w:rPr>
        <w:t>Customs Act 1901</w:t>
      </w:r>
      <w:r>
        <w:t xml:space="preserve"> (Commonwealth) section 4(1) 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pPr>
      <w:r>
        <w:tab/>
        <w:t>(i)</w:t>
      </w:r>
      <w:r>
        <w:tab/>
        <w:t xml:space="preserve">a Customs Act within the meaning of the </w:t>
      </w:r>
      <w:r>
        <w:rPr>
          <w:i/>
        </w:rPr>
        <w:t>Customs Act 1901</w:t>
      </w:r>
      <w:r>
        <w:t xml:space="preserve"> (Commonwealth); or</w:t>
      </w:r>
    </w:p>
    <w:p>
      <w:pPr>
        <w:pStyle w:val="Indenti"/>
      </w:pPr>
      <w:r>
        <w:tab/>
        <w:t>(ii)</w:t>
      </w:r>
      <w:r>
        <w:tab/>
        <w:t xml:space="preserve">an Excise Act within the meaning of the </w:t>
      </w:r>
      <w:r>
        <w:rPr>
          <w:i/>
        </w:rPr>
        <w:t>Excise Act 1901</w:t>
      </w:r>
      <w:r>
        <w:t xml:space="preserve"> (Commonwealth); or</w:t>
      </w:r>
    </w:p>
    <w:p>
      <w:pPr>
        <w:pStyle w:val="Indenti"/>
        <w:rPr>
          <w:snapToGrid w:val="0"/>
        </w:rPr>
      </w:pPr>
      <w:r>
        <w:tab/>
        <w:t>(iii)</w:t>
      </w:r>
      <w:r>
        <w:tab/>
        <w:t xml:space="preserve">a taxation law as defined in the </w:t>
      </w:r>
      <w:r>
        <w:rPr>
          <w:i/>
        </w:rPr>
        <w:t>Taxation Administration Act 1953</w:t>
      </w:r>
      <w:r>
        <w:t xml:space="preserve"> (Commonwealth) section 2(1),</w:t>
      </w:r>
    </w:p>
    <w:p>
      <w:pPr>
        <w:pStyle w:val="Indenta"/>
      </w:pPr>
      <w:r>
        <w:tab/>
      </w:r>
      <w:r>
        <w:tab/>
        <w:t>as that law applies to a tobacco product or conduct in relation to a tobacco product.</w:t>
      </w:r>
    </w:p>
    <w:p>
      <w:pPr>
        <w:pStyle w:val="Footnotesection"/>
      </w:pPr>
      <w:r>
        <w:tab/>
        <w:t>[Regulation 58 inserted in Gazette 28 Feb 2007 p. 671-2; amended in Gazette 25 Aug 2015 p. 3379</w:t>
      </w:r>
      <w:r>
        <w:noBreakHyphen/>
        <w:t>80.]</w:t>
      </w:r>
    </w:p>
    <w:p>
      <w:pPr>
        <w:pStyle w:val="Heading5"/>
      </w:pPr>
      <w:bookmarkStart w:id="281" w:name="_Toc524928939"/>
      <w:bookmarkStart w:id="282" w:name="_Toc455401246"/>
      <w:r>
        <w:rPr>
          <w:rStyle w:val="CharSectno"/>
        </w:rPr>
        <w:t>59</w:t>
      </w:r>
      <w:r>
        <w:t>.</w:t>
      </w:r>
      <w:r>
        <w:tab/>
        <w:t>Restricted investigators</w:t>
      </w:r>
      <w:bookmarkEnd w:id="281"/>
      <w:bookmarkEnd w:id="282"/>
    </w:p>
    <w:p>
      <w:pPr>
        <w:pStyle w:val="Subsection"/>
      </w:pPr>
      <w:r>
        <w:tab/>
      </w:r>
      <w:r>
        <w:tab/>
        <w:t xml:space="preserve">For the purposes of section 77 the following classes of persons are prescribed — </w:t>
      </w:r>
    </w:p>
    <w:p>
      <w:pPr>
        <w:pStyle w:val="Indenta"/>
      </w:pPr>
      <w:r>
        <w:tab/>
        <w:t>(a)</w:t>
      </w:r>
      <w:r>
        <w:tab/>
        <w:t xml:space="preserve">Environmental Health Officers as defined in the </w:t>
      </w:r>
      <w:r>
        <w:rPr>
          <w:i/>
          <w:iCs/>
        </w:rPr>
        <w:t>Health Act 1911</w:t>
      </w:r>
      <w:r>
        <w:t xml:space="preserve"> section 3(1);</w:t>
      </w:r>
    </w:p>
    <w:p>
      <w:pPr>
        <w:pStyle w:val="Indenta"/>
      </w:pPr>
      <w:r>
        <w:tab/>
        <w:t>(b)</w:t>
      </w:r>
      <w:r>
        <w:tab/>
        <w:t>persons employed or engaged by a local government to ensure compliance with State or local government legislation;</w:t>
      </w:r>
    </w:p>
    <w:p>
      <w:pPr>
        <w:pStyle w:val="Indenta"/>
      </w:pPr>
      <w:r>
        <w:tab/>
        <w:t>(c)</w:t>
      </w:r>
      <w:r>
        <w:tab/>
        <w:t xml:space="preserve">wardens as defined in the </w:t>
      </w:r>
      <w:r>
        <w:rPr>
          <w:i/>
        </w:rPr>
        <w:t>Road Traffic (Administration) Act 2008</w:t>
      </w:r>
      <w:r>
        <w:t xml:space="preserve"> section 4;</w:t>
      </w:r>
    </w:p>
    <w:p>
      <w:pPr>
        <w:pStyle w:val="Indenta"/>
      </w:pPr>
      <w:r>
        <w:tab/>
        <w:t>(d)</w:t>
      </w:r>
      <w:r>
        <w:tab/>
        <w:t xml:space="preserve">officers designated or appointed under the </w:t>
      </w:r>
      <w:r>
        <w:rPr>
          <w:i/>
        </w:rPr>
        <w:t>Taxi Act 1994</w:t>
      </w:r>
      <w:r>
        <w:t xml:space="preserve"> section 31;</w:t>
      </w:r>
    </w:p>
    <w:p>
      <w:pPr>
        <w:pStyle w:val="Indenta"/>
      </w:pPr>
      <w:r>
        <w:tab/>
        <w:t>(e)</w:t>
      </w:r>
      <w:r>
        <w:tab/>
        <w:t xml:space="preserve">officers as defined in the </w:t>
      </w:r>
      <w:r>
        <w:rPr>
          <w:i/>
        </w:rPr>
        <w:t>Transport Co</w:t>
      </w:r>
      <w:r>
        <w:rPr>
          <w:i/>
        </w:rPr>
        <w:noBreakHyphen/>
        <w:t>ordination Act 1966</w:t>
      </w:r>
      <w:r>
        <w:rPr>
          <w:iCs/>
        </w:rPr>
        <w:t xml:space="preserve"> section 4(1)</w:t>
      </w:r>
      <w:r>
        <w:t>.</w:t>
      </w:r>
    </w:p>
    <w:p>
      <w:pPr>
        <w:pStyle w:val="Footnotesection"/>
      </w:pPr>
      <w:r>
        <w:tab/>
        <w:t>[Regulation 59 inserted in Gazette 10 Sep 2010 p. 4393-4; amended in Gazette 10 Feb 2015 p. 625.]</w:t>
      </w:r>
    </w:p>
    <w:p>
      <w:pPr>
        <w:pStyle w:val="Heading5"/>
      </w:pPr>
      <w:bookmarkStart w:id="283" w:name="_Toc524928940"/>
      <w:bookmarkStart w:id="284" w:name="_Toc455401247"/>
      <w:r>
        <w:rPr>
          <w:rStyle w:val="CharSectno"/>
        </w:rPr>
        <w:t>60</w:t>
      </w:r>
      <w:r>
        <w:t>.</w:t>
      </w:r>
      <w:r>
        <w:tab/>
        <w:t>Prescribed offences and modified penalties</w:t>
      </w:r>
      <w:bookmarkEnd w:id="283"/>
      <w:bookmarkEnd w:id="284"/>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in Gazette 10 Sep 2010 p. 4394.]</w:t>
      </w:r>
    </w:p>
    <w:p>
      <w:pPr>
        <w:pStyle w:val="Heading5"/>
      </w:pPr>
      <w:bookmarkStart w:id="285" w:name="_Toc524928941"/>
      <w:bookmarkStart w:id="286" w:name="_Toc455401248"/>
      <w:r>
        <w:rPr>
          <w:rStyle w:val="CharSectno"/>
        </w:rPr>
        <w:t>61</w:t>
      </w:r>
      <w:r>
        <w:t>.</w:t>
      </w:r>
      <w:r>
        <w:tab/>
        <w:t>Authorised officers and approved officers</w:t>
      </w:r>
      <w:bookmarkEnd w:id="285"/>
      <w:bookmarkEnd w:id="286"/>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 in Gazette 10 Sep 2010 p. 4394.]</w:t>
      </w:r>
    </w:p>
    <w:p>
      <w:pPr>
        <w:pStyle w:val="Heading5"/>
      </w:pPr>
      <w:bookmarkStart w:id="287" w:name="_Toc524928942"/>
      <w:bookmarkStart w:id="288" w:name="_Toc455401249"/>
      <w:r>
        <w:rPr>
          <w:rStyle w:val="CharSectno"/>
        </w:rPr>
        <w:t>62</w:t>
      </w:r>
      <w:r>
        <w:t>.</w:t>
      </w:r>
      <w:r>
        <w:tab/>
        <w:t>Forms</w:t>
      </w:r>
      <w:bookmarkEnd w:id="287"/>
      <w:bookmarkEnd w:id="288"/>
    </w:p>
    <w:p>
      <w:pPr>
        <w:pStyle w:val="Subsection"/>
      </w:pPr>
      <w:r>
        <w:tab/>
      </w:r>
      <w:r>
        <w:tab/>
        <w:t>The forms set out in Schedule 5 are prescribed in relation to the matters specified in those forms.</w:t>
      </w:r>
    </w:p>
    <w:p>
      <w:pPr>
        <w:pStyle w:val="Footnotesection"/>
      </w:pPr>
      <w:r>
        <w:tab/>
        <w:t>[Regulation 62 inserted in Gazette 10 Sep 2010 p. 4394.]</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89" w:name="_Toc450221319"/>
      <w:bookmarkStart w:id="290" w:name="_Toc450295055"/>
      <w:bookmarkStart w:id="291" w:name="_Toc455401250"/>
      <w:bookmarkStart w:id="292" w:name="_Toc524928943"/>
      <w:r>
        <w:rPr>
          <w:rStyle w:val="CharSchNo"/>
        </w:rPr>
        <w:t>Schedule 1</w:t>
      </w:r>
      <w:r>
        <w:t> — </w:t>
      </w:r>
      <w:r>
        <w:rPr>
          <w:rStyle w:val="CharSchText"/>
        </w:rPr>
        <w:t>Warning signs about purchase of tobacco products</w:t>
      </w:r>
      <w:bookmarkEnd w:id="289"/>
      <w:bookmarkEnd w:id="290"/>
      <w:bookmarkEnd w:id="291"/>
      <w:bookmarkEnd w:id="292"/>
    </w:p>
    <w:p>
      <w:pPr>
        <w:pStyle w:val="yShoulderClause"/>
      </w:pPr>
      <w:r>
        <w:t>[r. 49(b)]</w:t>
      </w:r>
    </w:p>
    <w:p>
      <w:pPr>
        <w:pStyle w:val="yFootnoteheading"/>
        <w:spacing w:after="120"/>
      </w:pPr>
      <w:r>
        <w:tab/>
        <w:t>[Heading inserted in Gazette 28 Feb 2007 p. 673.]</w:t>
      </w:r>
    </w:p>
    <w:p>
      <w:pPr>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in Gazette 28 Feb 2007 p. 673.]</w:t>
      </w:r>
    </w:p>
    <w:p>
      <w:pPr>
        <w:pStyle w:val="yScheduleHeading"/>
      </w:pPr>
      <w:bookmarkStart w:id="293" w:name="_Toc450221320"/>
      <w:bookmarkStart w:id="294" w:name="_Toc450295056"/>
      <w:bookmarkStart w:id="295" w:name="_Toc455401251"/>
      <w:bookmarkStart w:id="296" w:name="_Toc524928944"/>
      <w:r>
        <w:rPr>
          <w:rStyle w:val="CharSchNo"/>
        </w:rPr>
        <w:t>Schedule 2</w:t>
      </w:r>
      <w:r>
        <w:t> — </w:t>
      </w:r>
      <w:r>
        <w:rPr>
          <w:rStyle w:val="CharSchText"/>
        </w:rPr>
        <w:t>Health warning signs, general and vending machines</w:t>
      </w:r>
      <w:bookmarkEnd w:id="293"/>
      <w:bookmarkEnd w:id="294"/>
      <w:bookmarkEnd w:id="295"/>
      <w:bookmarkEnd w:id="296"/>
    </w:p>
    <w:p>
      <w:pPr>
        <w:pStyle w:val="yShoulderClause"/>
      </w:pPr>
      <w:r>
        <w:t>[r. 51(1)(b)]</w:t>
      </w:r>
    </w:p>
    <w:p>
      <w:pPr>
        <w:pStyle w:val="yFootnoteheading"/>
        <w:spacing w:after="120"/>
      </w:pPr>
      <w:r>
        <w:tab/>
        <w:t>[Heading inserted in Gazette 28 Feb 2007 p. 674.]</w:t>
      </w:r>
    </w:p>
    <w:p>
      <w:pPr>
        <w:jc w:val="center"/>
      </w:pPr>
      <w:r>
        <w:rPr>
          <w:noProof/>
        </w:rPr>
        <w:drawing>
          <wp:inline distT="0" distB="0" distL="0" distR="0">
            <wp:extent cx="3873500" cy="2736850"/>
            <wp:effectExtent l="0" t="0" r="0" b="6350"/>
            <wp:docPr id="2" name="Picture 2"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4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73500" cy="2736850"/>
                    </a:xfrm>
                    <a:prstGeom prst="rect">
                      <a:avLst/>
                    </a:prstGeom>
                    <a:noFill/>
                    <a:ln>
                      <a:noFill/>
                    </a:ln>
                  </pic:spPr>
                </pic:pic>
              </a:graphicData>
            </a:graphic>
          </wp:inline>
        </w:drawing>
      </w:r>
    </w:p>
    <w:p>
      <w:pPr>
        <w:rPr>
          <w:sz w:val="16"/>
        </w:rPr>
      </w:pPr>
    </w:p>
    <w:p>
      <w:pPr>
        <w:pStyle w:val="yFootnotesection"/>
        <w:spacing w:before="60"/>
      </w:pPr>
      <w:r>
        <w:tab/>
        <w:t>[Schedule 2 inserted in Gazette 28 Feb 2007 p. 674; amended in Gazette 10 Sep 2010 p. 4394.]</w:t>
      </w:r>
    </w:p>
    <w:p>
      <w:pPr>
        <w:pStyle w:val="yScheduleHeading"/>
      </w:pPr>
      <w:bookmarkStart w:id="297" w:name="_Toc450221321"/>
      <w:bookmarkStart w:id="298" w:name="_Toc450295057"/>
      <w:bookmarkStart w:id="299" w:name="_Toc455401252"/>
      <w:bookmarkStart w:id="300" w:name="_Toc524928945"/>
      <w:r>
        <w:rPr>
          <w:rStyle w:val="CharSchNo"/>
        </w:rPr>
        <w:t>Schedule 3</w:t>
      </w:r>
      <w:r>
        <w:t> — </w:t>
      </w:r>
      <w:r>
        <w:rPr>
          <w:rStyle w:val="CharSchText"/>
        </w:rPr>
        <w:t>Health warning signs — cigar cabinets, humidified rooms</w:t>
      </w:r>
      <w:bookmarkEnd w:id="297"/>
      <w:bookmarkEnd w:id="298"/>
      <w:bookmarkEnd w:id="299"/>
      <w:bookmarkEnd w:id="300"/>
    </w:p>
    <w:p>
      <w:pPr>
        <w:pStyle w:val="yShoulderClause"/>
        <w:rPr>
          <w:rStyle w:val="CharSchText"/>
        </w:rPr>
      </w:pPr>
      <w:r>
        <w:rPr>
          <w:rStyle w:val="CharSchText"/>
        </w:rPr>
        <w:t xml:space="preserve">[r. </w:t>
      </w:r>
      <w:r>
        <w:t>51(2)(b)</w:t>
      </w:r>
      <w:r>
        <w:rPr>
          <w:rStyle w:val="CharSchText"/>
        </w:rPr>
        <w:t>]</w:t>
      </w:r>
    </w:p>
    <w:p>
      <w:pPr>
        <w:pStyle w:val="yFootnoteheading"/>
        <w:spacing w:after="120"/>
      </w:pPr>
      <w:r>
        <w:tab/>
        <w:t>[Heading inserted in Gazette 28 Feb 2007 p. 675.]</w:t>
      </w:r>
    </w:p>
    <w:p>
      <w:pPr>
        <w:jc w:val="center"/>
      </w:pPr>
      <w:r>
        <w:rPr>
          <w:noProof/>
        </w:rPr>
        <w:drawing>
          <wp:inline distT="0" distB="0" distL="0" distR="0">
            <wp:extent cx="4495800" cy="3168650"/>
            <wp:effectExtent l="0" t="0" r="0" b="0"/>
            <wp:docPr id="3" name="Picture 3"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5 - Warning Sign Cigar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95800" cy="3168650"/>
                    </a:xfrm>
                    <a:prstGeom prst="rect">
                      <a:avLst/>
                    </a:prstGeom>
                    <a:noFill/>
                    <a:ln>
                      <a:noFill/>
                    </a:ln>
                  </pic:spPr>
                </pic:pic>
              </a:graphicData>
            </a:graphic>
          </wp:inline>
        </w:drawing>
      </w:r>
    </w:p>
    <w:p>
      <w:pPr>
        <w:pStyle w:val="yFootnotesection"/>
      </w:pPr>
      <w:r>
        <w:tab/>
        <w:t>[Schedule 3 inserted in Gazette 28 Feb 2007 p. 675.]</w:t>
      </w:r>
    </w:p>
    <w:p>
      <w:pPr>
        <w:pStyle w:val="yScheduleHeading"/>
      </w:pPr>
      <w:bookmarkStart w:id="301" w:name="_Toc450221322"/>
      <w:bookmarkStart w:id="302" w:name="_Toc450295058"/>
      <w:bookmarkStart w:id="303" w:name="_Toc455401253"/>
      <w:bookmarkStart w:id="304" w:name="_Toc524928946"/>
      <w:r>
        <w:rPr>
          <w:rStyle w:val="CharSchNo"/>
        </w:rPr>
        <w:t>Schedule 4</w:t>
      </w:r>
      <w:r>
        <w:t> — </w:t>
      </w:r>
      <w:r>
        <w:rPr>
          <w:rStyle w:val="CharSchText"/>
        </w:rPr>
        <w:t>Prescribed offences and modified penalties</w:t>
      </w:r>
      <w:bookmarkEnd w:id="301"/>
      <w:bookmarkEnd w:id="302"/>
      <w:bookmarkEnd w:id="303"/>
      <w:bookmarkEnd w:id="304"/>
    </w:p>
    <w:p>
      <w:pPr>
        <w:pStyle w:val="yShoulderClause"/>
      </w:pPr>
      <w:r>
        <w:t>[r. 60]</w:t>
      </w:r>
    </w:p>
    <w:p>
      <w:pPr>
        <w:pStyle w:val="yFootnoteheading"/>
        <w:spacing w:after="80"/>
      </w:pPr>
      <w:r>
        <w:tab/>
        <w:t>[Heading inserted in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pageBreakBefore/>
              <w:jc w:val="center"/>
            </w:pPr>
            <w:r>
              <w:rPr>
                <w:b/>
                <w:bCs/>
              </w:rPr>
              <w:t>Modified penalty</w:t>
            </w:r>
            <w:r>
              <w:rPr>
                <w:b/>
                <w:bCs/>
              </w:rPr>
              <w:br/>
              <w:t>$</w:t>
            </w:r>
          </w:p>
        </w:tc>
      </w:tr>
      <w:tr>
        <w:trPr>
          <w:cantSplit/>
          <w:trHeight w:val="21"/>
        </w:trPr>
        <w:tc>
          <w:tcPr>
            <w:tcW w:w="3260" w:type="dxa"/>
          </w:tcPr>
          <w:p>
            <w:pPr>
              <w:pStyle w:val="yTableNAm"/>
            </w:pPr>
            <w:r>
              <w:t>r. 10(1)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in Gazette 10 Sep 2010 p. 4395-7.]</w:t>
      </w:r>
    </w:p>
    <w:p>
      <w:pPr>
        <w:sectPr>
          <w:headerReference w:type="even" r:id="rId23"/>
          <w:headerReference w:type="default" r:id="rId24"/>
          <w:headerReference w:type="first" r:id="rId25"/>
          <w:endnotePr>
            <w:numFmt w:val="decimal"/>
          </w:endnotePr>
          <w:pgSz w:w="11907" w:h="16840" w:code="9"/>
          <w:pgMar w:top="2376" w:right="2405" w:bottom="3542" w:left="2405" w:header="706" w:footer="3380" w:gutter="0"/>
          <w:cols w:space="720"/>
          <w:noEndnote/>
          <w:docGrid w:linePitch="326"/>
        </w:sectPr>
      </w:pPr>
    </w:p>
    <w:p>
      <w:pPr>
        <w:pStyle w:val="yScheduleHeading"/>
      </w:pPr>
      <w:bookmarkStart w:id="306" w:name="_Toc450221323"/>
      <w:bookmarkStart w:id="307" w:name="_Toc450295059"/>
      <w:bookmarkStart w:id="308" w:name="_Toc455401254"/>
      <w:bookmarkStart w:id="309" w:name="_Toc524928947"/>
      <w:r>
        <w:rPr>
          <w:rStyle w:val="CharSchNo"/>
        </w:rPr>
        <w:t>Schedule 5</w:t>
      </w:r>
      <w:r>
        <w:t> — </w:t>
      </w:r>
      <w:r>
        <w:rPr>
          <w:rStyle w:val="CharSchText"/>
        </w:rPr>
        <w:t>Forms</w:t>
      </w:r>
      <w:bookmarkEnd w:id="306"/>
      <w:bookmarkEnd w:id="307"/>
      <w:bookmarkEnd w:id="308"/>
      <w:bookmarkEnd w:id="309"/>
    </w:p>
    <w:p>
      <w:pPr>
        <w:pStyle w:val="yShoulderClause"/>
      </w:pPr>
      <w:r>
        <w:t>[r. 62]</w:t>
      </w:r>
    </w:p>
    <w:p>
      <w:pPr>
        <w:pStyle w:val="yFootnoteheading"/>
      </w:pPr>
      <w:r>
        <w:tab/>
        <w:t>[Heading inserted in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in Gazette 10 Sep 2010 p. 4397-9; amended in Gazette 20 Aug 2013 p. 3853.]</w:t>
      </w:r>
    </w:p>
    <w:p>
      <w:pPr>
        <w:pStyle w:val="yMiscellaneousHeading"/>
        <w:pageBreakBefore/>
        <w:spacing w:after="60"/>
        <w:ind w:left="601"/>
        <w:jc w:val="left"/>
        <w:rPr>
          <w:b/>
          <w:bCs/>
        </w:rPr>
      </w:pPr>
      <w:r>
        <w:rPr>
          <w:rStyle w:val="CharSClsNo"/>
          <w:b/>
        </w:rPr>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in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27"/>
          <w:headerReference w:type="default" r:id="rId28"/>
          <w:endnotePr>
            <w:numFmt w:val="decimal"/>
          </w:endnotePr>
          <w:pgSz w:w="11907" w:h="16840" w:code="9"/>
          <w:pgMar w:top="2376" w:right="2405" w:bottom="3542" w:left="2405" w:header="706" w:footer="3380" w:gutter="0"/>
          <w:cols w:space="720"/>
          <w:noEndnote/>
          <w:docGrid w:linePitch="326"/>
        </w:sectPr>
      </w:pPr>
    </w:p>
    <w:p>
      <w:pPr>
        <w:pStyle w:val="nHeading2"/>
      </w:pPr>
      <w:bookmarkStart w:id="310" w:name="_Toc450221324"/>
      <w:bookmarkStart w:id="311" w:name="_Toc450295060"/>
      <w:bookmarkStart w:id="312" w:name="_Toc455401255"/>
      <w:bookmarkStart w:id="313" w:name="_Toc524928948"/>
      <w:r>
        <w:t>Notes</w:t>
      </w:r>
      <w:bookmarkEnd w:id="310"/>
      <w:bookmarkEnd w:id="311"/>
      <w:bookmarkEnd w:id="312"/>
      <w:bookmarkEnd w:id="313"/>
    </w:p>
    <w:p>
      <w:pPr>
        <w:pStyle w:val="nSubsection"/>
        <w:rPr>
          <w:snapToGrid w:val="0"/>
        </w:rPr>
      </w:pPr>
      <w:r>
        <w:rPr>
          <w:snapToGrid w:val="0"/>
          <w:vertAlign w:val="superscript"/>
        </w:rPr>
        <w:t>1</w:t>
      </w:r>
      <w:r>
        <w:rPr>
          <w:snapToGrid w:val="0"/>
        </w:rPr>
        <w:tab/>
        <w:t xml:space="preserve">This is a compilation of the </w:t>
      </w:r>
      <w:r>
        <w:rPr>
          <w:i/>
          <w:noProof/>
          <w:snapToGrid w:val="0"/>
        </w:rPr>
        <w:t>Tobacco Products Control Regulations 2006</w:t>
      </w:r>
      <w:r>
        <w:rPr>
          <w:snapToGrid w:val="0"/>
        </w:rPr>
        <w:t xml:space="preserve"> and includes the amendments made by the other written laws referred to in the following table</w:t>
      </w:r>
      <w:del w:id="314" w:author="Master Repository Process" w:date="2021-09-25T08:56:00Z">
        <w:r>
          <w:rPr>
            <w:snapToGrid w:val="0"/>
          </w:rPr>
          <w:delText> </w:delText>
        </w:r>
        <w:r>
          <w:rPr>
            <w:snapToGrid w:val="0"/>
            <w:vertAlign w:val="superscript"/>
          </w:rPr>
          <w:delText>1a</w:delText>
        </w:r>
      </w:del>
      <w:r>
        <w:rPr>
          <w:snapToGrid w:val="0"/>
        </w:rPr>
        <w:t>.  The table also contains information about any reprint.</w:t>
      </w:r>
    </w:p>
    <w:p>
      <w:pPr>
        <w:pStyle w:val="nHeading3"/>
      </w:pPr>
      <w:bookmarkStart w:id="315" w:name="_Toc524928949"/>
      <w:bookmarkStart w:id="316" w:name="_Toc455401256"/>
      <w:r>
        <w:t>Compilation table</w:t>
      </w:r>
      <w:bookmarkEnd w:id="315"/>
      <w:bookmarkEnd w:id="31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Tobacco Products Control Regulations 2006</w:t>
            </w:r>
          </w:p>
        </w:tc>
        <w:tc>
          <w:tcPr>
            <w:tcW w:w="1276" w:type="dxa"/>
            <w:tcBorders>
              <w:top w:val="single" w:sz="8" w:space="0" w:color="auto"/>
            </w:tcBorders>
          </w:tcPr>
          <w:p>
            <w:pPr>
              <w:pStyle w:val="nTable"/>
              <w:spacing w:after="40"/>
            </w:pPr>
            <w:r>
              <w:t>25 Jul 2006 p. 2797-808</w:t>
            </w:r>
          </w:p>
        </w:tc>
        <w:tc>
          <w:tcPr>
            <w:tcW w:w="2693" w:type="dxa"/>
            <w:tcBorders>
              <w:top w:val="single" w:sz="8" w:space="0" w:color="auto"/>
            </w:tcBorders>
          </w:tcPr>
          <w:p>
            <w:pPr>
              <w:pStyle w:val="nTable"/>
              <w:spacing w:after="40"/>
            </w:pPr>
            <w:r>
              <w:t>31 Jul 2006 (see r. 2)</w:t>
            </w:r>
          </w:p>
        </w:tc>
      </w:tr>
      <w:tr>
        <w:tc>
          <w:tcPr>
            <w:tcW w:w="3118" w:type="dxa"/>
          </w:tcPr>
          <w:p>
            <w:pPr>
              <w:pStyle w:val="nTable"/>
              <w:spacing w:after="40"/>
              <w:rPr>
                <w:i/>
              </w:rPr>
            </w:pPr>
            <w:r>
              <w:rPr>
                <w:i/>
              </w:rPr>
              <w:t>Tobacco Products Control Amendment Regulations 2007</w:t>
            </w:r>
          </w:p>
        </w:tc>
        <w:tc>
          <w:tcPr>
            <w:tcW w:w="1276" w:type="dxa"/>
          </w:tcPr>
          <w:p>
            <w:pPr>
              <w:pStyle w:val="nTable"/>
              <w:spacing w:after="40"/>
            </w:pPr>
            <w:r>
              <w:t>28 Feb 2007 p. 641-75</w:t>
            </w:r>
          </w:p>
        </w:tc>
        <w:tc>
          <w:tcPr>
            <w:tcW w:w="2693" w:type="dxa"/>
          </w:tcPr>
          <w:p>
            <w:pPr>
              <w:pStyle w:val="nTable"/>
              <w:spacing w:after="40"/>
            </w:pPr>
            <w:r>
              <w:t>28 Feb 2007 (see r. 2)</w:t>
            </w:r>
          </w:p>
        </w:tc>
      </w:tr>
      <w:tr>
        <w:tc>
          <w:tcPr>
            <w:tcW w:w="3118" w:type="dxa"/>
          </w:tcPr>
          <w:p>
            <w:pPr>
              <w:pStyle w:val="nTable"/>
              <w:spacing w:after="40"/>
              <w:rPr>
                <w:i/>
              </w:rPr>
            </w:pPr>
            <w:r>
              <w:rPr>
                <w:i/>
              </w:rPr>
              <w:t>Tobacco Products Control Amendment Regulations 2010</w:t>
            </w:r>
          </w:p>
        </w:tc>
        <w:tc>
          <w:tcPr>
            <w:tcW w:w="1276" w:type="dxa"/>
          </w:tcPr>
          <w:p>
            <w:pPr>
              <w:pStyle w:val="nTable"/>
              <w:spacing w:after="40"/>
            </w:pPr>
            <w:r>
              <w:t>20 Aug 2010 p. 4069</w:t>
            </w:r>
            <w:r>
              <w:noBreakHyphen/>
              <w:t>70</w:t>
            </w:r>
          </w:p>
        </w:tc>
        <w:tc>
          <w:tcPr>
            <w:tcW w:w="2693" w:type="dxa"/>
          </w:tcPr>
          <w:p>
            <w:pPr>
              <w:pStyle w:val="nTable"/>
              <w:spacing w:after="40"/>
            </w:pPr>
            <w:r>
              <w:rPr>
                <w:snapToGrid w:val="0"/>
              </w:rPr>
              <w:t>r. 1 and 2: 20 Aug 2010 (see r. 2(a));</w:t>
            </w:r>
            <w:r>
              <w:rPr>
                <w:snapToGrid w:val="0"/>
              </w:rPr>
              <w:br/>
              <w:t>Regulations other than r. 1 and 2: 1 Sep 2010 (see r. 2(b))</w:t>
            </w:r>
          </w:p>
        </w:tc>
      </w:tr>
      <w:tr>
        <w:tc>
          <w:tcPr>
            <w:tcW w:w="3118" w:type="dxa"/>
          </w:tcPr>
          <w:p>
            <w:pPr>
              <w:pStyle w:val="nTable"/>
              <w:spacing w:after="40"/>
              <w:rPr>
                <w:iCs/>
              </w:rPr>
            </w:pPr>
            <w:r>
              <w:rPr>
                <w:i/>
              </w:rPr>
              <w:t>Tobacco Products Control Amendment Regulations (No. 2) 2010</w:t>
            </w:r>
          </w:p>
        </w:tc>
        <w:tc>
          <w:tcPr>
            <w:tcW w:w="1276" w:type="dxa"/>
          </w:tcPr>
          <w:p>
            <w:pPr>
              <w:pStyle w:val="nTable"/>
              <w:spacing w:after="40"/>
            </w:pPr>
            <w:r>
              <w:t>10 Sep 2010 p. 4375-400</w:t>
            </w:r>
          </w:p>
        </w:tc>
        <w:tc>
          <w:tcPr>
            <w:tcW w:w="2693" w:type="dxa"/>
          </w:tcPr>
          <w:p>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tc>
          <w:tcPr>
            <w:tcW w:w="3118" w:type="dxa"/>
          </w:tcPr>
          <w:p>
            <w:pPr>
              <w:pStyle w:val="nTable"/>
              <w:spacing w:after="40"/>
              <w:rPr>
                <w:i/>
              </w:rPr>
            </w:pPr>
            <w:r>
              <w:rPr>
                <w:i/>
              </w:rPr>
              <w:t>Tobacco Products Control Amendment Regulations 2011</w:t>
            </w:r>
          </w:p>
        </w:tc>
        <w:tc>
          <w:tcPr>
            <w:tcW w:w="1276" w:type="dxa"/>
          </w:tcPr>
          <w:p>
            <w:pPr>
              <w:pStyle w:val="nTable"/>
              <w:spacing w:after="40"/>
            </w:pPr>
            <w:r>
              <w:t>1 Mar 2011 p. 676</w:t>
            </w:r>
            <w:r>
              <w:noBreakHyphen/>
              <w:t>7</w:t>
            </w:r>
          </w:p>
        </w:tc>
        <w:tc>
          <w:tcPr>
            <w:tcW w:w="2693" w:type="dxa"/>
          </w:tcPr>
          <w:p>
            <w:pPr>
              <w:pStyle w:val="nTable"/>
              <w:spacing w:after="40"/>
            </w:pPr>
            <w:r>
              <w:rPr>
                <w:snapToGrid w:val="0"/>
              </w:rPr>
              <w:t>r. 1 and 2: 1 Mar 2011 (see r. 2(a));</w:t>
            </w:r>
            <w:r>
              <w:rPr>
                <w:snapToGrid w:val="0"/>
              </w:rPr>
              <w:br/>
              <w:t>Regulations other than r. 1 and 2: 2 Mar 2011 (see r. 2(b))</w:t>
            </w:r>
          </w:p>
        </w:tc>
      </w:tr>
      <w:tr>
        <w:tc>
          <w:tcPr>
            <w:tcW w:w="3118" w:type="dxa"/>
          </w:tcPr>
          <w:p>
            <w:pPr>
              <w:pStyle w:val="nTable"/>
              <w:spacing w:after="40"/>
              <w:rPr>
                <w:i/>
              </w:rPr>
            </w:pPr>
            <w:r>
              <w:rPr>
                <w:i/>
              </w:rPr>
              <w:t>Tobacco Products Control Amendment Regulations 2012</w:t>
            </w:r>
          </w:p>
        </w:tc>
        <w:tc>
          <w:tcPr>
            <w:tcW w:w="1276" w:type="dxa"/>
          </w:tcPr>
          <w:p>
            <w:pPr>
              <w:pStyle w:val="nTable"/>
              <w:spacing w:after="40"/>
            </w:pPr>
            <w:r>
              <w:t>18 May 2012 p. 2141</w:t>
            </w:r>
          </w:p>
        </w:tc>
        <w:tc>
          <w:tcPr>
            <w:tcW w:w="2693" w:type="dxa"/>
          </w:tcPr>
          <w:p>
            <w:pPr>
              <w:pStyle w:val="nTable"/>
              <w:spacing w:after="40"/>
              <w:rPr>
                <w:snapToGrid w:val="0"/>
              </w:rPr>
            </w:pPr>
            <w:r>
              <w:rPr>
                <w:snapToGrid w:val="0"/>
              </w:rPr>
              <w:t>r. 1 and 2: 18 May 2012 (see r. 2(a));</w:t>
            </w:r>
            <w:r>
              <w:rPr>
                <w:snapToGrid w:val="0"/>
              </w:rPr>
              <w:br/>
              <w:t>Regulations other than r. 1 and 2: 19 May 2012 (see r. 2(b))</w:t>
            </w:r>
          </w:p>
        </w:tc>
      </w:tr>
      <w:tr>
        <w:tc>
          <w:tcPr>
            <w:tcW w:w="3118" w:type="dxa"/>
          </w:tcPr>
          <w:p>
            <w:pPr>
              <w:pStyle w:val="nTable"/>
              <w:spacing w:after="40"/>
              <w:rPr>
                <w:i/>
              </w:rPr>
            </w:pPr>
            <w:r>
              <w:rPr>
                <w:i/>
              </w:rPr>
              <w:t>Tobacco Products Control Amendment Regulations (No. 2) 2012</w:t>
            </w:r>
          </w:p>
        </w:tc>
        <w:tc>
          <w:tcPr>
            <w:tcW w:w="1276" w:type="dxa"/>
          </w:tcPr>
          <w:p>
            <w:pPr>
              <w:pStyle w:val="nTable"/>
              <w:spacing w:after="40"/>
            </w:pPr>
            <w:r>
              <w:t>27 Nov 2012 p. 5734-5</w:t>
            </w:r>
          </w:p>
        </w:tc>
        <w:tc>
          <w:tcPr>
            <w:tcW w:w="2693" w:type="dxa"/>
          </w:tcPr>
          <w:p>
            <w:pPr>
              <w:pStyle w:val="nTable"/>
              <w:spacing w:after="40"/>
              <w:rPr>
                <w:snapToGrid w:val="0"/>
              </w:rPr>
            </w:pPr>
            <w:r>
              <w:rPr>
                <w:snapToGrid w:val="0"/>
              </w:rPr>
              <w:t>27 Nov 2012 (see note under r. 1)</w:t>
            </w:r>
          </w:p>
        </w:tc>
      </w:tr>
      <w:tr>
        <w:tc>
          <w:tcPr>
            <w:tcW w:w="3118" w:type="dxa"/>
          </w:tcPr>
          <w:p>
            <w:pPr>
              <w:pStyle w:val="nTable"/>
              <w:spacing w:after="40"/>
              <w:rPr>
                <w:i/>
              </w:rPr>
            </w:pPr>
            <w:r>
              <w:rPr>
                <w:i/>
              </w:rPr>
              <w:t>Tobacco Products Control Amendment Regulations 2013</w:t>
            </w:r>
          </w:p>
        </w:tc>
        <w:tc>
          <w:tcPr>
            <w:tcW w:w="1276" w:type="dxa"/>
          </w:tcPr>
          <w:p>
            <w:pPr>
              <w:pStyle w:val="nTable"/>
              <w:spacing w:after="40"/>
            </w:pPr>
            <w:r>
              <w:t>20 Aug 2013 p. 3853</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8" w:type="dxa"/>
          </w:tcPr>
          <w:p>
            <w:pPr>
              <w:pStyle w:val="nTable"/>
              <w:spacing w:after="40"/>
              <w:rPr>
                <w:i/>
              </w:rPr>
            </w:pPr>
            <w:r>
              <w:rPr>
                <w:i/>
              </w:rPr>
              <w:t>Tobacco Products Control Amendment Regulations (No. 3) 2014</w:t>
            </w:r>
          </w:p>
        </w:tc>
        <w:tc>
          <w:tcPr>
            <w:tcW w:w="1276" w:type="dxa"/>
          </w:tcPr>
          <w:p>
            <w:pPr>
              <w:pStyle w:val="nTable"/>
              <w:spacing w:after="40"/>
            </w:pPr>
            <w:r>
              <w:t>20 Jun 2014 p. 2025</w:t>
            </w:r>
          </w:p>
        </w:tc>
        <w:tc>
          <w:tcPr>
            <w:tcW w:w="2693" w:type="dxa"/>
          </w:tcPr>
          <w:p>
            <w:pPr>
              <w:pStyle w:val="nTable"/>
              <w:spacing w:after="40"/>
              <w:rPr>
                <w:snapToGrid w:val="0"/>
              </w:rPr>
            </w:pPr>
            <w:r>
              <w:rPr>
                <w:bCs/>
                <w:snapToGrid w:val="0"/>
              </w:rPr>
              <w:t>r. 1 and 2: 20 Jun 2014 (see r. 2(a));</w:t>
            </w:r>
            <w:r>
              <w:rPr>
                <w:bCs/>
                <w:snapToGrid w:val="0"/>
              </w:rPr>
              <w:br/>
              <w:t>Regulations other than r. 1 and 2: 21 Jun 2014 (see r. 2(b))</w:t>
            </w:r>
          </w:p>
        </w:tc>
      </w:tr>
      <w:tr>
        <w:tc>
          <w:tcPr>
            <w:tcW w:w="3118" w:type="dxa"/>
          </w:tcPr>
          <w:p>
            <w:pPr>
              <w:pStyle w:val="nTable"/>
              <w:spacing w:after="40"/>
              <w:rPr>
                <w:i/>
              </w:rPr>
            </w:pPr>
            <w:r>
              <w:rPr>
                <w:i/>
              </w:rPr>
              <w:t>Tobacco Products Control Amendment Regulations 2014</w:t>
            </w:r>
          </w:p>
        </w:tc>
        <w:tc>
          <w:tcPr>
            <w:tcW w:w="1276" w:type="dxa"/>
          </w:tcPr>
          <w:p>
            <w:pPr>
              <w:pStyle w:val="nTable"/>
              <w:spacing w:after="40"/>
            </w:pPr>
            <w:r>
              <w:t>27 Jun 2014 p. 2331</w:t>
            </w:r>
          </w:p>
        </w:tc>
        <w:tc>
          <w:tcPr>
            <w:tcW w:w="2693" w:type="dxa"/>
          </w:tcPr>
          <w:p>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tc>
          <w:tcPr>
            <w:tcW w:w="7087" w:type="dxa"/>
            <w:gridSpan w:val="3"/>
            <w:shd w:val="clear" w:color="auto" w:fill="auto"/>
          </w:tcPr>
          <w:p>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tc>
          <w:tcPr>
            <w:tcW w:w="3118" w:type="dxa"/>
          </w:tcPr>
          <w:p>
            <w:pPr>
              <w:pStyle w:val="nTable"/>
              <w:spacing w:after="40"/>
              <w:rPr>
                <w:i/>
              </w:rPr>
            </w:pPr>
            <w:r>
              <w:rPr>
                <w:i/>
              </w:rPr>
              <w:t>Tobacco Products Control Amendment Regulations (No. 4) 2014</w:t>
            </w:r>
          </w:p>
        </w:tc>
        <w:tc>
          <w:tcPr>
            <w:tcW w:w="1276" w:type="dxa"/>
          </w:tcPr>
          <w:p>
            <w:pPr>
              <w:pStyle w:val="nTable"/>
              <w:spacing w:after="40"/>
            </w:pPr>
            <w:r>
              <w:t>12 Dec 2014 p. 4715</w:t>
            </w:r>
            <w:r>
              <w:noBreakHyphen/>
              <w:t>16</w:t>
            </w:r>
          </w:p>
        </w:tc>
        <w:tc>
          <w:tcPr>
            <w:tcW w:w="2693"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tcPr>
          <w:p>
            <w:pPr>
              <w:pStyle w:val="nTable"/>
              <w:spacing w:after="40"/>
              <w:rPr>
                <w:i/>
              </w:rPr>
            </w:pPr>
            <w:r>
              <w:rPr>
                <w:i/>
              </w:rPr>
              <w:t>Tobacco Products Control Amendment Regulations 2015</w:t>
            </w:r>
          </w:p>
        </w:tc>
        <w:tc>
          <w:tcPr>
            <w:tcW w:w="1276" w:type="dxa"/>
          </w:tcPr>
          <w:p>
            <w:pPr>
              <w:pStyle w:val="nTable"/>
              <w:spacing w:after="40"/>
            </w:pPr>
            <w:r>
              <w:t>10 Feb 2015 p. 625</w:t>
            </w:r>
          </w:p>
        </w:tc>
        <w:tc>
          <w:tcPr>
            <w:tcW w:w="2693" w:type="dxa"/>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c>
          <w:tcPr>
            <w:tcW w:w="3118" w:type="dxa"/>
          </w:tcPr>
          <w:p>
            <w:pPr>
              <w:pStyle w:val="nTable"/>
              <w:spacing w:after="40"/>
              <w:rPr>
                <w:i/>
              </w:rPr>
            </w:pPr>
            <w:r>
              <w:rPr>
                <w:i/>
              </w:rPr>
              <w:t>Tobacco Products Control Amendment Regulations (No. 3) 2015</w:t>
            </w:r>
          </w:p>
        </w:tc>
        <w:tc>
          <w:tcPr>
            <w:tcW w:w="1276" w:type="dxa"/>
          </w:tcPr>
          <w:p>
            <w:pPr>
              <w:pStyle w:val="nTable"/>
              <w:spacing w:after="40"/>
            </w:pPr>
            <w:r>
              <w:t>19 May 2015 p. 1757</w:t>
            </w:r>
            <w:r>
              <w:noBreakHyphen/>
              <w:t>8</w:t>
            </w:r>
          </w:p>
        </w:tc>
        <w:tc>
          <w:tcPr>
            <w:tcW w:w="2693" w:type="dxa"/>
          </w:tcPr>
          <w:p>
            <w:pPr>
              <w:pStyle w:val="nTable"/>
              <w:spacing w:after="40"/>
              <w:rPr>
                <w:bCs/>
                <w:snapToGrid w:val="0"/>
                <w:spacing w:val="-2"/>
              </w:rPr>
            </w:pPr>
            <w:r>
              <w:rPr>
                <w:bCs/>
                <w:snapToGrid w:val="0"/>
                <w:spacing w:val="-2"/>
              </w:rPr>
              <w:t xml:space="preserve">r. 1 and 2: </w:t>
            </w:r>
            <w:r>
              <w:t>19 May 2015</w:t>
            </w:r>
            <w:r>
              <w:rPr>
                <w:bCs/>
                <w:snapToGrid w:val="0"/>
                <w:spacing w:val="-2"/>
              </w:rPr>
              <w:t xml:space="preserve"> (see r. 2(a));</w:t>
            </w:r>
            <w:r>
              <w:rPr>
                <w:bCs/>
                <w:snapToGrid w:val="0"/>
                <w:spacing w:val="-2"/>
              </w:rPr>
              <w:br/>
              <w:t>Regulations other than r. 1 and 2: 1 Jul 2015 (see r. 2(b))</w:t>
            </w:r>
          </w:p>
        </w:tc>
      </w:tr>
      <w:tr>
        <w:tc>
          <w:tcPr>
            <w:tcW w:w="3118" w:type="dxa"/>
          </w:tcPr>
          <w:p>
            <w:pPr>
              <w:pStyle w:val="nTable"/>
              <w:spacing w:after="40"/>
              <w:rPr>
                <w:i/>
              </w:rPr>
            </w:pPr>
            <w:r>
              <w:rPr>
                <w:i/>
              </w:rPr>
              <w:t>Tobacco Products Control Amendment Regulations (No. 4) 2015</w:t>
            </w:r>
          </w:p>
        </w:tc>
        <w:tc>
          <w:tcPr>
            <w:tcW w:w="1276" w:type="dxa"/>
          </w:tcPr>
          <w:p>
            <w:pPr>
              <w:pStyle w:val="nTable"/>
              <w:spacing w:after="40"/>
            </w:pPr>
            <w:r>
              <w:t>25 Aug 2015 p. 3379</w:t>
            </w:r>
            <w:r>
              <w:noBreakHyphen/>
              <w:t>80</w:t>
            </w:r>
          </w:p>
        </w:tc>
        <w:tc>
          <w:tcPr>
            <w:tcW w:w="2693" w:type="dxa"/>
          </w:tcPr>
          <w:p>
            <w:pPr>
              <w:pStyle w:val="nTable"/>
              <w:spacing w:after="40"/>
              <w:rPr>
                <w:bCs/>
                <w:snapToGrid w:val="0"/>
                <w:spacing w:val="-2"/>
              </w:rPr>
            </w:pPr>
            <w:r>
              <w:rPr>
                <w:bCs/>
                <w:snapToGrid w:val="0"/>
                <w:spacing w:val="-2"/>
              </w:rPr>
              <w:t xml:space="preserve">r. 1 and 2: </w:t>
            </w:r>
            <w:r>
              <w:t>25 Aug 2015</w:t>
            </w:r>
            <w:r>
              <w:rPr>
                <w:bCs/>
                <w:snapToGrid w:val="0"/>
                <w:spacing w:val="-2"/>
              </w:rPr>
              <w:t xml:space="preserve"> (see r. 2(a));</w:t>
            </w:r>
            <w:r>
              <w:rPr>
                <w:bCs/>
                <w:snapToGrid w:val="0"/>
                <w:spacing w:val="-2"/>
              </w:rPr>
              <w:br/>
              <w:t xml:space="preserve">Regulations other than r. 1 and 2: </w:t>
            </w:r>
            <w:r>
              <w:t>26 Aug 2015</w:t>
            </w:r>
            <w:r>
              <w:rPr>
                <w:bCs/>
                <w:snapToGrid w:val="0"/>
                <w:spacing w:val="-2"/>
              </w:rPr>
              <w:t xml:space="preserve"> (see r. 2(b))</w:t>
            </w:r>
          </w:p>
        </w:tc>
      </w:tr>
      <w:tr>
        <w:tc>
          <w:tcPr>
            <w:tcW w:w="3118" w:type="dxa"/>
          </w:tcPr>
          <w:p>
            <w:pPr>
              <w:pStyle w:val="nTable"/>
              <w:spacing w:after="40"/>
              <w:rPr>
                <w:i/>
              </w:rPr>
            </w:pPr>
            <w:r>
              <w:rPr>
                <w:i/>
              </w:rPr>
              <w:t>Tobacco Products Control Amendment Regulations (No. 2) 2016</w:t>
            </w:r>
          </w:p>
        </w:tc>
        <w:tc>
          <w:tcPr>
            <w:tcW w:w="1276" w:type="dxa"/>
          </w:tcPr>
          <w:p>
            <w:pPr>
              <w:pStyle w:val="nTable"/>
              <w:spacing w:after="40"/>
            </w:pPr>
            <w:r>
              <w:t>6 May 2016 p. 1382</w:t>
            </w:r>
            <w:r>
              <w:noBreakHyphen/>
              <w:t>3</w:t>
            </w:r>
          </w:p>
        </w:tc>
        <w:tc>
          <w:tcPr>
            <w:tcW w:w="2693" w:type="dxa"/>
          </w:tcPr>
          <w:p>
            <w:pPr>
              <w:pStyle w:val="nTable"/>
              <w:spacing w:after="40"/>
              <w:rPr>
                <w:bCs/>
                <w:snapToGrid w:val="0"/>
                <w:spacing w:val="-2"/>
              </w:rPr>
            </w:pPr>
            <w:r>
              <w:rPr>
                <w:bCs/>
                <w:snapToGrid w:val="0"/>
                <w:spacing w:val="-2"/>
              </w:rPr>
              <w:t xml:space="preserve">r. 1 and 2: </w:t>
            </w:r>
            <w:r>
              <w:t>6 May 2016</w:t>
            </w:r>
            <w:r>
              <w:rPr>
                <w:bCs/>
                <w:snapToGrid w:val="0"/>
                <w:spacing w:val="-2"/>
              </w:rPr>
              <w:t xml:space="preserve"> (see r. 2(a));</w:t>
            </w:r>
            <w:r>
              <w:rPr>
                <w:bCs/>
                <w:snapToGrid w:val="0"/>
                <w:spacing w:val="-2"/>
              </w:rPr>
              <w:br/>
              <w:t>Regulations other than r. 1 and 2: 7</w:t>
            </w:r>
            <w:r>
              <w:t> May 2016</w:t>
            </w:r>
            <w:r>
              <w:rPr>
                <w:bCs/>
                <w:snapToGrid w:val="0"/>
                <w:spacing w:val="-2"/>
              </w:rPr>
              <w:t xml:space="preserve"> (see r. 2(b))</w:t>
            </w:r>
          </w:p>
        </w:tc>
      </w:tr>
      <w:tr>
        <w:tc>
          <w:tcPr>
            <w:tcW w:w="3118" w:type="dxa"/>
          </w:tcPr>
          <w:p>
            <w:pPr>
              <w:pStyle w:val="nTable"/>
              <w:spacing w:after="40"/>
            </w:pPr>
            <w:r>
              <w:rPr>
                <w:i/>
              </w:rPr>
              <w:t>Health Regulations Amendment (Fees and Charges) Regulations 2016</w:t>
            </w:r>
            <w:r>
              <w:t xml:space="preserve"> Pt. 8</w:t>
            </w:r>
          </w:p>
        </w:tc>
        <w:tc>
          <w:tcPr>
            <w:tcW w:w="1276" w:type="dxa"/>
          </w:tcPr>
          <w:p>
            <w:pPr>
              <w:pStyle w:val="nTable"/>
              <w:spacing w:after="40"/>
            </w:pPr>
            <w:r>
              <w:t>17 Jun 2016 p. 2101-5</w:t>
            </w:r>
          </w:p>
        </w:tc>
        <w:tc>
          <w:tcPr>
            <w:tcW w:w="2693" w:type="dxa"/>
          </w:tcPr>
          <w:p>
            <w:pPr>
              <w:pStyle w:val="nTable"/>
              <w:spacing w:after="40"/>
              <w:rPr>
                <w:bCs/>
                <w:snapToGrid w:val="0"/>
                <w:spacing w:val="-2"/>
              </w:rPr>
            </w:pPr>
            <w:r>
              <w:rPr>
                <w:bCs/>
                <w:snapToGrid w:val="0"/>
                <w:spacing w:val="-2"/>
              </w:rPr>
              <w:t>1 Jul 2016 (see r. 2(b))</w:t>
            </w:r>
          </w:p>
        </w:tc>
      </w:tr>
    </w:tbl>
    <w:p>
      <w:pPr>
        <w:pStyle w:val="nSubsection"/>
        <w:spacing w:before="360"/>
        <w:rPr>
          <w:del w:id="317" w:author="Master Repository Process" w:date="2021-09-25T08:56:00Z"/>
        </w:rPr>
      </w:pPr>
      <w:del w:id="318" w:author="Master Repository Process" w:date="2021-09-25T08:56: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319" w:author="Master Repository Process" w:date="2021-09-25T08:56:00Z"/>
        </w:rPr>
      </w:pPr>
      <w:del w:id="320" w:author="Master Repository Process" w:date="2021-09-25T08:56:00Z">
        <w:r>
          <w:delText>Provisions that have not come into operation</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321" w:author="Master Repository Process" w:date="2021-09-25T08:56:00Z"/>
        </w:trPr>
        <w:tc>
          <w:tcPr>
            <w:tcW w:w="3118" w:type="dxa"/>
          </w:tcPr>
          <w:p>
            <w:pPr>
              <w:pStyle w:val="nTable"/>
              <w:keepNext/>
              <w:spacing w:after="40"/>
              <w:rPr>
                <w:del w:id="322" w:author="Master Repository Process" w:date="2021-09-25T08:56:00Z"/>
                <w:b/>
              </w:rPr>
            </w:pPr>
            <w:del w:id="323" w:author="Master Repository Process" w:date="2021-09-25T08:56:00Z">
              <w:r>
                <w:rPr>
                  <w:b/>
                </w:rPr>
                <w:delText>Citation</w:delText>
              </w:r>
            </w:del>
          </w:p>
        </w:tc>
        <w:tc>
          <w:tcPr>
            <w:tcW w:w="1276" w:type="dxa"/>
          </w:tcPr>
          <w:p>
            <w:pPr>
              <w:pStyle w:val="nTable"/>
              <w:keepNext/>
              <w:spacing w:after="40"/>
              <w:rPr>
                <w:del w:id="324" w:author="Master Repository Process" w:date="2021-09-25T08:56:00Z"/>
                <w:b/>
              </w:rPr>
            </w:pPr>
            <w:del w:id="325" w:author="Master Repository Process" w:date="2021-09-25T08:56:00Z">
              <w:r>
                <w:rPr>
                  <w:b/>
                </w:rPr>
                <w:delText>Gazettal</w:delText>
              </w:r>
            </w:del>
          </w:p>
        </w:tc>
        <w:tc>
          <w:tcPr>
            <w:tcW w:w="2693" w:type="dxa"/>
          </w:tcPr>
          <w:p>
            <w:pPr>
              <w:pStyle w:val="nTable"/>
              <w:keepNext/>
              <w:spacing w:after="40"/>
              <w:rPr>
                <w:del w:id="326" w:author="Master Repository Process" w:date="2021-09-25T08:56:00Z"/>
                <w:b/>
              </w:rPr>
            </w:pPr>
            <w:del w:id="327" w:author="Master Repository Process" w:date="2021-09-25T08:56:00Z">
              <w:r>
                <w:rPr>
                  <w:b/>
                </w:rPr>
                <w:delText>Commencement</w:delText>
              </w:r>
            </w:del>
          </w:p>
        </w:tc>
      </w:tr>
      <w:tr>
        <w:tblPrEx>
          <w:tblBorders>
            <w:top w:val="none" w:sz="0" w:space="0" w:color="auto"/>
            <w:bottom w:val="none" w:sz="0" w:space="0" w:color="auto"/>
            <w:insideH w:val="none" w:sz="0" w:space="0" w:color="auto"/>
          </w:tblBorders>
        </w:tblPrEx>
        <w:tc>
          <w:tcPr>
            <w:tcW w:w="3118" w:type="dxa"/>
            <w:tcBorders>
              <w:bottom w:val="single" w:sz="4" w:space="0" w:color="auto"/>
            </w:tcBorders>
          </w:tcPr>
          <w:p>
            <w:pPr>
              <w:pStyle w:val="nTable"/>
              <w:spacing w:after="40"/>
              <w:rPr>
                <w:i/>
              </w:rPr>
            </w:pPr>
            <w:r>
              <w:rPr>
                <w:i/>
              </w:rPr>
              <w:t>Tobacco Products Control Amendment Regulations (No. 3) 2016</w:t>
            </w:r>
            <w:del w:id="328" w:author="Master Repository Process" w:date="2021-09-25T08:56:00Z">
              <w:r>
                <w:rPr>
                  <w:i/>
                  <w:noProof/>
                </w:rPr>
                <w:delText xml:space="preserve"> </w:delText>
              </w:r>
              <w:r>
                <w:rPr>
                  <w:noProof/>
                </w:rPr>
                <w:delText>r. 3 and 4 </w:delText>
              </w:r>
              <w:r>
                <w:rPr>
                  <w:noProof/>
                  <w:vertAlign w:val="superscript"/>
                </w:rPr>
                <w:delText>2</w:delText>
              </w:r>
            </w:del>
          </w:p>
        </w:tc>
        <w:tc>
          <w:tcPr>
            <w:tcW w:w="1276" w:type="dxa"/>
            <w:tcBorders>
              <w:bottom w:val="single" w:sz="4" w:space="0" w:color="auto"/>
            </w:tcBorders>
          </w:tcPr>
          <w:p>
            <w:pPr>
              <w:pStyle w:val="nTable"/>
              <w:spacing w:after="40"/>
            </w:pPr>
            <w:r>
              <w:t>26 Jul 2016 p. 3150</w:t>
            </w:r>
          </w:p>
        </w:tc>
        <w:tc>
          <w:tcPr>
            <w:tcW w:w="2693" w:type="dxa"/>
            <w:tcBorders>
              <w:bottom w:val="single" w:sz="4" w:space="0" w:color="auto"/>
            </w:tcBorders>
          </w:tcPr>
          <w:p>
            <w:pPr>
              <w:pStyle w:val="nTable"/>
              <w:spacing w:after="40"/>
              <w:rPr>
                <w:bCs/>
                <w:snapToGrid w:val="0"/>
                <w:spacing w:val="-2"/>
              </w:rPr>
            </w:pPr>
            <w:ins w:id="329" w:author="Master Repository Process" w:date="2021-09-25T08:56:00Z">
              <w:r>
                <w:rPr>
                  <w:rFonts w:ascii="Times" w:hAnsi="Times"/>
                  <w:bCs/>
                  <w:snapToGrid w:val="0"/>
                  <w:spacing w:val="-2"/>
                </w:rPr>
                <w:t>r. 1 and 2: 26 Jul 2016 (see r. 2(a));</w:t>
              </w:r>
              <w:r>
                <w:rPr>
                  <w:rFonts w:ascii="Times" w:hAnsi="Times"/>
                  <w:bCs/>
                  <w:snapToGrid w:val="0"/>
                  <w:spacing w:val="-2"/>
                </w:rPr>
                <w:br/>
                <w:t xml:space="preserve">Regulations other than r. 1 and 2: </w:t>
              </w:r>
            </w:ins>
            <w:r>
              <w:rPr>
                <w:bCs/>
                <w:snapToGrid w:val="0"/>
                <w:spacing w:val="-2"/>
              </w:rPr>
              <w:t xml:space="preserve">1 Sep 2016 (see r. 2(b) and </w:t>
            </w:r>
            <w:r>
              <w:rPr>
                <w:bCs/>
                <w:i/>
                <w:snapToGrid w:val="0"/>
                <w:spacing w:val="-2"/>
              </w:rPr>
              <w:t xml:space="preserve">Gazette </w:t>
            </w:r>
            <w:r>
              <w:rPr>
                <w:bCs/>
                <w:snapToGrid w:val="0"/>
                <w:spacing w:val="-2"/>
              </w:rPr>
              <w:t>26 Jul 2016 p. 3145)</w:t>
            </w:r>
          </w:p>
        </w:tc>
      </w:tr>
    </w:tbl>
    <w:p>
      <w:pPr>
        <w:pStyle w:val="nSubsection"/>
        <w:keepNext/>
        <w:keepLines/>
        <w:spacing w:before="120"/>
        <w:rPr>
          <w:del w:id="330" w:author="Master Repository Process" w:date="2021-09-25T08:56:00Z"/>
        </w:rPr>
      </w:pPr>
      <w:del w:id="331" w:author="Master Repository Process" w:date="2021-09-25T08:56:00Z">
        <w:r>
          <w:rPr>
            <w:vertAlign w:val="superscript"/>
          </w:rPr>
          <w:delText>2</w:delText>
        </w:r>
        <w:r>
          <w:tab/>
        </w:r>
        <w:r>
          <w:rPr>
            <w:snapToGrid w:val="0"/>
          </w:rPr>
          <w:delText xml:space="preserve">On the date as at which this compilation was prepared, the </w:delText>
        </w:r>
        <w:r>
          <w:rPr>
            <w:i/>
          </w:rPr>
          <w:delText>Tobacco Products Control Amendment Regulations (No. 3) 2016</w:delText>
        </w:r>
        <w:r>
          <w:rPr>
            <w:i/>
            <w:noProof/>
          </w:rPr>
          <w:delText xml:space="preserve"> </w:delText>
        </w:r>
        <w:r>
          <w:rPr>
            <w:noProof/>
          </w:rPr>
          <w:delText>r. 3 and 4</w:delText>
        </w:r>
        <w:r>
          <w:rPr>
            <w:snapToGrid w:val="0"/>
          </w:rPr>
          <w:delText xml:space="preserve"> had not come into operation. They read as follows:</w:delText>
        </w:r>
      </w:del>
    </w:p>
    <w:p>
      <w:pPr>
        <w:pStyle w:val="BlankOpen"/>
        <w:rPr>
          <w:del w:id="332" w:author="Master Repository Process" w:date="2021-09-25T08:56:00Z"/>
          <w:snapToGrid w:val="0"/>
        </w:rPr>
      </w:pPr>
    </w:p>
    <w:p>
      <w:pPr>
        <w:pStyle w:val="nzHeading5"/>
        <w:rPr>
          <w:del w:id="333" w:author="Master Repository Process" w:date="2021-09-25T08:56:00Z"/>
        </w:rPr>
      </w:pPr>
      <w:del w:id="334" w:author="Master Repository Process" w:date="2021-09-25T08:56:00Z">
        <w:r>
          <w:rPr>
            <w:rStyle w:val="CharSectno"/>
          </w:rPr>
          <w:delText>3</w:delText>
        </w:r>
        <w:r>
          <w:delText>.</w:delText>
        </w:r>
        <w:r>
          <w:tab/>
          <w:delText>Regulations amended</w:delText>
        </w:r>
      </w:del>
    </w:p>
    <w:p>
      <w:pPr>
        <w:pStyle w:val="nzSubsection"/>
        <w:rPr>
          <w:del w:id="335" w:author="Master Repository Process" w:date="2021-09-25T08:56:00Z"/>
        </w:rPr>
      </w:pPr>
      <w:del w:id="336" w:author="Master Repository Process" w:date="2021-09-25T08:56:00Z">
        <w:r>
          <w:tab/>
        </w:r>
        <w:r>
          <w:tab/>
        </w:r>
        <w:r>
          <w:rPr>
            <w:spacing w:val="-2"/>
          </w:rPr>
          <w:delText>These</w:delText>
        </w:r>
        <w:r>
          <w:delText xml:space="preserve"> regulations amend the </w:delText>
        </w:r>
        <w:r>
          <w:rPr>
            <w:i/>
          </w:rPr>
          <w:delText>Tobacco Products Control Regulations 2006</w:delText>
        </w:r>
        <w:r>
          <w:delText>.</w:delText>
        </w:r>
      </w:del>
    </w:p>
    <w:p>
      <w:pPr>
        <w:pStyle w:val="nzHeading5"/>
        <w:rPr>
          <w:del w:id="337" w:author="Master Repository Process" w:date="2021-09-25T08:56:00Z"/>
        </w:rPr>
      </w:pPr>
      <w:del w:id="338" w:author="Master Repository Process" w:date="2021-09-25T08:56:00Z">
        <w:r>
          <w:rPr>
            <w:rStyle w:val="CharSectno"/>
          </w:rPr>
          <w:delText>4</w:delText>
        </w:r>
        <w:r>
          <w:delText>.</w:delText>
        </w:r>
        <w:r>
          <w:tab/>
          <w:delText>Part 4 deleted</w:delText>
        </w:r>
      </w:del>
    </w:p>
    <w:p>
      <w:pPr>
        <w:pStyle w:val="nzSubsection"/>
        <w:rPr>
          <w:del w:id="339" w:author="Master Repository Process" w:date="2021-09-25T08:56:00Z"/>
        </w:rPr>
      </w:pPr>
      <w:del w:id="340" w:author="Master Repository Process" w:date="2021-09-25T08:56:00Z">
        <w:r>
          <w:tab/>
        </w:r>
        <w:r>
          <w:tab/>
          <w:delText>Delete Part 4.</w:delText>
        </w:r>
      </w:del>
    </w:p>
    <w:p>
      <w:pPr>
        <w:pStyle w:val="BlankClose"/>
        <w:rPr>
          <w:del w:id="341" w:author="Master Repository Process" w:date="2021-09-25T08:56:00Z"/>
          <w:snapToGrid w:val="0"/>
        </w:rPr>
      </w:pPr>
    </w:p>
    <w:p>
      <w:pPr>
        <w:rPr>
          <w:iCs/>
        </w:rPr>
      </w:pPr>
    </w:p>
    <w:p>
      <w:pPr>
        <w:rPr>
          <w:iCs/>
        </w:rPr>
        <w:sectPr>
          <w:headerReference w:type="even" r:id="rId29"/>
          <w:headerReference w:type="default" r:id="rId30"/>
          <w:headerReference w:type="first" r:id="rId31"/>
          <w:endnotePr>
            <w:numFmt w:val="decimal"/>
          </w:endnotePr>
          <w:pgSz w:w="11907" w:h="16840" w:code="9"/>
          <w:pgMar w:top="2376" w:right="2404" w:bottom="3544" w:left="2404"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26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02-j0-01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02-k0-00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02-j0-01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02-j0-01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42" w:name="Compilation"/>
    <w:bookmarkEnd w:id="342"/>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43" w:name="Coversheet"/>
    <w:bookmarkEnd w:id="34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05" w:name="Schedule"/>
    <w:bookmarkEnd w:id="30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BF884770"/>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60505141400"/>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 w:name="WAFER_20151112092702" w:val="UpdateStyles,UsedStyles"/>
    <w:docVar w:name="WAFER_20151112092702_GUID" w:val="3f8828c2-e5a4-4907-a3e2-d838648df5cd"/>
    <w:docVar w:name="WAFER_20160505121439" w:val="RemoveTocBookmarks,RemoveUnusedBookmarks,RemoveLanguageTags,UsedStyles,ResetPageSize"/>
    <w:docVar w:name="WAFER_20160505121439_GUID" w:val="f1df9a81-4a54-40e8-a0e9-b7c7e71c6356"/>
    <w:docVar w:name="WAFER_20160505141400" w:val="RemoveTocBookmarks,RemoveUnusedBookmarks,RemoveLanguageTags,UsedStyles,ResetPageSize"/>
    <w:docVar w:name="WAFER_20160505141400_GUID" w:val="bebe23af-244a-431d-b0d7-ecba8fc1ad1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1"/>
    </o:shapelayout>
  </w:shapeDefaults>
  <w:decimalSymbol w:val="."/>
  <w:listSeparator w:val=","/>
  <w15:docId w15:val="{293FD5A2-9C39-48D0-BE49-786FE62A4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5.png"/><Relationship Id="rId39" Type="http://schemas.microsoft.com/office/2011/relationships/people" Target="people.xml"/><Relationship Id="rId21" Type="http://schemas.openxmlformats.org/officeDocument/2006/relationships/image" Target="media/image3.jpeg"/><Relationship Id="rId34" Type="http://schemas.openxmlformats.org/officeDocument/2006/relationships/footer" Target="foot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9.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header" Target="header1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4.jpeg"/><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oter" Target="footer8.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11168</Words>
  <Characters>52269</Characters>
  <Application>Microsoft Office Word</Application>
  <DocSecurity>0</DocSecurity>
  <Lines>1686</Lines>
  <Paragraphs>1039</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62398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02-j0-01 - 02-k0-00</dc:title>
  <dc:subject/>
  <dc:creator/>
  <cp:keywords/>
  <dc:description/>
  <cp:lastModifiedBy>Master Repository Process</cp:lastModifiedBy>
  <cp:revision>2</cp:revision>
  <cp:lastPrinted>2014-11-26T07:22:00Z</cp:lastPrinted>
  <dcterms:created xsi:type="dcterms:W3CDTF">2021-09-25T00:56:00Z</dcterms:created>
  <dcterms:modified xsi:type="dcterms:W3CDTF">2021-09-25T00:56:00Z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ReprintNo">
    <vt:lpwstr>2</vt:lpwstr>
  </property>
  <property fmtid="{D5CDD505-2E9C-101B-9397-08002B2CF9AE}" pid="5" name="ReprintedAsAt">
    <vt:filetime>2014-11-20T16:00:00Z</vt:filetime>
  </property>
  <property fmtid="{D5CDD505-2E9C-101B-9397-08002B2CF9AE}" pid="6" name="DocumentType">
    <vt:lpwstr>Reg</vt:lpwstr>
  </property>
  <property fmtid="{D5CDD505-2E9C-101B-9397-08002B2CF9AE}" pid="7" name="CommencementDate">
    <vt:lpwstr>20160901</vt:lpwstr>
  </property>
  <property fmtid="{D5CDD505-2E9C-101B-9397-08002B2CF9AE}" pid="8" name="FromSuffix">
    <vt:lpwstr>02-j0-01</vt:lpwstr>
  </property>
  <property fmtid="{D5CDD505-2E9C-101B-9397-08002B2CF9AE}" pid="9" name="FromAsAtDate">
    <vt:lpwstr>26 Jul 2016</vt:lpwstr>
  </property>
  <property fmtid="{D5CDD505-2E9C-101B-9397-08002B2CF9AE}" pid="10" name="ToSuffix">
    <vt:lpwstr>02-k0-00</vt:lpwstr>
  </property>
  <property fmtid="{D5CDD505-2E9C-101B-9397-08002B2CF9AE}" pid="11" name="ToAsAtDate">
    <vt:lpwstr>01 Sep 2016</vt:lpwstr>
  </property>
</Properties>
</file>