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2016</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10 Sep 2016</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61184561"/>
      <w:bookmarkStart w:id="2" w:name="_Toc456947271"/>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61184562"/>
      <w:bookmarkStart w:id="5" w:name="_Toc456947272"/>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461184563"/>
      <w:bookmarkStart w:id="7" w:name="_Toc45694727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461184564"/>
      <w:bookmarkStart w:id="9" w:name="_Toc456947274"/>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451756161"/>
      <w:bookmarkStart w:id="11" w:name="_Toc461184565"/>
      <w:bookmarkStart w:id="12" w:name="_Toc456947275"/>
      <w:r>
        <w:rPr>
          <w:rStyle w:val="CharSectno"/>
        </w:rPr>
        <w:t>4A</w:t>
      </w:r>
      <w:r>
        <w:t>.</w:t>
      </w:r>
      <w:r>
        <w:tab/>
        <w:t>Fees for small businesses and non</w:t>
      </w:r>
      <w:r>
        <w:noBreakHyphen/>
        <w:t>profit associations</w:t>
      </w:r>
      <w:bookmarkEnd w:id="10"/>
      <w:bookmarkEnd w:id="11"/>
      <w:bookmarkEnd w:id="12"/>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3" w:name="_Toc461184566"/>
      <w:bookmarkStart w:id="14" w:name="_Toc456947276"/>
      <w:r>
        <w:rPr>
          <w:rStyle w:val="CharSectno"/>
        </w:rPr>
        <w:t>5</w:t>
      </w:r>
      <w:r>
        <w:rPr>
          <w:snapToGrid w:val="0"/>
        </w:rPr>
        <w:t>.</w:t>
      </w:r>
      <w:r>
        <w:rPr>
          <w:snapToGrid w:val="0"/>
        </w:rPr>
        <w:tab/>
        <w:t>Exemptions</w:t>
      </w:r>
      <w:bookmarkEnd w:id="13"/>
      <w:bookmarkEnd w:id="14"/>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5" w:name="_Toc461184567"/>
      <w:bookmarkStart w:id="16" w:name="_Toc456947277"/>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61184568"/>
      <w:bookmarkStart w:id="18" w:name="_Toc456947278"/>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9" w:name="_Toc451756165"/>
      <w:bookmarkStart w:id="20" w:name="_Toc461184569"/>
      <w:bookmarkStart w:id="21" w:name="_Toc456947279"/>
      <w:r>
        <w:rPr>
          <w:rStyle w:val="CharSectno"/>
        </w:rPr>
        <w:t>7</w:t>
      </w:r>
      <w:r>
        <w:t>.</w:t>
      </w:r>
      <w:r>
        <w:tab/>
        <w:t>Who is an eligible individual or eligible entity</w:t>
      </w:r>
      <w:bookmarkEnd w:id="19"/>
      <w:bookmarkEnd w:id="20"/>
      <w:bookmarkEnd w:id="2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22" w:name="_Toc451756166"/>
      <w:bookmarkStart w:id="23" w:name="_Toc461184570"/>
      <w:bookmarkStart w:id="24" w:name="_Toc456947280"/>
      <w:r>
        <w:rPr>
          <w:rStyle w:val="CharSectno"/>
        </w:rPr>
        <w:t>8</w:t>
      </w:r>
      <w:r>
        <w:t>.</w:t>
      </w:r>
      <w:r>
        <w:tab/>
        <w:t>Application to be recognised as eligible individual or eligible entity</w:t>
      </w:r>
      <w:bookmarkEnd w:id="22"/>
      <w:bookmarkEnd w:id="23"/>
      <w:bookmarkEnd w:id="24"/>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25" w:name="_Toc451756167"/>
      <w:bookmarkStart w:id="26" w:name="_Toc461184571"/>
      <w:bookmarkStart w:id="27" w:name="_Toc456947281"/>
      <w:r>
        <w:rPr>
          <w:rStyle w:val="CharSectno"/>
        </w:rPr>
        <w:t>8A</w:t>
      </w:r>
      <w:r>
        <w:t>.</w:t>
      </w:r>
      <w:r>
        <w:tab/>
        <w:t>Recognition as eligible individual or eligible entity</w:t>
      </w:r>
      <w:bookmarkEnd w:id="25"/>
      <w:bookmarkEnd w:id="26"/>
      <w:bookmarkEnd w:id="2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28" w:name="_Toc451756168"/>
      <w:bookmarkStart w:id="29" w:name="_Toc461184572"/>
      <w:bookmarkStart w:id="30" w:name="_Toc456947282"/>
      <w:r>
        <w:rPr>
          <w:rStyle w:val="CharSectno"/>
        </w:rPr>
        <w:t>8B</w:t>
      </w:r>
      <w:r>
        <w:t>.</w:t>
      </w:r>
      <w:r>
        <w:tab/>
        <w:t>False or misleading statements</w:t>
      </w:r>
      <w:bookmarkEnd w:id="28"/>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31" w:name="_Toc451756169"/>
      <w:bookmarkStart w:id="32" w:name="_Toc461184573"/>
      <w:bookmarkStart w:id="33" w:name="_Toc456947283"/>
      <w:r>
        <w:rPr>
          <w:rStyle w:val="CharSectno"/>
        </w:rPr>
        <w:t>8C</w:t>
      </w:r>
      <w:r>
        <w:t>.</w:t>
      </w:r>
      <w:r>
        <w:tab/>
        <w:t>Refunds</w:t>
      </w:r>
      <w:bookmarkEnd w:id="31"/>
      <w:bookmarkEnd w:id="32"/>
      <w:bookmarkEnd w:id="3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34" w:name="_Toc451756170"/>
      <w:bookmarkStart w:id="35" w:name="_Toc461184574"/>
      <w:bookmarkStart w:id="36" w:name="_Toc456947284"/>
      <w:r>
        <w:rPr>
          <w:rStyle w:val="CharSectno"/>
        </w:rPr>
        <w:t>8D</w:t>
      </w:r>
      <w:r>
        <w:t>.</w:t>
      </w:r>
      <w:r>
        <w:tab/>
        <w:t>Waiving fee for copy of document or transcript</w:t>
      </w:r>
      <w:bookmarkEnd w:id="34"/>
      <w:bookmarkEnd w:id="35"/>
      <w:bookmarkEnd w:id="3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rPr>
          <w:snapToGrid w:val="0"/>
        </w:rPr>
      </w:pPr>
      <w:bookmarkStart w:id="37" w:name="_Toc461184575"/>
      <w:bookmarkStart w:id="38" w:name="_Toc456947285"/>
      <w:r>
        <w:rPr>
          <w:rStyle w:val="CharSectno"/>
        </w:rPr>
        <w:t>8</w:t>
      </w:r>
      <w:r>
        <w:rPr>
          <w:snapToGrid w:val="0"/>
        </w:rPr>
        <w:t>.</w:t>
      </w:r>
      <w:r>
        <w:rPr>
          <w:snapToGrid w:val="0"/>
        </w:rPr>
        <w:tab/>
        <w:t>Conventions</w:t>
      </w:r>
      <w:bookmarkEnd w:id="37"/>
      <w:bookmarkEnd w:id="38"/>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39" w:name="_Toc461184576"/>
      <w:bookmarkStart w:id="40" w:name="_Toc456947286"/>
      <w:r>
        <w:t>9.</w:t>
      </w:r>
      <w:r>
        <w:tab/>
        <w:t>Allocation of hearing date — Schedule 1 item 6</w:t>
      </w:r>
      <w:bookmarkEnd w:id="39"/>
      <w:bookmarkEnd w:id="40"/>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41" w:name="_Toc461184577"/>
      <w:bookmarkStart w:id="42" w:name="_Toc456947287"/>
      <w:r>
        <w:rPr>
          <w:rStyle w:val="CharSectno"/>
        </w:rPr>
        <w:t>10</w:t>
      </w:r>
      <w:r>
        <w:t>.</w:t>
      </w:r>
      <w:r>
        <w:tab/>
        <w:t>Schedule 1 item 7 fee</w:t>
      </w:r>
      <w:bookmarkEnd w:id="41"/>
      <w:bookmarkEnd w:id="42"/>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3" w:name="_Toc461184578"/>
      <w:bookmarkStart w:id="44" w:name="_Toc456947288"/>
      <w:r>
        <w:t>11.</w:t>
      </w:r>
      <w:r>
        <w:tab/>
        <w:t>Recovery of unpaid fees</w:t>
      </w:r>
      <w:bookmarkEnd w:id="43"/>
      <w:bookmarkEnd w:id="44"/>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45" w:name="_Toc461184579"/>
      <w:bookmarkStart w:id="46" w:name="_Toc456947289"/>
      <w:r>
        <w:t>11A.</w:t>
      </w:r>
      <w:r>
        <w:tab/>
        <w:t>Searchable information</w:t>
      </w:r>
      <w:bookmarkEnd w:id="45"/>
      <w:bookmarkEnd w:id="46"/>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w:t>
      </w:r>
      <w:del w:id="47" w:author="Master Repository Process" w:date="2021-08-01T05:36:00Z">
        <w:r>
          <w:rPr>
            <w:rFonts w:eastAsia="MS Mincho"/>
          </w:rPr>
          <w:delText>11A</w:delText>
        </w:r>
      </w:del>
      <w:ins w:id="48" w:author="Master Repository Process" w:date="2021-08-01T05:36:00Z">
        <w:r>
          <w:rPr>
            <w:rFonts w:eastAsia="MS Mincho"/>
          </w:rPr>
          <w:t>13</w:t>
        </w:r>
      </w:ins>
      <w:r>
        <w:rPr>
          <w:rFonts w:eastAsia="MS Mincho"/>
        </w:rPr>
        <w:t>(b).</w:t>
      </w:r>
    </w:p>
    <w:p>
      <w:pPr>
        <w:pStyle w:val="Footnotesection"/>
      </w:pPr>
      <w:r>
        <w:tab/>
        <w:t>[Regulation 11A inserted in Gazette 28 Apr 2005 p. 1754; amended in Gazette 14 Jun 2016 p. 1888</w:t>
      </w:r>
      <w:ins w:id="49" w:author="Master Repository Process" w:date="2021-08-01T05:36:00Z">
        <w:r>
          <w:t>; 9 Sep 2016 p. 3886</w:t>
        </w:r>
      </w:ins>
      <w:r>
        <w:t>.]</w:t>
      </w:r>
    </w:p>
    <w:p>
      <w:pPr>
        <w:pStyle w:val="Heading5"/>
      </w:pPr>
      <w:bookmarkStart w:id="50" w:name="_Toc461184580"/>
      <w:bookmarkStart w:id="51" w:name="_Toc456947290"/>
      <w:r>
        <w:rPr>
          <w:rStyle w:val="CharSectno"/>
        </w:rPr>
        <w:t>12</w:t>
      </w:r>
      <w:r>
        <w:t>.</w:t>
      </w:r>
      <w:r>
        <w:tab/>
        <w:t>Transitional</w:t>
      </w:r>
      <w:bookmarkEnd w:id="50"/>
      <w:bookmarkEnd w:id="5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52" w:name="_Toc451256172"/>
      <w:bookmarkStart w:id="53" w:name="_Toc451256301"/>
      <w:bookmarkStart w:id="54" w:name="_Toc451333806"/>
      <w:bookmarkStart w:id="55" w:name="_Toc451343586"/>
      <w:bookmarkStart w:id="56" w:name="_Toc451352158"/>
      <w:bookmarkStart w:id="57" w:name="_Toc451756173"/>
      <w:bookmarkStart w:id="58" w:name="_Toc455068418"/>
      <w:bookmarkStart w:id="59" w:name="_Toc455569351"/>
      <w:bookmarkStart w:id="60" w:name="_Toc461184581"/>
      <w:bookmarkStart w:id="61" w:name="_Toc456947291"/>
      <w:r>
        <w:rPr>
          <w:rStyle w:val="CharSchNo"/>
        </w:rPr>
        <w:t>Schedule 1</w:t>
      </w:r>
      <w:r>
        <w:t> — </w:t>
      </w:r>
      <w:r>
        <w:rPr>
          <w:rStyle w:val="CharSchText"/>
        </w:rPr>
        <w:t>Registry fees</w:t>
      </w:r>
      <w:bookmarkEnd w:id="52"/>
      <w:bookmarkEnd w:id="53"/>
      <w:bookmarkEnd w:id="54"/>
      <w:bookmarkEnd w:id="55"/>
      <w:bookmarkEnd w:id="56"/>
      <w:bookmarkEnd w:id="57"/>
      <w:bookmarkEnd w:id="58"/>
      <w:bookmarkEnd w:id="59"/>
      <w:bookmarkEnd w:id="60"/>
      <w:bookmarkEnd w:id="61"/>
    </w:p>
    <w:p>
      <w:pPr>
        <w:pStyle w:val="yShoulderClause"/>
      </w:pPr>
      <w:r>
        <w:t>[r. 4]</w:t>
      </w:r>
    </w:p>
    <w:p>
      <w:pPr>
        <w:pStyle w:val="yFootnoteheading"/>
        <w:spacing w:after="120"/>
      </w:pPr>
      <w:r>
        <w:tab/>
        <w:t>[Heading inserted in Gazette 14 Jun 2016 p. 1889.]</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Pr>
          <w:p>
            <w:pPr>
              <w:pStyle w:val="yTableNAm"/>
              <w:jc w:val="center"/>
            </w:pPr>
            <w:r>
              <w:rPr>
                <w:b/>
              </w:rPr>
              <w:t>Item</w:t>
            </w:r>
          </w:p>
        </w:tc>
        <w:tc>
          <w:tcPr>
            <w:tcW w:w="2588" w:type="dxa"/>
          </w:tcPr>
          <w:p>
            <w:pPr>
              <w:pStyle w:val="yTableNAm"/>
              <w:jc w:val="center"/>
            </w:pPr>
            <w:r>
              <w:rPr>
                <w:b/>
              </w:rPr>
              <w:t>Matter</w:t>
            </w:r>
          </w:p>
        </w:tc>
        <w:tc>
          <w:tcPr>
            <w:tcW w:w="1275" w:type="dxa"/>
          </w:tcPr>
          <w:p>
            <w:pPr>
              <w:pStyle w:val="yTableNAm"/>
              <w:jc w:val="center"/>
            </w:pPr>
            <w:r>
              <w:rPr>
                <w:b/>
              </w:rPr>
              <w:t>Column A</w:t>
            </w:r>
          </w:p>
          <w:p>
            <w:pPr>
              <w:pStyle w:val="yTableNAm"/>
              <w:jc w:val="center"/>
              <w:rPr>
                <w:b/>
              </w:rPr>
            </w:pPr>
            <w:r>
              <w:rPr>
                <w:b/>
              </w:rPr>
              <w:t>Fee for individual or eligible entity</w:t>
            </w:r>
            <w:r>
              <w:rPr>
                <w:b/>
              </w:rPr>
              <w:br/>
              <w:t>$</w:t>
            </w:r>
          </w:p>
        </w:tc>
        <w:tc>
          <w:tcPr>
            <w:tcW w:w="1276" w:type="dxa"/>
          </w:tcPr>
          <w:p>
            <w:pPr>
              <w:pStyle w:val="yTableNAm"/>
              <w:jc w:val="center"/>
            </w:pPr>
            <w:r>
              <w:rPr>
                <w:b/>
              </w:rPr>
              <w:t>Column B</w:t>
            </w:r>
          </w:p>
          <w:p>
            <w:pPr>
              <w:pStyle w:val="yTableNAm"/>
              <w:jc w:val="center"/>
              <w:rPr>
                <w:b/>
              </w:rPr>
            </w:pPr>
            <w:r>
              <w:rPr>
                <w:b/>
              </w:rPr>
              <w:t>Fee for entity</w:t>
            </w:r>
            <w:r>
              <w:rPr>
                <w:b/>
              </w:rPr>
              <w:br/>
            </w:r>
            <w:r>
              <w:rPr>
                <w:b/>
              </w:rPr>
              <w:br/>
            </w:r>
            <w:r>
              <w:rPr>
                <w:b/>
              </w:rPr>
              <w:br/>
              <w:t>$</w:t>
            </w:r>
          </w:p>
        </w:tc>
        <w:tc>
          <w:tcPr>
            <w:tcW w:w="1276" w:type="dxa"/>
          </w:tcPr>
          <w:p>
            <w:pPr>
              <w:pStyle w:val="yTableNAm"/>
              <w:jc w:val="center"/>
            </w:pPr>
            <w:r>
              <w:rPr>
                <w:b/>
              </w:rPr>
              <w:t>Column C</w:t>
            </w:r>
          </w:p>
          <w:p>
            <w:pPr>
              <w:pStyle w:val="yTableNAm"/>
              <w:jc w:val="center"/>
              <w:rPr>
                <w:b/>
              </w:rPr>
            </w:pPr>
            <w:r>
              <w:rPr>
                <w:b/>
              </w:rPr>
              <w:t>Fee for eligible individual</w:t>
            </w:r>
            <w:r>
              <w:rPr>
                <w:b/>
              </w:rPr>
              <w:br/>
            </w:r>
            <w:r>
              <w:rPr>
                <w:b/>
              </w:rPr>
              <w:br/>
              <w:t>$</w:t>
            </w:r>
          </w:p>
        </w:tc>
      </w:tr>
      <w:tr>
        <w:trPr>
          <w:cantSplit/>
        </w:trPr>
        <w:tc>
          <w:tcPr>
            <w:tcW w:w="673" w:type="dxa"/>
          </w:tcPr>
          <w:p>
            <w:pPr>
              <w:pStyle w:val="yTableNAm"/>
            </w:pPr>
            <w:r>
              <w:rPr>
                <w:szCs w:val="22"/>
              </w:rPr>
              <w:t>1.</w:t>
            </w:r>
          </w:p>
        </w:tc>
        <w:tc>
          <w:tcPr>
            <w:tcW w:w="2588" w:type="dxa"/>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pPr>
            <w:r>
              <w:t>193.00</w:t>
            </w:r>
          </w:p>
        </w:tc>
        <w:tc>
          <w:tcPr>
            <w:tcW w:w="1276" w:type="dxa"/>
            <w:vAlign w:val="bottom"/>
          </w:tcPr>
          <w:p>
            <w:pPr>
              <w:pStyle w:val="yTableNAm"/>
            </w:pPr>
            <w:r>
              <w:rPr>
                <w:szCs w:val="22"/>
              </w:rPr>
              <w:t>N/A</w:t>
            </w:r>
          </w:p>
        </w:tc>
        <w:tc>
          <w:tcPr>
            <w:tcW w:w="1276" w:type="dxa"/>
            <w:vAlign w:val="bottom"/>
          </w:tcPr>
          <w:p>
            <w:pPr>
              <w:pStyle w:val="yTableNAm"/>
            </w:pPr>
            <w:r>
              <w:rPr>
                <w:szCs w:val="22"/>
              </w:rPr>
              <w:t>58.00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pPr>
            <w:r>
              <w:t>117.00</w:t>
            </w:r>
          </w:p>
        </w:tc>
        <w:tc>
          <w:tcPr>
            <w:tcW w:w="1276" w:type="dxa"/>
            <w:vAlign w:val="bottom"/>
          </w:tcPr>
          <w:p>
            <w:pPr>
              <w:pStyle w:val="yTableNAm"/>
            </w:pPr>
            <w:r>
              <w:rPr>
                <w:szCs w:val="22"/>
              </w:rPr>
              <w:t>N/A</w:t>
            </w:r>
          </w:p>
        </w:tc>
        <w:tc>
          <w:tcPr>
            <w:tcW w:w="1276" w:type="dxa"/>
            <w:vAlign w:val="bottom"/>
          </w:tcPr>
          <w:p>
            <w:pPr>
              <w:pStyle w:val="yTableNAm"/>
            </w:pPr>
            <w:r>
              <w:rPr>
                <w:szCs w:val="22"/>
              </w:rPr>
              <w:t>35.10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 counterclaim</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a third party notice </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 </w:t>
            </w:r>
          </w:p>
          <w:p>
            <w:pPr>
              <w:pStyle w:val="yTableNAm"/>
              <w:tabs>
                <w:tab w:val="clear" w:pos="567"/>
              </w:tabs>
              <w:ind w:left="637" w:hanging="425"/>
            </w:pPr>
            <w:r>
              <w:t>(i)</w:t>
            </w:r>
            <w:r>
              <w:tab/>
              <w:t>to extend a period of time fixed by law, including an application to extend time before proceedings are commenced</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to limit a period of time within which proceedings may be taken</w:t>
            </w:r>
          </w:p>
          <w:p>
            <w:pPr>
              <w:pStyle w:val="yTableNAm"/>
              <w:tabs>
                <w:tab w:val="clear" w:pos="567"/>
              </w:tabs>
              <w:ind w:left="637" w:hanging="425"/>
            </w:pPr>
            <w:r>
              <w:t>(iii)</w:t>
            </w:r>
            <w:r>
              <w:tab/>
              <w:t>for leave to serve a writ or notice of a writ out of jurisdiction</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(e)</w:t>
            </w:r>
            <w:r>
              <w:rPr>
                <w:szCs w:val="22"/>
              </w:rPr>
              <w:tab/>
              <w:t>any other application for which no fee has been provided in this Schedule</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tabs>
                <w:tab w:val="clear" w:pos="567"/>
              </w:tabs>
              <w:ind w:left="495" w:hanging="495"/>
            </w:pPr>
            <w:r>
              <w:rPr>
                <w:szCs w:val="22"/>
              </w:rPr>
              <w:t xml:space="preserve">On filing — </w:t>
            </w:r>
          </w:p>
          <w:p>
            <w:pPr>
              <w:pStyle w:val="yTableNAm"/>
              <w:tabs>
                <w:tab w:val="clear" w:pos="567"/>
              </w:tabs>
              <w:ind w:left="495" w:hanging="495"/>
            </w:pPr>
            <w:r>
              <w:t>(a)</w:t>
            </w:r>
            <w:r>
              <w:tab/>
              <w:t>an appeal notice</w:t>
            </w:r>
          </w:p>
        </w:tc>
        <w:tc>
          <w:tcPr>
            <w:tcW w:w="1275" w:type="dxa"/>
            <w:vAlign w:val="bottom"/>
          </w:tcPr>
          <w:p>
            <w:pPr>
              <w:pStyle w:val="yTableNAm"/>
            </w:pPr>
            <w:r>
              <w:t>454.00</w:t>
            </w:r>
          </w:p>
        </w:tc>
        <w:tc>
          <w:tcPr>
            <w:tcW w:w="1276" w:type="dxa"/>
            <w:vAlign w:val="bottom"/>
          </w:tcPr>
          <w:p>
            <w:pPr>
              <w:pStyle w:val="yTableNAm"/>
            </w:pPr>
            <w:r>
              <w:t>1 175.00</w:t>
            </w:r>
          </w:p>
        </w:tc>
        <w:tc>
          <w:tcPr>
            <w:tcW w:w="1276" w:type="dxa"/>
            <w:vAlign w:val="bottom"/>
          </w:tcPr>
          <w:p>
            <w:pPr>
              <w:pStyle w:val="yTableNAm"/>
            </w:pPr>
            <w:r>
              <w:t>100.00</w:t>
            </w:r>
          </w:p>
        </w:tc>
      </w:tr>
      <w:tr>
        <w:tblPrEx>
          <w:tblCellMar>
            <w:bottom w:w="113" w:type="dxa"/>
          </w:tblCellMar>
        </w:tblPrEx>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each additional half day allocated for the hearing of the appeal</w:t>
            </w:r>
          </w:p>
        </w:tc>
        <w:tc>
          <w:tcPr>
            <w:tcW w:w="1275" w:type="dxa"/>
            <w:vAlign w:val="bottom"/>
          </w:tcPr>
          <w:p>
            <w:pPr>
              <w:pStyle w:val="yTableNAm"/>
            </w:pPr>
            <w:r>
              <w:rPr>
                <w:szCs w:val="22"/>
              </w:rPr>
              <w:br/>
            </w:r>
            <w:r>
              <w:rPr>
                <w:szCs w:val="22"/>
              </w:rPr>
              <w:br/>
            </w:r>
            <w:r>
              <w:t>352.00</w:t>
            </w:r>
          </w:p>
        </w:tc>
        <w:tc>
          <w:tcPr>
            <w:tcW w:w="1276" w:type="dxa"/>
            <w:vAlign w:val="bottom"/>
          </w:tcPr>
          <w:p>
            <w:pPr>
              <w:pStyle w:val="yTableNAm"/>
            </w:pPr>
            <w:r>
              <w:rPr>
                <w:szCs w:val="22"/>
              </w:rPr>
              <w:t>917.00</w:t>
            </w:r>
          </w:p>
        </w:tc>
        <w:tc>
          <w:tcPr>
            <w:tcW w:w="1276" w:type="dxa"/>
            <w:vAlign w:val="bottom"/>
          </w:tcPr>
          <w:p>
            <w:pPr>
              <w:pStyle w:val="yTableNAm"/>
            </w:pPr>
            <w:r>
              <w:rPr>
                <w:szCs w:val="22"/>
              </w:rPr>
              <w:br/>
            </w:r>
            <w:r>
              <w:rPr>
                <w:szCs w:val="22"/>
              </w:rPr>
              <w:br/>
            </w:r>
            <w:r>
              <w:t>100.00</w:t>
            </w:r>
          </w:p>
        </w:tc>
      </w:tr>
      <w:tr>
        <w:tblPrEx>
          <w:tblCellMar>
            <w:bottom w:w="113" w:type="dxa"/>
          </w:tblCellMar>
        </w:tblPrEx>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Under the </w:t>
            </w:r>
            <w:r>
              <w:rPr>
                <w:i/>
              </w:rPr>
              <w:t>District Court Rules 2005</w:t>
            </w:r>
            <w: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vAlign w:val="bottom"/>
          </w:tcPr>
          <w:p>
            <w:pPr>
              <w:pStyle w:val="yTableNAm"/>
            </w:pPr>
            <w:r>
              <w:rPr>
                <w:szCs w:val="22"/>
              </w:rPr>
              <w:br/>
            </w:r>
            <w:r>
              <w:t>704.00</w:t>
            </w:r>
          </w:p>
        </w:tc>
        <w:tc>
          <w:tcPr>
            <w:tcW w:w="1276" w:type="dxa"/>
            <w:vAlign w:val="bottom"/>
          </w:tcPr>
          <w:p>
            <w:pPr>
              <w:pStyle w:val="yTableNAm"/>
            </w:pPr>
            <w:r>
              <w:rPr>
                <w:szCs w:val="22"/>
              </w:rPr>
              <w:t>1 833.00</w:t>
            </w:r>
          </w:p>
        </w:tc>
        <w:tc>
          <w:tcPr>
            <w:tcW w:w="1276" w:type="dxa"/>
            <w:vAlign w:val="bottom"/>
          </w:tcPr>
          <w:p>
            <w:pPr>
              <w:pStyle w:val="yTableNAm"/>
            </w:pPr>
            <w:r>
              <w:rPr>
                <w:szCs w:val="22"/>
              </w:rPr>
              <w:br/>
            </w:r>
            <w:r>
              <w:t>100.00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See regulation 10.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item does not apply to the allocation of a hearing date for an appeal.</w:t>
            </w:r>
          </w:p>
        </w:tc>
      </w:tr>
      <w:tr>
        <w:trPr>
          <w:cantSplit/>
        </w:trPr>
        <w:tc>
          <w:tcPr>
            <w:tcW w:w="673" w:type="dxa"/>
          </w:tcPr>
          <w:p>
            <w:pPr>
              <w:pStyle w:val="yTableNAm"/>
            </w:pPr>
            <w:r>
              <w:rPr>
                <w:szCs w:val="22"/>
              </w:rPr>
              <w:t xml:space="preserve">8. </w:t>
            </w:r>
          </w:p>
        </w:tc>
        <w:tc>
          <w:tcPr>
            <w:tcW w:w="2588" w:type="dxa"/>
          </w:tcPr>
          <w:p>
            <w:pPr>
              <w:pStyle w:val="yTableNAm"/>
            </w:pPr>
            <w:r>
              <w:rPr>
                <w:szCs w:val="22"/>
              </w:rPr>
              <w:t>Daily hearing fee before a court constituted by a judge</w:t>
            </w:r>
          </w:p>
        </w:tc>
        <w:tc>
          <w:tcPr>
            <w:tcW w:w="1275" w:type="dxa"/>
            <w:vAlign w:val="bottom"/>
          </w:tcPr>
          <w:p>
            <w:pPr>
              <w:pStyle w:val="yTableNAm"/>
            </w:pPr>
            <w:r>
              <w:t>704.00</w:t>
            </w:r>
          </w:p>
        </w:tc>
        <w:tc>
          <w:tcPr>
            <w:tcW w:w="1276" w:type="dxa"/>
            <w:vAlign w:val="bottom"/>
          </w:tcPr>
          <w:p>
            <w:pPr>
              <w:pStyle w:val="yTableNAm"/>
            </w:pPr>
            <w:r>
              <w:t>1 833.00</w:t>
            </w:r>
          </w:p>
        </w:tc>
        <w:tc>
          <w:tcPr>
            <w:tcW w:w="1276" w:type="dxa"/>
            <w:vAlign w:val="bottom"/>
          </w:tcPr>
          <w:p>
            <w:pPr>
              <w:pStyle w:val="yTableNAm"/>
            </w:pPr>
            <w: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No fee is payable if the proceedings are of an interlocutory nature only.</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rPr>
                <w:szCs w:val="22"/>
              </w:rPr>
            </w:pPr>
            <w: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3:</w:t>
            </w:r>
          </w:p>
          <w:p>
            <w:pPr>
              <w:pStyle w:val="yTableNAm"/>
            </w:pPr>
            <w:r>
              <w:t>This fee is payable for each additional day or part day that a hearing proceeds beyond the date or dates allocated in item 5 or 7.</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4:</w:t>
            </w:r>
          </w:p>
          <w:p>
            <w:pPr>
              <w:pStyle w:val="yTableNAm"/>
            </w:pPr>
            <w:r>
              <w:t>If the Court only allocates a half day or less for the continuation of the hearing then a fee equal to half the prescribed amount is payable for that period.</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5:</w:t>
            </w:r>
          </w:p>
          <w:p>
            <w:pPr>
              <w:pStyle w:val="yTableNAm"/>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9. </w:t>
            </w:r>
          </w:p>
        </w:tc>
        <w:tc>
          <w:tcPr>
            <w:tcW w:w="2588" w:type="dxa"/>
          </w:tcPr>
          <w:p>
            <w:pPr>
              <w:pStyle w:val="yTableNAm"/>
            </w:pPr>
            <w:r>
              <w:rPr>
                <w:szCs w:val="22"/>
              </w:rPr>
              <w:t xml:space="preserve">On filing, before a judge or registrar in chambers — </w:t>
            </w:r>
          </w:p>
        </w:tc>
        <w:tc>
          <w:tcPr>
            <w:tcW w:w="1275" w:type="dxa"/>
            <w:vAlign w:val="bottom"/>
          </w:tcPr>
          <w:p>
            <w:pPr>
              <w:pStyle w:val="zyTableNAm"/>
              <w:keepNext/>
              <w:rPr>
                <w:szCs w:val="22"/>
              </w:rPr>
            </w:pPr>
          </w:p>
        </w:tc>
        <w:tc>
          <w:tcPr>
            <w:tcW w:w="1276" w:type="dxa"/>
            <w:vAlign w:val="bottom"/>
          </w:tcPr>
          <w:p>
            <w:pPr>
              <w:pStyle w:val="zyTableNAm"/>
              <w:keepNext/>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an interlocutory application or summons or motion returnable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s>
              <w:ind w:left="495" w:hanging="495"/>
            </w:pPr>
            <w:r>
              <w:rPr>
                <w:szCs w:val="22"/>
              </w:rPr>
              <w:t>(b)</w:t>
            </w:r>
            <w:r>
              <w:rPr>
                <w:szCs w:val="22"/>
              </w:rPr>
              <w:tab/>
              <w:t>an application for assessment of damages other than in an action for personal injury</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for summary judgment</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This fee includes the first day of hearing of the application or summons and includes any adjournment of the hearing.</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fee is payable in respect of any application exercising liberty to apply to relist.</w:t>
            </w:r>
          </w:p>
        </w:tc>
      </w:tr>
      <w:tr>
        <w:trPr>
          <w:cantSplit/>
        </w:trPr>
        <w:tc>
          <w:tcPr>
            <w:tcW w:w="673" w:type="dxa"/>
          </w:tcPr>
          <w:p>
            <w:pPr>
              <w:pStyle w:val="yTableNAm"/>
            </w:pPr>
            <w:r>
              <w:rPr>
                <w:szCs w:val="22"/>
              </w:rPr>
              <w:t xml:space="preserve">10. </w:t>
            </w:r>
          </w:p>
        </w:tc>
        <w:tc>
          <w:tcPr>
            <w:tcW w:w="2588" w:type="dxa"/>
          </w:tcPr>
          <w:p>
            <w:pPr>
              <w:pStyle w:val="yTableNAm"/>
            </w:pPr>
            <w:r>
              <w:rPr>
                <w:szCs w:val="22"/>
              </w:rPr>
              <w:t>If the hearing of a matter to which item 8 applies is listed for more than one day and proceeds for more than the number of days listed, the fee prescribed in item 9 is payable for each additional day or part day of hearing.</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11. </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lodgment fee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in addition to the lodgment fee, a taxing fee at the rate of</w:t>
            </w:r>
          </w:p>
        </w:tc>
        <w:tc>
          <w:tcPr>
            <w:tcW w:w="1275" w:type="dxa"/>
            <w:vAlign w:val="bottom"/>
          </w:tcPr>
          <w:p>
            <w:pPr>
              <w:pStyle w:val="yTableNAm"/>
            </w:pPr>
            <w:r>
              <w:rPr>
                <w:szCs w:val="22"/>
              </w:rPr>
              <w:t>2.5%</w:t>
            </w:r>
          </w:p>
        </w:tc>
        <w:tc>
          <w:tcPr>
            <w:tcW w:w="1276" w:type="dxa"/>
            <w:vAlign w:val="bottom"/>
          </w:tcPr>
          <w:p>
            <w:pPr>
              <w:pStyle w:val="yTableNAm"/>
            </w:pPr>
            <w:r>
              <w:rPr>
                <w:szCs w:val="22"/>
              </w:rPr>
              <w:t>2.5%</w:t>
            </w:r>
          </w:p>
        </w:tc>
        <w:tc>
          <w:tcPr>
            <w:tcW w:w="1276" w:type="dxa"/>
            <w:vAlign w:val="bottom"/>
          </w:tcPr>
          <w:p>
            <w:pPr>
              <w:pStyle w:val="yTableNAm"/>
            </w:pPr>
            <w:r>
              <w:rPr>
                <w:szCs w:val="22"/>
              </w:rPr>
              <w:t>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 rate is to be applied to the amount at which the bill is drawn.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If the parties agree on the bill of costs in a cause or matter or under the </w:t>
            </w:r>
            <w:r>
              <w:rPr>
                <w:i/>
              </w:rPr>
              <w:t>Commercial Arbitration Act 2012</w:t>
            </w:r>
            <w:r>
              <w:t xml:space="preserve"> and the appointment is cancelled, the following percentage of the fee paid is to be refunded — </w:t>
            </w:r>
          </w:p>
          <w:p>
            <w:pPr>
              <w:pStyle w:val="yTableNAm"/>
            </w:pPr>
            <w:r>
              <w:t>(a)</w:t>
            </w:r>
            <w:r>
              <w:tab/>
              <w:t>if the appointment is cancelled less than 3 days before the day of the appointment, nil;</w:t>
            </w:r>
          </w:p>
          <w:p>
            <w:pPr>
              <w:pStyle w:val="yTableNAm"/>
            </w:pPr>
            <w:r>
              <w:t>(b)</w:t>
            </w:r>
            <w:r>
              <w:tab/>
              <w:t>if the appointment is cancelled 3 days or more and less than 10 days before the day of the appointment, 50%;</w:t>
            </w:r>
          </w:p>
          <w:p>
            <w:pPr>
              <w:pStyle w:val="yTableNAm"/>
            </w:pPr>
            <w:r>
              <w:t>(c)</w:t>
            </w:r>
            <w:r>
              <w:tab/>
              <w:t>if the appointment is cancelled 10 or more days before the day of the appointment, 80%.</w:t>
            </w:r>
          </w:p>
        </w:tc>
      </w:tr>
      <w:tr>
        <w:trPr>
          <w:cantSplit/>
        </w:trPr>
        <w:tc>
          <w:tcPr>
            <w:tcW w:w="673" w:type="dxa"/>
          </w:tcPr>
          <w:p>
            <w:pPr>
              <w:pStyle w:val="yTableNAm"/>
            </w:pPr>
            <w:r>
              <w:rPr>
                <w:szCs w:val="22"/>
              </w:rPr>
              <w:t xml:space="preserve">12. </w:t>
            </w:r>
          </w:p>
        </w:tc>
        <w:tc>
          <w:tcPr>
            <w:tcW w:w="2588" w:type="dxa"/>
          </w:tcPr>
          <w:p>
            <w:pPr>
              <w:pStyle w:val="yTableNAm"/>
            </w:pPr>
            <w:r>
              <w:rPr>
                <w:szCs w:val="22"/>
              </w:rPr>
              <w:t>For searching any record or proceeding</w:t>
            </w:r>
          </w:p>
        </w:tc>
        <w:tc>
          <w:tcPr>
            <w:tcW w:w="1275" w:type="dxa"/>
            <w:vAlign w:val="bottom"/>
          </w:tcPr>
          <w:p>
            <w:pPr>
              <w:pStyle w:val="yTableNAm"/>
            </w:pPr>
            <w:r>
              <w:t>40.70</w:t>
            </w:r>
          </w:p>
        </w:tc>
        <w:tc>
          <w:tcPr>
            <w:tcW w:w="1276" w:type="dxa"/>
            <w:vAlign w:val="bottom"/>
          </w:tcPr>
          <w:p>
            <w:pPr>
              <w:pStyle w:val="yTableNAm"/>
            </w:pPr>
            <w:r>
              <w:t>40.70</w:t>
            </w:r>
          </w:p>
        </w:tc>
        <w:tc>
          <w:tcPr>
            <w:tcW w:w="1276" w:type="dxa"/>
            <w:vAlign w:val="bottom"/>
          </w:tcPr>
          <w:p>
            <w:pPr>
              <w:pStyle w:val="yTableNAm"/>
            </w:pPr>
            <w:r>
              <w:t>12.20</w:t>
            </w:r>
          </w:p>
        </w:tc>
      </w:tr>
      <w:tr>
        <w:trPr>
          <w:cantSplit/>
        </w:trPr>
        <w:tc>
          <w:tcPr>
            <w:tcW w:w="673" w:type="dxa"/>
          </w:tcPr>
          <w:p>
            <w:pPr>
              <w:pStyle w:val="zyTableNAm"/>
              <w:rPr>
                <w:szCs w:val="22"/>
              </w:rPr>
            </w:pPr>
          </w:p>
        </w:tc>
        <w:tc>
          <w:tcPr>
            <w:tcW w:w="6415" w:type="dxa"/>
            <w:gridSpan w:val="4"/>
          </w:tcPr>
          <w:p>
            <w:pPr>
              <w:pStyle w:val="yTableNAm"/>
            </w:pPr>
            <w:r>
              <w:rPr>
                <w:sz w:val="20"/>
              </w:rPr>
              <w:t>Note:</w:t>
            </w:r>
          </w:p>
          <w:p>
            <w:pPr>
              <w:pStyle w:val="yTableNAm"/>
            </w:pPr>
            <w:r>
              <w:t xml:space="preserve">No fee is payable under item 12 for a search made — </w:t>
            </w:r>
          </w:p>
          <w:p>
            <w:pPr>
              <w:pStyle w:val="yTableNAm"/>
              <w:tabs>
                <w:tab w:val="clear" w:pos="567"/>
              </w:tabs>
              <w:ind w:left="495" w:hanging="495"/>
            </w:pPr>
            <w:r>
              <w:t>(a)</w:t>
            </w:r>
            <w:r>
              <w:tab/>
              <w:t>by or on behalf of a party to the proceedings; or</w:t>
            </w:r>
          </w:p>
          <w:p>
            <w:pPr>
              <w:pStyle w:val="yTableNAm"/>
              <w:tabs>
                <w:tab w:val="clear" w:pos="567"/>
              </w:tabs>
              <w:ind w:left="495" w:hanging="495"/>
            </w:pPr>
            <w:r>
              <w:t>(b)</w:t>
            </w:r>
            <w: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 xml:space="preserve">13. </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pPr>
            <w:r>
              <w:t>1.80</w:t>
            </w:r>
          </w:p>
        </w:tc>
        <w:tc>
          <w:tcPr>
            <w:tcW w:w="1276" w:type="dxa"/>
            <w:vAlign w:val="bottom"/>
          </w:tcPr>
          <w:p>
            <w:pPr>
              <w:pStyle w:val="yTableNAm"/>
            </w:pPr>
            <w:r>
              <w:t>1.80</w:t>
            </w:r>
          </w:p>
        </w:tc>
        <w:tc>
          <w:tcPr>
            <w:tcW w:w="1276" w:type="dxa"/>
            <w:vAlign w:val="bottom"/>
          </w:tcPr>
          <w:p>
            <w:pPr>
              <w:pStyle w:val="yTableNAm"/>
            </w:pPr>
            <w: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annual fee for information provided by email to approved recipient</w:t>
            </w:r>
          </w:p>
        </w:tc>
        <w:tc>
          <w:tcPr>
            <w:tcW w:w="1275" w:type="dxa"/>
            <w:vAlign w:val="bottom"/>
          </w:tcPr>
          <w:p>
            <w:pPr>
              <w:pStyle w:val="yTableNAm"/>
            </w:pPr>
            <w:r>
              <w:t>1 845.00</w:t>
            </w:r>
          </w:p>
        </w:tc>
        <w:tc>
          <w:tcPr>
            <w:tcW w:w="1276" w:type="dxa"/>
            <w:vAlign w:val="bottom"/>
          </w:tcPr>
          <w:p>
            <w:pPr>
              <w:pStyle w:val="yTableNAm"/>
            </w:pPr>
            <w:r>
              <w:t>1 845.00</w:t>
            </w:r>
          </w:p>
        </w:tc>
        <w:tc>
          <w:tcPr>
            <w:tcW w:w="1276" w:type="dxa"/>
            <w:vAlign w:val="bottom"/>
          </w:tcPr>
          <w:p>
            <w:pPr>
              <w:pStyle w:val="yTableNAm"/>
            </w:pPr>
            <w:r>
              <w:t>100.00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s>
              <w:ind w:left="495" w:hanging="495"/>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pPr>
            <w:r>
              <w:t>60.00</w:t>
            </w:r>
          </w:p>
        </w:tc>
        <w:tc>
          <w:tcPr>
            <w:tcW w:w="1276" w:type="dxa"/>
            <w:vAlign w:val="bottom"/>
          </w:tcPr>
          <w:p>
            <w:pPr>
              <w:pStyle w:val="yTableNAm"/>
            </w:pPr>
            <w:r>
              <w:t>60.00</w:t>
            </w:r>
          </w:p>
        </w:tc>
        <w:tc>
          <w:tcPr>
            <w:tcW w:w="1276" w:type="dxa"/>
            <w:vAlign w:val="bottom"/>
          </w:tcPr>
          <w:p>
            <w:pPr>
              <w:pStyle w:val="yTableNAm"/>
            </w:pPr>
            <w:r>
              <w:t>18.00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w:t>
            </w:r>
          </w:p>
        </w:tc>
        <w:tc>
          <w:tcPr>
            <w:tcW w:w="1275" w:type="dxa"/>
            <w:vAlign w:val="bottom"/>
          </w:tcPr>
          <w:p>
            <w:pPr>
              <w:pStyle w:val="yTableNAm"/>
            </w:pPr>
            <w:r>
              <w:t>91.00</w:t>
            </w:r>
          </w:p>
        </w:tc>
        <w:tc>
          <w:tcPr>
            <w:tcW w:w="1276" w:type="dxa"/>
            <w:vAlign w:val="bottom"/>
          </w:tcPr>
          <w:p>
            <w:pPr>
              <w:pStyle w:val="yTableNAm"/>
            </w:pPr>
            <w:r>
              <w:t>91.00</w:t>
            </w:r>
          </w:p>
        </w:tc>
        <w:tc>
          <w:tcPr>
            <w:tcW w:w="1276" w:type="dxa"/>
            <w:vAlign w:val="bottom"/>
          </w:tcPr>
          <w:p>
            <w:pPr>
              <w:pStyle w:val="yTableNAm"/>
            </w:pPr>
            <w:r>
              <w:t>27.30</w:t>
            </w:r>
          </w:p>
        </w:tc>
      </w:tr>
      <w:tr>
        <w:trPr>
          <w:cantSplit/>
        </w:trPr>
        <w:tc>
          <w:tcPr>
            <w:tcW w:w="673" w:type="dxa"/>
          </w:tcPr>
          <w:p>
            <w:pPr>
              <w:pStyle w:val="yTableNAm"/>
            </w:pPr>
            <w:r>
              <w:rPr>
                <w:szCs w:val="22"/>
              </w:rPr>
              <w:t xml:space="preserve">15. </w:t>
            </w:r>
          </w:p>
        </w:tc>
        <w:tc>
          <w:tcPr>
            <w:tcW w:w="2588" w:type="dxa"/>
          </w:tcPr>
          <w:p>
            <w:pPr>
              <w:pStyle w:val="yTableNAm"/>
              <w:tabs>
                <w:tab w:val="clear" w:pos="567"/>
              </w:tabs>
              <w:ind w:left="495" w:hanging="495"/>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pPr>
            <w:r>
              <w:rPr>
                <w:szCs w:val="22"/>
              </w:rPr>
              <w:t>1.65</w:t>
            </w:r>
          </w:p>
        </w:tc>
        <w:tc>
          <w:tcPr>
            <w:tcW w:w="1276" w:type="dxa"/>
            <w:vAlign w:val="bottom"/>
          </w:tcPr>
          <w:p>
            <w:pPr>
              <w:pStyle w:val="yTableNAm"/>
            </w:pPr>
            <w:r>
              <w:rPr>
                <w:szCs w:val="22"/>
              </w:rPr>
              <w:t>1.65</w:t>
            </w:r>
          </w:p>
        </w:tc>
        <w:tc>
          <w:tcPr>
            <w:tcW w:w="1276" w:type="dxa"/>
            <w:vAlign w:val="bottom"/>
          </w:tcPr>
          <w:p>
            <w:pPr>
              <w:pStyle w:val="yTableNAm"/>
            </w:pPr>
            <w:r>
              <w:rPr>
                <w:szCs w:val="22"/>
              </w:rPr>
              <w:t>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a copy of reasons for judgment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for each copy consisting of not more than 10 pages issued to a person not a party to the proceedings and for each copy in excess of one copy issued to a party to the proceedings</w:t>
            </w:r>
          </w:p>
          <w:p>
            <w:pPr>
              <w:pStyle w:val="yTableNAm"/>
              <w:tabs>
                <w:tab w:val="clear" w:pos="567"/>
              </w:tabs>
              <w:ind w:left="637" w:hanging="425"/>
              <w:rPr>
                <w:spacing w:val="-4"/>
              </w:rPr>
            </w:pPr>
            <w:r>
              <w:rPr>
                <w:spacing w:val="-4"/>
              </w:rPr>
              <w:t>(ii)</w:t>
            </w:r>
            <w:r>
              <w:rPr>
                <w:spacing w:val="-4"/>
              </w:rPr>
              <w:tab/>
              <w:t>for each copy consisting of 10 or more pages an additional fee per page of</w:t>
            </w:r>
          </w:p>
        </w:tc>
        <w:tc>
          <w:tcPr>
            <w:tcW w:w="1275" w:type="dxa"/>
            <w:vAlign w:val="bottom"/>
          </w:tcPr>
          <w:p>
            <w:pPr>
              <w:pStyle w:val="yTableNAm"/>
            </w:pPr>
          </w:p>
          <w:p>
            <w:pPr>
              <w:pStyle w:val="yTableNAm"/>
            </w:pP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4.20</w:t>
            </w:r>
          </w:p>
          <w:p>
            <w:pPr>
              <w:pStyle w:val="yTableNAm"/>
            </w:pPr>
            <w:r>
              <w:br/>
            </w:r>
            <w:r>
              <w:br/>
            </w:r>
            <w:r>
              <w:br/>
            </w:r>
            <w:r>
              <w:b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for certifying under seal that a document is a true copy, an additional fee of</w:t>
            </w:r>
          </w:p>
        </w:tc>
        <w:tc>
          <w:tcPr>
            <w:tcW w:w="1275" w:type="dxa"/>
            <w:vAlign w:val="bottom"/>
          </w:tcPr>
          <w:p>
            <w:pPr>
              <w:pStyle w:val="yTableNAm"/>
            </w:pPr>
            <w:r>
              <w:t>19.60</w:t>
            </w:r>
          </w:p>
        </w:tc>
        <w:tc>
          <w:tcPr>
            <w:tcW w:w="1276" w:type="dxa"/>
            <w:vAlign w:val="bottom"/>
          </w:tcPr>
          <w:p>
            <w:pPr>
              <w:pStyle w:val="yTableNAm"/>
            </w:pPr>
            <w:r>
              <w:t>19.60</w:t>
            </w:r>
          </w:p>
        </w:tc>
        <w:tc>
          <w:tcPr>
            <w:tcW w:w="1276" w:type="dxa"/>
            <w:vAlign w:val="bottom"/>
          </w:tcPr>
          <w:p>
            <w:pPr>
              <w:pStyle w:val="yTableNAm"/>
            </w:pPr>
            <w:r>
              <w:t>5.90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for a certificate under the hand of a registrar</w:t>
            </w:r>
          </w:p>
        </w:tc>
        <w:tc>
          <w:tcPr>
            <w:tcW w:w="1275" w:type="dxa"/>
            <w:vAlign w:val="bottom"/>
          </w:tcPr>
          <w:p>
            <w:pPr>
              <w:pStyle w:val="yTableNAm"/>
            </w:pPr>
            <w:r>
              <w:t>38.50</w:t>
            </w:r>
          </w:p>
        </w:tc>
        <w:tc>
          <w:tcPr>
            <w:tcW w:w="1276" w:type="dxa"/>
            <w:vAlign w:val="bottom"/>
          </w:tcPr>
          <w:p>
            <w:pPr>
              <w:pStyle w:val="yTableNAm"/>
            </w:pPr>
            <w:r>
              <w:t>38.50</w:t>
            </w:r>
          </w:p>
        </w:tc>
        <w:tc>
          <w:tcPr>
            <w:tcW w:w="1276" w:type="dxa"/>
            <w:vAlign w:val="bottom"/>
          </w:tcPr>
          <w:p>
            <w:pPr>
              <w:pStyle w:val="yTableNAm"/>
            </w:pPr>
            <w:r>
              <w:t>11.60</w:t>
            </w:r>
          </w:p>
        </w:tc>
      </w:tr>
      <w:tr>
        <w:trPr>
          <w:cantSplit/>
        </w:trPr>
        <w:tc>
          <w:tcPr>
            <w:tcW w:w="673" w:type="dxa"/>
          </w:tcPr>
          <w:p>
            <w:pPr>
              <w:pStyle w:val="yTableNAm"/>
            </w:pPr>
            <w:r>
              <w:rPr>
                <w:szCs w:val="22"/>
              </w:rPr>
              <w:t>16.</w:t>
            </w:r>
          </w:p>
        </w:tc>
        <w:tc>
          <w:tcPr>
            <w:tcW w:w="2588" w:type="dxa"/>
          </w:tcPr>
          <w:p>
            <w:pPr>
              <w:pStyle w:val="yTableNAm"/>
              <w:tabs>
                <w:tab w:val="clear" w:pos="567"/>
              </w:tabs>
              <w:ind w:left="495" w:hanging="495"/>
            </w:pPr>
            <w:r>
              <w:rPr>
                <w:sz w:val="20"/>
              </w:rPr>
              <w:t>(</w:t>
            </w:r>
            <w:r>
              <w:rPr>
                <w:szCs w:val="22"/>
              </w:rPr>
              <w:t>a)</w:t>
            </w:r>
            <w:r>
              <w:rPr>
                <w:szCs w:val="22"/>
              </w:rPr>
              <w:tab/>
              <w:t>For a copy of a transcript, or part of a transcript —</w:t>
            </w:r>
            <w:r>
              <w:rPr>
                <w:sz w:val="20"/>
              </w:rPr>
              <w:t xml:space="preserve"> </w:t>
            </w:r>
          </w:p>
        </w:tc>
        <w:tc>
          <w:tcPr>
            <w:tcW w:w="1275" w:type="dxa"/>
          </w:tcPr>
          <w:p>
            <w:pPr>
              <w:pStyle w:val="zyTableNAm"/>
              <w:keepNext/>
              <w:rPr>
                <w:sz w:val="20"/>
              </w:rPr>
            </w:pPr>
          </w:p>
        </w:tc>
        <w:tc>
          <w:tcPr>
            <w:tcW w:w="1276" w:type="dxa"/>
          </w:tcPr>
          <w:p>
            <w:pPr>
              <w:pStyle w:val="zyTableNAm"/>
              <w:keepNext/>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provided within one day after the day on which the fee is paid</w:t>
            </w:r>
          </w:p>
        </w:tc>
        <w:tc>
          <w:tcPr>
            <w:tcW w:w="1275" w:type="dxa"/>
          </w:tcPr>
          <w:p>
            <w:pPr>
              <w:pStyle w:val="yTableNAm"/>
            </w:pPr>
            <w:r>
              <w:rPr>
                <w:szCs w:val="22"/>
              </w:rPr>
              <w:br/>
            </w:r>
            <w:r>
              <w:rPr>
                <w:szCs w:val="22"/>
              </w:rPr>
              <w:br/>
            </w:r>
            <w:r>
              <w:rPr>
                <w:szCs w:val="22"/>
              </w:rPr>
              <w:br/>
              <w:t>18.75 plus 7.70 per page</w:t>
            </w:r>
          </w:p>
        </w:tc>
        <w:tc>
          <w:tcPr>
            <w:tcW w:w="1276" w:type="dxa"/>
          </w:tcPr>
          <w:p>
            <w:pPr>
              <w:pStyle w:val="yTableNAm"/>
            </w:pPr>
            <w:r>
              <w:rPr>
                <w:szCs w:val="22"/>
              </w:rPr>
              <w:br/>
            </w:r>
            <w:r>
              <w:rPr>
                <w:szCs w:val="22"/>
              </w:rPr>
              <w:br/>
            </w:r>
            <w:r>
              <w:rPr>
                <w:szCs w:val="22"/>
              </w:rPr>
              <w:br/>
              <w:t>18.75 plus 15.45 per page</w:t>
            </w:r>
          </w:p>
        </w:tc>
        <w:tc>
          <w:tcPr>
            <w:tcW w:w="1276" w:type="dxa"/>
          </w:tcPr>
          <w:p>
            <w:pPr>
              <w:pStyle w:val="yTableNAm"/>
            </w:pPr>
            <w:r>
              <w:rPr>
                <w:szCs w:val="22"/>
              </w:rPr>
              <w:br/>
            </w:r>
            <w:r>
              <w:rPr>
                <w:szCs w:val="22"/>
              </w:rPr>
              <w:br/>
            </w:r>
            <w:r>
              <w:rPr>
                <w:szCs w:val="22"/>
              </w:rPr>
              <w:br/>
              <w:t xml:space="preserve">5.60 plus </w:t>
            </w:r>
            <w:r>
              <w:rPr>
                <w:szCs w:val="22"/>
              </w:rPr>
              <w:br/>
              <w:t>2.30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provided within 4 days after the day on which the fee is paid</w:t>
            </w:r>
          </w:p>
        </w:tc>
        <w:tc>
          <w:tcPr>
            <w:tcW w:w="1275" w:type="dxa"/>
          </w:tcPr>
          <w:p>
            <w:pPr>
              <w:pStyle w:val="yTableNAm"/>
            </w:pPr>
            <w:r>
              <w:rPr>
                <w:szCs w:val="22"/>
              </w:rPr>
              <w:br/>
            </w:r>
            <w:r>
              <w:rPr>
                <w:szCs w:val="22"/>
              </w:rPr>
              <w:br/>
            </w:r>
            <w:r>
              <w:rPr>
                <w:szCs w:val="22"/>
              </w:rPr>
              <w:br/>
              <w:t>18.75 plus 6.70 per page</w:t>
            </w:r>
          </w:p>
        </w:tc>
        <w:tc>
          <w:tcPr>
            <w:tcW w:w="1276" w:type="dxa"/>
          </w:tcPr>
          <w:p>
            <w:pPr>
              <w:pStyle w:val="yTableNAm"/>
            </w:pPr>
            <w:r>
              <w:rPr>
                <w:szCs w:val="22"/>
              </w:rPr>
              <w:br/>
            </w:r>
            <w:r>
              <w:rPr>
                <w:szCs w:val="22"/>
              </w:rPr>
              <w:br/>
            </w:r>
            <w:r>
              <w:rPr>
                <w:szCs w:val="22"/>
              </w:rPr>
              <w:br/>
              <w:t>18.75 plus 13.45 per page</w:t>
            </w:r>
          </w:p>
        </w:tc>
        <w:tc>
          <w:tcPr>
            <w:tcW w:w="1276" w:type="dxa"/>
          </w:tcPr>
          <w:p>
            <w:pPr>
              <w:pStyle w:val="yTableNAm"/>
            </w:pPr>
            <w:r>
              <w:rPr>
                <w:szCs w:val="22"/>
              </w:rPr>
              <w:br/>
            </w:r>
            <w:r>
              <w:rPr>
                <w:szCs w:val="22"/>
              </w:rPr>
              <w:br/>
            </w:r>
            <w:r>
              <w:rPr>
                <w:szCs w:val="22"/>
              </w:rPr>
              <w:br/>
              <w:t xml:space="preserve">5.60 plus </w:t>
            </w:r>
            <w:r>
              <w:rPr>
                <w:szCs w:val="22"/>
              </w:rPr>
              <w:br/>
              <w:t>2.00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(iii)</w:t>
            </w:r>
            <w:r>
              <w:rPr>
                <w:szCs w:val="22"/>
              </w:rPr>
              <w:tab/>
              <w:t>provided within 7 days after the day on which the fee is paid</w:t>
            </w:r>
          </w:p>
        </w:tc>
        <w:tc>
          <w:tcPr>
            <w:tcW w:w="1275" w:type="dxa"/>
          </w:tcPr>
          <w:p>
            <w:pPr>
              <w:pStyle w:val="yTableNAm"/>
            </w:pPr>
            <w:r>
              <w:rPr>
                <w:szCs w:val="22"/>
              </w:rPr>
              <w:br/>
            </w:r>
            <w:r>
              <w:rPr>
                <w:szCs w:val="22"/>
              </w:rPr>
              <w:br/>
            </w:r>
            <w:r>
              <w:rPr>
                <w:szCs w:val="22"/>
              </w:rPr>
              <w:br/>
              <w:t>18.75 plus 6.45 per page</w:t>
            </w:r>
          </w:p>
        </w:tc>
        <w:tc>
          <w:tcPr>
            <w:tcW w:w="1276" w:type="dxa"/>
          </w:tcPr>
          <w:p>
            <w:pPr>
              <w:pStyle w:val="yTableNAm"/>
            </w:pPr>
            <w:r>
              <w:rPr>
                <w:szCs w:val="22"/>
              </w:rPr>
              <w:br/>
            </w:r>
            <w:r>
              <w:rPr>
                <w:szCs w:val="22"/>
              </w:rPr>
              <w:br/>
            </w:r>
            <w:r>
              <w:rPr>
                <w:szCs w:val="22"/>
              </w:rPr>
              <w:br/>
              <w:t>18.75 plus</w:t>
            </w:r>
            <w:r>
              <w:rPr>
                <w:szCs w:val="22"/>
              </w:rPr>
              <w:br/>
              <w:t>12.85 per page</w:t>
            </w:r>
          </w:p>
        </w:tc>
        <w:tc>
          <w:tcPr>
            <w:tcW w:w="1276" w:type="dxa"/>
          </w:tcPr>
          <w:p>
            <w:pPr>
              <w:pStyle w:val="yTableNAm"/>
            </w:pPr>
            <w:r>
              <w:rPr>
                <w:szCs w:val="22"/>
              </w:rPr>
              <w:br/>
            </w:r>
            <w:r>
              <w:rPr>
                <w:szCs w:val="22"/>
              </w:rPr>
              <w:br/>
            </w:r>
            <w:r>
              <w:rPr>
                <w:szCs w:val="22"/>
              </w:rPr>
              <w:br/>
              <w:t xml:space="preserve">5.60 plus </w:t>
            </w:r>
            <w:r>
              <w:rPr>
                <w:szCs w:val="22"/>
              </w:rPr>
              <w:br/>
              <w:t>1.95 per page</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for an additional copy of the transcript, or part of the transcript, provided under paragraph (a)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in electronic format</w:t>
            </w:r>
          </w:p>
        </w:tc>
        <w:tc>
          <w:tcPr>
            <w:tcW w:w="1275" w:type="dxa"/>
          </w:tcPr>
          <w:p>
            <w:pPr>
              <w:pStyle w:val="yTableNAm"/>
            </w:pPr>
            <w:r>
              <w:rPr>
                <w:szCs w:val="22"/>
              </w:rPr>
              <w:t>19.60 per copy</w:t>
            </w:r>
          </w:p>
        </w:tc>
        <w:tc>
          <w:tcPr>
            <w:tcW w:w="1276" w:type="dxa"/>
          </w:tcPr>
          <w:p>
            <w:pPr>
              <w:pStyle w:val="yTableNAm"/>
            </w:pPr>
            <w:r>
              <w:rPr>
                <w:szCs w:val="22"/>
              </w:rPr>
              <w:t>19.60 per copy</w:t>
            </w:r>
          </w:p>
        </w:tc>
        <w:tc>
          <w:tcPr>
            <w:tcW w:w="1276" w:type="dxa"/>
          </w:tcPr>
          <w:p>
            <w:pPr>
              <w:pStyle w:val="yTableNAm"/>
            </w:pPr>
            <w:r>
              <w:rPr>
                <w:szCs w:val="22"/>
              </w:rPr>
              <w:t>5.90 per copy</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paper copy</w:t>
            </w:r>
          </w:p>
        </w:tc>
        <w:tc>
          <w:tcPr>
            <w:tcW w:w="1275" w:type="dxa"/>
          </w:tcPr>
          <w:p>
            <w:pPr>
              <w:pStyle w:val="yTableNAm"/>
            </w:pPr>
            <w:r>
              <w:rPr>
                <w:szCs w:val="22"/>
              </w:rPr>
              <w:t>1.90 per page</w:t>
            </w:r>
          </w:p>
        </w:tc>
        <w:tc>
          <w:tcPr>
            <w:tcW w:w="1276" w:type="dxa"/>
          </w:tcPr>
          <w:p>
            <w:pPr>
              <w:pStyle w:val="yTableNAm"/>
            </w:pPr>
            <w:r>
              <w:rPr>
                <w:szCs w:val="22"/>
              </w:rPr>
              <w:t>1.90 per page</w:t>
            </w:r>
          </w:p>
        </w:tc>
        <w:tc>
          <w:tcPr>
            <w:tcW w:w="1276" w:type="dxa"/>
          </w:tcPr>
          <w:p>
            <w:pPr>
              <w:pStyle w:val="yTableNAm"/>
            </w:pPr>
            <w:r>
              <w:rPr>
                <w:szCs w:val="22"/>
              </w:rPr>
              <w:t>0.55 per page</w:t>
            </w:r>
          </w:p>
        </w:tc>
      </w:tr>
    </w:tbl>
    <w:p>
      <w:pPr>
        <w:pStyle w:val="yFootnoteheading"/>
      </w:pPr>
      <w:r>
        <w:tab/>
        <w:t>[Schedule 1 inserted in Gazette 14 Jun 2016 p. 1889</w:t>
      </w:r>
      <w:r>
        <w:noBreakHyphen/>
        <w:t>99.]</w:t>
      </w:r>
    </w:p>
    <w:p>
      <w:pPr>
        <w:pStyle w:val="yScheduleHeading"/>
      </w:pPr>
      <w:bookmarkStart w:id="62" w:name="_Toc455068419"/>
      <w:bookmarkStart w:id="63" w:name="_Toc455569352"/>
      <w:bookmarkStart w:id="64" w:name="_Toc461184582"/>
      <w:bookmarkStart w:id="65" w:name="_Toc456947292"/>
      <w:r>
        <w:rPr>
          <w:rStyle w:val="CharSchNo"/>
        </w:rPr>
        <w:t>Schedule 2</w:t>
      </w:r>
      <w:r>
        <w:t> — </w:t>
      </w:r>
      <w:r>
        <w:rPr>
          <w:rStyle w:val="CharSchText"/>
        </w:rPr>
        <w:t>Sheriff’s fees</w:t>
      </w:r>
      <w:bookmarkEnd w:id="62"/>
      <w:bookmarkEnd w:id="63"/>
      <w:bookmarkEnd w:id="64"/>
      <w:bookmarkEnd w:id="65"/>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t>128.00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128.00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33.90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t>70.50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1.80</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68.00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217.00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67" w:name="_Toc455068420"/>
      <w:bookmarkStart w:id="68" w:name="_Toc455569353"/>
      <w:bookmarkStart w:id="69" w:name="_Toc461184583"/>
      <w:bookmarkStart w:id="70" w:name="_Toc456947293"/>
      <w:r>
        <w:rPr>
          <w:rStyle w:val="CharSchNo"/>
        </w:rPr>
        <w:t>Schedule 3</w:t>
      </w:r>
      <w:r>
        <w:t xml:space="preserve"> — </w:t>
      </w:r>
      <w:r>
        <w:rPr>
          <w:rStyle w:val="CharSchText"/>
        </w:rPr>
        <w:t>Forms</w:t>
      </w:r>
      <w:bookmarkEnd w:id="67"/>
      <w:bookmarkEnd w:id="68"/>
      <w:bookmarkEnd w:id="69"/>
      <w:bookmarkEnd w:id="70"/>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71" w:name="_Toc455068421"/>
      <w:bookmarkStart w:id="72" w:name="_Toc455569354"/>
      <w:bookmarkStart w:id="73" w:name="_Toc461184584"/>
      <w:bookmarkStart w:id="74" w:name="_Toc456947294"/>
      <w:r>
        <w:t>Notes</w:t>
      </w:r>
      <w:bookmarkEnd w:id="71"/>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75" w:name="_Toc461184585"/>
      <w:bookmarkStart w:id="76" w:name="_Toc456947295"/>
      <w:r>
        <w:t>Compilation table</w:t>
      </w:r>
      <w:bookmarkEnd w:id="75"/>
      <w:bookmarkEnd w:id="76"/>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94" w:type="dxa"/>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18"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w:t>
            </w:r>
            <w:ins w:id="77" w:author="Master Repository Process" w:date="2021-08-01T05:36:00Z">
              <w:r>
                <w:t xml:space="preserve"> (as amended in </w:t>
              </w:r>
              <w:r>
                <w:rPr>
                  <w:i/>
                </w:rPr>
                <w:t xml:space="preserve">Gazette </w:t>
              </w:r>
              <w:r>
                <w:t>9 Sep 2016 p. 3886)</w:t>
              </w:r>
            </w:ins>
          </w:p>
        </w:tc>
        <w:tc>
          <w:tcPr>
            <w:tcW w:w="2694" w:type="dxa"/>
            <w:shd w:val="clear" w:color="auto" w:fill="auto"/>
          </w:tcPr>
          <w:p>
            <w:pPr>
              <w:pStyle w:val="nTable"/>
              <w:spacing w:after="40"/>
              <w:rPr>
                <w:rFonts w:ascii="Times" w:hAnsi="Times"/>
                <w:bCs/>
                <w:snapToGrid w:val="0"/>
                <w:spacing w:val="-2"/>
              </w:rPr>
            </w:pPr>
            <w:r>
              <w:t>4 Jul 2016 (see r. 2(b))</w:t>
            </w:r>
          </w:p>
        </w:tc>
      </w:tr>
      <w:tr>
        <w:trPr>
          <w:ins w:id="78" w:author="Master Repository Process" w:date="2021-08-01T05:36:00Z"/>
        </w:trPr>
        <w:tc>
          <w:tcPr>
            <w:tcW w:w="3118" w:type="dxa"/>
            <w:tcBorders>
              <w:bottom w:val="single" w:sz="4" w:space="0" w:color="auto"/>
            </w:tcBorders>
            <w:shd w:val="clear" w:color="auto" w:fill="auto"/>
          </w:tcPr>
          <w:p>
            <w:pPr>
              <w:pStyle w:val="nTable"/>
              <w:spacing w:after="40"/>
              <w:rPr>
                <w:ins w:id="79" w:author="Master Repository Process" w:date="2021-08-01T05:36:00Z"/>
              </w:rPr>
            </w:pPr>
            <w:ins w:id="80" w:author="Master Repository Process" w:date="2021-08-01T05:36:00Z">
              <w:r>
                <w:rPr>
                  <w:i/>
                </w:rPr>
                <w:t>District Court (Fees) Amendment Regulations (No. 2) 2016</w:t>
              </w:r>
              <w:r>
                <w:t xml:space="preserve"> Pt. 2</w:t>
              </w:r>
            </w:ins>
          </w:p>
        </w:tc>
        <w:tc>
          <w:tcPr>
            <w:tcW w:w="1276" w:type="dxa"/>
            <w:tcBorders>
              <w:bottom w:val="single" w:sz="4" w:space="0" w:color="auto"/>
            </w:tcBorders>
            <w:shd w:val="clear" w:color="auto" w:fill="auto"/>
          </w:tcPr>
          <w:p>
            <w:pPr>
              <w:pStyle w:val="nTable"/>
              <w:spacing w:after="40"/>
              <w:rPr>
                <w:ins w:id="81" w:author="Master Repository Process" w:date="2021-08-01T05:36:00Z"/>
              </w:rPr>
            </w:pPr>
            <w:ins w:id="82" w:author="Master Repository Process" w:date="2021-08-01T05:36:00Z">
              <w:r>
                <w:t>9 Sep 2016 p. 3886</w:t>
              </w:r>
            </w:ins>
          </w:p>
        </w:tc>
        <w:tc>
          <w:tcPr>
            <w:tcW w:w="2694" w:type="dxa"/>
            <w:tcBorders>
              <w:bottom w:val="single" w:sz="4" w:space="0" w:color="auto"/>
            </w:tcBorders>
            <w:shd w:val="clear" w:color="auto" w:fill="auto"/>
          </w:tcPr>
          <w:p>
            <w:pPr>
              <w:pStyle w:val="nTable"/>
              <w:spacing w:after="40"/>
              <w:rPr>
                <w:ins w:id="83" w:author="Master Repository Process" w:date="2021-08-01T05:36:00Z"/>
              </w:rPr>
            </w:pPr>
            <w:ins w:id="84" w:author="Master Repository Process" w:date="2021-08-01T05:36:00Z">
              <w:r>
                <w:t>10 Sep 2016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5" w:name="Compilation"/>
    <w:bookmarkEnd w:id="8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6" w:name="Schedule"/>
    <w:bookmarkEnd w:id="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C03A32B-A2DD-4C36-9616-D50EA25B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2344F-AE30-4072-8A79-149E7C58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7294</Words>
  <Characters>35305</Characters>
  <Application>Microsoft Office Word</Application>
  <DocSecurity>0</DocSecurity>
  <Lines>1681</Lines>
  <Paragraphs>946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03-f0-01 - 03-g0-00</dc:title>
  <dc:subject/>
  <dc:creator/>
  <cp:keywords/>
  <dc:description/>
  <cp:lastModifiedBy>Master Repository Process</cp:lastModifiedBy>
  <cp:revision>2</cp:revision>
  <cp:lastPrinted>2016-07-22T01:04:00Z</cp:lastPrinted>
  <dcterms:created xsi:type="dcterms:W3CDTF">2021-07-31T21:36:00Z</dcterms:created>
  <dcterms:modified xsi:type="dcterms:W3CDTF">2021-07-31T21:36:00Z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20160910</vt:lpwstr>
  </property>
  <property fmtid="{D5CDD505-2E9C-101B-9397-08002B2CF9AE}" pid="8" name="FromSuffix">
    <vt:lpwstr>03-f0-01</vt:lpwstr>
  </property>
  <property fmtid="{D5CDD505-2E9C-101B-9397-08002B2CF9AE}" pid="9" name="FromAsAtDate">
    <vt:lpwstr>04 Jul 2016</vt:lpwstr>
  </property>
  <property fmtid="{D5CDD505-2E9C-101B-9397-08002B2CF9AE}" pid="10" name="ToSuffix">
    <vt:lpwstr>03-g0-00</vt:lpwstr>
  </property>
  <property fmtid="{D5CDD505-2E9C-101B-9397-08002B2CF9AE}" pid="11" name="ToAsAtDate">
    <vt:lpwstr>10 Sep 2016</vt:lpwstr>
  </property>
</Properties>
</file>