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Sep 2016</w:t>
      </w:r>
      <w:r>
        <w:fldChar w:fldCharType="end"/>
      </w:r>
      <w:r>
        <w:t xml:space="preserve">, </w:t>
      </w:r>
      <w:r>
        <w:fldChar w:fldCharType="begin"/>
      </w:r>
      <w:r>
        <w:instrText xml:space="preserve"> DocProperty FromSuffix </w:instrText>
      </w:r>
      <w:r>
        <w:fldChar w:fldCharType="separate"/>
      </w:r>
      <w:r>
        <w:t>05-l0-00</w:t>
      </w:r>
      <w:r>
        <w:fldChar w:fldCharType="end"/>
      </w:r>
      <w:r>
        <w:t>] and [</w:t>
      </w:r>
      <w:r>
        <w:fldChar w:fldCharType="begin"/>
      </w:r>
      <w:r>
        <w:instrText xml:space="preserve"> DocProperty ToAsAtDate</w:instrText>
      </w:r>
      <w:r>
        <w:fldChar w:fldCharType="separate"/>
      </w:r>
      <w:r>
        <w:t>23 Sep 2016</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22:23:00Z"/>
        </w:trPr>
        <w:tc>
          <w:tcPr>
            <w:tcW w:w="2434" w:type="dxa"/>
            <w:vMerge w:val="restart"/>
          </w:tcPr>
          <w:p>
            <w:pPr>
              <w:rPr>
                <w:ins w:id="2" w:author="svcMRProcess" w:date="2018-09-08T22:23:00Z"/>
              </w:rPr>
            </w:pPr>
          </w:p>
        </w:tc>
        <w:tc>
          <w:tcPr>
            <w:tcW w:w="2434" w:type="dxa"/>
            <w:vMerge w:val="restart"/>
          </w:tcPr>
          <w:p>
            <w:pPr>
              <w:jc w:val="center"/>
              <w:rPr>
                <w:ins w:id="3" w:author="svcMRProcess" w:date="2018-09-08T22:23:00Z"/>
              </w:rPr>
            </w:pPr>
            <w:ins w:id="4" w:author="svcMRProcess" w:date="2018-09-08T22:2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22:23:00Z"/>
              </w:rPr>
            </w:pPr>
            <w:ins w:id="6" w:author="svcMRProcess" w:date="2018-09-08T22:23:00Z">
              <w:r>
                <w:rPr>
                  <w:b/>
                  <w:sz w:val="22"/>
                </w:rPr>
                <w:t xml:space="preserve">Reprinted under the </w:t>
              </w:r>
              <w:r>
                <w:rPr>
                  <w:b/>
                  <w:i/>
                  <w:sz w:val="22"/>
                </w:rPr>
                <w:t>Reprints Act 1984</w:t>
              </w:r>
              <w:r>
                <w:rPr>
                  <w:b/>
                  <w:sz w:val="22"/>
                </w:rPr>
                <w:t xml:space="preserve"> as</w:t>
              </w:r>
            </w:ins>
          </w:p>
        </w:tc>
      </w:tr>
      <w:tr>
        <w:trPr>
          <w:cantSplit/>
          <w:ins w:id="7" w:author="svcMRProcess" w:date="2018-09-08T22:23:00Z"/>
        </w:trPr>
        <w:tc>
          <w:tcPr>
            <w:tcW w:w="2434" w:type="dxa"/>
            <w:vMerge/>
          </w:tcPr>
          <w:p>
            <w:pPr>
              <w:rPr>
                <w:ins w:id="8" w:author="svcMRProcess" w:date="2018-09-08T22:23:00Z"/>
              </w:rPr>
            </w:pPr>
          </w:p>
        </w:tc>
        <w:tc>
          <w:tcPr>
            <w:tcW w:w="2434" w:type="dxa"/>
            <w:vMerge/>
          </w:tcPr>
          <w:p>
            <w:pPr>
              <w:jc w:val="center"/>
              <w:rPr>
                <w:ins w:id="9" w:author="svcMRProcess" w:date="2018-09-08T22:23:00Z"/>
              </w:rPr>
            </w:pPr>
          </w:p>
        </w:tc>
        <w:tc>
          <w:tcPr>
            <w:tcW w:w="2434" w:type="dxa"/>
          </w:tcPr>
          <w:p>
            <w:pPr>
              <w:keepNext/>
              <w:rPr>
                <w:ins w:id="10" w:author="svcMRProcess" w:date="2018-09-08T22:23:00Z"/>
                <w:b/>
                <w:sz w:val="22"/>
              </w:rPr>
            </w:pPr>
            <w:ins w:id="11" w:author="svcMRProcess" w:date="2018-09-08T22:23:00Z">
              <w:r>
                <w:rPr>
                  <w:b/>
                  <w:sz w:val="22"/>
                </w:rPr>
                <w:t>at 23 September 2016</w:t>
              </w:r>
            </w:ins>
          </w:p>
        </w:tc>
      </w:tr>
    </w:tbl>
    <w:p>
      <w:pPr>
        <w:pStyle w:val="WA"/>
        <w:spacing w:before="12"/>
      </w:pPr>
      <w:r>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2" w:name="_GoBack"/>
      <w:bookmarkEnd w:id="12"/>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13" w:name="_Toc524208734"/>
      <w:bookmarkStart w:id="14" w:name="_Toc398889962"/>
      <w:bookmarkStart w:id="15" w:name="_Toc424548561"/>
      <w:bookmarkStart w:id="16" w:name="_Toc434855852"/>
      <w:bookmarkStart w:id="17" w:name="_Toc437952982"/>
      <w:bookmarkStart w:id="18" w:name="_Toc447270450"/>
      <w:bookmarkStart w:id="19" w:name="_Toc461550398"/>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524208735"/>
      <w:bookmarkStart w:id="21" w:name="_Toc398889963"/>
      <w:bookmarkStart w:id="22" w:name="_Toc461550399"/>
      <w:r>
        <w:rPr>
          <w:rStyle w:val="CharSectno"/>
        </w:rPr>
        <w:t>1</w:t>
      </w:r>
      <w:r>
        <w:rPr>
          <w:snapToGrid w:val="0"/>
        </w:rPr>
        <w:t>.</w:t>
      </w:r>
      <w:r>
        <w:rPr>
          <w:snapToGrid w:val="0"/>
        </w:rPr>
        <w:tab/>
        <w:t>Short title</w:t>
      </w:r>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23" w:name="_Toc524208736"/>
      <w:bookmarkStart w:id="24" w:name="_Toc398889964"/>
      <w:bookmarkStart w:id="25" w:name="_Toc461550400"/>
      <w:r>
        <w:rPr>
          <w:rStyle w:val="CharSectno"/>
        </w:rPr>
        <w:t>2</w:t>
      </w:r>
      <w:r>
        <w:rPr>
          <w:snapToGrid w:val="0"/>
        </w:rPr>
        <w:t>.</w:t>
      </w:r>
      <w:r>
        <w:rPr>
          <w:snapToGrid w:val="0"/>
        </w:rPr>
        <w:tab/>
        <w:t>Commencement</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26" w:name="_Toc524208737"/>
      <w:bookmarkStart w:id="27" w:name="_Toc398889965"/>
      <w:bookmarkStart w:id="28" w:name="_Toc424548564"/>
      <w:bookmarkStart w:id="29" w:name="_Toc434855855"/>
      <w:bookmarkStart w:id="30" w:name="_Toc437952985"/>
      <w:bookmarkStart w:id="31" w:name="_Toc447270453"/>
      <w:bookmarkStart w:id="32" w:name="_Toc461550401"/>
      <w:r>
        <w:rPr>
          <w:rStyle w:val="CharPartNo"/>
        </w:rPr>
        <w:lastRenderedPageBreak/>
        <w:t>Part 2</w:t>
      </w:r>
      <w:r>
        <w:t> — </w:t>
      </w:r>
      <w:r>
        <w:rPr>
          <w:rStyle w:val="CharPartText"/>
        </w:rPr>
        <w:t>Statutory corporations generally</w:t>
      </w:r>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524208738"/>
      <w:bookmarkStart w:id="34" w:name="_Toc398889966"/>
      <w:bookmarkStart w:id="35" w:name="_Toc424548565"/>
      <w:bookmarkStart w:id="36" w:name="_Toc434855856"/>
      <w:bookmarkStart w:id="37" w:name="_Toc437952986"/>
      <w:bookmarkStart w:id="38" w:name="_Toc447270454"/>
      <w:bookmarkStart w:id="39" w:name="_Toc461550402"/>
      <w:r>
        <w:rPr>
          <w:rStyle w:val="CharDivNo"/>
        </w:rPr>
        <w:t>Division 1</w:t>
      </w:r>
      <w:r>
        <w:rPr>
          <w:snapToGrid w:val="0"/>
        </w:rPr>
        <w:t> — </w:t>
      </w:r>
      <w:r>
        <w:rPr>
          <w:rStyle w:val="CharDivText"/>
        </w:rPr>
        <w:t>Interpretation</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524208739"/>
      <w:bookmarkStart w:id="41" w:name="_Toc398889967"/>
      <w:bookmarkStart w:id="42" w:name="_Toc461550403"/>
      <w:r>
        <w:rPr>
          <w:rStyle w:val="CharSectno"/>
        </w:rPr>
        <w:t>4</w:t>
      </w:r>
      <w:r>
        <w:rPr>
          <w:snapToGrid w:val="0"/>
        </w:rPr>
        <w:t>.</w:t>
      </w:r>
      <w:r>
        <w:rPr>
          <w:snapToGrid w:val="0"/>
        </w:rPr>
        <w:tab/>
        <w:t>Terms used</w:t>
      </w:r>
      <w:bookmarkEnd w:id="40"/>
      <w:bookmarkEnd w:id="41"/>
      <w:bookmarkEnd w:id="4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43" w:name="_Toc524208740"/>
      <w:bookmarkStart w:id="44" w:name="_Toc398889968"/>
      <w:bookmarkStart w:id="45" w:name="_Toc424548567"/>
      <w:bookmarkStart w:id="46" w:name="_Toc434855858"/>
      <w:bookmarkStart w:id="47" w:name="_Toc437952988"/>
      <w:bookmarkStart w:id="48" w:name="_Toc447270456"/>
      <w:bookmarkStart w:id="49" w:name="_Toc461550404"/>
      <w:r>
        <w:rPr>
          <w:rStyle w:val="CharDivNo"/>
        </w:rPr>
        <w:t>Division 2</w:t>
      </w:r>
      <w:r>
        <w:rPr>
          <w:snapToGrid w:val="0"/>
        </w:rPr>
        <w:t> — </w:t>
      </w:r>
      <w:r>
        <w:rPr>
          <w:rStyle w:val="CharDivText"/>
        </w:rPr>
        <w:t>Duties of directors stated</w:t>
      </w:r>
      <w:bookmarkEnd w:id="43"/>
      <w:bookmarkEnd w:id="44"/>
      <w:bookmarkEnd w:id="45"/>
      <w:bookmarkEnd w:id="46"/>
      <w:bookmarkEnd w:id="47"/>
      <w:bookmarkEnd w:id="48"/>
      <w:bookmarkEnd w:id="49"/>
      <w:r>
        <w:rPr>
          <w:rStyle w:val="CharDivText"/>
        </w:rPr>
        <w:t xml:space="preserve"> </w:t>
      </w:r>
    </w:p>
    <w:p>
      <w:pPr>
        <w:pStyle w:val="Heading5"/>
        <w:rPr>
          <w:snapToGrid w:val="0"/>
        </w:rPr>
      </w:pPr>
      <w:bookmarkStart w:id="50" w:name="_Toc524208741"/>
      <w:bookmarkStart w:id="51" w:name="_Toc398889969"/>
      <w:bookmarkStart w:id="52" w:name="_Toc461550405"/>
      <w:r>
        <w:rPr>
          <w:rStyle w:val="CharSectno"/>
        </w:rPr>
        <w:t>5</w:t>
      </w:r>
      <w:r>
        <w:rPr>
          <w:snapToGrid w:val="0"/>
        </w:rPr>
        <w:t>.</w:t>
      </w:r>
      <w:r>
        <w:rPr>
          <w:snapToGrid w:val="0"/>
        </w:rPr>
        <w:tab/>
        <w:t>Directors’ fiduciary relationship with and duties to corporation</w:t>
      </w:r>
      <w:bookmarkEnd w:id="50"/>
      <w:bookmarkEnd w:id="51"/>
      <w:bookmarkEnd w:id="52"/>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53" w:name="_Toc524208742"/>
      <w:bookmarkStart w:id="54" w:name="_Toc398889970"/>
      <w:bookmarkStart w:id="55" w:name="_Toc424548569"/>
      <w:bookmarkStart w:id="56" w:name="_Toc434855860"/>
      <w:bookmarkStart w:id="57" w:name="_Toc437952990"/>
      <w:bookmarkStart w:id="58" w:name="_Toc447270458"/>
      <w:bookmarkStart w:id="59" w:name="_Toc461550406"/>
      <w:r>
        <w:rPr>
          <w:rStyle w:val="CharDivNo"/>
        </w:rPr>
        <w:t>Division 3</w:t>
      </w:r>
      <w:r>
        <w:rPr>
          <w:snapToGrid w:val="0"/>
        </w:rPr>
        <w:t> — </w:t>
      </w:r>
      <w:r>
        <w:rPr>
          <w:rStyle w:val="CharDivText"/>
        </w:rPr>
        <w:t>Ministerial directions</w:t>
      </w:r>
      <w:bookmarkEnd w:id="53"/>
      <w:bookmarkEnd w:id="54"/>
      <w:bookmarkEnd w:id="55"/>
      <w:bookmarkEnd w:id="56"/>
      <w:bookmarkEnd w:id="57"/>
      <w:bookmarkEnd w:id="58"/>
      <w:bookmarkEnd w:id="59"/>
      <w:r>
        <w:rPr>
          <w:rStyle w:val="CharDivText"/>
        </w:rPr>
        <w:t xml:space="preserve"> </w:t>
      </w:r>
    </w:p>
    <w:p>
      <w:pPr>
        <w:pStyle w:val="Heading5"/>
        <w:rPr>
          <w:snapToGrid w:val="0"/>
        </w:rPr>
      </w:pPr>
      <w:bookmarkStart w:id="60" w:name="_Toc524208743"/>
      <w:bookmarkStart w:id="61" w:name="_Toc398889971"/>
      <w:bookmarkStart w:id="62" w:name="_Toc461550407"/>
      <w:r>
        <w:rPr>
          <w:rStyle w:val="CharSectno"/>
        </w:rPr>
        <w:t>6</w:t>
      </w:r>
      <w:r>
        <w:rPr>
          <w:snapToGrid w:val="0"/>
        </w:rPr>
        <w:t>.</w:t>
      </w:r>
      <w:r>
        <w:rPr>
          <w:snapToGrid w:val="0"/>
        </w:rPr>
        <w:tab/>
        <w:t>Unlawful directions</w:t>
      </w:r>
      <w:bookmarkEnd w:id="60"/>
      <w:bookmarkEnd w:id="61"/>
      <w:bookmarkEnd w:id="62"/>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63" w:name="_Toc524208744"/>
      <w:bookmarkStart w:id="64" w:name="_Toc398889972"/>
      <w:bookmarkStart w:id="65" w:name="_Toc424548571"/>
      <w:bookmarkStart w:id="66" w:name="_Toc434855862"/>
      <w:bookmarkStart w:id="67" w:name="_Toc437952992"/>
      <w:bookmarkStart w:id="68" w:name="_Toc447270460"/>
      <w:bookmarkStart w:id="69" w:name="_Toc461550408"/>
      <w:r>
        <w:rPr>
          <w:rStyle w:val="CharPartNo"/>
        </w:rPr>
        <w:t>Part 3</w:t>
      </w:r>
      <w:r>
        <w:t> — </w:t>
      </w:r>
      <w:r>
        <w:rPr>
          <w:rStyle w:val="CharPartText"/>
        </w:rPr>
        <w:t>Duties of directors of certain corporations</w:t>
      </w:r>
      <w:bookmarkEnd w:id="63"/>
      <w:bookmarkEnd w:id="64"/>
      <w:bookmarkEnd w:id="65"/>
      <w:bookmarkEnd w:id="66"/>
      <w:bookmarkEnd w:id="67"/>
      <w:bookmarkEnd w:id="68"/>
      <w:bookmarkEnd w:id="69"/>
      <w:r>
        <w:rPr>
          <w:rStyle w:val="CharPartText"/>
        </w:rPr>
        <w:t xml:space="preserve"> </w:t>
      </w:r>
    </w:p>
    <w:p>
      <w:pPr>
        <w:pStyle w:val="Heading3"/>
        <w:rPr>
          <w:snapToGrid w:val="0"/>
        </w:rPr>
      </w:pPr>
      <w:bookmarkStart w:id="70" w:name="_Toc524208745"/>
      <w:bookmarkStart w:id="71" w:name="_Toc398889973"/>
      <w:bookmarkStart w:id="72" w:name="_Toc424548572"/>
      <w:bookmarkStart w:id="73" w:name="_Toc434855863"/>
      <w:bookmarkStart w:id="74" w:name="_Toc437952993"/>
      <w:bookmarkStart w:id="75" w:name="_Toc447270461"/>
      <w:bookmarkStart w:id="76" w:name="_Toc461550409"/>
      <w:r>
        <w:rPr>
          <w:rStyle w:val="CharDivNo"/>
        </w:rPr>
        <w:t>Division 1</w:t>
      </w:r>
      <w:r>
        <w:rPr>
          <w:snapToGrid w:val="0"/>
        </w:rPr>
        <w:t> — </w:t>
      </w:r>
      <w:r>
        <w:rPr>
          <w:rStyle w:val="CharDivText"/>
        </w:rPr>
        <w:t>Interpretation</w:t>
      </w:r>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524208746"/>
      <w:bookmarkStart w:id="78" w:name="_Toc398889974"/>
      <w:bookmarkStart w:id="79" w:name="_Toc461550410"/>
      <w:r>
        <w:rPr>
          <w:rStyle w:val="CharSectno"/>
        </w:rPr>
        <w:t>7</w:t>
      </w:r>
      <w:r>
        <w:rPr>
          <w:snapToGrid w:val="0"/>
        </w:rPr>
        <w:t>.</w:t>
      </w:r>
      <w:r>
        <w:rPr>
          <w:snapToGrid w:val="0"/>
        </w:rPr>
        <w:tab/>
        <w:t>Terms used; attempted offences; application of Part</w:t>
      </w:r>
      <w:bookmarkEnd w:id="77"/>
      <w:bookmarkEnd w:id="78"/>
      <w:bookmarkEnd w:id="79"/>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80" w:name="_Toc524208747"/>
      <w:bookmarkStart w:id="81" w:name="_Toc398889975"/>
      <w:bookmarkStart w:id="82" w:name="_Toc461550411"/>
      <w:r>
        <w:rPr>
          <w:rStyle w:val="CharSectno"/>
        </w:rPr>
        <w:t>8</w:t>
      </w:r>
      <w:r>
        <w:rPr>
          <w:snapToGrid w:val="0"/>
        </w:rPr>
        <w:t>.</w:t>
      </w:r>
      <w:r>
        <w:rPr>
          <w:snapToGrid w:val="0"/>
        </w:rPr>
        <w:tab/>
        <w:t>Amendment of Sch. 1</w:t>
      </w:r>
      <w:bookmarkEnd w:id="80"/>
      <w:bookmarkEnd w:id="81"/>
      <w:bookmarkEnd w:id="82"/>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83" w:name="_Toc524208748"/>
      <w:bookmarkStart w:id="84" w:name="_Toc398889976"/>
      <w:bookmarkStart w:id="85" w:name="_Toc424548575"/>
      <w:bookmarkStart w:id="86" w:name="_Toc434855866"/>
      <w:bookmarkStart w:id="87" w:name="_Toc437952996"/>
      <w:bookmarkStart w:id="88" w:name="_Toc447270464"/>
      <w:bookmarkStart w:id="89" w:name="_Toc461550412"/>
      <w:r>
        <w:rPr>
          <w:rStyle w:val="CharDivNo"/>
        </w:rPr>
        <w:t>Division 2</w:t>
      </w:r>
      <w:r>
        <w:rPr>
          <w:snapToGrid w:val="0"/>
        </w:rPr>
        <w:t> — </w:t>
      </w:r>
      <w:r>
        <w:rPr>
          <w:rStyle w:val="CharDivText"/>
        </w:rPr>
        <w:t>Duties stated</w:t>
      </w:r>
      <w:bookmarkEnd w:id="83"/>
      <w:bookmarkEnd w:id="84"/>
      <w:bookmarkEnd w:id="85"/>
      <w:bookmarkEnd w:id="86"/>
      <w:bookmarkEnd w:id="87"/>
      <w:bookmarkEnd w:id="88"/>
      <w:bookmarkEnd w:id="89"/>
      <w:r>
        <w:rPr>
          <w:rStyle w:val="CharDivText"/>
        </w:rPr>
        <w:t xml:space="preserve"> </w:t>
      </w:r>
    </w:p>
    <w:p>
      <w:pPr>
        <w:pStyle w:val="Heading5"/>
        <w:spacing w:before="180"/>
        <w:rPr>
          <w:snapToGrid w:val="0"/>
        </w:rPr>
      </w:pPr>
      <w:bookmarkStart w:id="90" w:name="_Toc524208749"/>
      <w:bookmarkStart w:id="91" w:name="_Toc398889977"/>
      <w:bookmarkStart w:id="92" w:name="_Toc461550413"/>
      <w:r>
        <w:rPr>
          <w:rStyle w:val="CharSectno"/>
        </w:rPr>
        <w:t>9</w:t>
      </w:r>
      <w:r>
        <w:rPr>
          <w:snapToGrid w:val="0"/>
        </w:rPr>
        <w:t>.</w:t>
      </w:r>
      <w:r>
        <w:rPr>
          <w:snapToGrid w:val="0"/>
        </w:rPr>
        <w:tab/>
        <w:t>Duty to act honestly</w:t>
      </w:r>
      <w:bookmarkEnd w:id="90"/>
      <w:bookmarkEnd w:id="91"/>
      <w:bookmarkEnd w:id="92"/>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93" w:name="_Toc524208750"/>
      <w:bookmarkStart w:id="94" w:name="_Toc398889978"/>
      <w:bookmarkStart w:id="95" w:name="_Toc461550414"/>
      <w:r>
        <w:rPr>
          <w:rStyle w:val="CharSectno"/>
        </w:rPr>
        <w:t>10</w:t>
      </w:r>
      <w:r>
        <w:rPr>
          <w:snapToGrid w:val="0"/>
        </w:rPr>
        <w:t>.</w:t>
      </w:r>
      <w:r>
        <w:rPr>
          <w:snapToGrid w:val="0"/>
        </w:rPr>
        <w:tab/>
        <w:t>Duty to exercise reasonable care and diligence</w:t>
      </w:r>
      <w:bookmarkEnd w:id="93"/>
      <w:bookmarkEnd w:id="94"/>
      <w:bookmarkEnd w:id="95"/>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96" w:name="_Toc524208751"/>
      <w:bookmarkStart w:id="97" w:name="_Toc398889979"/>
      <w:bookmarkStart w:id="98" w:name="_Toc461550415"/>
      <w:r>
        <w:rPr>
          <w:rStyle w:val="CharSectno"/>
        </w:rPr>
        <w:t>11</w:t>
      </w:r>
      <w:r>
        <w:rPr>
          <w:snapToGrid w:val="0"/>
        </w:rPr>
        <w:t>.</w:t>
      </w:r>
      <w:r>
        <w:rPr>
          <w:snapToGrid w:val="0"/>
        </w:rPr>
        <w:tab/>
        <w:t>Duty not to make improper use of information</w:t>
      </w:r>
      <w:bookmarkEnd w:id="96"/>
      <w:bookmarkEnd w:id="97"/>
      <w:bookmarkEnd w:id="98"/>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99" w:name="_Toc524208752"/>
      <w:bookmarkStart w:id="100" w:name="_Toc398889980"/>
      <w:bookmarkStart w:id="101" w:name="_Toc461550416"/>
      <w:r>
        <w:rPr>
          <w:rStyle w:val="CharSectno"/>
        </w:rPr>
        <w:t>12</w:t>
      </w:r>
      <w:r>
        <w:rPr>
          <w:snapToGrid w:val="0"/>
        </w:rPr>
        <w:t>.</w:t>
      </w:r>
      <w:r>
        <w:rPr>
          <w:snapToGrid w:val="0"/>
        </w:rPr>
        <w:tab/>
        <w:t>Duty not to make improper use of position</w:t>
      </w:r>
      <w:bookmarkEnd w:id="99"/>
      <w:bookmarkEnd w:id="100"/>
      <w:bookmarkEnd w:id="10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102" w:name="_Toc524208753"/>
      <w:bookmarkStart w:id="103" w:name="_Toc398889981"/>
      <w:bookmarkStart w:id="104" w:name="_Toc424548580"/>
      <w:bookmarkStart w:id="105" w:name="_Toc434855871"/>
      <w:bookmarkStart w:id="106" w:name="_Toc437953001"/>
      <w:bookmarkStart w:id="107" w:name="_Toc447270469"/>
      <w:bookmarkStart w:id="108" w:name="_Toc461550417"/>
      <w:r>
        <w:rPr>
          <w:rStyle w:val="CharDivNo"/>
        </w:rPr>
        <w:t>Division 3</w:t>
      </w:r>
      <w:r>
        <w:rPr>
          <w:snapToGrid w:val="0"/>
        </w:rPr>
        <w:t> — </w:t>
      </w:r>
      <w:r>
        <w:rPr>
          <w:rStyle w:val="CharDivText"/>
        </w:rPr>
        <w:t>Compensation</w:t>
      </w:r>
      <w:bookmarkEnd w:id="102"/>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524208754"/>
      <w:bookmarkStart w:id="110" w:name="_Toc398889982"/>
      <w:bookmarkStart w:id="111" w:name="_Toc461550418"/>
      <w:r>
        <w:rPr>
          <w:rStyle w:val="CharSectno"/>
        </w:rPr>
        <w:t>13</w:t>
      </w:r>
      <w:r>
        <w:rPr>
          <w:snapToGrid w:val="0"/>
        </w:rPr>
        <w:t>.</w:t>
      </w:r>
      <w:r>
        <w:rPr>
          <w:snapToGrid w:val="0"/>
        </w:rPr>
        <w:tab/>
        <w:t>Compensation may be ordered for breach of s. 9, 10, 11 or 12</w:t>
      </w:r>
      <w:bookmarkEnd w:id="109"/>
      <w:bookmarkEnd w:id="110"/>
      <w:bookmarkEnd w:id="11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112" w:name="_Toc524208755"/>
      <w:bookmarkStart w:id="113" w:name="_Toc398889983"/>
      <w:bookmarkStart w:id="114" w:name="_Toc461550419"/>
      <w:r>
        <w:rPr>
          <w:rStyle w:val="CharSectno"/>
        </w:rPr>
        <w:t>14</w:t>
      </w:r>
      <w:r>
        <w:rPr>
          <w:snapToGrid w:val="0"/>
        </w:rPr>
        <w:t>.</w:t>
      </w:r>
      <w:r>
        <w:rPr>
          <w:snapToGrid w:val="0"/>
        </w:rPr>
        <w:tab/>
        <w:t>Civil proceedings for breach of s. 9, 10, 11 or 12</w:t>
      </w:r>
      <w:bookmarkEnd w:id="112"/>
      <w:bookmarkEnd w:id="113"/>
      <w:bookmarkEnd w:id="114"/>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115" w:name="_Toc524208756"/>
      <w:bookmarkStart w:id="116" w:name="_Toc398889984"/>
      <w:bookmarkStart w:id="117" w:name="_Toc461550420"/>
      <w:r>
        <w:rPr>
          <w:rStyle w:val="CharSectno"/>
        </w:rPr>
        <w:t>15</w:t>
      </w:r>
      <w:r>
        <w:rPr>
          <w:snapToGrid w:val="0"/>
        </w:rPr>
        <w:t>.</w:t>
      </w:r>
      <w:r>
        <w:rPr>
          <w:snapToGrid w:val="0"/>
        </w:rPr>
        <w:tab/>
        <w:t>Corporation’s power to insure</w:t>
      </w:r>
      <w:bookmarkEnd w:id="115"/>
      <w:bookmarkEnd w:id="116"/>
      <w:bookmarkEnd w:id="117"/>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118" w:name="_Toc524208757"/>
      <w:bookmarkStart w:id="119" w:name="_Toc398889985"/>
      <w:bookmarkStart w:id="120" w:name="_Toc424548584"/>
      <w:bookmarkStart w:id="121" w:name="_Toc434855875"/>
      <w:bookmarkStart w:id="122" w:name="_Toc437953005"/>
      <w:bookmarkStart w:id="123" w:name="_Toc447270473"/>
      <w:bookmarkStart w:id="124" w:name="_Toc461550421"/>
      <w:r>
        <w:rPr>
          <w:rStyle w:val="CharDivNo"/>
        </w:rPr>
        <w:t>Division 4</w:t>
      </w:r>
      <w:r>
        <w:rPr>
          <w:snapToGrid w:val="0"/>
        </w:rPr>
        <w:t> — </w:t>
      </w:r>
      <w:r>
        <w:rPr>
          <w:rStyle w:val="CharDivText"/>
        </w:rPr>
        <w:t>Ministerial directions</w:t>
      </w:r>
      <w:bookmarkEnd w:id="118"/>
      <w:bookmarkEnd w:id="119"/>
      <w:bookmarkEnd w:id="120"/>
      <w:bookmarkEnd w:id="121"/>
      <w:bookmarkEnd w:id="122"/>
      <w:bookmarkEnd w:id="123"/>
      <w:bookmarkEnd w:id="124"/>
      <w:r>
        <w:rPr>
          <w:rStyle w:val="CharDivText"/>
        </w:rPr>
        <w:t xml:space="preserve"> </w:t>
      </w:r>
    </w:p>
    <w:p>
      <w:pPr>
        <w:pStyle w:val="Heading5"/>
        <w:keepNext w:val="0"/>
        <w:keepLines w:val="0"/>
        <w:rPr>
          <w:snapToGrid w:val="0"/>
        </w:rPr>
      </w:pPr>
      <w:bookmarkStart w:id="125" w:name="_Toc524208758"/>
      <w:bookmarkStart w:id="126" w:name="_Toc398889986"/>
      <w:bookmarkStart w:id="127" w:name="_Toc461550422"/>
      <w:r>
        <w:rPr>
          <w:rStyle w:val="CharSectno"/>
        </w:rPr>
        <w:t>16</w:t>
      </w:r>
      <w:r>
        <w:rPr>
          <w:snapToGrid w:val="0"/>
        </w:rPr>
        <w:t>.</w:t>
      </w:r>
      <w:r>
        <w:rPr>
          <w:snapToGrid w:val="0"/>
        </w:rPr>
        <w:tab/>
        <w:t>Terms used</w:t>
      </w:r>
      <w:bookmarkEnd w:id="125"/>
      <w:bookmarkEnd w:id="126"/>
      <w:bookmarkEnd w:id="127"/>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128" w:name="_Toc524208759"/>
      <w:bookmarkStart w:id="129" w:name="_Toc398889987"/>
      <w:bookmarkStart w:id="130" w:name="_Toc461550423"/>
      <w:r>
        <w:rPr>
          <w:rStyle w:val="CharSectno"/>
        </w:rPr>
        <w:t>17</w:t>
      </w:r>
      <w:r>
        <w:rPr>
          <w:snapToGrid w:val="0"/>
        </w:rPr>
        <w:t>.</w:t>
      </w:r>
      <w:r>
        <w:rPr>
          <w:snapToGrid w:val="0"/>
        </w:rPr>
        <w:tab/>
        <w:t>Governing body may question direction</w:t>
      </w:r>
      <w:bookmarkEnd w:id="128"/>
      <w:bookmarkEnd w:id="129"/>
      <w:bookmarkEnd w:id="130"/>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131" w:name="_Toc524208760"/>
      <w:bookmarkStart w:id="132" w:name="_Toc398889988"/>
      <w:bookmarkStart w:id="133" w:name="_Toc461550424"/>
      <w:r>
        <w:rPr>
          <w:rStyle w:val="CharSectno"/>
        </w:rPr>
        <w:t>18</w:t>
      </w:r>
      <w:r>
        <w:rPr>
          <w:snapToGrid w:val="0"/>
        </w:rPr>
        <w:t>.</w:t>
      </w:r>
      <w:r>
        <w:rPr>
          <w:snapToGrid w:val="0"/>
        </w:rPr>
        <w:tab/>
        <w:t>Corporation may challenge direction</w:t>
      </w:r>
      <w:bookmarkEnd w:id="131"/>
      <w:bookmarkEnd w:id="132"/>
      <w:bookmarkEnd w:id="133"/>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134" w:name="_Toc524208761"/>
      <w:bookmarkStart w:id="135" w:name="_Toc398889989"/>
      <w:bookmarkStart w:id="136" w:name="_Toc461550425"/>
      <w:r>
        <w:rPr>
          <w:rStyle w:val="CharSectno"/>
        </w:rPr>
        <w:t>19</w:t>
      </w:r>
      <w:r>
        <w:rPr>
          <w:snapToGrid w:val="0"/>
        </w:rPr>
        <w:t>.</w:t>
      </w:r>
      <w:r>
        <w:rPr>
          <w:snapToGrid w:val="0"/>
        </w:rPr>
        <w:tab/>
        <w:t>Protection of directors</w:t>
      </w:r>
      <w:bookmarkEnd w:id="134"/>
      <w:bookmarkEnd w:id="135"/>
      <w:bookmarkEnd w:id="136"/>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137" w:name="_Toc524208762"/>
      <w:bookmarkStart w:id="138" w:name="_Toc398889990"/>
      <w:bookmarkStart w:id="139" w:name="_Toc424548589"/>
      <w:bookmarkStart w:id="140" w:name="_Toc434855880"/>
      <w:bookmarkStart w:id="141" w:name="_Toc437953010"/>
      <w:bookmarkStart w:id="142" w:name="_Toc447270478"/>
      <w:bookmarkStart w:id="143" w:name="_Toc461550426"/>
      <w:r>
        <w:rPr>
          <w:rStyle w:val="CharPartNo"/>
        </w:rPr>
        <w:t>Part 4</w:t>
      </w:r>
      <w:r>
        <w:rPr>
          <w:rStyle w:val="CharDivNo"/>
        </w:rPr>
        <w:t> </w:t>
      </w:r>
      <w:r>
        <w:t>—</w:t>
      </w:r>
      <w:r>
        <w:rPr>
          <w:rStyle w:val="CharDivText"/>
        </w:rPr>
        <w:t> </w:t>
      </w:r>
      <w:r>
        <w:rPr>
          <w:rStyle w:val="CharPartText"/>
        </w:rPr>
        <w:t>Relief from liability</w:t>
      </w:r>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524208763"/>
      <w:bookmarkStart w:id="145" w:name="_Toc398889991"/>
      <w:bookmarkStart w:id="146" w:name="_Toc461550427"/>
      <w:r>
        <w:rPr>
          <w:rStyle w:val="CharSectno"/>
        </w:rPr>
        <w:t>20</w:t>
      </w:r>
      <w:r>
        <w:rPr>
          <w:snapToGrid w:val="0"/>
        </w:rPr>
        <w:t>.</w:t>
      </w:r>
      <w:r>
        <w:rPr>
          <w:snapToGrid w:val="0"/>
        </w:rPr>
        <w:tab/>
        <w:t>Relief from liability under s. 5, 13 and 14</w:t>
      </w:r>
      <w:bookmarkEnd w:id="144"/>
      <w:bookmarkEnd w:id="145"/>
      <w:bookmarkEnd w:id="146"/>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47" w:name="_Toc524208764"/>
      <w:bookmarkStart w:id="148" w:name="_Toc398889992"/>
      <w:bookmarkStart w:id="149" w:name="_Toc461550428"/>
      <w:r>
        <w:rPr>
          <w:rStyle w:val="CharSectno"/>
        </w:rPr>
        <w:t>21</w:t>
      </w:r>
      <w:r>
        <w:rPr>
          <w:snapToGrid w:val="0"/>
        </w:rPr>
        <w:t>.</w:t>
      </w:r>
      <w:r>
        <w:rPr>
          <w:snapToGrid w:val="0"/>
        </w:rPr>
        <w:tab/>
        <w:t>Application for relief from liability under s. 5, 13 or 14</w:t>
      </w:r>
      <w:bookmarkEnd w:id="147"/>
      <w:bookmarkEnd w:id="148"/>
      <w:bookmarkEnd w:id="149"/>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50" w:name="_Toc524208765"/>
      <w:bookmarkStart w:id="151" w:name="_Toc398889993"/>
      <w:bookmarkStart w:id="152" w:name="_Toc461550429"/>
      <w:r>
        <w:rPr>
          <w:rStyle w:val="CharSectno"/>
        </w:rPr>
        <w:t>22</w:t>
      </w:r>
      <w:r>
        <w:rPr>
          <w:snapToGrid w:val="0"/>
        </w:rPr>
        <w:t>.</w:t>
      </w:r>
      <w:r>
        <w:rPr>
          <w:snapToGrid w:val="0"/>
        </w:rPr>
        <w:tab/>
        <w:t>Case may be withdrawn from jury</w:t>
      </w:r>
      <w:bookmarkEnd w:id="150"/>
      <w:bookmarkEnd w:id="151"/>
      <w:bookmarkEnd w:id="152"/>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53" w:name="_Toc524208766"/>
      <w:bookmarkStart w:id="154" w:name="_Toc398889994"/>
      <w:bookmarkStart w:id="155" w:name="_Toc424548593"/>
      <w:bookmarkStart w:id="156" w:name="_Toc434855884"/>
      <w:bookmarkStart w:id="157" w:name="_Toc437953014"/>
      <w:bookmarkStart w:id="158" w:name="_Toc447270482"/>
      <w:bookmarkStart w:id="159" w:name="_Toc461550430"/>
      <w:r>
        <w:rPr>
          <w:rStyle w:val="CharSchNo"/>
        </w:rPr>
        <w:t>Schedule 1</w:t>
      </w:r>
      <w:r>
        <w:t> — </w:t>
      </w:r>
      <w:r>
        <w:rPr>
          <w:rStyle w:val="CharSchText"/>
        </w:rPr>
        <w:t>Persons who are directors under Part 3</w:t>
      </w:r>
      <w:bookmarkEnd w:id="153"/>
      <w:bookmarkEnd w:id="154"/>
      <w:bookmarkEnd w:id="155"/>
      <w:bookmarkEnd w:id="156"/>
      <w:bookmarkEnd w:id="157"/>
      <w:bookmarkEnd w:id="158"/>
      <w:bookmarkEnd w:id="159"/>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amended in Gazette 26 Nov 2004 p. 5314</w:t>
      </w:r>
      <w:r>
        <w:noBreakHyphen/>
        <w:t>15; 12 Aug 2014 p. 2891.]</w:t>
      </w:r>
    </w:p>
    <w:p>
      <w:pPr>
        <w:pStyle w:val="yEdnoteschedule"/>
      </w:pPr>
      <w:r>
        <w:t>[Schedule 2 omitted under the Reprints Act 1984 s. 7(4)(e).]</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61" w:name="_Toc524208767"/>
      <w:bookmarkStart w:id="162" w:name="_Toc398889995"/>
      <w:bookmarkStart w:id="163" w:name="_Toc424548594"/>
      <w:bookmarkStart w:id="164" w:name="_Toc434855885"/>
      <w:bookmarkStart w:id="165" w:name="_Toc437953015"/>
      <w:bookmarkStart w:id="166" w:name="_Toc447270483"/>
      <w:bookmarkStart w:id="167" w:name="_Toc461550431"/>
      <w:r>
        <w:t>Notes</w:t>
      </w:r>
      <w:bookmarkEnd w:id="161"/>
      <w:bookmarkEnd w:id="162"/>
      <w:bookmarkEnd w:id="163"/>
      <w:bookmarkEnd w:id="164"/>
      <w:bookmarkEnd w:id="165"/>
      <w:bookmarkEnd w:id="166"/>
      <w:bookmarkEnd w:id="167"/>
    </w:p>
    <w:p>
      <w:pPr>
        <w:pStyle w:val="nSubsection"/>
      </w:pPr>
      <w:r>
        <w:rPr>
          <w:vertAlign w:val="superscript"/>
        </w:rPr>
        <w:t>1</w:t>
      </w:r>
      <w:r>
        <w:tab/>
        <w:t xml:space="preserve">This </w:t>
      </w:r>
      <w:ins w:id="168" w:author="svcMRProcess" w:date="2018-09-08T22:23:00Z">
        <w:r>
          <w:t xml:space="preserve">reprint </w:t>
        </w:r>
      </w:ins>
      <w:r>
        <w:t xml:space="preserve">is a compilation </w:t>
      </w:r>
      <w:ins w:id="169" w:author="svcMRProcess" w:date="2018-09-08T22:23:00Z">
        <w:r>
          <w:t xml:space="preserve">as at 23 September 2016 </w:t>
        </w:r>
      </w:ins>
      <w:r>
        <w:t xml:space="preserve">of the </w:t>
      </w:r>
      <w:r>
        <w:rPr>
          <w:i/>
          <w:noProof/>
        </w:rPr>
        <w:t>Statutory Corporations (Liability of Directors) Act</w:t>
      </w:r>
      <w:del w:id="170" w:author="svcMRProcess" w:date="2018-09-08T22:23:00Z">
        <w:r>
          <w:rPr>
            <w:i/>
            <w:noProof/>
            <w:snapToGrid w:val="0"/>
          </w:rPr>
          <w:delText> </w:delText>
        </w:r>
      </w:del>
      <w:ins w:id="171" w:author="svcMRProcess" w:date="2018-09-08T22:23:00Z">
        <w:r>
          <w:rPr>
            <w:i/>
            <w:noProof/>
          </w:rPr>
          <w:t xml:space="preserve"> </w:t>
        </w:r>
      </w:ins>
      <w:r>
        <w:rPr>
          <w:i/>
          <w:noProof/>
        </w:rPr>
        <w:t>1996</w:t>
      </w:r>
      <w:r>
        <w:t xml:space="preserve"> and includes the amendments made by the other written laws referred to in the following table </w:t>
      </w:r>
      <w:r>
        <w:rPr>
          <w:vertAlign w:val="superscript"/>
        </w:rPr>
        <w:t>1a,</w:t>
      </w:r>
      <w:r>
        <w:t xml:space="preserve"> </w:t>
      </w:r>
      <w:r>
        <w:rPr>
          <w:vertAlign w:val="superscript"/>
        </w:rPr>
        <w:t>5</w:t>
      </w:r>
      <w:r>
        <w:t>.  The table also contains information about any reprint.</w:t>
      </w:r>
    </w:p>
    <w:p>
      <w:pPr>
        <w:pStyle w:val="nHeading3"/>
        <w:rPr>
          <w:snapToGrid w:val="0"/>
        </w:rPr>
      </w:pPr>
      <w:bookmarkStart w:id="172" w:name="_Toc524208768"/>
      <w:bookmarkStart w:id="173" w:name="_Toc398889996"/>
      <w:bookmarkStart w:id="174" w:name="_Toc461550432"/>
      <w:r>
        <w:t>Compilation table</w:t>
      </w:r>
      <w:bookmarkEnd w:id="172"/>
      <w:bookmarkEnd w:id="173"/>
      <w:bookmarkEnd w:id="174"/>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3"/>
        <w:gridCol w:w="28"/>
      </w:tblGrid>
      <w:tr>
        <w:trPr>
          <w:gridBefore w:val="1"/>
          <w:wBefore w:w="28"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8"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51" w:type="dxa"/>
            <w:gridSpan w:val="2"/>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gridBefore w:val="1"/>
          <w:wBefore w:w="28" w:type="dxa"/>
          <w:cantSplit/>
        </w:trPr>
        <w:tc>
          <w:tcPr>
            <w:tcW w:w="2268"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51"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 xml:space="preserve">10 Nov 1998 (see s. 2 and </w:t>
            </w:r>
            <w:r>
              <w:rPr>
                <w:i/>
              </w:rPr>
              <w:t>Gazette</w:t>
            </w:r>
            <w:r>
              <w:t xml:space="preserve"> 10 Nov 1998 p. 6149)</w:t>
            </w:r>
          </w:p>
        </w:tc>
      </w:tr>
      <w:tr>
        <w:trPr>
          <w:gridBefore w:val="1"/>
          <w:wBefore w:w="28" w:type="dxa"/>
          <w:cantSplit/>
        </w:trPr>
        <w:tc>
          <w:tcPr>
            <w:tcW w:w="2268"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51" w:type="dxa"/>
            <w:gridSpan w:val="2"/>
            <w:tcBorders>
              <w:top w:val="nil"/>
              <w:bottom w:val="nil"/>
            </w:tcBorders>
          </w:tcPr>
          <w:p>
            <w:pPr>
              <w:pStyle w:val="nTable"/>
              <w:spacing w:after="40"/>
            </w:pPr>
            <w:r>
              <w:t>30 Jun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51" w:type="dxa"/>
            <w:gridSpan w:val="2"/>
            <w:tcBorders>
              <w:top w:val="nil"/>
              <w:bottom w:val="nil"/>
            </w:tcBorders>
          </w:tcPr>
          <w:p>
            <w:pPr>
              <w:pStyle w:val="nTable"/>
              <w:spacing w:after="40"/>
            </w:pPr>
            <w:r>
              <w:t>19 Nov 1998 (see s. 2)</w:t>
            </w:r>
          </w:p>
        </w:tc>
      </w:tr>
      <w:tr>
        <w:trPr>
          <w:gridBefore w:val="1"/>
          <w:wBefore w:w="28" w:type="dxa"/>
          <w:cantSplit/>
        </w:trPr>
        <w:tc>
          <w:tcPr>
            <w:tcW w:w="2268"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Sch. 1</w:t>
            </w:r>
            <w:del w:id="175" w:author="svcMRProcess" w:date="2018-09-08T22:23:00Z">
              <w:r>
                <w:delText>,</w:delText>
              </w:r>
            </w:del>
            <w:ins w:id="176" w:author="svcMRProcess" w:date="2018-09-08T22:23:00Z">
              <w:r>
                <w:t xml:space="preserve"> and</w:t>
              </w:r>
            </w:ins>
            <w:r>
              <w:t xml:space="preserve">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gridBefore w:val="1"/>
          <w:wBefore w:w="28" w:type="dxa"/>
          <w:cantSplit/>
        </w:trPr>
        <w:tc>
          <w:tcPr>
            <w:tcW w:w="2268"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51"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51" w:type="dxa"/>
            <w:gridSpan w:val="2"/>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51" w:type="dxa"/>
            <w:gridSpan w:val="2"/>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51" w:type="dxa"/>
            <w:gridSpan w:val="2"/>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1"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51" w:type="dxa"/>
            <w:gridSpan w:val="2"/>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gridBefore w:val="1"/>
          <w:wBefore w:w="28" w:type="dxa"/>
          <w:cantSplit/>
          <w:trHeight w:val="40"/>
        </w:trPr>
        <w:tc>
          <w:tcPr>
            <w:tcW w:w="2268"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51" w:type="dxa"/>
            <w:gridSpan w:val="2"/>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51" w:type="dxa"/>
            <w:gridSpan w:val="2"/>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1" w:type="dxa"/>
            <w:gridSpan w:val="2"/>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51" w:type="dxa"/>
            <w:gridSpan w:val="2"/>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gridBefore w:val="1"/>
          <w:wBefore w:w="28" w:type="dxa"/>
          <w:cantSplit/>
        </w:trPr>
        <w:tc>
          <w:tcPr>
            <w:tcW w:w="4536"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gridSpan w:val="2"/>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51" w:type="dxa"/>
            <w:gridSpan w:val="2"/>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51" w:type="dxa"/>
            <w:gridSpan w:val="2"/>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51" w:type="dxa"/>
            <w:gridSpan w:val="2"/>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1" w:type="dxa"/>
            <w:gridSpan w:val="2"/>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51" w:type="dxa"/>
            <w:gridSpan w:val="2"/>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51" w:type="dxa"/>
            <w:gridSpan w:val="2"/>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rPr>
          <w:gridBefore w:val="1"/>
          <w:wBefore w:w="28" w:type="dxa"/>
        </w:trPr>
        <w:tc>
          <w:tcPr>
            <w:tcW w:w="2268"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51" w:type="dxa"/>
            <w:gridSpan w:val="2"/>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rPr>
          <w:gridBefore w:val="1"/>
          <w:wBefore w:w="28" w:type="dxa"/>
        </w:trPr>
        <w:tc>
          <w:tcPr>
            <w:tcW w:w="4536"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gridSpan w:val="2"/>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gridAfter w:val="1"/>
          <w:wAfter w:w="28" w:type="dxa"/>
          <w:cantSplit/>
        </w:trPr>
        <w:tc>
          <w:tcPr>
            <w:tcW w:w="2268" w:type="dxa"/>
            <w:gridSpan w:val="2"/>
            <w:tcBorders>
              <w:top w:val="nil"/>
              <w:bottom w:val="nil"/>
            </w:tcBorders>
            <w:shd w:val="clear" w:color="auto" w:fill="auto"/>
          </w:tcPr>
          <w:p>
            <w:pPr>
              <w:spacing w:before="40" w:after="40"/>
              <w:rPr>
                <w:i/>
                <w:sz w:val="19"/>
              </w:rPr>
            </w:pPr>
            <w:r>
              <w:rPr>
                <w:i/>
                <w:sz w:val="19"/>
              </w:rPr>
              <w:t>Perth Market (Disposal) Act</w:t>
            </w:r>
            <w:del w:id="177" w:author="svcMRProcess" w:date="2018-09-08T22:23:00Z">
              <w:r>
                <w:rPr>
                  <w:i/>
                  <w:sz w:val="19"/>
                </w:rPr>
                <w:delText xml:space="preserve"> </w:delText>
              </w:r>
            </w:del>
            <w:ins w:id="178" w:author="svcMRProcess" w:date="2018-09-08T22:23:00Z">
              <w:r>
                <w:rPr>
                  <w:i/>
                  <w:sz w:val="19"/>
                </w:rPr>
                <w:t> </w:t>
              </w:r>
            </w:ins>
            <w:r>
              <w:rPr>
                <w:i/>
                <w:sz w:val="19"/>
              </w:rPr>
              <w:t xml:space="preserve">2015 </w:t>
            </w:r>
            <w:r>
              <w:rPr>
                <w:sz w:val="19"/>
              </w:rPr>
              <w:t>s. 56 </w:t>
            </w:r>
          </w:p>
        </w:tc>
        <w:tc>
          <w:tcPr>
            <w:tcW w:w="1134" w:type="dxa"/>
            <w:gridSpan w:val="2"/>
            <w:tcBorders>
              <w:top w:val="nil"/>
              <w:bottom w:val="nil"/>
            </w:tcBorders>
            <w:shd w:val="clear" w:color="auto" w:fill="auto"/>
          </w:tcPr>
          <w:p>
            <w:pPr>
              <w:spacing w:before="40" w:after="40"/>
              <w:rPr>
                <w:sz w:val="19"/>
              </w:rPr>
            </w:pPr>
            <w:r>
              <w:rPr>
                <w:sz w:val="19"/>
              </w:rPr>
              <w:t>40 of 2015</w:t>
            </w:r>
          </w:p>
        </w:tc>
        <w:tc>
          <w:tcPr>
            <w:tcW w:w="1134" w:type="dxa"/>
            <w:gridSpan w:val="2"/>
            <w:tcBorders>
              <w:top w:val="nil"/>
              <w:bottom w:val="nil"/>
            </w:tcBorders>
            <w:shd w:val="clear" w:color="auto" w:fill="auto"/>
          </w:tcPr>
          <w:p>
            <w:pPr>
              <w:spacing w:before="40" w:after="40"/>
              <w:rPr>
                <w:sz w:val="19"/>
              </w:rPr>
            </w:pPr>
            <w:r>
              <w:rPr>
                <w:sz w:val="19"/>
              </w:rPr>
              <w:t>8 Dec 2015</w:t>
            </w:r>
          </w:p>
        </w:tc>
        <w:tc>
          <w:tcPr>
            <w:tcW w:w="2551" w:type="dxa"/>
            <w:gridSpan w:val="2"/>
            <w:tcBorders>
              <w:top w:val="nil"/>
              <w:bottom w:val="nil"/>
            </w:tcBorders>
            <w:shd w:val="clear" w:color="auto" w:fill="auto"/>
          </w:tcPr>
          <w:p>
            <w:pPr>
              <w:spacing w:before="40" w:after="40"/>
              <w:rPr>
                <w:sz w:val="19"/>
              </w:rPr>
            </w:pPr>
            <w:r>
              <w:rPr>
                <w:sz w:val="19"/>
              </w:rPr>
              <w:t xml:space="preserve">31 Mar 2016 (see s. 2(2) and </w:t>
            </w:r>
            <w:ins w:id="179" w:author="svcMRProcess" w:date="2018-09-08T22:23:00Z">
              <w:r>
                <w:rPr>
                  <w:sz w:val="19"/>
                </w:rPr>
                <w:t xml:space="preserve">42 and </w:t>
              </w:r>
            </w:ins>
            <w:r>
              <w:rPr>
                <w:i/>
                <w:sz w:val="19"/>
              </w:rPr>
              <w:t>Gazette</w:t>
            </w:r>
            <w:r>
              <w:rPr>
                <w:sz w:val="19"/>
              </w:rPr>
              <w:t xml:space="preserve"> 31 Mar 2016 p. 969)</w:t>
            </w:r>
          </w:p>
        </w:tc>
      </w:tr>
      <w:tr>
        <w:trPr>
          <w:gridAfter w:val="1"/>
          <w:wAfter w:w="28" w:type="dxa"/>
          <w:cantSplit/>
          <w:ins w:id="180" w:author="svcMRProcess" w:date="2018-09-08T22:23:00Z"/>
        </w:trPr>
        <w:tc>
          <w:tcPr>
            <w:tcW w:w="7087" w:type="dxa"/>
            <w:gridSpan w:val="8"/>
            <w:tcBorders>
              <w:top w:val="nil"/>
              <w:bottom w:val="single" w:sz="8" w:space="0" w:color="auto"/>
            </w:tcBorders>
            <w:shd w:val="clear" w:color="auto" w:fill="auto"/>
          </w:tcPr>
          <w:p>
            <w:pPr>
              <w:spacing w:before="40" w:after="40"/>
              <w:rPr>
                <w:ins w:id="181" w:author="svcMRProcess" w:date="2018-09-08T22:23:00Z"/>
                <w:sz w:val="19"/>
              </w:rPr>
            </w:pPr>
            <w:ins w:id="182" w:author="svcMRProcess" w:date="2018-09-08T22:23:00Z">
              <w:r>
                <w:rPr>
                  <w:b/>
                  <w:sz w:val="19"/>
                </w:rPr>
                <w:t xml:space="preserve">Reprint 6: The </w:t>
              </w:r>
              <w:r>
                <w:rPr>
                  <w:b/>
                  <w:i/>
                  <w:noProof/>
                  <w:sz w:val="19"/>
                </w:rPr>
                <w:t>Statutory Corporations (Liability of Directors) Act 1996</w:t>
              </w:r>
              <w:r>
                <w:rPr>
                  <w:b/>
                  <w:sz w:val="19"/>
                </w:rPr>
                <w:t xml:space="preserve"> as at 23 Sep 2016</w:t>
              </w:r>
              <w:r>
                <w:rPr>
                  <w:sz w:val="19"/>
                </w:rPr>
                <w:t xml:space="preserve"> (includes amendments listed above)</w:t>
              </w:r>
            </w:ins>
          </w:p>
        </w:tc>
      </w:tr>
    </w:tbl>
    <w:p>
      <w:pPr>
        <w:pStyle w:val="nSubsection"/>
        <w:keepNext/>
        <w:spacing w:before="360"/>
      </w:pPr>
      <w:r>
        <w:rPr>
          <w:vertAlign w:val="superscript"/>
        </w:rPr>
        <w:t>1a</w:t>
      </w:r>
      <w:r>
        <w:rPr>
          <w:snapToGrid w:val="0"/>
        </w:rPr>
        <w:tab/>
        <w:t xml:space="preserve">On the date as at which this </w:t>
      </w:r>
      <w:del w:id="183" w:author="svcMRProcess" w:date="2018-09-08T22:23:00Z">
        <w:r>
          <w:rPr>
            <w:snapToGrid w:val="0"/>
          </w:rPr>
          <w:delText>compilation</w:delText>
        </w:r>
      </w:del>
      <w:ins w:id="184" w:author="svcMRProcess" w:date="2018-09-08T22:23:00Z">
        <w:r>
          <w:rPr>
            <w:snapToGrid w:val="0"/>
          </w:rPr>
          <w:t>reprint</w:t>
        </w:r>
      </w:ins>
      <w:r>
        <w:rPr>
          <w:snapToGrid w:val="0"/>
        </w:rPr>
        <w:t xml:space="preserve"> was prepared, provisions referred to in the following table had not come into operation and were therefore not included in </w:t>
      </w:r>
      <w:ins w:id="185" w:author="svcMRProcess" w:date="2018-09-08T22:23:00Z">
        <w:r>
          <w:rPr>
            <w:snapToGrid w:val="0"/>
          </w:rPr>
          <w:t xml:space="preserve">compiling </w:t>
        </w:r>
      </w:ins>
      <w:r>
        <w:rPr>
          <w:snapToGrid w:val="0"/>
        </w:rPr>
        <w:t xml:space="preserve">this </w:t>
      </w:r>
      <w:del w:id="186" w:author="svcMRProcess" w:date="2018-09-08T22:23:00Z">
        <w:r>
          <w:rPr>
            <w:snapToGrid w:val="0"/>
          </w:rPr>
          <w:delText>compilation</w:delText>
        </w:r>
      </w:del>
      <w:ins w:id="187" w:author="svcMRProcess" w:date="2018-09-08T22:23:00Z">
        <w:r>
          <w:rPr>
            <w:snapToGrid w:val="0"/>
          </w:rPr>
          <w:t>reprint</w:t>
        </w:r>
      </w:ins>
      <w:r>
        <w:rPr>
          <w:snapToGrid w:val="0"/>
        </w:rPr>
        <w:t>.  For the text of the provisions see the endnotes referred to in the table.</w:t>
      </w:r>
    </w:p>
    <w:p>
      <w:pPr>
        <w:pStyle w:val="nHeading3"/>
      </w:pPr>
      <w:bookmarkStart w:id="188" w:name="_Toc524208769"/>
      <w:bookmarkStart w:id="189" w:name="_Toc457466929"/>
      <w:bookmarkStart w:id="190" w:name="_Toc461550433"/>
      <w:r>
        <w:t>Provisions that have not come into operation</w:t>
      </w:r>
      <w:bookmarkEnd w:id="188"/>
      <w:bookmarkEnd w:id="189"/>
      <w:bookmarkEnd w:id="190"/>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single" w:sz="4" w:space="0" w:color="auto"/>
            </w:tcBorders>
          </w:tcPr>
          <w:p>
            <w:pPr>
              <w:pStyle w:val="nTable"/>
              <w:spacing w:after="40"/>
              <w:rPr>
                <w:szCs w:val="19"/>
              </w:rPr>
            </w:pPr>
            <w:r>
              <w:rPr>
                <w:i/>
                <w:szCs w:val="19"/>
              </w:rPr>
              <w:t>Marketing of Potatoes Amendment and Repeal Act 2016</w:t>
            </w:r>
            <w:r>
              <w:rPr>
                <w:szCs w:val="19"/>
              </w:rPr>
              <w:t xml:space="preserve"> s. 16 </w:t>
            </w:r>
            <w:r>
              <w:rPr>
                <w:szCs w:val="19"/>
                <w:vertAlign w:val="superscript"/>
              </w:rPr>
              <w:t>7</w:t>
            </w:r>
          </w:p>
        </w:tc>
        <w:tc>
          <w:tcPr>
            <w:tcW w:w="1133" w:type="dxa"/>
            <w:tcBorders>
              <w:top w:val="nil"/>
              <w:bottom w:val="single" w:sz="4" w:space="0" w:color="auto"/>
            </w:tcBorders>
          </w:tcPr>
          <w:p>
            <w:pPr>
              <w:pStyle w:val="nTable"/>
              <w:spacing w:after="40"/>
              <w:rPr>
                <w:szCs w:val="19"/>
              </w:rPr>
            </w:pPr>
            <w:r>
              <w:rPr>
                <w:szCs w:val="19"/>
              </w:rPr>
              <w:t>22 of 2016</w:t>
            </w:r>
          </w:p>
        </w:tc>
        <w:tc>
          <w:tcPr>
            <w:tcW w:w="1133" w:type="dxa"/>
            <w:tcBorders>
              <w:top w:val="nil"/>
              <w:bottom w:val="single" w:sz="4" w:space="0" w:color="auto"/>
            </w:tcBorders>
          </w:tcPr>
          <w:p>
            <w:pPr>
              <w:pStyle w:val="nTable"/>
              <w:spacing w:after="40"/>
              <w:rPr>
                <w:szCs w:val="19"/>
              </w:rPr>
            </w:pPr>
            <w:r>
              <w:rPr>
                <w:szCs w:val="19"/>
              </w:rPr>
              <w:t>12 Sep 2016</w:t>
            </w:r>
          </w:p>
        </w:tc>
        <w:tc>
          <w:tcPr>
            <w:tcW w:w="2540" w:type="dxa"/>
            <w:tcBorders>
              <w:top w:val="nil"/>
              <w:bottom w:val="single" w:sz="4" w:space="0" w:color="auto"/>
            </w:tcBorders>
          </w:tcPr>
          <w:p>
            <w:pPr>
              <w:pStyle w:val="nTable"/>
              <w:spacing w:after="40"/>
              <w:rPr>
                <w:snapToGrid w:val="0"/>
                <w:szCs w:val="19"/>
              </w:rPr>
            </w:pPr>
            <w:r>
              <w:rPr>
                <w:snapToGrid w:val="0"/>
                <w:szCs w:val="19"/>
              </w:rPr>
              <w:t>To be proclaimed (see s. 2(d))</w:t>
            </w:r>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w:t>
      </w:r>
      <w:del w:id="191" w:author="svcMRProcess" w:date="2018-09-08T22:23:00Z">
        <w:r>
          <w:delText>compilation</w:delText>
        </w:r>
      </w:del>
      <w:ins w:id="192" w:author="svcMRProcess" w:date="2018-09-08T22:23:00Z">
        <w:r>
          <w:t>reprint</w:t>
        </w:r>
      </w:ins>
      <w:r>
        <w:t xml:space="preserve">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w:t>
      </w:r>
      <w:del w:id="193" w:author="svcMRProcess" w:date="2018-09-08T22:23:00Z">
        <w:r>
          <w:rPr>
            <w:snapToGrid w:val="0"/>
          </w:rPr>
          <w:delText>it</w:delText>
        </w:r>
      </w:del>
      <w:ins w:id="194" w:author="svcMRProcess" w:date="2018-09-08T22:23:00Z">
        <w:r>
          <w:rPr>
            <w:snapToGrid w:val="0"/>
          </w:rPr>
          <w:t>that section</w:t>
        </w:r>
      </w:ins>
      <w:r>
        <w:rPr>
          <w:snapToGrid w:val="0"/>
        </w:rPr>
        <w:t xml:space="preserve"> was repealed by the </w:t>
      </w:r>
      <w:r>
        <w:rPr>
          <w:i/>
          <w:snapToGrid w:val="0"/>
        </w:rPr>
        <w:t>State Superannuation Amendment Act 2011</w:t>
      </w:r>
      <w:r>
        <w:rPr>
          <w:snapToGrid w:val="0"/>
        </w:rPr>
        <w:t xml:space="preserve"> s. 4 before </w:t>
      </w:r>
      <w:del w:id="195" w:author="svcMRProcess" w:date="2018-09-08T22:23:00Z">
        <w:r>
          <w:rPr>
            <w:snapToGrid w:val="0"/>
          </w:rPr>
          <w:delText>the amendment purported to come</w:delText>
        </w:r>
      </w:del>
      <w:ins w:id="196" w:author="svcMRProcess" w:date="2018-09-08T22:23:00Z">
        <w:r>
          <w:rPr>
            <w:snapToGrid w:val="0"/>
          </w:rPr>
          <w:t>it came</w:t>
        </w:r>
      </w:ins>
      <w:r>
        <w:rPr>
          <w:snapToGrid w:val="0"/>
        </w:rPr>
        <w:t xml:space="preserv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w:t>
      </w:r>
      <w:ins w:id="197" w:author="svcMRProcess" w:date="2018-09-08T22:23:00Z">
        <w:r>
          <w:rPr>
            <w:snapToGrid w:val="0"/>
          </w:rPr>
          <w:t xml:space="preserve">the amendment in </w:t>
        </w:r>
      </w:ins>
      <w:r>
        <w:rPr>
          <w:snapToGrid w:val="0"/>
        </w:rPr>
        <w:t>s. 45(3)(b</w:t>
      </w:r>
      <w:del w:id="198" w:author="svcMRProcess" w:date="2018-09-08T22:23:00Z">
        <w:r>
          <w:rPr>
            <w:snapToGrid w:val="0"/>
          </w:rPr>
          <w:delText>).</w:delText>
        </w:r>
      </w:del>
      <w:ins w:id="199" w:author="svcMRProcess" w:date="2018-09-08T22:23:00Z">
        <w:r>
          <w:rPr>
            <w:snapToGrid w:val="0"/>
          </w:rPr>
          <w:t>) of that Act.</w:t>
        </w:r>
      </w:ins>
    </w:p>
    <w:p>
      <w:pPr>
        <w:pStyle w:val="nSubsection"/>
        <w:keepNext/>
        <w:keepLines/>
        <w:spacing w:before="120"/>
      </w:pPr>
      <w:r>
        <w:rPr>
          <w:vertAlign w:val="superscript"/>
        </w:rPr>
        <w:t>7</w:t>
      </w:r>
      <w:r>
        <w:tab/>
      </w:r>
      <w:r>
        <w:rPr>
          <w:snapToGrid w:val="0"/>
        </w:rPr>
        <w:t xml:space="preserve">On the date as at which this </w:t>
      </w:r>
      <w:del w:id="200" w:author="svcMRProcess" w:date="2018-09-08T22:23:00Z">
        <w:r>
          <w:rPr>
            <w:snapToGrid w:val="0"/>
          </w:rPr>
          <w:delText>compilation</w:delText>
        </w:r>
      </w:del>
      <w:ins w:id="201" w:author="svcMRProcess" w:date="2018-09-08T22:23:00Z">
        <w:r>
          <w:rPr>
            <w:snapToGrid w:val="0"/>
          </w:rPr>
          <w:t>reprint</w:t>
        </w:r>
      </w:ins>
      <w:r>
        <w:rPr>
          <w:snapToGrid w:val="0"/>
        </w:rPr>
        <w:t xml:space="preserve"> was prepared, the </w:t>
      </w:r>
      <w:r>
        <w:rPr>
          <w:i/>
          <w:noProof/>
        </w:rPr>
        <w:t>Marketing of Potatoes Amendment and Repeal Act 2016</w:t>
      </w:r>
      <w:r>
        <w:rPr>
          <w:noProof/>
        </w:rPr>
        <w:t xml:space="preserve"> s. 16</w:t>
      </w:r>
      <w:r>
        <w:rPr>
          <w:snapToGrid w:val="0"/>
        </w:rPr>
        <w:t xml:space="preserve"> had not come into operation. It reads as follows:</w:t>
      </w:r>
    </w:p>
    <w:p>
      <w:pPr>
        <w:pStyle w:val="BlankOpen"/>
      </w:pPr>
    </w:p>
    <w:p>
      <w:pPr>
        <w:pStyle w:val="nzHeading5"/>
      </w:pPr>
      <w:bookmarkStart w:id="202" w:name="_Toc460946477"/>
      <w:bookmarkStart w:id="203" w:name="_Toc461532547"/>
      <w:r>
        <w:rPr>
          <w:rStyle w:val="CharSectno"/>
        </w:rPr>
        <w:t>16</w:t>
      </w:r>
      <w:r>
        <w:t>.</w:t>
      </w:r>
      <w:r>
        <w:tab/>
      </w:r>
      <w:r>
        <w:rPr>
          <w:i/>
        </w:rPr>
        <w:t>Statutory Corporations (Liability of Directors) Act 1996</w:t>
      </w:r>
      <w:r>
        <w:t xml:space="preserve"> amended</w:t>
      </w:r>
      <w:bookmarkEnd w:id="202"/>
      <w:bookmarkEnd w:id="203"/>
    </w:p>
    <w:p>
      <w:pPr>
        <w:pStyle w:val="nzSubsection"/>
      </w:pPr>
      <w:r>
        <w:tab/>
        <w:t>(1)</w:t>
      </w:r>
      <w:r>
        <w:tab/>
        <w:t xml:space="preserve">This section amends the </w:t>
      </w:r>
      <w:r>
        <w:rPr>
          <w:i/>
        </w:rPr>
        <w:t>Statutory Corporations (Liability of Directors) Act 1996</w:t>
      </w:r>
      <w:r>
        <w:t>.</w:t>
      </w:r>
    </w:p>
    <w:p>
      <w:pPr>
        <w:pStyle w:val="nzSubsection"/>
      </w:pPr>
      <w:r>
        <w:tab/>
        <w:t>(2)</w:t>
      </w:r>
      <w:r>
        <w:tab/>
        <w:t>In Schedule 1 delete the item relating to the Potato Marketing Corporation of Western Australia.</w:t>
      </w:r>
    </w:p>
    <w:p>
      <w:pPr>
        <w:pStyle w:val="BlankClose"/>
      </w:pPr>
    </w:p>
    <w:p>
      <w:pPr>
        <w:pStyle w:val="BlankOpen"/>
        <w:rPr>
          <w:del w:id="204" w:author="svcMRProcess" w:date="2018-09-08T22:23:00Z"/>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5" w:name="Compilation"/>
    <w:bookmarkEnd w:id="2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1335"/>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4123</Words>
  <Characters>18806</Characters>
  <Application>Microsoft Office Word</Application>
  <DocSecurity>0</DocSecurity>
  <Lines>752</Lines>
  <Paragraphs>467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05-l0-00 - 06-a0-01</dc:title>
  <dc:subject/>
  <dc:creator/>
  <cp:keywords/>
  <dc:description/>
  <cp:lastModifiedBy>svcMRProcess</cp:lastModifiedBy>
  <cp:revision>2</cp:revision>
  <cp:lastPrinted>2016-09-27T01:14:00Z</cp:lastPrinted>
  <dcterms:created xsi:type="dcterms:W3CDTF">2018-09-08T14:23:00Z</dcterms:created>
  <dcterms:modified xsi:type="dcterms:W3CDTF">2018-09-08T14:23:00Z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20160923</vt:lpwstr>
  </property>
  <property fmtid="{D5CDD505-2E9C-101B-9397-08002B2CF9AE}" pid="8" name="FromSuffix">
    <vt:lpwstr>05-l0-00</vt:lpwstr>
  </property>
  <property fmtid="{D5CDD505-2E9C-101B-9397-08002B2CF9AE}" pid="9" name="FromAsAtDate">
    <vt:lpwstr>12 Sep 2016</vt:lpwstr>
  </property>
  <property fmtid="{D5CDD505-2E9C-101B-9397-08002B2CF9AE}" pid="10" name="ToSuffix">
    <vt:lpwstr>06-a0-01</vt:lpwstr>
  </property>
  <property fmtid="{D5CDD505-2E9C-101B-9397-08002B2CF9AE}" pid="11" name="ToAsAtDate">
    <vt:lpwstr>23 Sep 2016</vt:lpwstr>
  </property>
</Properties>
</file>