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(Saturday Lotto)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Dec 2014</w:t>
      </w:r>
      <w:r>
        <w:fldChar w:fldCharType="end"/>
      </w:r>
      <w:r>
        <w:t xml:space="preserve">, </w:t>
      </w:r>
      <w:r>
        <w:fldChar w:fldCharType="begin"/>
      </w:r>
      <w:r>
        <w:instrText xml:space="preserve"> DocProperty FromSuffix </w:instrText>
      </w:r>
      <w:r>
        <w:fldChar w:fldCharType="separate"/>
      </w:r>
      <w:r>
        <w:t>04-d0-04</w:t>
      </w:r>
      <w:r>
        <w:fldChar w:fldCharType="end"/>
      </w:r>
      <w:r>
        <w:t>] and [</w:t>
      </w:r>
      <w:r>
        <w:fldChar w:fldCharType="begin"/>
      </w:r>
      <w:r>
        <w:instrText xml:space="preserve"> DocProperty ToAsAtDate</w:instrText>
      </w:r>
      <w:r>
        <w:fldChar w:fldCharType="separate"/>
      </w:r>
      <w:r>
        <w:t>08 Oct 2016</w:t>
      </w:r>
      <w:r>
        <w:fldChar w:fldCharType="end"/>
      </w:r>
      <w:r>
        <w:t xml:space="preserve">, </w:t>
      </w:r>
      <w:r>
        <w:fldChar w:fldCharType="begin"/>
      </w:r>
      <w:r>
        <w:instrText xml:space="preserve"> DocProperty ToSuffix</w:instrText>
      </w:r>
      <w:r>
        <w:fldChar w:fldCharType="separate"/>
      </w:r>
      <w:r>
        <w:t>04-e0-00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Lotteries Commission Act 1990</w:t>
      </w:r>
    </w:p>
    <w:p>
      <w:pPr>
        <w:pStyle w:val="NameofActReg"/>
        <w:spacing w:before="720"/>
      </w:pPr>
      <w:r>
        <w:t>Lotteries Commission (Saturday Lotto) Rules 1996</w:t>
      </w:r>
    </w:p>
    <w:p>
      <w:pPr>
        <w:pStyle w:val="Heading2"/>
        <w:pageBreakBefore w:val="0"/>
        <w:spacing w:before="120"/>
      </w:pPr>
      <w:bookmarkStart w:id="1" w:name="_Toc391299389"/>
      <w:bookmarkStart w:id="2" w:name="_Toc391299489"/>
      <w:bookmarkStart w:id="3" w:name="_Toc406506892"/>
      <w:bookmarkStart w:id="4" w:name="_Toc421105945"/>
      <w:bookmarkStart w:id="5" w:name="_Toc421106009"/>
      <w:bookmarkStart w:id="6" w:name="_Toc463612413"/>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8" w:name="_Toc406506893"/>
      <w:bookmarkStart w:id="9" w:name="_Toc463612414"/>
      <w:bookmarkStart w:id="10" w:name="_Toc421106010"/>
      <w:r>
        <w:rPr>
          <w:rStyle w:val="CharSectno"/>
        </w:rPr>
        <w:t>1</w:t>
      </w:r>
      <w:r>
        <w:rPr>
          <w:snapToGrid w:val="0"/>
        </w:rPr>
        <w:t>.</w:t>
      </w:r>
      <w:r>
        <w:rPr>
          <w:snapToGrid w:val="0"/>
        </w:rPr>
        <w:tab/>
        <w:t>Citation</w:t>
      </w:r>
      <w:bookmarkEnd w:id="8"/>
      <w:bookmarkEnd w:id="9"/>
      <w:bookmarkEnd w:id="10"/>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11" w:name="_Toc406506894"/>
      <w:bookmarkStart w:id="12" w:name="_Toc463612415"/>
      <w:bookmarkStart w:id="13" w:name="_Toc421106011"/>
      <w:r>
        <w:rPr>
          <w:rStyle w:val="CharSectno"/>
        </w:rPr>
        <w:t>2</w:t>
      </w:r>
      <w:r>
        <w:rPr>
          <w:snapToGrid w:val="0"/>
        </w:rPr>
        <w:t>.</w:t>
      </w:r>
      <w:r>
        <w:rPr>
          <w:snapToGrid w:val="0"/>
        </w:rPr>
        <w:tab/>
        <w:t>Commencement</w:t>
      </w:r>
      <w:bookmarkEnd w:id="11"/>
      <w:bookmarkEnd w:id="12"/>
      <w:bookmarkEnd w:id="13"/>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14" w:name="_Toc406506895"/>
      <w:bookmarkStart w:id="15" w:name="_Toc463612416"/>
      <w:bookmarkStart w:id="16" w:name="_Toc421106012"/>
      <w:r>
        <w:rPr>
          <w:rStyle w:val="CharSectno"/>
        </w:rPr>
        <w:t>3</w:t>
      </w:r>
      <w:r>
        <w:rPr>
          <w:snapToGrid w:val="0"/>
        </w:rPr>
        <w:t>.</w:t>
      </w:r>
      <w:r>
        <w:rPr>
          <w:snapToGrid w:val="0"/>
        </w:rPr>
        <w:tab/>
        <w:t>Terms used</w:t>
      </w:r>
      <w:bookmarkEnd w:id="14"/>
      <w:bookmarkEnd w:id="15"/>
      <w:bookmarkEnd w:id="16"/>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appointed by the Commission as its agent for purposes associated with games of Saturday lotto,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Australian Lotto Bloc</w:t>
      </w:r>
      <w:r>
        <w:t xml:space="preserve"> means a group made up of the Commission and the designated authorities for the States of Queensland, </w:t>
      </w:r>
      <w:smartTag w:uri="urn:schemas-microsoft-com:office:smarttags" w:element="State">
        <w:r>
          <w:t>South Australia</w:t>
        </w:r>
      </w:smartTag>
      <w:r>
        <w:t xml:space="preserve">, </w:t>
      </w:r>
      <w:smartTag w:uri="urn:schemas-microsoft-com:office:smarttags" w:element="State">
        <w:r>
          <w:t>New South Wales</w:t>
        </w:r>
      </w:smartTag>
      <w:r>
        <w:t xml:space="preserve"> and </w:t>
      </w:r>
      <w:smartTag w:uri="urn:schemas-microsoft-com:office:smarttags" w:element="State">
        <w:smartTag w:uri="urn:schemas-microsoft-com:office:smarttags" w:element="place">
          <w:r>
            <w:t>Victoria</w:t>
          </w:r>
        </w:smartTag>
      </w:smartTag>
      <w:r>
        <w: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8(5) or 9(2)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Saturday lotto containing the numbers 1 to 45;</w:t>
      </w:r>
    </w:p>
    <w:p>
      <w:pPr>
        <w:pStyle w:val="Defstart"/>
      </w:pPr>
      <w:r>
        <w:rPr>
          <w:b/>
        </w:rPr>
        <w:tab/>
      </w:r>
      <w:r>
        <w:rPr>
          <w:rStyle w:val="CharDefText"/>
        </w:rPr>
        <w:t>payout period</w:t>
      </w:r>
      <w:r>
        <w:t xml:space="preserve"> means the period from the Sunday after a Saturday lotto draw to the close of business on the day 12 months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these rules;</w:t>
      </w:r>
    </w:p>
    <w:p>
      <w:pPr>
        <w:pStyle w:val="Defstart"/>
      </w:pPr>
      <w:r>
        <w:rPr>
          <w:b/>
        </w:rPr>
        <w:tab/>
      </w:r>
      <w:r>
        <w:rPr>
          <w:rStyle w:val="CharDefText"/>
        </w:rPr>
        <w:t>Saturday lotto draw</w:t>
      </w:r>
      <w:r>
        <w:t xml:space="preserve"> means a lotto draw conducted in accordance with rule 19, and supervised in accordance with rule 16;</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selling period</w:t>
      </w:r>
      <w:r>
        <w:t xml:space="preserve"> means the period terminating at 6.00 p.m. on the day on which a Saturday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r>
      <w:r>
        <w:rPr>
          <w:rStyle w:val="CharDefText"/>
        </w:rPr>
        <w:t>validation period</w:t>
      </w:r>
      <w:r>
        <w:t xml:space="preserve"> means the period of time from a Saturday lotto draw to the close of business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r>
      <w:r>
        <w:rPr>
          <w:rStyle w:val="CharDefText"/>
        </w:rPr>
        <w:t>winning number</w:t>
      </w:r>
      <w:r>
        <w:t xml:space="preserve"> means any one of the first 6 numbers drawn from the barrel in a Saturday lotto draw.</w:t>
      </w:r>
    </w:p>
    <w:p>
      <w:pPr>
        <w:pStyle w:val="Ednotesection"/>
        <w:spacing w:before="120"/>
        <w:ind w:left="890" w:hanging="890"/>
      </w:pPr>
      <w:r>
        <w:tab/>
        <w:t>[Rule 3 amended in Gazette 5 Dec 1997 p. 7131; 9 Mar 2001 p. 1325; 28 Mar 2002 p. 1765; 10 Sep 2002 p. 4597; 6 Jun 2008 p. 2253-4.]</w:t>
      </w:r>
    </w:p>
    <w:p>
      <w:pPr>
        <w:pStyle w:val="Heading2"/>
      </w:pPr>
      <w:bookmarkStart w:id="17" w:name="_Toc391299393"/>
      <w:bookmarkStart w:id="18" w:name="_Toc391299493"/>
      <w:bookmarkStart w:id="19" w:name="_Toc406506896"/>
      <w:bookmarkStart w:id="20" w:name="_Toc421105949"/>
      <w:bookmarkStart w:id="21" w:name="_Toc421106013"/>
      <w:bookmarkStart w:id="22" w:name="_Toc463612417"/>
      <w:r>
        <w:rPr>
          <w:rStyle w:val="CharPartNo"/>
        </w:rPr>
        <w:t>Part 2</w:t>
      </w:r>
      <w:r>
        <w:rPr>
          <w:rStyle w:val="CharDivNo"/>
        </w:rPr>
        <w:t> </w:t>
      </w:r>
      <w:r>
        <w:t>—</w:t>
      </w:r>
      <w:r>
        <w:rPr>
          <w:rStyle w:val="CharDivText"/>
        </w:rPr>
        <w:t> </w:t>
      </w:r>
      <w:r>
        <w:rPr>
          <w:rStyle w:val="CharPartText"/>
        </w:rPr>
        <w:t>Requirements for entry</w:t>
      </w:r>
      <w:bookmarkEnd w:id="17"/>
      <w:bookmarkEnd w:id="18"/>
      <w:bookmarkEnd w:id="19"/>
      <w:bookmarkEnd w:id="20"/>
      <w:bookmarkEnd w:id="21"/>
      <w:bookmarkEnd w:id="22"/>
    </w:p>
    <w:p>
      <w:pPr>
        <w:pStyle w:val="Heading5"/>
        <w:rPr>
          <w:snapToGrid w:val="0"/>
        </w:rPr>
      </w:pPr>
      <w:bookmarkStart w:id="23" w:name="_Toc406506897"/>
      <w:bookmarkStart w:id="24" w:name="_Toc463612418"/>
      <w:bookmarkStart w:id="25" w:name="_Toc421106014"/>
      <w:r>
        <w:rPr>
          <w:rStyle w:val="CharSectno"/>
        </w:rPr>
        <w:t>4</w:t>
      </w:r>
      <w:r>
        <w:rPr>
          <w:snapToGrid w:val="0"/>
        </w:rPr>
        <w:t>.</w:t>
      </w:r>
      <w:r>
        <w:rPr>
          <w:snapToGrid w:val="0"/>
        </w:rPr>
        <w:tab/>
        <w:t>Playslips, information on</w:t>
      </w:r>
      <w:bookmarkEnd w:id="23"/>
      <w:bookmarkEnd w:id="24"/>
      <w:bookmarkEnd w:id="25"/>
    </w:p>
    <w:p>
      <w:pPr>
        <w:pStyle w:val="Subsection"/>
        <w:spacing w:before="140"/>
        <w:rPr>
          <w:snapToGrid w:val="0"/>
        </w:rPr>
      </w:pPr>
      <w:r>
        <w:rPr>
          <w:snapToGrid w:val="0"/>
        </w:rPr>
        <w:tab/>
      </w:r>
      <w:r>
        <w:rPr>
          <w:snapToGrid w:val="0"/>
        </w:rPr>
        <w:tab/>
        <w:t>The Commission must ensure that a playslip for Saturday lotto displays —</w:t>
      </w:r>
    </w:p>
    <w:p>
      <w:pPr>
        <w:pStyle w:val="Indenta"/>
        <w:spacing w:before="60"/>
        <w:rPr>
          <w:snapToGrid w:val="0"/>
        </w:rPr>
      </w:pPr>
      <w:r>
        <w:rPr>
          <w:snapToGrid w:val="0"/>
        </w:rPr>
        <w:tab/>
        <w:t>(a)</w:t>
      </w:r>
      <w:r>
        <w:rPr>
          <w:snapToGrid w:val="0"/>
        </w:rPr>
        <w:tab/>
        <w:t>such details to facilitate entry; and</w:t>
      </w:r>
    </w:p>
    <w:p>
      <w:pPr>
        <w:pStyle w:val="Indenta"/>
        <w:spacing w:before="60"/>
        <w:rPr>
          <w:snapToGrid w:val="0"/>
        </w:rPr>
      </w:pPr>
      <w:r>
        <w:rPr>
          <w:snapToGrid w:val="0"/>
        </w:rPr>
        <w:tab/>
        <w:t>(b)</w:t>
      </w:r>
      <w:r>
        <w:rPr>
          <w:snapToGrid w:val="0"/>
        </w:rPr>
        <w:tab/>
        <w:t>such instructions to subscribers,</w:t>
      </w:r>
    </w:p>
    <w:p>
      <w:pPr>
        <w:pStyle w:val="Subsection"/>
        <w:spacing w:before="120"/>
        <w:rPr>
          <w:snapToGrid w:val="0"/>
        </w:rPr>
      </w:pPr>
      <w:r>
        <w:rPr>
          <w:snapToGrid w:val="0"/>
        </w:rPr>
        <w:tab/>
      </w:r>
      <w:r>
        <w:rPr>
          <w:snapToGrid w:val="0"/>
        </w:rPr>
        <w:tab/>
        <w:t>as the Commission considers necessary.</w:t>
      </w:r>
    </w:p>
    <w:p>
      <w:pPr>
        <w:pStyle w:val="Ednotesection"/>
        <w:spacing w:before="100"/>
        <w:ind w:left="890" w:hanging="890"/>
      </w:pPr>
      <w:r>
        <w:tab/>
        <w:t>[Rule 4 amended in Gazette 6 Jun 2008 p. 2254.]</w:t>
      </w:r>
    </w:p>
    <w:p>
      <w:pPr>
        <w:pStyle w:val="Heading5"/>
        <w:rPr>
          <w:snapToGrid w:val="0"/>
        </w:rPr>
      </w:pPr>
      <w:bookmarkStart w:id="26" w:name="_Toc406506898"/>
      <w:bookmarkStart w:id="27" w:name="_Toc463612419"/>
      <w:bookmarkStart w:id="28" w:name="_Toc421106015"/>
      <w:r>
        <w:rPr>
          <w:rStyle w:val="CharSectno"/>
        </w:rPr>
        <w:t>5</w:t>
      </w:r>
      <w:r>
        <w:rPr>
          <w:snapToGrid w:val="0"/>
        </w:rPr>
        <w:t>.</w:t>
      </w:r>
      <w:r>
        <w:rPr>
          <w:snapToGrid w:val="0"/>
        </w:rPr>
        <w:tab/>
        <w:t>Methods of entry</w:t>
      </w:r>
      <w:bookmarkEnd w:id="26"/>
      <w:bookmarkEnd w:id="27"/>
      <w:bookmarkEnd w:id="28"/>
    </w:p>
    <w:p>
      <w:pPr>
        <w:pStyle w:val="Subsection"/>
        <w:spacing w:before="140"/>
        <w:rPr>
          <w:snapToGrid w:val="0"/>
        </w:rPr>
      </w:pPr>
      <w:r>
        <w:rPr>
          <w:snapToGrid w:val="0"/>
        </w:rPr>
        <w:tab/>
        <w:t>(1)</w:t>
      </w:r>
      <w:r>
        <w:rPr>
          <w:snapToGrid w:val="0"/>
        </w:rPr>
        <w:tab/>
        <w:t xml:space="preserve">A person may enter Saturday </w:t>
      </w:r>
      <w:r>
        <w:t>lotto —</w:t>
      </w:r>
    </w:p>
    <w:p>
      <w:pPr>
        <w:pStyle w:val="Indenta"/>
        <w:spacing w:before="60"/>
        <w:rPr>
          <w:snapToGrid w:val="0"/>
        </w:rPr>
      </w:pPr>
      <w:r>
        <w:rPr>
          <w:snapToGrid w:val="0"/>
        </w:rPr>
        <w:tab/>
        <w:t>(a)</w:t>
      </w:r>
      <w:r>
        <w:rPr>
          <w:snapToGrid w:val="0"/>
        </w:rPr>
        <w:tab/>
        <w:t>by filling out a playslip in accordance with rule 8 and giving it to an agent; or</w:t>
      </w:r>
    </w:p>
    <w:p>
      <w:pPr>
        <w:pStyle w:val="Indenta"/>
        <w:spacing w:before="60"/>
        <w:rPr>
          <w:snapToGrid w:val="0"/>
        </w:rPr>
      </w:pPr>
      <w:r>
        <w:rPr>
          <w:snapToGrid w:val="0"/>
        </w:rPr>
        <w:tab/>
        <w:t>(b)</w:t>
      </w:r>
      <w:r>
        <w:rPr>
          <w:snapToGrid w:val="0"/>
        </w:rPr>
        <w:tab/>
        <w:t>by making an oral request for entry in accordance with</w:t>
      </w:r>
      <w:r>
        <w:t xml:space="preserve"> rule 9; or</w:t>
      </w:r>
    </w:p>
    <w:p>
      <w:pPr>
        <w:pStyle w:val="Indenta"/>
        <w:spacing w:before="60"/>
      </w:pPr>
      <w:r>
        <w:tab/>
        <w:t>(c)</w:t>
      </w:r>
      <w:r>
        <w:tab/>
        <w:t>by using the “ticket repeat” method set out in rule 8A; or</w:t>
      </w:r>
    </w:p>
    <w:p>
      <w:pPr>
        <w:pStyle w:val="Indenta"/>
        <w:spacing w:before="60"/>
      </w:pPr>
      <w:r>
        <w:tab/>
        <w:t>(d)</w:t>
      </w:r>
      <w:r>
        <w:tab/>
        <w:t xml:space="preserve">online in accordance with the </w:t>
      </w:r>
      <w:r>
        <w:rPr>
          <w:i/>
          <w:iCs/>
        </w:rPr>
        <w:t>Lotteries Commission (Internet Entries) Rules 2010</w:t>
      </w:r>
      <w:r>
        <w:t>,</w:t>
      </w:r>
    </w:p>
    <w:p>
      <w:pPr>
        <w:pStyle w:val="Subsection"/>
        <w:spacing w:before="120"/>
        <w:rPr>
          <w:snapToGrid w:val="0"/>
        </w:rPr>
      </w:pPr>
      <w:r>
        <w:rPr>
          <w:snapToGrid w:val="0"/>
        </w:rPr>
        <w:tab/>
      </w:r>
      <w:r>
        <w:rPr>
          <w:snapToGrid w:val="0"/>
        </w:rPr>
        <w:tab/>
        <w:t>and paying the appropriate amount</w:t>
      </w:r>
      <w:r>
        <w:t xml:space="preserve"> as calculated using the formula set out in Schedule 1.</w:t>
      </w:r>
    </w:p>
    <w:p>
      <w:pPr>
        <w:pStyle w:val="Subsection"/>
        <w:spacing w:before="140"/>
      </w:pPr>
      <w:r>
        <w:tab/>
        <w:t>(1A)</w:t>
      </w:r>
      <w:r>
        <w:tab/>
        <w:t>A person may enter Saturday lotto by redeeming a promotional coupon and, in that case, may be required to pay less than the amount payable under subrule (1).</w:t>
      </w:r>
    </w:p>
    <w:p>
      <w:pPr>
        <w:pStyle w:val="Subsection"/>
        <w:spacing w:before="140"/>
      </w:pPr>
      <w:r>
        <w:tab/>
        <w:t>(1B)</w:t>
      </w:r>
      <w:r>
        <w:tab/>
        <w:t>A person may enter Saturday lotto as a part of a syndicate in accordance with Part 2A.</w:t>
      </w:r>
    </w:p>
    <w:p>
      <w:pPr>
        <w:pStyle w:val="Subsection"/>
        <w:spacing w:before="140"/>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Ednotesection"/>
        <w:spacing w:before="120"/>
        <w:ind w:left="890" w:hanging="890"/>
      </w:pPr>
      <w:r>
        <w:tab/>
        <w:t>[Rule 5 amended in Gazette 6 Jun 2008 p. 2255-6; 19 Nov 2010 p. 5730; 16 Dec 2014 p. 4761.]</w:t>
      </w:r>
    </w:p>
    <w:p>
      <w:pPr>
        <w:pStyle w:val="Heading5"/>
        <w:rPr>
          <w:snapToGrid w:val="0"/>
        </w:rPr>
      </w:pPr>
      <w:bookmarkStart w:id="29" w:name="_Toc406506899"/>
      <w:bookmarkStart w:id="30" w:name="_Toc463612420"/>
      <w:bookmarkStart w:id="31" w:name="_Toc421106016"/>
      <w:r>
        <w:rPr>
          <w:rStyle w:val="CharSectno"/>
        </w:rPr>
        <w:t>6</w:t>
      </w:r>
      <w:r>
        <w:rPr>
          <w:snapToGrid w:val="0"/>
        </w:rPr>
        <w:t>.</w:t>
      </w:r>
      <w:r>
        <w:rPr>
          <w:snapToGrid w:val="0"/>
        </w:rPr>
        <w:tab/>
        <w:t>No limit to number of entries</w:t>
      </w:r>
      <w:bookmarkEnd w:id="29"/>
      <w:bookmarkEnd w:id="30"/>
      <w:bookmarkEnd w:id="31"/>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32" w:name="_Toc406506900"/>
      <w:bookmarkStart w:id="33" w:name="_Toc463612421"/>
      <w:bookmarkStart w:id="34" w:name="_Toc421106017"/>
      <w:r>
        <w:rPr>
          <w:rStyle w:val="CharSectno"/>
        </w:rPr>
        <w:t>7</w:t>
      </w:r>
      <w:r>
        <w:rPr>
          <w:snapToGrid w:val="0"/>
        </w:rPr>
        <w:t>.</w:t>
      </w:r>
      <w:r>
        <w:rPr>
          <w:snapToGrid w:val="0"/>
        </w:rPr>
        <w:tab/>
        <w:t>Super 66 entry may be made with lotto entry</w:t>
      </w:r>
      <w:bookmarkEnd w:id="32"/>
      <w:bookmarkEnd w:id="33"/>
      <w:bookmarkEnd w:id="34"/>
    </w:p>
    <w:p>
      <w:pPr>
        <w:pStyle w:val="Subsection"/>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35" w:name="_Toc406506901"/>
      <w:bookmarkStart w:id="36" w:name="_Toc463612422"/>
      <w:bookmarkStart w:id="37" w:name="_Toc421106018"/>
      <w:r>
        <w:rPr>
          <w:rStyle w:val="CharSectno"/>
        </w:rPr>
        <w:t>8</w:t>
      </w:r>
      <w:r>
        <w:rPr>
          <w:snapToGrid w:val="0"/>
        </w:rPr>
        <w:t>.</w:t>
      </w:r>
      <w:r>
        <w:rPr>
          <w:snapToGrid w:val="0"/>
        </w:rPr>
        <w:tab/>
        <w:t>Playslips, how to be filled out</w:t>
      </w:r>
      <w:bookmarkEnd w:id="35"/>
      <w:bookmarkEnd w:id="36"/>
      <w:bookmarkEnd w:id="37"/>
    </w:p>
    <w:p>
      <w:pPr>
        <w:pStyle w:val="Subsection"/>
        <w:rPr>
          <w:snapToGrid w:val="0"/>
        </w:rPr>
      </w:pPr>
      <w:r>
        <w:rPr>
          <w:snapToGrid w:val="0"/>
        </w:rPr>
        <w:tab/>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t>(a)</w:t>
      </w:r>
      <w:r>
        <w:rPr>
          <w:snapToGrid w:val="0"/>
        </w:rPr>
        <w:tab/>
        <w:t>select 6 numbers out of the numbers 1 to 45 in each of at least 4 game boards on</w:t>
      </w:r>
      <w:r>
        <w:t xml:space="preserve"> the playslip;</w:t>
      </w:r>
      <w:r>
        <w:rPr>
          <w:snapToGrid w:val="0"/>
        </w:rPr>
        <w:t xml:space="preserve"> or</w:t>
      </w:r>
    </w:p>
    <w:p>
      <w:pPr>
        <w:pStyle w:val="Indenta"/>
        <w:rPr>
          <w:snapToGrid w:val="0"/>
        </w:rPr>
      </w:pPr>
      <w:r>
        <w:rPr>
          <w:snapToGrid w:val="0"/>
        </w:rPr>
        <w:tab/>
        <w:t>(b)</w:t>
      </w:r>
      <w:r>
        <w:rPr>
          <w:snapToGrid w:val="0"/>
        </w:rPr>
        <w:tab/>
        <w:t>select between 4 and 20 numbers (other than 6 numbers) out of the numbers 1 to 45 in one or more game boards on</w:t>
      </w:r>
      <w:r>
        <w:t xml:space="preserve"> the playslip.</w:t>
      </w:r>
    </w:p>
    <w:p>
      <w:pPr>
        <w:pStyle w:val="Subsection"/>
        <w:rPr>
          <w:snapToGrid w:val="0"/>
        </w:rPr>
      </w:pPr>
      <w:r>
        <w:rPr>
          <w:snapToGrid w:val="0"/>
        </w:rPr>
        <w:tab/>
        <w:t>(2)</w:t>
      </w:r>
      <w:r>
        <w:rPr>
          <w:snapToGrid w:val="0"/>
        </w:rPr>
        <w:tab/>
        <w:t xml:space="preserve">A subscriber who has filled out a game board on a </w:t>
      </w:r>
      <w:r>
        <w:t>playslip</w:t>
      </w:r>
      <w:r>
        <w:rPr>
          <w:snapToGrid w:val="0"/>
        </w:rPr>
        <w:t xml:space="preserve"> in accordance with rule 8(1) may enter up to 17 further systems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keepNext/>
        <w:rPr>
          <w:snapToGrid w:val="0"/>
        </w:rPr>
      </w:pPr>
      <w:r>
        <w:rPr>
          <w:snapToGrid w:val="0"/>
        </w:rPr>
        <w:tab/>
        <w:t>(4)</w:t>
      </w:r>
      <w:r>
        <w:rPr>
          <w:snapToGrid w:val="0"/>
        </w:rPr>
        <w:tab/>
      </w:r>
      <w:r>
        <w:t>A playslip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t>(a)</w:t>
      </w:r>
      <w:r>
        <w:rPr>
          <w:snapToGrid w:val="0"/>
        </w:rPr>
        <w:tab/>
        <w:t>6 selected numbers, the resulting receipted ticket constitutes one entry (made up of up to 18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w:t>
      </w:r>
      <w:r>
        <w:t xml:space="preserve"> playslip</w:t>
      </w:r>
      <w:r>
        <w:rPr>
          <w:snapToGrid w:val="0"/>
        </w:rPr>
        <w:t>.</w:t>
      </w:r>
    </w:p>
    <w:p>
      <w:pPr>
        <w:pStyle w:val="Footnotesection"/>
      </w:pPr>
      <w:r>
        <w:tab/>
        <w:t>[Rule 8 amended in Gazette 9 Mar 2001 p. 1325; 10 Sep 2002 p. 4598; 23 Dec 2005 p. 6274; 6 Jun 2008 p. 2256-7.]</w:t>
      </w:r>
    </w:p>
    <w:p>
      <w:pPr>
        <w:pStyle w:val="Heading5"/>
      </w:pPr>
      <w:bookmarkStart w:id="38" w:name="_Toc406506902"/>
      <w:bookmarkStart w:id="39" w:name="_Toc463612423"/>
      <w:bookmarkStart w:id="40" w:name="_Toc421106019"/>
      <w:r>
        <w:rPr>
          <w:rStyle w:val="CharSectno"/>
        </w:rPr>
        <w:t>8A</w:t>
      </w:r>
      <w:r>
        <w:t>.</w:t>
      </w:r>
      <w:r>
        <w:tab/>
        <w:t>Ticket repeat method of entry</w:t>
      </w:r>
      <w:bookmarkEnd w:id="38"/>
      <w:bookmarkEnd w:id="39"/>
      <w:bookmarkEnd w:id="40"/>
    </w:p>
    <w:p>
      <w:pPr>
        <w:pStyle w:val="Subsection"/>
      </w:pPr>
      <w:r>
        <w:tab/>
        <w:t>(1)</w:t>
      </w:r>
      <w:r>
        <w:tab/>
        <w:t>A person may select the numbers and game type required to enter Saturday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2257; amended in Gazette 15 May 2009 p. 1635.]</w:t>
      </w:r>
    </w:p>
    <w:p>
      <w:pPr>
        <w:pStyle w:val="Heading5"/>
        <w:rPr>
          <w:snapToGrid w:val="0"/>
        </w:rPr>
      </w:pPr>
      <w:bookmarkStart w:id="41" w:name="_Toc406506903"/>
      <w:bookmarkStart w:id="42" w:name="_Toc463612424"/>
      <w:bookmarkStart w:id="43" w:name="_Toc421106020"/>
      <w:r>
        <w:rPr>
          <w:rStyle w:val="CharSectno"/>
        </w:rPr>
        <w:t>8B</w:t>
      </w:r>
      <w:r>
        <w:rPr>
          <w:snapToGrid w:val="0"/>
        </w:rPr>
        <w:t>.</w:t>
      </w:r>
      <w:r>
        <w:rPr>
          <w:snapToGrid w:val="0"/>
        </w:rPr>
        <w:tab/>
        <w:t>Favourite numbers, use of</w:t>
      </w:r>
      <w:bookmarkEnd w:id="41"/>
      <w:bookmarkEnd w:id="42"/>
      <w:bookmarkEnd w:id="43"/>
    </w:p>
    <w:p>
      <w:pPr>
        <w:pStyle w:val="Subsection"/>
      </w:pPr>
      <w:r>
        <w:tab/>
        <w:t>(1)</w:t>
      </w:r>
      <w:r>
        <w:tab/>
        <w:t>A person who has a player’s card may —</w:t>
      </w:r>
    </w:p>
    <w:p>
      <w:pPr>
        <w:pStyle w:val="Indenta"/>
      </w:pPr>
      <w:r>
        <w:tab/>
        <w:t>(a)</w:t>
      </w:r>
      <w:r>
        <w:tab/>
        <w:t>select the numbers and game type required to enter Saturday lotto by presenting his or her player’s card and a playslip filled out with a selection of the “favourite numbers” (and game types) for Saturday lotto that relate to the card; or</w:t>
      </w:r>
    </w:p>
    <w:p>
      <w:pPr>
        <w:pStyle w:val="Indenta"/>
      </w:pPr>
      <w:r>
        <w:tab/>
        <w:t>(b)</w:t>
      </w:r>
      <w:r>
        <w:tab/>
        <w:t>select the numbers and game type required to enter Saturday lotto by presenting his or her player’s card and orally requesting the selection of the “favourite numbers” (and game types) for Saturday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2258.]</w:t>
      </w:r>
    </w:p>
    <w:p>
      <w:pPr>
        <w:pStyle w:val="Heading5"/>
        <w:rPr>
          <w:snapToGrid w:val="0"/>
        </w:rPr>
      </w:pPr>
      <w:bookmarkStart w:id="44" w:name="_Toc406506904"/>
      <w:bookmarkStart w:id="45" w:name="_Toc463612425"/>
      <w:bookmarkStart w:id="46" w:name="_Toc421106021"/>
      <w:r>
        <w:rPr>
          <w:rStyle w:val="CharSectno"/>
        </w:rPr>
        <w:t>9</w:t>
      </w:r>
      <w:r>
        <w:rPr>
          <w:snapToGrid w:val="0"/>
        </w:rPr>
        <w:t>.</w:t>
      </w:r>
      <w:r>
        <w:rPr>
          <w:snapToGrid w:val="0"/>
        </w:rPr>
        <w:tab/>
        <w:t>Oral request for entry</w:t>
      </w:r>
      <w:bookmarkEnd w:id="44"/>
      <w:bookmarkEnd w:id="45"/>
      <w:bookmarkEnd w:id="46"/>
    </w:p>
    <w:p>
      <w:pPr>
        <w:pStyle w:val="Subsection"/>
        <w:rPr>
          <w:snapToGrid w:val="0"/>
        </w:rPr>
      </w:pPr>
      <w:r>
        <w:rPr>
          <w:snapToGrid w:val="0"/>
        </w:rPr>
        <w:tab/>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Saturday lotto; and</w:t>
      </w:r>
    </w:p>
    <w:p>
      <w:pPr>
        <w:pStyle w:val="Indenta"/>
        <w:rPr>
          <w:snapToGrid w:val="0"/>
        </w:rPr>
      </w:pPr>
      <w:r>
        <w:rPr>
          <w:snapToGrid w:val="0"/>
        </w:rPr>
        <w:tab/>
        <w:t>(b)</w:t>
      </w:r>
      <w:r>
        <w:rPr>
          <w:snapToGrid w:val="0"/>
        </w:rPr>
        <w:tab/>
        <w:t>whether the subscriber wishes to select —</w:t>
      </w:r>
    </w:p>
    <w:p>
      <w:pPr>
        <w:pStyle w:val="Indenti"/>
        <w:rPr>
          <w:snapToGrid w:val="0"/>
        </w:rPr>
      </w:pPr>
      <w:r>
        <w:rPr>
          <w:snapToGrid w:val="0"/>
        </w:rPr>
        <w:tab/>
        <w:t>(i)</w:t>
      </w:r>
      <w:r>
        <w:rPr>
          <w:snapToGrid w:val="0"/>
        </w:rPr>
        <w:tab/>
        <w:t>6 selected numbers; or</w:t>
      </w:r>
    </w:p>
    <w:p>
      <w:pPr>
        <w:pStyle w:val="Indenti"/>
        <w:keepNext/>
        <w:rPr>
          <w:snapToGrid w:val="0"/>
        </w:rPr>
      </w:pPr>
      <w:r>
        <w:rPr>
          <w:snapToGrid w:val="0"/>
        </w:rPr>
        <w:tab/>
        <w:t>(ii)</w:t>
      </w:r>
      <w:r>
        <w:rPr>
          <w:snapToGrid w:val="0"/>
        </w:rPr>
        <w:tab/>
        <w:t>between 4 and 20 selected numbers (other than 6 numbers) (ie. a systems entry);</w:t>
      </w:r>
    </w:p>
    <w:p>
      <w:pPr>
        <w:pStyle w:val="Indenta"/>
        <w:keepNext/>
      </w:pPr>
      <w:r>
        <w:tab/>
      </w:r>
      <w:r>
        <w:tab/>
      </w:r>
      <w:r>
        <w:rPr>
          <w:snapToGrid w:val="0"/>
        </w:rPr>
        <w:t>and</w:t>
      </w:r>
    </w:p>
    <w:p>
      <w:pPr>
        <w:pStyle w:val="Indenta"/>
        <w:keepNext/>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6 selected numbers, the entry will be entered in</w:t>
      </w:r>
      <w:r>
        <w:t xml:space="preserve"> the number of games selected under subrule (1)(c);</w:t>
      </w:r>
      <w:r>
        <w:rPr>
          <w:snapToGrid w:val="0"/>
        </w:rPr>
        <w:t xml:space="preserve">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 consecutive weeks, and the subscriber must specify which of the allowed options he or she wishes to exercise.</w:t>
      </w:r>
    </w:p>
    <w:p>
      <w:pPr>
        <w:pStyle w:val="Footnotesection"/>
      </w:pPr>
      <w:r>
        <w:tab/>
        <w:t>[Rule 9 amended in Gazette 29 Apr 1997 p. 2147; 9 Mar 2001 p. 1326; 10 Sep 2002 p. 4599; 23 Dec 2005 p. 6274-5; 6 Jun 2008 p. 2258-9.]</w:t>
      </w:r>
    </w:p>
    <w:p>
      <w:pPr>
        <w:pStyle w:val="Ednotesection"/>
      </w:pPr>
      <w:r>
        <w:t>[</w:t>
      </w:r>
      <w:r>
        <w:rPr>
          <w:b/>
        </w:rPr>
        <w:t>10.</w:t>
      </w:r>
      <w:r>
        <w:tab/>
        <w:t>Deleted in Gazette 16 Dec 2014 p. 4761.]</w:t>
      </w:r>
    </w:p>
    <w:p>
      <w:pPr>
        <w:pStyle w:val="Heading5"/>
        <w:rPr>
          <w:snapToGrid w:val="0"/>
        </w:rPr>
      </w:pPr>
      <w:bookmarkStart w:id="47" w:name="_Toc406506905"/>
      <w:bookmarkStart w:id="48" w:name="_Toc463612426"/>
      <w:bookmarkStart w:id="49" w:name="_Toc421106022"/>
      <w:r>
        <w:rPr>
          <w:rStyle w:val="CharSectno"/>
        </w:rPr>
        <w:t>11</w:t>
      </w:r>
      <w:r>
        <w:rPr>
          <w:snapToGrid w:val="0"/>
        </w:rPr>
        <w:t>.</w:t>
      </w:r>
      <w:r>
        <w:rPr>
          <w:snapToGrid w:val="0"/>
        </w:rPr>
        <w:tab/>
        <w:t>Receipted tickets to be issued</w:t>
      </w:r>
      <w:bookmarkEnd w:id="47"/>
      <w:bookmarkEnd w:id="48"/>
      <w:bookmarkEnd w:id="49"/>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Ednotesubsection"/>
      </w:pPr>
      <w:r>
        <w:tab/>
        <w:t>[(3)</w:t>
      </w:r>
      <w:r>
        <w:tab/>
        <w:t>deleted.]</w:t>
      </w:r>
    </w:p>
    <w:p>
      <w:pPr>
        <w:pStyle w:val="Footnotesection"/>
      </w:pPr>
      <w:r>
        <w:tab/>
        <w:t>[Rule 11 amended in Gazette 6 Jun 2008 p. 2259-60; 16 Dec 2014 p. 4761.]</w:t>
      </w:r>
    </w:p>
    <w:p>
      <w:pPr>
        <w:pStyle w:val="Heading5"/>
        <w:rPr>
          <w:snapToGrid w:val="0"/>
        </w:rPr>
      </w:pPr>
      <w:bookmarkStart w:id="50" w:name="_Toc406506906"/>
      <w:bookmarkStart w:id="51" w:name="_Toc463612427"/>
      <w:bookmarkStart w:id="52" w:name="_Toc421106023"/>
      <w:r>
        <w:rPr>
          <w:rStyle w:val="CharSectno"/>
        </w:rPr>
        <w:t>12</w:t>
      </w:r>
      <w:r>
        <w:rPr>
          <w:snapToGrid w:val="0"/>
        </w:rPr>
        <w:t>.</w:t>
      </w:r>
      <w:r>
        <w:rPr>
          <w:snapToGrid w:val="0"/>
        </w:rPr>
        <w:tab/>
        <w:t>Receipted tickets, surrender of</w:t>
      </w:r>
      <w:bookmarkEnd w:id="50"/>
      <w:bookmarkEnd w:id="51"/>
      <w:bookmarkEnd w:id="52"/>
    </w:p>
    <w:p>
      <w:pPr>
        <w:pStyle w:val="Subsection"/>
        <w:rPr>
          <w:snapToGrid w:val="0"/>
        </w:rPr>
      </w:pPr>
      <w:r>
        <w:rPr>
          <w:snapToGrid w:val="0"/>
        </w:rPr>
        <w:tab/>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t>(a)</w:t>
      </w:r>
      <w:r>
        <w:rPr>
          <w:snapToGrid w:val="0"/>
        </w:rPr>
        <w:tab/>
        <w:t>to the selling point at which it was purchased; and</w:t>
      </w:r>
    </w:p>
    <w:p>
      <w:pPr>
        <w:pStyle w:val="Indenta"/>
        <w:rPr>
          <w:snapToGrid w:val="0"/>
        </w:rPr>
      </w:pPr>
      <w:r>
        <w:rPr>
          <w:snapToGrid w:val="0"/>
        </w:rPr>
        <w:tab/>
        <w:t>(b)</w:t>
      </w:r>
      <w:r>
        <w:rPr>
          <w:snapToGrid w:val="0"/>
        </w:rPr>
        <w:tab/>
        <w:t>on the day on which it was purchased; and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 6 Jun 2008 p. 2260.]</w:t>
      </w:r>
    </w:p>
    <w:p>
      <w:pPr>
        <w:pStyle w:val="Heading5"/>
        <w:rPr>
          <w:snapToGrid w:val="0"/>
        </w:rPr>
      </w:pPr>
      <w:bookmarkStart w:id="53" w:name="_Toc406506907"/>
      <w:bookmarkStart w:id="54" w:name="_Toc463612428"/>
      <w:bookmarkStart w:id="55" w:name="_Toc421106024"/>
      <w:r>
        <w:rPr>
          <w:rStyle w:val="CharSectno"/>
        </w:rPr>
        <w:t>13</w:t>
      </w:r>
      <w:r>
        <w:rPr>
          <w:snapToGrid w:val="0"/>
        </w:rPr>
        <w:t>.</w:t>
      </w:r>
      <w:r>
        <w:rPr>
          <w:snapToGrid w:val="0"/>
        </w:rPr>
        <w:tab/>
        <w:t>Receipted tickets, agents not required to check accuracy of</w:t>
      </w:r>
      <w:bookmarkEnd w:id="53"/>
      <w:bookmarkEnd w:id="54"/>
      <w:bookmarkEnd w:id="55"/>
    </w:p>
    <w:p>
      <w:pPr>
        <w:pStyle w:val="Subsection"/>
        <w:rPr>
          <w:snapToGrid w:val="0"/>
        </w:rPr>
      </w:pPr>
      <w:r>
        <w:rPr>
          <w:snapToGrid w:val="0"/>
        </w:rPr>
        <w:tab/>
      </w:r>
      <w:r>
        <w:rPr>
          <w:snapToGrid w:val="0"/>
        </w:rPr>
        <w:tab/>
        <w:t xml:space="preserve">An agent who generates a receipted ticket by processing </w:t>
      </w:r>
      <w:r>
        <w:t>a playslip, a promotional coupon,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r>
        <w:tab/>
        <w:t>[Rule 13 amended in Gazette 6 Jun 2008 p. 2260.]</w:t>
      </w:r>
    </w:p>
    <w:p>
      <w:pPr>
        <w:pStyle w:val="Heading5"/>
        <w:rPr>
          <w:snapToGrid w:val="0"/>
        </w:rPr>
      </w:pPr>
      <w:bookmarkStart w:id="56" w:name="_Toc406506908"/>
      <w:bookmarkStart w:id="57" w:name="_Toc463612429"/>
      <w:bookmarkStart w:id="58" w:name="_Toc421106025"/>
      <w:r>
        <w:rPr>
          <w:rStyle w:val="CharSectno"/>
        </w:rPr>
        <w:t>14</w:t>
      </w:r>
      <w:r>
        <w:rPr>
          <w:snapToGrid w:val="0"/>
        </w:rPr>
        <w:t>.</w:t>
      </w:r>
      <w:r>
        <w:rPr>
          <w:snapToGrid w:val="0"/>
        </w:rPr>
        <w:tab/>
        <w:t>Receipted tickets, effect of</w:t>
      </w:r>
      <w:bookmarkEnd w:id="56"/>
      <w:bookmarkEnd w:id="57"/>
      <w:bookmarkEnd w:id="58"/>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Saturday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t>(a)</w:t>
      </w:r>
      <w:r>
        <w:rPr>
          <w:snapToGrid w:val="0"/>
        </w:rPr>
        <w:tab/>
        <w:t>has been surrendered in accordance with rule 12; or</w:t>
      </w:r>
    </w:p>
    <w:p>
      <w:pPr>
        <w:pStyle w:val="Indenta"/>
      </w:pPr>
      <w:r>
        <w:tab/>
        <w:t>(ab)</w:t>
      </w:r>
      <w:r>
        <w:tab/>
        <w:t>is partially invalid because a “consecutive week” option is not allowed for some of the draws on the receipted ticket; or</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10 Sep 2002 p. 4599; 23 Dec 2005 p. 6275; 6 Jun 2008 p. 2261.]</w:t>
      </w:r>
    </w:p>
    <w:p>
      <w:pPr>
        <w:pStyle w:val="Heading2"/>
      </w:pPr>
      <w:bookmarkStart w:id="59" w:name="_Toc391299407"/>
      <w:bookmarkStart w:id="60" w:name="_Toc391299507"/>
      <w:bookmarkStart w:id="61" w:name="_Toc406506909"/>
      <w:bookmarkStart w:id="62" w:name="_Toc421105962"/>
      <w:bookmarkStart w:id="63" w:name="_Toc421106026"/>
      <w:bookmarkStart w:id="64" w:name="_Toc463612430"/>
      <w:r>
        <w:rPr>
          <w:rStyle w:val="CharPartNo"/>
        </w:rPr>
        <w:t>Part 2A</w:t>
      </w:r>
      <w:r>
        <w:rPr>
          <w:b w:val="0"/>
        </w:rPr>
        <w:t> </w:t>
      </w:r>
      <w:r>
        <w:t>—</w:t>
      </w:r>
      <w:r>
        <w:rPr>
          <w:b w:val="0"/>
        </w:rPr>
        <w:t> </w:t>
      </w:r>
      <w:r>
        <w:rPr>
          <w:rStyle w:val="CharPartText"/>
        </w:rPr>
        <w:t>Syndicate entries</w:t>
      </w:r>
      <w:bookmarkEnd w:id="59"/>
      <w:bookmarkEnd w:id="60"/>
      <w:bookmarkEnd w:id="61"/>
      <w:bookmarkEnd w:id="62"/>
      <w:bookmarkEnd w:id="63"/>
      <w:bookmarkEnd w:id="64"/>
    </w:p>
    <w:p>
      <w:pPr>
        <w:pStyle w:val="Footnoteheading"/>
      </w:pPr>
      <w:r>
        <w:tab/>
        <w:t>[Heading inserted in Gazette 6 Jun 2008 p. 2261.]</w:t>
      </w:r>
    </w:p>
    <w:p>
      <w:pPr>
        <w:pStyle w:val="Heading5"/>
      </w:pPr>
      <w:bookmarkStart w:id="65" w:name="_Toc406506910"/>
      <w:bookmarkStart w:id="66" w:name="_Toc463612431"/>
      <w:bookmarkStart w:id="67" w:name="_Toc421106027"/>
      <w:r>
        <w:rPr>
          <w:rStyle w:val="CharSectno"/>
        </w:rPr>
        <w:t>14A</w:t>
      </w:r>
      <w:r>
        <w:t>.</w:t>
      </w:r>
      <w:r>
        <w:tab/>
        <w:t>Informal syndicate entries; application of this Part</w:t>
      </w:r>
      <w:bookmarkEnd w:id="65"/>
      <w:bookmarkEnd w:id="66"/>
      <w:bookmarkEnd w:id="67"/>
    </w:p>
    <w:p>
      <w:pPr>
        <w:pStyle w:val="Subsection"/>
      </w:pPr>
      <w:r>
        <w:tab/>
        <w:t>(1)</w:t>
      </w:r>
      <w:r>
        <w:tab/>
        <w:t>An “informal syndicate entry” in a Saturday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Saturday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2261-2.]</w:t>
      </w:r>
    </w:p>
    <w:p>
      <w:pPr>
        <w:pStyle w:val="Heading5"/>
      </w:pPr>
      <w:bookmarkStart w:id="68" w:name="_Toc406506911"/>
      <w:bookmarkStart w:id="69" w:name="_Toc463612432"/>
      <w:bookmarkStart w:id="70" w:name="_Toc421106028"/>
      <w:r>
        <w:rPr>
          <w:rStyle w:val="CharSectno"/>
        </w:rPr>
        <w:t>14B</w:t>
      </w:r>
      <w:r>
        <w:t>.</w:t>
      </w:r>
      <w:r>
        <w:tab/>
        <w:t>Creating a syndicate</w:t>
      </w:r>
      <w:bookmarkEnd w:id="68"/>
      <w:bookmarkEnd w:id="69"/>
      <w:bookmarkEnd w:id="70"/>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keepNext/>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2262; amended in Gazette 12 Mar 2010 p. 949.]</w:t>
      </w:r>
    </w:p>
    <w:p>
      <w:pPr>
        <w:pStyle w:val="Heading5"/>
      </w:pPr>
      <w:bookmarkStart w:id="71" w:name="_Toc406506912"/>
      <w:bookmarkStart w:id="72" w:name="_Toc463612433"/>
      <w:bookmarkStart w:id="73" w:name="_Toc421106029"/>
      <w:r>
        <w:rPr>
          <w:rStyle w:val="CharSectno"/>
        </w:rPr>
        <w:t>14C</w:t>
      </w:r>
      <w:r>
        <w:t>.</w:t>
      </w:r>
      <w:r>
        <w:tab/>
        <w:t>Syndicate share numbers and cost parameters</w:t>
      </w:r>
      <w:bookmarkEnd w:id="71"/>
      <w:bookmarkEnd w:id="72"/>
      <w:bookmarkEnd w:id="73"/>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14C inserted in Gazette 6 Jun 2008 p. 2262-3; amended in Gazette 12 Mar 2010 p. 949.]</w:t>
      </w:r>
    </w:p>
    <w:p>
      <w:pPr>
        <w:pStyle w:val="Heading5"/>
      </w:pPr>
      <w:bookmarkStart w:id="74" w:name="_Toc406506913"/>
      <w:bookmarkStart w:id="75" w:name="_Toc463612434"/>
      <w:bookmarkStart w:id="76" w:name="_Toc421106030"/>
      <w:r>
        <w:rPr>
          <w:rStyle w:val="CharSectno"/>
        </w:rPr>
        <w:t>14D</w:t>
      </w:r>
      <w:r>
        <w:t>.</w:t>
      </w:r>
      <w:r>
        <w:tab/>
        <w:t>Agent’s component of syndicate share</w:t>
      </w:r>
      <w:bookmarkEnd w:id="74"/>
      <w:bookmarkEnd w:id="75"/>
      <w:bookmarkEnd w:id="76"/>
    </w:p>
    <w:p>
      <w:pPr>
        <w:pStyle w:val="Subsection"/>
      </w:pPr>
      <w:r>
        <w:tab/>
      </w:r>
      <w:r>
        <w:tab/>
        <w:t>The agent’s component per share is the difference between the final price per share and the subscription per share.</w:t>
      </w:r>
    </w:p>
    <w:p>
      <w:pPr>
        <w:pStyle w:val="Footnotesection"/>
      </w:pPr>
      <w:r>
        <w:tab/>
        <w:t>[Rule 14D inserted in Gazette 12 Mar 2010 p. 950.]</w:t>
      </w:r>
    </w:p>
    <w:p>
      <w:pPr>
        <w:pStyle w:val="Heading5"/>
      </w:pPr>
      <w:bookmarkStart w:id="77" w:name="_Toc406506914"/>
      <w:bookmarkStart w:id="78" w:name="_Toc463612435"/>
      <w:bookmarkStart w:id="79" w:name="_Toc421106031"/>
      <w:r>
        <w:rPr>
          <w:rStyle w:val="CharSectno"/>
        </w:rPr>
        <w:t>14E</w:t>
      </w:r>
      <w:r>
        <w:t>.</w:t>
      </w:r>
      <w:r>
        <w:tab/>
        <w:t>Syndicate participation parameters</w:t>
      </w:r>
      <w:bookmarkEnd w:id="77"/>
      <w:bookmarkEnd w:id="78"/>
      <w:bookmarkEnd w:id="79"/>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Saturday lotto and another type of lotto under the Act.</w:t>
      </w:r>
    </w:p>
    <w:p>
      <w:pPr>
        <w:pStyle w:val="Footnotesection"/>
      </w:pPr>
      <w:r>
        <w:tab/>
        <w:t>[Rule 14E inserted in Gazette 6 Jun 2008 p. 2263.]</w:t>
      </w:r>
    </w:p>
    <w:p>
      <w:pPr>
        <w:pStyle w:val="Heading5"/>
      </w:pPr>
      <w:bookmarkStart w:id="80" w:name="_Toc406506915"/>
      <w:bookmarkStart w:id="81" w:name="_Toc463612436"/>
      <w:bookmarkStart w:id="82" w:name="_Toc421106032"/>
      <w:r>
        <w:rPr>
          <w:rStyle w:val="CharSectno"/>
        </w:rPr>
        <w:t>14F</w:t>
      </w:r>
      <w:r>
        <w:t>.</w:t>
      </w:r>
      <w:r>
        <w:tab/>
        <w:t>Types of syndicate entries</w:t>
      </w:r>
      <w:bookmarkEnd w:id="80"/>
      <w:bookmarkEnd w:id="81"/>
      <w:bookmarkEnd w:id="82"/>
    </w:p>
    <w:p>
      <w:pPr>
        <w:pStyle w:val="Subsection"/>
      </w:pPr>
      <w:r>
        <w:tab/>
        <w:t>(1)</w:t>
      </w:r>
      <w:r>
        <w:tab/>
        <w:t>A syndicate entry in a Saturday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2263-4.]</w:t>
      </w:r>
    </w:p>
    <w:p>
      <w:pPr>
        <w:pStyle w:val="Heading5"/>
      </w:pPr>
      <w:bookmarkStart w:id="83" w:name="_Toc406506916"/>
      <w:bookmarkStart w:id="84" w:name="_Toc463612437"/>
      <w:bookmarkStart w:id="85" w:name="_Toc421106033"/>
      <w:r>
        <w:rPr>
          <w:rStyle w:val="CharSectno"/>
        </w:rPr>
        <w:t>14G</w:t>
      </w:r>
      <w:r>
        <w:t>.</w:t>
      </w:r>
      <w:r>
        <w:tab/>
        <w:t>Syndicate share receipted ticket, registering and cancelling</w:t>
      </w:r>
      <w:bookmarkEnd w:id="83"/>
      <w:bookmarkEnd w:id="84"/>
      <w:bookmarkEnd w:id="85"/>
    </w:p>
    <w:p>
      <w:pPr>
        <w:pStyle w:val="Subsection"/>
      </w:pPr>
      <w:r>
        <w:tab/>
        <w:t>(1)</w:t>
      </w:r>
      <w:r>
        <w:tab/>
        <w:t>A syndicate share receipted ticket in a Saturday lotto draw may be registered by the subscriber so that a player’s card membership number is allocated to that receipted ticket.</w:t>
      </w:r>
    </w:p>
    <w:p>
      <w:pPr>
        <w:pStyle w:val="Subsection"/>
      </w:pPr>
      <w:r>
        <w:tab/>
        <w:t>(2)</w:t>
      </w:r>
      <w:r>
        <w:tab/>
        <w:t>A syndicate share receipted ticket in a Saturday lotto draw cannot be cancelled but, where the Commission agrees, the entry fee may be refunded and the ticket may be returned for resale.</w:t>
      </w:r>
    </w:p>
    <w:p>
      <w:pPr>
        <w:pStyle w:val="Footnotesection"/>
      </w:pPr>
      <w:r>
        <w:tab/>
        <w:t>[Rule 14G inserted in Gazette 6 Jun 2008 p. 2264.]</w:t>
      </w:r>
    </w:p>
    <w:p>
      <w:pPr>
        <w:pStyle w:val="Heading5"/>
      </w:pPr>
      <w:bookmarkStart w:id="86" w:name="_Toc406506917"/>
      <w:bookmarkStart w:id="87" w:name="_Toc463612438"/>
      <w:bookmarkStart w:id="88" w:name="_Toc421106034"/>
      <w:r>
        <w:rPr>
          <w:rStyle w:val="CharSectno"/>
        </w:rPr>
        <w:t>14H</w:t>
      </w:r>
      <w:r>
        <w:t>.</w:t>
      </w:r>
      <w:r>
        <w:tab/>
        <w:t>Unsold shares in some syndicates; syndicate master ticket</w:t>
      </w:r>
      <w:bookmarkEnd w:id="86"/>
      <w:bookmarkEnd w:id="87"/>
      <w:bookmarkEnd w:id="88"/>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2264; amended in Gazette 12 Mar 2010 p. 950.]</w:t>
      </w:r>
    </w:p>
    <w:p>
      <w:pPr>
        <w:pStyle w:val="Heading2"/>
      </w:pPr>
      <w:bookmarkStart w:id="89" w:name="_Toc391299416"/>
      <w:bookmarkStart w:id="90" w:name="_Toc391299516"/>
      <w:bookmarkStart w:id="91" w:name="_Toc406506918"/>
      <w:bookmarkStart w:id="92" w:name="_Toc421105971"/>
      <w:bookmarkStart w:id="93" w:name="_Toc421106035"/>
      <w:bookmarkStart w:id="94" w:name="_Toc463612439"/>
      <w:r>
        <w:rPr>
          <w:rStyle w:val="CharPartNo"/>
        </w:rPr>
        <w:t>Part 3</w:t>
      </w:r>
      <w:r>
        <w:rPr>
          <w:rStyle w:val="CharDivNo"/>
        </w:rPr>
        <w:t> </w:t>
      </w:r>
      <w:r>
        <w:t>—</w:t>
      </w:r>
      <w:r>
        <w:rPr>
          <w:rStyle w:val="CharDivText"/>
        </w:rPr>
        <w:t> </w:t>
      </w:r>
      <w:r>
        <w:rPr>
          <w:rStyle w:val="CharPartText"/>
        </w:rPr>
        <w:t>General duties of Commission</w:t>
      </w:r>
      <w:bookmarkEnd w:id="89"/>
      <w:bookmarkEnd w:id="90"/>
      <w:bookmarkEnd w:id="91"/>
      <w:bookmarkEnd w:id="92"/>
      <w:bookmarkEnd w:id="93"/>
      <w:bookmarkEnd w:id="94"/>
    </w:p>
    <w:p>
      <w:pPr>
        <w:pStyle w:val="Heading5"/>
        <w:rPr>
          <w:snapToGrid w:val="0"/>
        </w:rPr>
      </w:pPr>
      <w:bookmarkStart w:id="95" w:name="_Toc406506919"/>
      <w:bookmarkStart w:id="96" w:name="_Toc463612440"/>
      <w:bookmarkStart w:id="97" w:name="_Toc421106036"/>
      <w:r>
        <w:rPr>
          <w:rStyle w:val="CharSectno"/>
        </w:rPr>
        <w:t>15</w:t>
      </w:r>
      <w:r>
        <w:rPr>
          <w:snapToGrid w:val="0"/>
        </w:rPr>
        <w:t>.</w:t>
      </w:r>
      <w:r>
        <w:rPr>
          <w:snapToGrid w:val="0"/>
        </w:rPr>
        <w:tab/>
        <w:t>Each draw to be numbered</w:t>
      </w:r>
      <w:bookmarkEnd w:id="95"/>
      <w:bookmarkEnd w:id="96"/>
      <w:bookmarkEnd w:id="97"/>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98" w:name="_Toc406506920"/>
      <w:bookmarkStart w:id="99" w:name="_Toc463612441"/>
      <w:bookmarkStart w:id="100" w:name="_Toc421106037"/>
      <w:r>
        <w:rPr>
          <w:rStyle w:val="CharSectno"/>
        </w:rPr>
        <w:t>16</w:t>
      </w:r>
      <w:r>
        <w:t>.</w:t>
      </w:r>
      <w:r>
        <w:tab/>
        <w:t>Saturday lotto to be supervised</w:t>
      </w:r>
      <w:bookmarkEnd w:id="98"/>
      <w:bookmarkEnd w:id="99"/>
      <w:bookmarkEnd w:id="100"/>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101" w:name="_Toc406506921"/>
      <w:bookmarkStart w:id="102" w:name="_Toc463612442"/>
      <w:bookmarkStart w:id="103" w:name="_Toc421106038"/>
      <w:r>
        <w:rPr>
          <w:rStyle w:val="CharSectno"/>
        </w:rPr>
        <w:t>17</w:t>
      </w:r>
      <w:r>
        <w:rPr>
          <w:snapToGrid w:val="0"/>
        </w:rPr>
        <w:t>.</w:t>
      </w:r>
      <w:r>
        <w:rPr>
          <w:snapToGrid w:val="0"/>
        </w:rPr>
        <w:tab/>
        <w:t>Results etc. to be published</w:t>
      </w:r>
      <w:bookmarkEnd w:id="101"/>
      <w:bookmarkEnd w:id="102"/>
      <w:bookmarkEnd w:id="103"/>
    </w:p>
    <w:p>
      <w:pPr>
        <w:pStyle w:val="Subsection"/>
        <w:rPr>
          <w:snapToGrid w:val="0"/>
        </w:rPr>
      </w:pPr>
      <w:r>
        <w:rPr>
          <w:snapToGrid w:val="0"/>
        </w:rPr>
        <w:tab/>
      </w:r>
      <w:r>
        <w:rPr>
          <w:snapToGrid w:val="0"/>
        </w:rPr>
        <w:tab/>
        <w:t xml:space="preserve">After each Saturday lotto draw the Commission must </w:t>
      </w:r>
      <w:r>
        <w:t xml:space="preserve">publish — </w:t>
      </w:r>
    </w:p>
    <w:p>
      <w:pPr>
        <w:pStyle w:val="Indenta"/>
        <w:rPr>
          <w:snapToGrid w:val="0"/>
        </w:rPr>
      </w:pPr>
      <w:r>
        <w:rPr>
          <w:snapToGrid w:val="0"/>
        </w:rPr>
        <w:tab/>
        <w:t>(a)</w:t>
      </w:r>
      <w:r>
        <w:rPr>
          <w:snapToGrid w:val="0"/>
        </w:rPr>
        <w:tab/>
        <w:t>the “draw number” for that Saturday lotto draw; and</w:t>
      </w:r>
    </w:p>
    <w:p>
      <w:pPr>
        <w:pStyle w:val="Indenta"/>
        <w:rPr>
          <w:snapToGrid w:val="0"/>
        </w:rPr>
      </w:pPr>
      <w:r>
        <w:rPr>
          <w:snapToGrid w:val="0"/>
        </w:rPr>
        <w:tab/>
        <w:t>(b)</w:t>
      </w:r>
      <w:r>
        <w:rPr>
          <w:snapToGrid w:val="0"/>
        </w:rPr>
        <w:tab/>
        <w:t>the 6 winning numbers and the 2 supplementary numbers; and</w:t>
      </w:r>
    </w:p>
    <w:p>
      <w:pPr>
        <w:pStyle w:val="Indenta"/>
        <w:rPr>
          <w:snapToGrid w:val="0"/>
        </w:rPr>
      </w:pPr>
      <w:r>
        <w:rPr>
          <w:snapToGrid w:val="0"/>
        </w:rPr>
        <w:tab/>
        <w:t>(c)</w:t>
      </w:r>
      <w:r>
        <w:rPr>
          <w:snapToGrid w:val="0"/>
        </w:rPr>
        <w:tab/>
        <w:t>the prize pool for each division; and</w:t>
      </w:r>
    </w:p>
    <w:p>
      <w:pPr>
        <w:pStyle w:val="Indenta"/>
        <w:rPr>
          <w:snapToGrid w:val="0"/>
        </w:rPr>
      </w:pPr>
      <w:r>
        <w:rPr>
          <w:snapToGrid w:val="0"/>
        </w:rPr>
        <w:tab/>
        <w:t>(d)</w:t>
      </w:r>
      <w:r>
        <w:rPr>
          <w:snapToGrid w:val="0"/>
        </w:rPr>
        <w:tab/>
        <w:t>the amount allocated to a winning game in each division; and</w:t>
      </w:r>
    </w:p>
    <w:p>
      <w:pPr>
        <w:pStyle w:val="Indenta"/>
        <w:rPr>
          <w:snapToGrid w:val="0"/>
        </w:rPr>
      </w:pPr>
      <w:r>
        <w:rPr>
          <w:snapToGrid w:val="0"/>
        </w:rPr>
        <w:tab/>
        <w:t>(e)</w:t>
      </w:r>
      <w:r>
        <w:rPr>
          <w:snapToGrid w:val="0"/>
        </w:rPr>
        <w:tab/>
        <w:t>the validation period and the date after which division 1 prizes will be paid; and</w:t>
      </w:r>
    </w:p>
    <w:p>
      <w:pPr>
        <w:pStyle w:val="Indenta"/>
        <w:rPr>
          <w:snapToGrid w:val="0"/>
        </w:rPr>
      </w:pPr>
      <w:r>
        <w:rPr>
          <w:snapToGrid w:val="0"/>
        </w:rPr>
        <w:tab/>
        <w:t>(f)</w:t>
      </w:r>
      <w:r>
        <w:rPr>
          <w:snapToGrid w:val="0"/>
        </w:rPr>
        <w:tab/>
        <w:t>the total prize pool for that Saturday lotto draw; and</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Footnotesection"/>
      </w:pPr>
      <w:r>
        <w:tab/>
        <w:t>[Rule 17 amended in Gazette 16 Dec 2014 p. 4761.]</w:t>
      </w:r>
    </w:p>
    <w:p>
      <w:pPr>
        <w:pStyle w:val="Heading5"/>
        <w:rPr>
          <w:snapToGrid w:val="0"/>
        </w:rPr>
      </w:pPr>
      <w:bookmarkStart w:id="104" w:name="_Toc406506922"/>
      <w:bookmarkStart w:id="105" w:name="_Toc463612443"/>
      <w:bookmarkStart w:id="106" w:name="_Toc421106039"/>
      <w:r>
        <w:rPr>
          <w:rStyle w:val="CharSectno"/>
        </w:rPr>
        <w:t>18</w:t>
      </w:r>
      <w:r>
        <w:rPr>
          <w:snapToGrid w:val="0"/>
        </w:rPr>
        <w:t>.</w:t>
      </w:r>
      <w:r>
        <w:rPr>
          <w:snapToGrid w:val="0"/>
        </w:rPr>
        <w:tab/>
        <w:t>Australian Lotto Bloc prize pool and prize reserve fund</w:t>
      </w:r>
      <w:bookmarkEnd w:id="104"/>
      <w:bookmarkEnd w:id="105"/>
      <w:bookmarkEnd w:id="106"/>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Saturday lotto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Footnotesection"/>
      </w:pPr>
      <w:r>
        <w:tab/>
        <w:t>[Rule 18 amended in Gazette 29 Sep 2006 p. 4268; 26 Jun 2007 p. 3054.]</w:t>
      </w:r>
    </w:p>
    <w:p>
      <w:pPr>
        <w:pStyle w:val="Heading2"/>
      </w:pPr>
      <w:bookmarkStart w:id="107" w:name="_Toc391299421"/>
      <w:bookmarkStart w:id="108" w:name="_Toc391299521"/>
      <w:bookmarkStart w:id="109" w:name="_Toc406506923"/>
      <w:bookmarkStart w:id="110" w:name="_Toc421105976"/>
      <w:bookmarkStart w:id="111" w:name="_Toc421106040"/>
      <w:bookmarkStart w:id="112" w:name="_Toc463612444"/>
      <w:r>
        <w:rPr>
          <w:rStyle w:val="CharPartNo"/>
        </w:rPr>
        <w:t>Part 4</w:t>
      </w:r>
      <w:r>
        <w:rPr>
          <w:rStyle w:val="CharDivNo"/>
        </w:rPr>
        <w:t> </w:t>
      </w:r>
      <w:r>
        <w:t>—</w:t>
      </w:r>
      <w:r>
        <w:rPr>
          <w:rStyle w:val="CharDivText"/>
        </w:rPr>
        <w:t> </w:t>
      </w:r>
      <w:r>
        <w:rPr>
          <w:rStyle w:val="CharPartText"/>
        </w:rPr>
        <w:t>Saturday lotto draw</w:t>
      </w:r>
      <w:bookmarkEnd w:id="107"/>
      <w:bookmarkEnd w:id="108"/>
      <w:bookmarkEnd w:id="109"/>
      <w:bookmarkEnd w:id="110"/>
      <w:bookmarkEnd w:id="111"/>
      <w:bookmarkEnd w:id="112"/>
    </w:p>
    <w:p>
      <w:pPr>
        <w:pStyle w:val="Heading5"/>
        <w:spacing w:before="180"/>
        <w:rPr>
          <w:snapToGrid w:val="0"/>
        </w:rPr>
      </w:pPr>
      <w:bookmarkStart w:id="113" w:name="_Toc406506924"/>
      <w:bookmarkStart w:id="114" w:name="_Toc463612445"/>
      <w:bookmarkStart w:id="115" w:name="_Toc421106041"/>
      <w:r>
        <w:rPr>
          <w:rStyle w:val="CharSectno"/>
        </w:rPr>
        <w:t>19</w:t>
      </w:r>
      <w:r>
        <w:rPr>
          <w:snapToGrid w:val="0"/>
        </w:rPr>
        <w:t>.</w:t>
      </w:r>
      <w:r>
        <w:rPr>
          <w:snapToGrid w:val="0"/>
        </w:rPr>
        <w:tab/>
        <w:t>Draw, method of</w:t>
      </w:r>
      <w:bookmarkEnd w:id="113"/>
      <w:bookmarkEnd w:id="114"/>
      <w:bookmarkEnd w:id="115"/>
    </w:p>
    <w:p>
      <w:pPr>
        <w:pStyle w:val="Subsection"/>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rPr>
          <w:snapToGrid w:val="0"/>
        </w:rPr>
      </w:pPr>
      <w:bookmarkStart w:id="116" w:name="_Toc406506925"/>
      <w:bookmarkStart w:id="117" w:name="_Toc463612446"/>
      <w:bookmarkStart w:id="118" w:name="_Toc421106042"/>
      <w:r>
        <w:rPr>
          <w:snapToGrid w:val="0"/>
        </w:rPr>
        <w:t>20.</w:t>
      </w:r>
      <w:r>
        <w:rPr>
          <w:snapToGrid w:val="0"/>
        </w:rPr>
        <w:tab/>
        <w:t>Criteria for winning</w:t>
      </w:r>
      <w:bookmarkEnd w:id="116"/>
      <w:bookmarkEnd w:id="117"/>
      <w:bookmarkEnd w:id="118"/>
    </w:p>
    <w:p>
      <w:pPr>
        <w:pStyle w:val="Subsection"/>
        <w:rPr>
          <w:snapToGrid w:val="0"/>
        </w:rPr>
      </w:pPr>
      <w:r>
        <w:rPr>
          <w:snapToGrid w:val="0"/>
        </w:rPr>
        <w:tab/>
      </w:r>
      <w:r>
        <w:rPr>
          <w:snapToGrid w:val="0"/>
        </w:rPr>
        <w:tab/>
        <w:t xml:space="preserve">In a Saturday lotto draw the holder of a receipted ticket </w:t>
      </w:r>
      <w:r>
        <w:t xml:space="preserve">or the purchaser of an entry under the </w:t>
      </w:r>
      <w:r>
        <w:rPr>
          <w:i/>
          <w:iCs/>
        </w:rPr>
        <w:t xml:space="preserve">Lotteries Commission (Internet Entries) Rules 2010 </w:t>
      </w:r>
      <w:r>
        <w:rPr>
          <w:snapToGrid w:val="0"/>
        </w:rPr>
        <w:t>wins —</w:t>
      </w:r>
    </w:p>
    <w:p>
      <w:pPr>
        <w:pStyle w:val="Indenta"/>
        <w:spacing w:before="60"/>
        <w:rPr>
          <w:snapToGrid w:val="0"/>
        </w:rPr>
      </w:pPr>
      <w:r>
        <w:rPr>
          <w:snapToGrid w:val="0"/>
        </w:rPr>
        <w:tab/>
        <w:t>(a)</w:t>
      </w:r>
      <w:r>
        <w:rPr>
          <w:snapToGrid w:val="0"/>
        </w:rPr>
        <w:tab/>
        <w:t>division 1, if all 6 winning numbers;</w:t>
      </w:r>
    </w:p>
    <w:p>
      <w:pPr>
        <w:pStyle w:val="Indenta"/>
        <w:spacing w:before="60"/>
        <w:rPr>
          <w:snapToGrid w:val="0"/>
        </w:rPr>
      </w:pPr>
      <w:r>
        <w:rPr>
          <w:snapToGrid w:val="0"/>
        </w:rPr>
        <w:tab/>
        <w:t>(b)</w:t>
      </w:r>
      <w:r>
        <w:rPr>
          <w:snapToGrid w:val="0"/>
        </w:rPr>
        <w:tab/>
        <w:t>division 2, if 5 winning numbers and a supplementary number;</w:t>
      </w:r>
    </w:p>
    <w:p>
      <w:pPr>
        <w:pStyle w:val="Indenta"/>
        <w:spacing w:before="60"/>
        <w:rPr>
          <w:snapToGrid w:val="0"/>
        </w:rPr>
      </w:pPr>
      <w:r>
        <w:rPr>
          <w:snapToGrid w:val="0"/>
        </w:rPr>
        <w:tab/>
        <w:t>(c)</w:t>
      </w:r>
      <w:r>
        <w:rPr>
          <w:snapToGrid w:val="0"/>
        </w:rPr>
        <w:tab/>
        <w:t>division 3, if 5 winning numbers;</w:t>
      </w:r>
    </w:p>
    <w:p>
      <w:pPr>
        <w:pStyle w:val="Indenta"/>
        <w:spacing w:before="60"/>
        <w:rPr>
          <w:snapToGrid w:val="0"/>
        </w:rPr>
      </w:pPr>
      <w:r>
        <w:rPr>
          <w:snapToGrid w:val="0"/>
        </w:rPr>
        <w:tab/>
        <w:t>(d)</w:t>
      </w:r>
      <w:r>
        <w:rPr>
          <w:snapToGrid w:val="0"/>
        </w:rPr>
        <w:tab/>
        <w:t xml:space="preserve">division 4, if 4 winning numbers; </w:t>
      </w:r>
    </w:p>
    <w:p>
      <w:pPr>
        <w:pStyle w:val="Indenta"/>
        <w:spacing w:before="60"/>
        <w:rPr>
          <w:snapToGrid w:val="0"/>
        </w:rPr>
      </w:pPr>
      <w:r>
        <w:rPr>
          <w:snapToGrid w:val="0"/>
        </w:rPr>
        <w:tab/>
        <w:t>(e)</w:t>
      </w:r>
      <w:r>
        <w:rPr>
          <w:snapToGrid w:val="0"/>
        </w:rPr>
        <w:tab/>
        <w:t>division 5, if 3 winning numbers and a supplementary number;</w:t>
      </w:r>
    </w:p>
    <w:p>
      <w:pPr>
        <w:pStyle w:val="Indenta"/>
        <w:rPr>
          <w:snapToGrid w:val="0"/>
        </w:rPr>
      </w:pPr>
      <w:r>
        <w:tab/>
        <w:t>(f)</w:t>
      </w:r>
      <w:r>
        <w:tab/>
        <w:t>in relation to draw 3081 on 29 January 2011 and all subsequent draws — division 6, if one or 2 winning numbers and 2 supplementary numbers,</w:t>
      </w:r>
    </w:p>
    <w:p>
      <w:pPr>
        <w:pStyle w:val="Subsection"/>
        <w:spacing w:before="60"/>
        <w:rPr>
          <w:snapToGrid w:val="0"/>
        </w:rPr>
      </w:pPr>
      <w:r>
        <w:rPr>
          <w:snapToGrid w:val="0"/>
        </w:rPr>
        <w:tab/>
      </w:r>
      <w:r>
        <w:rPr>
          <w:snapToGrid w:val="0"/>
        </w:rPr>
        <w:tab/>
        <w:t>are selected in the one game.</w:t>
      </w:r>
    </w:p>
    <w:p>
      <w:pPr>
        <w:pStyle w:val="Footnotesection"/>
      </w:pPr>
      <w:r>
        <w:tab/>
        <w:t>[Rule 20 amended in Gazette 19 Nov 2010 p. 5730; 21 Dec 2010 p. 6763.]</w:t>
      </w:r>
    </w:p>
    <w:p>
      <w:pPr>
        <w:pStyle w:val="Heading5"/>
        <w:rPr>
          <w:snapToGrid w:val="0"/>
        </w:rPr>
      </w:pPr>
      <w:bookmarkStart w:id="119" w:name="_Toc406506926"/>
      <w:bookmarkStart w:id="120" w:name="_Toc463612447"/>
      <w:bookmarkStart w:id="121" w:name="_Toc421106043"/>
      <w:r>
        <w:rPr>
          <w:snapToGrid w:val="0"/>
        </w:rPr>
        <w:t>21.</w:t>
      </w:r>
      <w:r>
        <w:rPr>
          <w:snapToGrid w:val="0"/>
        </w:rPr>
        <w:tab/>
        <w:t>Which divisions can be won by a receipted ticket</w:t>
      </w:r>
      <w:bookmarkEnd w:id="119"/>
      <w:bookmarkEnd w:id="120"/>
      <w:bookmarkEnd w:id="121"/>
    </w:p>
    <w:p>
      <w:pPr>
        <w:pStyle w:val="Subsection"/>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Saturday lotto game entered with </w:t>
      </w:r>
      <w:r>
        <w:t>that ticket or entry.</w:t>
      </w:r>
    </w:p>
    <w:p>
      <w:pPr>
        <w:pStyle w:val="Subsection"/>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 may claim a prize in one division for each notional game making up that systems entry, resulting in prizes in more than one division for that entry as set out in Schedule 2.</w:t>
      </w:r>
    </w:p>
    <w:p>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2.</w:t>
      </w:r>
    </w:p>
    <w:p>
      <w:pPr>
        <w:pStyle w:val="Footnotesection"/>
      </w:pPr>
      <w:r>
        <w:tab/>
        <w:t>[Rule 21 amended in Gazette 6 Jun 2008 p. 2265; 19 Nov 2010 p. 5730</w:t>
      </w:r>
      <w:r>
        <w:noBreakHyphen/>
        <w:t>1.]</w:t>
      </w:r>
    </w:p>
    <w:p>
      <w:pPr>
        <w:pStyle w:val="Heading5"/>
        <w:rPr>
          <w:snapToGrid w:val="0"/>
        </w:rPr>
      </w:pPr>
      <w:bookmarkStart w:id="122" w:name="_Toc406506927"/>
      <w:bookmarkStart w:id="123" w:name="_Toc463612448"/>
      <w:bookmarkStart w:id="124" w:name="_Toc421106044"/>
      <w:r>
        <w:rPr>
          <w:rStyle w:val="CharSectno"/>
        </w:rPr>
        <w:t>22</w:t>
      </w:r>
      <w:r>
        <w:rPr>
          <w:snapToGrid w:val="0"/>
        </w:rPr>
        <w:t>.</w:t>
      </w:r>
      <w:r>
        <w:rPr>
          <w:snapToGrid w:val="0"/>
        </w:rPr>
        <w:tab/>
        <w:t>Prize pool, distribution of</w:t>
      </w:r>
      <w:bookmarkEnd w:id="122"/>
      <w:bookmarkEnd w:id="123"/>
      <w:bookmarkEnd w:id="124"/>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10 Feb 2006 p. 662; 26 Jun 2007 p. 3054; 6 Jun 2008 p. 2265.]</w:t>
      </w:r>
    </w:p>
    <w:p>
      <w:pPr>
        <w:pStyle w:val="Heading5"/>
        <w:rPr>
          <w:snapToGrid w:val="0"/>
        </w:rPr>
      </w:pPr>
      <w:bookmarkStart w:id="125" w:name="_Toc406506928"/>
      <w:bookmarkStart w:id="126" w:name="_Toc463612449"/>
      <w:bookmarkStart w:id="127" w:name="_Toc421106045"/>
      <w:r>
        <w:rPr>
          <w:rStyle w:val="CharSectno"/>
        </w:rPr>
        <w:t>23</w:t>
      </w:r>
      <w:r>
        <w:rPr>
          <w:snapToGrid w:val="0"/>
        </w:rPr>
        <w:t>.</w:t>
      </w:r>
      <w:r>
        <w:rPr>
          <w:snapToGrid w:val="0"/>
        </w:rPr>
        <w:tab/>
        <w:t>Division 1 prize not won, application of prize pool in case of</w:t>
      </w:r>
      <w:bookmarkEnd w:id="125"/>
      <w:bookmarkEnd w:id="126"/>
      <w:bookmarkEnd w:id="127"/>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Footnotesection"/>
      </w:pPr>
      <w:r>
        <w:tab/>
        <w:t>[Rule 23 amended in Gazette 6 Jun 2008 p. 2265-6.]</w:t>
      </w:r>
    </w:p>
    <w:p>
      <w:pPr>
        <w:pStyle w:val="Heading5"/>
        <w:rPr>
          <w:snapToGrid w:val="0"/>
        </w:rPr>
      </w:pPr>
      <w:bookmarkStart w:id="128" w:name="_Toc406506929"/>
      <w:bookmarkStart w:id="129" w:name="_Toc463612450"/>
      <w:bookmarkStart w:id="130" w:name="_Toc421106046"/>
      <w:r>
        <w:rPr>
          <w:rStyle w:val="CharSectno"/>
        </w:rPr>
        <w:t>24</w:t>
      </w:r>
      <w:r>
        <w:rPr>
          <w:snapToGrid w:val="0"/>
        </w:rPr>
        <w:t>.</w:t>
      </w:r>
      <w:r>
        <w:rPr>
          <w:snapToGrid w:val="0"/>
        </w:rPr>
        <w:tab/>
        <w:t>Division 2 to 5 prize not won, application of prize pool in case of</w:t>
      </w:r>
      <w:bookmarkEnd w:id="128"/>
      <w:bookmarkEnd w:id="129"/>
      <w:bookmarkEnd w:id="130"/>
    </w:p>
    <w:p>
      <w:pPr>
        <w:pStyle w:val="Subsection"/>
        <w:rPr>
          <w:snapToGrid w:val="0"/>
        </w:rPr>
      </w:pPr>
      <w:r>
        <w:rPr>
          <w:snapToGrid w:val="0"/>
        </w:rPr>
        <w:tab/>
      </w:r>
      <w:r>
        <w:rPr>
          <w:snapToGrid w:val="0"/>
        </w:rPr>
        <w:tab/>
        <w:t xml:space="preserve">If no one wins a prize in division 2, 3 or 4 </w:t>
      </w:r>
      <w:r>
        <w:t xml:space="preserve">(or, in relation to draw 3081 on 29 January 2011 and all subsequent draws, division 5) </w:t>
      </w:r>
      <w:r>
        <w:rPr>
          <w:snapToGrid w:val="0"/>
        </w:rPr>
        <w:t>in a particular Saturday lotto draw, then the prize pool for that division is to be added to the prize pool for the next lower division in which there is at least one winner in that Saturday lotto draw.</w:t>
      </w:r>
    </w:p>
    <w:p>
      <w:pPr>
        <w:pStyle w:val="Footnotesection"/>
      </w:pPr>
      <w:r>
        <w:tab/>
        <w:t>[Rule 24 amended in Gazette 21 Dec 2010 p. 6763.]</w:t>
      </w:r>
    </w:p>
    <w:p>
      <w:pPr>
        <w:pStyle w:val="Heading5"/>
        <w:rPr>
          <w:snapToGrid w:val="0"/>
        </w:rPr>
      </w:pPr>
      <w:bookmarkStart w:id="131" w:name="_Toc406506930"/>
      <w:bookmarkStart w:id="132" w:name="_Toc463612451"/>
      <w:bookmarkStart w:id="133" w:name="_Toc421106047"/>
      <w:r>
        <w:rPr>
          <w:rStyle w:val="CharSectno"/>
        </w:rPr>
        <w:t>25</w:t>
      </w:r>
      <w:r>
        <w:rPr>
          <w:snapToGrid w:val="0"/>
        </w:rPr>
        <w:t>.</w:t>
      </w:r>
      <w:r>
        <w:rPr>
          <w:snapToGrid w:val="0"/>
        </w:rPr>
        <w:tab/>
        <w:t>Bonus draws and guaranteed prize pools</w:t>
      </w:r>
      <w:bookmarkEnd w:id="131"/>
      <w:bookmarkEnd w:id="132"/>
      <w:bookmarkEnd w:id="133"/>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spacing w:before="140"/>
        <w:rPr>
          <w:snapToGrid w:val="0"/>
        </w:rPr>
      </w:pPr>
      <w:r>
        <w:rPr>
          <w:snapToGrid w:val="0"/>
        </w:rPr>
        <w:tab/>
        <w:t>(4)</w:t>
      </w:r>
      <w:r>
        <w:rPr>
          <w:snapToGrid w:val="0"/>
        </w:rPr>
        <w:tab/>
        <w:t>If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spacing w:before="120"/>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Footnotesection"/>
      </w:pPr>
      <w:r>
        <w:tab/>
        <w:t>[Rule 25 amended in Gazette 6 Jun 2008 p. 2266.]</w:t>
      </w:r>
    </w:p>
    <w:p>
      <w:pPr>
        <w:pStyle w:val="Heading5"/>
        <w:rPr>
          <w:snapToGrid w:val="0"/>
        </w:rPr>
      </w:pPr>
      <w:bookmarkStart w:id="134" w:name="_Toc406506931"/>
      <w:bookmarkStart w:id="135" w:name="_Toc463612452"/>
      <w:bookmarkStart w:id="136" w:name="_Toc421106048"/>
      <w:r>
        <w:rPr>
          <w:rStyle w:val="CharSectno"/>
        </w:rPr>
        <w:t>26</w:t>
      </w:r>
      <w:r>
        <w:rPr>
          <w:snapToGrid w:val="0"/>
        </w:rPr>
        <w:t>.</w:t>
      </w:r>
      <w:r>
        <w:rPr>
          <w:snapToGrid w:val="0"/>
        </w:rPr>
        <w:tab/>
        <w:t>Division 1 prizes, claims for and payment of</w:t>
      </w:r>
      <w:bookmarkEnd w:id="134"/>
      <w:bookmarkEnd w:id="135"/>
      <w:bookmarkEnd w:id="136"/>
    </w:p>
    <w:p>
      <w:pPr>
        <w:pStyle w:val="Subsection"/>
        <w:spacing w:before="140"/>
      </w:pPr>
      <w:r>
        <w:tab/>
        <w:t>(1A)</w:t>
      </w:r>
      <w:r>
        <w:tab/>
        <w:t xml:space="preserve">A division 1 prize in a Saturday lotto draw is to be paid in accordance with these rules and the </w:t>
      </w:r>
      <w:r>
        <w:rPr>
          <w:i/>
          <w:iCs/>
        </w:rPr>
        <w:t>Lotteries Commission (Internet Entries) Rules 2010</w:t>
      </w:r>
      <w:r>
        <w:t>.</w:t>
      </w:r>
    </w:p>
    <w:p>
      <w:pPr>
        <w:pStyle w:val="Subsection"/>
        <w:spacing w:before="140"/>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spacing w:before="140"/>
        <w:rPr>
          <w:snapToGrid w:val="0"/>
        </w:rPr>
      </w:pPr>
      <w:r>
        <w:rPr>
          <w:snapToGrid w:val="0"/>
        </w:rPr>
        <w:tab/>
        <w:t>(2)</w:t>
      </w:r>
      <w:r>
        <w:rPr>
          <w:snapToGrid w:val="0"/>
        </w:rPr>
        <w:tab/>
        <w:t xml:space="preserve">Subject to subrule (3), a division 1 prize in a Saturday lotto draw is to be </w:t>
      </w:r>
      <w:r>
        <w:t>paid to the holder of a winning receipted ticket —</w:t>
      </w:r>
    </w:p>
    <w:p>
      <w:pPr>
        <w:pStyle w:val="Indenta"/>
        <w:spacing w:before="60"/>
        <w:rPr>
          <w:snapToGrid w:val="0"/>
        </w:rPr>
      </w:pPr>
      <w:r>
        <w:rPr>
          <w:snapToGrid w:val="0"/>
        </w:rPr>
        <w:tab/>
        <w:t>(a)</w:t>
      </w:r>
      <w:r>
        <w:rPr>
          <w:snapToGrid w:val="0"/>
        </w:rPr>
        <w:tab/>
        <w:t>by the Commission; and</w:t>
      </w:r>
    </w:p>
    <w:p>
      <w:pPr>
        <w:pStyle w:val="Indenta"/>
        <w:spacing w:before="60"/>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Indenta"/>
        <w:spacing w:before="60"/>
        <w:rPr>
          <w:snapToGrid w:val="0"/>
        </w:rPr>
      </w:pPr>
      <w:r>
        <w:rPr>
          <w:snapToGrid w:val="0"/>
        </w:rPr>
        <w:tab/>
        <w:t>(c)</w:t>
      </w:r>
      <w:r>
        <w:rPr>
          <w:snapToGrid w:val="0"/>
        </w:rPr>
        <w:tab/>
        <w:t>after the validation period for that draw.</w:t>
      </w:r>
    </w:p>
    <w:p>
      <w:pPr>
        <w:pStyle w:val="Subsection"/>
        <w:spacing w:before="140"/>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t>(a)</w:t>
      </w:r>
      <w:r>
        <w:rPr>
          <w:snapToGrid w:val="0"/>
        </w:rPr>
        <w:tab/>
        <w:t>the identity of the prize winner; and</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t>(d)</w:t>
      </w:r>
      <w:r>
        <w:rPr>
          <w:snapToGrid w:val="0"/>
        </w:rPr>
        <w:tab/>
        <w:t>accept the claim but refuse to pay the prize until it is satisfied of the details referred to in paragraphs (a), (b) and (c); or</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Footnotesection"/>
      </w:pPr>
      <w:r>
        <w:tab/>
        <w:t>[Rule 26 amended in Gazette 6 Jun 2008 p. 2266; 19 Nov 2010 p. 5731.]</w:t>
      </w:r>
    </w:p>
    <w:p>
      <w:pPr>
        <w:pStyle w:val="Heading5"/>
        <w:rPr>
          <w:snapToGrid w:val="0"/>
        </w:rPr>
      </w:pPr>
      <w:bookmarkStart w:id="137" w:name="_Toc406506932"/>
      <w:bookmarkStart w:id="138" w:name="_Toc463612453"/>
      <w:bookmarkStart w:id="139" w:name="_Toc421106049"/>
      <w:r>
        <w:rPr>
          <w:rStyle w:val="CharSectno"/>
        </w:rPr>
        <w:t>27</w:t>
      </w:r>
      <w:r>
        <w:rPr>
          <w:snapToGrid w:val="0"/>
        </w:rPr>
        <w:t>.</w:t>
      </w:r>
      <w:r>
        <w:rPr>
          <w:snapToGrid w:val="0"/>
        </w:rPr>
        <w:tab/>
        <w:t>Division 2 prizes, claims for and payment of</w:t>
      </w:r>
      <w:bookmarkEnd w:id="137"/>
      <w:bookmarkEnd w:id="138"/>
      <w:bookmarkEnd w:id="139"/>
    </w:p>
    <w:p>
      <w:pPr>
        <w:pStyle w:val="Subsection"/>
      </w:pPr>
      <w:r>
        <w:tab/>
        <w:t>(1A)</w:t>
      </w:r>
      <w:r>
        <w:tab/>
        <w:t xml:space="preserve">A division 2 prize in a Saturday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keepNext/>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t>(a)</w:t>
      </w:r>
      <w:r>
        <w:rPr>
          <w:snapToGrid w:val="0"/>
        </w:rPr>
        <w:tab/>
        <w:t>by the Commission or an authorised payout centre; and</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after the receipted ticket is presented to the Commission or authorised payout centre.</w:t>
      </w:r>
    </w:p>
    <w:p>
      <w:pPr>
        <w:pStyle w:val="Footnotesection"/>
      </w:pPr>
      <w:r>
        <w:tab/>
        <w:t>[Rule 27 amended in Gazette 6 Jun 2008 p. 2266; 19 Nov 2010 p. 5731.]</w:t>
      </w:r>
    </w:p>
    <w:p>
      <w:pPr>
        <w:pStyle w:val="Heading5"/>
        <w:rPr>
          <w:snapToGrid w:val="0"/>
        </w:rPr>
      </w:pPr>
      <w:bookmarkStart w:id="140" w:name="_Toc406506933"/>
      <w:bookmarkStart w:id="141" w:name="_Toc463612454"/>
      <w:bookmarkStart w:id="142" w:name="_Toc421106050"/>
      <w:r>
        <w:rPr>
          <w:rStyle w:val="CharSectno"/>
        </w:rPr>
        <w:t>28</w:t>
      </w:r>
      <w:r>
        <w:rPr>
          <w:snapToGrid w:val="0"/>
        </w:rPr>
        <w:t>.</w:t>
      </w:r>
      <w:r>
        <w:rPr>
          <w:snapToGrid w:val="0"/>
        </w:rPr>
        <w:tab/>
        <w:t>Division 3 to 6 prizes, claims for and payment of</w:t>
      </w:r>
      <w:bookmarkEnd w:id="140"/>
      <w:bookmarkEnd w:id="141"/>
      <w:bookmarkEnd w:id="142"/>
    </w:p>
    <w:p>
      <w:pPr>
        <w:pStyle w:val="Subsection"/>
      </w:pPr>
      <w:r>
        <w:tab/>
        <w:t>(1A)</w:t>
      </w:r>
      <w:r>
        <w:tab/>
        <w:t xml:space="preserve">A division 3, 4, 5 or 6 prize in a Saturday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 xml:space="preserve">To claim a division 3, </w:t>
      </w:r>
      <w:r>
        <w:t xml:space="preserve">4, 5 or 6 </w:t>
      </w:r>
      <w:r>
        <w:rPr>
          <w:snapToGrid w:val="0"/>
        </w:rPr>
        <w:t>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 xml:space="preserve">A division 3, </w:t>
      </w:r>
      <w:r>
        <w:t xml:space="preserve">4, 5 or 6 </w:t>
      </w:r>
      <w:r>
        <w:rPr>
          <w:snapToGrid w:val="0"/>
        </w:rPr>
        <w:t>prize is to be paid to the holder of the winning receipted ticket —</w:t>
      </w:r>
    </w:p>
    <w:p>
      <w:pPr>
        <w:pStyle w:val="Indenta"/>
        <w:rPr>
          <w:snapToGrid w:val="0"/>
        </w:rPr>
      </w:pPr>
      <w:r>
        <w:rPr>
          <w:snapToGrid w:val="0"/>
        </w:rPr>
        <w:tab/>
        <w:t>(a)</w:t>
      </w:r>
      <w:r>
        <w:rPr>
          <w:snapToGrid w:val="0"/>
        </w:rPr>
        <w:tab/>
        <w:t>if it is $500 or less —</w:t>
      </w:r>
    </w:p>
    <w:p>
      <w:pPr>
        <w:pStyle w:val="Indenti"/>
        <w:rPr>
          <w:snapToGrid w:val="0"/>
        </w:rPr>
      </w:pPr>
      <w:r>
        <w:rPr>
          <w:snapToGrid w:val="0"/>
        </w:rPr>
        <w:tab/>
        <w:t>(i)</w:t>
      </w:r>
      <w:r>
        <w:rPr>
          <w:snapToGrid w:val="0"/>
        </w:rPr>
        <w:tab/>
        <w:t>by the Commission, an authorised payout centre or any other agent; and</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w:t>
      </w:r>
    </w:p>
    <w:p>
      <w:pPr>
        <w:pStyle w:val="Indenti"/>
        <w:rPr>
          <w:snapToGrid w:val="0"/>
        </w:rPr>
      </w:pPr>
      <w:r>
        <w:rPr>
          <w:snapToGrid w:val="0"/>
        </w:rPr>
        <w:tab/>
        <w:t>(i)</w:t>
      </w:r>
      <w:r>
        <w:rPr>
          <w:snapToGrid w:val="0"/>
        </w:rPr>
        <w:tab/>
        <w:t>by the Commission, an authorised payout centre or an agent who has been authorised by the Commission to pay prizes over $500; and</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Footnotesection"/>
      </w:pPr>
      <w:r>
        <w:tab/>
        <w:t>[Rule 28 amended in Gazette 6 Jun 2008 p. 2266; 19 Nov 2010 p. 5732; 21 Dec 2010 p. 6764.]</w:t>
      </w:r>
    </w:p>
    <w:p>
      <w:pPr>
        <w:pStyle w:val="Heading5"/>
      </w:pPr>
      <w:bookmarkStart w:id="143" w:name="_Toc406506934"/>
      <w:bookmarkStart w:id="144" w:name="_Toc463612455"/>
      <w:bookmarkStart w:id="145" w:name="_Toc421106051"/>
      <w:r>
        <w:rPr>
          <w:rStyle w:val="CharSectno"/>
        </w:rPr>
        <w:t>28A</w:t>
      </w:r>
      <w:r>
        <w:t>.</w:t>
      </w:r>
      <w:r>
        <w:tab/>
        <w:t>Syndicate share prizes, claims for and payment of</w:t>
      </w:r>
      <w:bookmarkEnd w:id="143"/>
      <w:bookmarkEnd w:id="144"/>
      <w:bookmarkEnd w:id="145"/>
    </w:p>
    <w:p>
      <w:pPr>
        <w:pStyle w:val="Subsection"/>
      </w:pPr>
      <w:r>
        <w:tab/>
        <w:t>(1)</w:t>
      </w:r>
      <w:r>
        <w:tab/>
        <w:t>To claim a share of a prize in a Saturday lotto draw, the holder of a winning syndicate share receipted ticket must present it to an agent within the payout period for that draw.</w:t>
      </w:r>
    </w:p>
    <w:p>
      <w:pPr>
        <w:pStyle w:val="Subsection"/>
      </w:pPr>
      <w:r>
        <w:tab/>
        <w:t>(2)</w:t>
      </w:r>
      <w:r>
        <w:tab/>
        <w:t>A share of a division 1 prize in a Saturday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keepNext/>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2266-7.]</w:t>
      </w:r>
    </w:p>
    <w:p>
      <w:pPr>
        <w:pStyle w:val="Heading5"/>
        <w:spacing w:before="260"/>
        <w:rPr>
          <w:snapToGrid w:val="0"/>
        </w:rPr>
      </w:pPr>
      <w:bookmarkStart w:id="146" w:name="_Toc406506935"/>
      <w:bookmarkStart w:id="147" w:name="_Toc463612456"/>
      <w:bookmarkStart w:id="148" w:name="_Toc421106052"/>
      <w:r>
        <w:rPr>
          <w:rStyle w:val="CharSectno"/>
        </w:rPr>
        <w:t>29</w:t>
      </w:r>
      <w:r>
        <w:rPr>
          <w:snapToGrid w:val="0"/>
        </w:rPr>
        <w:t>.</w:t>
      </w:r>
      <w:r>
        <w:rPr>
          <w:snapToGrid w:val="0"/>
        </w:rPr>
        <w:tab/>
        <w:t>Statutory declaration as to compliance with law, Commission may require</w:t>
      </w:r>
      <w:bookmarkEnd w:id="146"/>
      <w:bookmarkEnd w:id="147"/>
      <w:bookmarkEnd w:id="148"/>
    </w:p>
    <w:p>
      <w:pPr>
        <w:pStyle w:val="Subsection"/>
        <w:spacing w:before="200"/>
        <w:rPr>
          <w:snapToGrid w:val="0"/>
        </w:rPr>
      </w:pPr>
      <w:r>
        <w:rPr>
          <w:snapToGrid w:val="0"/>
        </w:rPr>
        <w:tab/>
        <w:t>(1)</w:t>
      </w:r>
      <w:r>
        <w:rPr>
          <w:snapToGrid w:val="0"/>
        </w:rPr>
        <w:tab/>
        <w:t xml:space="preserve">Before paying any prize </w:t>
      </w:r>
      <w:r>
        <w:t>or share of a prize</w:t>
      </w:r>
      <w:r>
        <w:rPr>
          <w:snapToGrid w:val="0"/>
        </w:rPr>
        <w:t xml:space="preserve"> the Commission may require the holder of a receipted ticket to complete a statutory declaration stating that the person has not, or is not to that person’s knowledge part of a </w:t>
      </w:r>
      <w:r>
        <w:t>group</w:t>
      </w:r>
      <w:r>
        <w:rPr>
          <w:snapToGrid w:val="0"/>
        </w:rPr>
        <w:t xml:space="preserve"> which has, acted in a manner contrary to the Act or these rules in relation to a receipted ticket.</w:t>
      </w:r>
    </w:p>
    <w:p>
      <w:pPr>
        <w:pStyle w:val="Subsection"/>
        <w:spacing w:before="200"/>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r>
        <w:tab/>
        <w:t>[Rule 29 amended in Gazette 6 Jun 2008 p. 2268.]</w:t>
      </w:r>
    </w:p>
    <w:p>
      <w:pPr>
        <w:pStyle w:val="Heading5"/>
        <w:spacing w:before="260"/>
        <w:rPr>
          <w:snapToGrid w:val="0"/>
        </w:rPr>
      </w:pPr>
      <w:bookmarkStart w:id="149" w:name="_Toc406506936"/>
      <w:bookmarkStart w:id="150" w:name="_Toc463612457"/>
      <w:bookmarkStart w:id="151" w:name="_Toc421106053"/>
      <w:r>
        <w:rPr>
          <w:rStyle w:val="CharSectno"/>
        </w:rPr>
        <w:t>30</w:t>
      </w:r>
      <w:r>
        <w:rPr>
          <w:snapToGrid w:val="0"/>
        </w:rPr>
        <w:t>.</w:t>
      </w:r>
      <w:r>
        <w:rPr>
          <w:snapToGrid w:val="0"/>
        </w:rPr>
        <w:tab/>
        <w:t>Names and addresses of prize winners, publishing</w:t>
      </w:r>
      <w:bookmarkEnd w:id="149"/>
      <w:bookmarkEnd w:id="150"/>
      <w:bookmarkEnd w:id="151"/>
    </w:p>
    <w:p>
      <w:pPr>
        <w:pStyle w:val="Subsection"/>
        <w:spacing w:before="20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152" w:name="_Toc406506937"/>
      <w:bookmarkStart w:id="153" w:name="_Toc463612458"/>
      <w:bookmarkStart w:id="154" w:name="_Toc421106054"/>
      <w:r>
        <w:rPr>
          <w:rStyle w:val="CharSectno"/>
        </w:rPr>
        <w:t>31</w:t>
      </w:r>
      <w:r>
        <w:rPr>
          <w:snapToGrid w:val="0"/>
        </w:rPr>
        <w:t>.</w:t>
      </w:r>
      <w:r>
        <w:rPr>
          <w:snapToGrid w:val="0"/>
        </w:rPr>
        <w:tab/>
        <w:t>Player Registration Service</w:t>
      </w:r>
      <w:bookmarkEnd w:id="152"/>
      <w:bookmarkEnd w:id="153"/>
      <w:bookmarkEnd w:id="154"/>
    </w:p>
    <w:p>
      <w:pPr>
        <w:pStyle w:val="Subsection"/>
        <w:keepNext/>
        <w:keepLines/>
        <w:rPr>
          <w:snapToGrid w:val="0"/>
        </w:rPr>
      </w:pPr>
      <w:r>
        <w:rPr>
          <w:snapToGrid w:val="0"/>
        </w:rPr>
        <w:tab/>
        <w:t>(1)</w:t>
      </w:r>
      <w:r>
        <w:rPr>
          <w:snapToGrid w:val="0"/>
        </w:rPr>
        <w:tab/>
        <w:t>A “Player Registration Service” (PRS) number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keepNext/>
        <w:keepLines/>
      </w:pPr>
      <w:r>
        <w:tab/>
        <w:t>(b)</w:t>
      </w:r>
      <w:r>
        <w:tab/>
        <w:t>is valid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1326</w:t>
      </w:r>
      <w:r>
        <w:noBreakHyphen/>
        <w:t>7; 8 Aug 2003 p. 3577-8; 6 Jun 2008 p. 2268-9.]</w:t>
      </w:r>
    </w:p>
    <w:p>
      <w:pPr>
        <w:pStyle w:val="Heading5"/>
      </w:pPr>
      <w:bookmarkStart w:id="155" w:name="_Toc406506938"/>
      <w:bookmarkStart w:id="156" w:name="_Toc463612459"/>
      <w:bookmarkStart w:id="157" w:name="_Toc421106055"/>
      <w:r>
        <w:rPr>
          <w:rStyle w:val="CharSectno"/>
        </w:rPr>
        <w:t>31A</w:t>
      </w:r>
      <w:r>
        <w:t>.</w:t>
      </w:r>
      <w:r>
        <w:tab/>
        <w:t>Player’s card holders may request direct credit of prizes</w:t>
      </w:r>
      <w:bookmarkEnd w:id="155"/>
      <w:bookmarkEnd w:id="156"/>
      <w:bookmarkEnd w:id="157"/>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2269.]</w:t>
      </w:r>
    </w:p>
    <w:p>
      <w:pPr>
        <w:pStyle w:val="Heading5"/>
      </w:pPr>
      <w:bookmarkStart w:id="158" w:name="_Toc406506939"/>
      <w:bookmarkStart w:id="159" w:name="_Toc463612460"/>
      <w:bookmarkStart w:id="160" w:name="_Toc421106056"/>
      <w:r>
        <w:rPr>
          <w:rStyle w:val="CharSectno"/>
        </w:rPr>
        <w:t>31B</w:t>
      </w:r>
      <w:r>
        <w:t>.</w:t>
      </w:r>
      <w:r>
        <w:tab/>
        <w:t>Favourite numbers, registering by subscribers</w:t>
      </w:r>
      <w:bookmarkEnd w:id="158"/>
      <w:bookmarkEnd w:id="159"/>
      <w:bookmarkEnd w:id="160"/>
    </w:p>
    <w:p>
      <w:pPr>
        <w:pStyle w:val="Subsection"/>
      </w:pPr>
      <w:r>
        <w:tab/>
        <w:t>(1)</w:t>
      </w:r>
      <w:r>
        <w:tab/>
        <w:t>A subscriber may register one or more sets of numbers against his or her player’s card number to be the “favourite numbers” for Saturday lotto.</w:t>
      </w:r>
    </w:p>
    <w:p>
      <w:pPr>
        <w:pStyle w:val="Subsection"/>
      </w:pPr>
      <w:r>
        <w:tab/>
        <w:t>(2)</w:t>
      </w:r>
      <w:r>
        <w:tab/>
        <w:t>A subscriber may specify particular types of game entry and register sets of numbers for those types of game entry against his or her player’s card number to be the “favourite numbers” for Saturday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2269.]</w:t>
      </w:r>
    </w:p>
    <w:p>
      <w:pPr>
        <w:pStyle w:val="Heading2"/>
      </w:pPr>
      <w:bookmarkStart w:id="161" w:name="_Toc391299438"/>
      <w:bookmarkStart w:id="162" w:name="_Toc391299538"/>
      <w:bookmarkStart w:id="163" w:name="_Toc406506940"/>
      <w:bookmarkStart w:id="164" w:name="_Toc421105993"/>
      <w:bookmarkStart w:id="165" w:name="_Toc421106057"/>
      <w:bookmarkStart w:id="166" w:name="_Toc463612461"/>
      <w:r>
        <w:rPr>
          <w:rStyle w:val="CharPartNo"/>
        </w:rPr>
        <w:t>Part 5</w:t>
      </w:r>
      <w:r>
        <w:rPr>
          <w:rStyle w:val="CharDivNo"/>
        </w:rPr>
        <w:t> </w:t>
      </w:r>
      <w:r>
        <w:t>—</w:t>
      </w:r>
      <w:r>
        <w:rPr>
          <w:rStyle w:val="CharDivText"/>
        </w:rPr>
        <w:t> </w:t>
      </w:r>
      <w:r>
        <w:rPr>
          <w:rStyle w:val="CharPartText"/>
        </w:rPr>
        <w:t>Miscellaneous</w:t>
      </w:r>
      <w:bookmarkEnd w:id="161"/>
      <w:bookmarkEnd w:id="162"/>
      <w:bookmarkEnd w:id="163"/>
      <w:bookmarkEnd w:id="164"/>
      <w:bookmarkEnd w:id="165"/>
      <w:bookmarkEnd w:id="166"/>
    </w:p>
    <w:p>
      <w:pPr>
        <w:pStyle w:val="Heading5"/>
        <w:rPr>
          <w:snapToGrid w:val="0"/>
        </w:rPr>
      </w:pPr>
      <w:bookmarkStart w:id="167" w:name="_Toc406506941"/>
      <w:bookmarkStart w:id="168" w:name="_Toc463612462"/>
      <w:bookmarkStart w:id="169" w:name="_Toc421106058"/>
      <w:r>
        <w:rPr>
          <w:rStyle w:val="CharSectno"/>
        </w:rPr>
        <w:t>32</w:t>
      </w:r>
      <w:r>
        <w:rPr>
          <w:snapToGrid w:val="0"/>
        </w:rPr>
        <w:t>.</w:t>
      </w:r>
      <w:r>
        <w:rPr>
          <w:snapToGrid w:val="0"/>
        </w:rPr>
        <w:tab/>
        <w:t>Instructions on playslips etc., status of</w:t>
      </w:r>
      <w:bookmarkEnd w:id="167"/>
      <w:bookmarkEnd w:id="168"/>
      <w:bookmarkEnd w:id="169"/>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r>
        <w:tab/>
        <w:t>[Rule 32 amended in Gazette 6 Jun 2008 p. 2270.]</w:t>
      </w:r>
    </w:p>
    <w:p>
      <w:pPr>
        <w:pStyle w:val="Heading5"/>
        <w:rPr>
          <w:snapToGrid w:val="0"/>
        </w:rPr>
      </w:pPr>
      <w:bookmarkStart w:id="170" w:name="_Toc406506942"/>
      <w:bookmarkStart w:id="171" w:name="_Toc463612463"/>
      <w:bookmarkStart w:id="172" w:name="_Toc421106059"/>
      <w:r>
        <w:rPr>
          <w:rStyle w:val="CharSectno"/>
        </w:rPr>
        <w:t>33</w:t>
      </w:r>
      <w:r>
        <w:rPr>
          <w:snapToGrid w:val="0"/>
        </w:rPr>
        <w:t>.</w:t>
      </w:r>
      <w:r>
        <w:rPr>
          <w:snapToGrid w:val="0"/>
        </w:rPr>
        <w:tab/>
        <w:t>These rules to be made available etc.</w:t>
      </w:r>
      <w:bookmarkEnd w:id="170"/>
      <w:bookmarkEnd w:id="171"/>
      <w:bookmarkEnd w:id="172"/>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173" w:name="_Toc406506943"/>
      <w:bookmarkStart w:id="174" w:name="_Toc463612464"/>
      <w:bookmarkStart w:id="175" w:name="_Toc421106060"/>
      <w:r>
        <w:rPr>
          <w:rStyle w:val="CharSectno"/>
        </w:rPr>
        <w:t>34</w:t>
      </w:r>
      <w:r>
        <w:rPr>
          <w:snapToGrid w:val="0"/>
        </w:rPr>
        <w:t>.</w:t>
      </w:r>
      <w:r>
        <w:rPr>
          <w:snapToGrid w:val="0"/>
        </w:rPr>
        <w:tab/>
        <w:t>Commission’s decisions are final</w:t>
      </w:r>
      <w:bookmarkEnd w:id="173"/>
      <w:bookmarkEnd w:id="174"/>
      <w:bookmarkEnd w:id="175"/>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part"/>
      </w:pPr>
      <w:r>
        <w:t>[Part 6 omitted under the Reprints Act 1984 s. 7(4)(f) and (g).]</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176" w:name="_Toc391299442"/>
      <w:bookmarkStart w:id="177" w:name="_Toc391299542"/>
      <w:bookmarkStart w:id="178" w:name="_Toc406506944"/>
      <w:bookmarkStart w:id="179" w:name="_Toc421105997"/>
      <w:bookmarkStart w:id="180" w:name="_Toc421106061"/>
      <w:bookmarkStart w:id="181" w:name="_Toc463612465"/>
      <w:r>
        <w:rPr>
          <w:rStyle w:val="CharSchNo"/>
        </w:rPr>
        <w:t>Schedule 1</w:t>
      </w:r>
      <w:r>
        <w:t> — </w:t>
      </w:r>
      <w:r>
        <w:rPr>
          <w:rStyle w:val="CharSchText"/>
        </w:rPr>
        <w:t>Calculating the total cost of entry — Saturday lotto draw</w:t>
      </w:r>
      <w:bookmarkEnd w:id="176"/>
      <w:bookmarkEnd w:id="177"/>
      <w:bookmarkEnd w:id="178"/>
      <w:bookmarkEnd w:id="179"/>
      <w:bookmarkEnd w:id="180"/>
      <w:bookmarkEnd w:id="181"/>
    </w:p>
    <w:p>
      <w:pPr>
        <w:pStyle w:val="yShoulderClause"/>
      </w:pPr>
      <w:r>
        <w:t>[r. 5(1)]</w:t>
      </w:r>
    </w:p>
    <w:p>
      <w:pPr>
        <w:pStyle w:val="yFootnoteheading"/>
      </w:pPr>
      <w:r>
        <w:tab/>
        <w:t>[Heading inserted in Gazette 6 May 2014 p. 1386.]</w:t>
      </w:r>
    </w:p>
    <w:p>
      <w:pPr>
        <w:pStyle w:val="yHeading3"/>
      </w:pPr>
      <w:bookmarkStart w:id="182" w:name="_Toc391299443"/>
      <w:bookmarkStart w:id="183" w:name="_Toc391299543"/>
      <w:bookmarkStart w:id="184" w:name="_Toc406506945"/>
      <w:bookmarkStart w:id="185" w:name="_Toc421105998"/>
      <w:bookmarkStart w:id="186" w:name="_Toc421106062"/>
      <w:bookmarkStart w:id="187" w:name="_Toc463612466"/>
      <w:r>
        <w:rPr>
          <w:rStyle w:val="CharSDivNo"/>
        </w:rPr>
        <w:t>Part 1</w:t>
      </w:r>
      <w:r>
        <w:rPr>
          <w:b w:val="0"/>
        </w:rPr>
        <w:t> — </w:t>
      </w:r>
      <w:r>
        <w:rPr>
          <w:rStyle w:val="CharSDivText"/>
        </w:rPr>
        <w:t>Formula applicable up to and including draw 3441 on 12 July 2014</w:t>
      </w:r>
      <w:bookmarkEnd w:id="182"/>
      <w:bookmarkEnd w:id="183"/>
      <w:bookmarkEnd w:id="184"/>
      <w:bookmarkEnd w:id="185"/>
      <w:bookmarkEnd w:id="186"/>
      <w:bookmarkEnd w:id="187"/>
    </w:p>
    <w:p>
      <w:pPr>
        <w:pStyle w:val="yFootnoteheading"/>
      </w:pPr>
      <w:r>
        <w:tab/>
        <w:t>[Heading inserted in Gazette 6 May 2014 p. 1386.]</w:t>
      </w:r>
    </w:p>
    <w:p>
      <w:pPr>
        <w:pStyle w:val="yMiscellaneousBody"/>
      </w:pPr>
      <w:r>
        <w:t>The unit cost of entering a Saturday lotto draw is made up of a subscription of 60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pPr>
      <w:r>
        <w:t>((G x $0.60) x .09 </w:t>
      </w:r>
      <w:r>
        <w:sym w:font="Symbol" w:char="F0AE"/>
      </w:r>
      <w:r>
        <w:t xml:space="preserve"> rounded) x W = T</w:t>
      </w:r>
    </w:p>
    <w:p>
      <w:pPr>
        <w:pStyle w:val="yMiscellaneousBody"/>
      </w:pPr>
      <w:r>
        <w:t>where —</w:t>
      </w:r>
    </w:p>
    <w:p>
      <w:pPr>
        <w:pStyle w:val="yMiscellaneousBody"/>
        <w:tabs>
          <w:tab w:val="left" w:pos="993"/>
          <w:tab w:val="left" w:pos="1418"/>
          <w:tab w:val="left" w:pos="1701"/>
        </w:tabs>
      </w:pPr>
      <w:r>
        <w:tab/>
      </w:r>
      <w:r>
        <w:rPr>
          <w:bCs/>
        </w:rPr>
        <w:t>G</w:t>
      </w:r>
      <w:r>
        <w:rPr>
          <w:b/>
          <w:bCs/>
        </w:rPr>
        <w:tab/>
      </w:r>
      <w:r>
        <w:t>=</w:t>
      </w:r>
      <w:r>
        <w:tab/>
        <w:t>No. of games entered in a draw</w:t>
      </w:r>
    </w:p>
    <w:p>
      <w:pPr>
        <w:pStyle w:val="yMiscellaneousBody"/>
        <w:tabs>
          <w:tab w:val="left" w:pos="993"/>
          <w:tab w:val="left" w:pos="1418"/>
          <w:tab w:val="left" w:pos="1701"/>
        </w:tabs>
      </w:pPr>
      <w:r>
        <w:tab/>
      </w:r>
      <w:r>
        <w:rPr>
          <w:bCs/>
        </w:rPr>
        <w:t>W</w:t>
      </w:r>
      <w:r>
        <w:tab/>
        <w:t>=</w:t>
      </w:r>
      <w:r>
        <w:tab/>
        <w:t>No. of weeks the entry spans</w:t>
      </w:r>
    </w:p>
    <w:p>
      <w:pPr>
        <w:pStyle w:val="yMiscellaneousBody"/>
        <w:tabs>
          <w:tab w:val="left" w:pos="993"/>
          <w:tab w:val="left" w:pos="1418"/>
          <w:tab w:val="left" w:pos="1701"/>
        </w:tabs>
      </w:pPr>
      <w:r>
        <w:rPr>
          <w:b/>
          <w:bCs/>
        </w:rPr>
        <w:tab/>
      </w:r>
      <w:r>
        <w:rPr>
          <w:bCs/>
        </w:rPr>
        <w:t>T</w:t>
      </w:r>
      <w:r>
        <w:tab/>
        <w:t>=</w:t>
      </w:r>
      <w:r>
        <w:tab/>
        <w:t>Total agent’s component cost payable by the subscriber</w:t>
      </w:r>
    </w:p>
    <w:p>
      <w:pPr>
        <w:pStyle w:val="yMiscellaneousBody"/>
        <w:rPr>
          <w:b/>
        </w:rPr>
      </w:pPr>
      <w:r>
        <w:rPr>
          <w:b/>
        </w:rPr>
        <w:t>Examples:</w:t>
      </w:r>
    </w:p>
    <w:p>
      <w:pPr>
        <w:pStyle w:val="yMiscellaneousBody"/>
      </w:pPr>
      <w:r>
        <w:t>The total cost of entry for a Slikpik 25 entry for a single Saturday lotto draw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[25 games @ $0.60 each]</w:t>
      </w:r>
      <w:r>
        <w:tab/>
        <w:t>=</w:t>
      </w:r>
      <w:r>
        <w:tab/>
        <w:t>$15.00</w:t>
      </w:r>
    </w:p>
    <w:p>
      <w:pPr>
        <w:pStyle w:val="yMiscellaneousBody"/>
        <w:tabs>
          <w:tab w:val="left" w:pos="993"/>
          <w:tab w:val="left" w:pos="4536"/>
          <w:tab w:val="left" w:pos="5103"/>
        </w:tabs>
      </w:pPr>
      <w:r>
        <w:tab/>
        <w:t>9% of subscription [.09 x $15.00]</w:t>
      </w:r>
      <w:r>
        <w:tab/>
        <w:t>=</w:t>
      </w:r>
      <w:r>
        <w:tab/>
        <w:t>$1.35</w:t>
      </w:r>
    </w:p>
    <w:p>
      <w:pPr>
        <w:pStyle w:val="yMiscellaneousBody"/>
        <w:tabs>
          <w:tab w:val="left" w:pos="993"/>
          <w:tab w:val="left" w:pos="4536"/>
          <w:tab w:val="left" w:pos="5103"/>
        </w:tabs>
        <w:rPr>
          <w:b/>
          <w:bCs/>
        </w:rPr>
      </w:pPr>
      <w:r>
        <w:rPr>
          <w:b/>
          <w:bCs/>
        </w:rPr>
        <w:tab/>
        <w:t>Total cost of entry</w:t>
      </w:r>
      <w:r>
        <w:rPr>
          <w:b/>
          <w:bCs/>
        </w:rPr>
        <w:tab/>
        <w:t>=</w:t>
      </w:r>
      <w:r>
        <w:rPr>
          <w:b/>
          <w:bCs/>
        </w:rPr>
        <w:tab/>
        <w:t>$16.35</w:t>
      </w:r>
    </w:p>
    <w:p>
      <w:pPr>
        <w:pStyle w:val="yMiscellaneousBody"/>
        <w:keepNext/>
      </w:pPr>
      <w:r>
        <w:t>The total cost of entry for a System 8 entry for a single Saturday lotto draw is calculated as follows —</w:t>
      </w:r>
    </w:p>
    <w:p>
      <w:pPr>
        <w:pStyle w:val="yMiscellaneousBody"/>
        <w:keepNext/>
        <w:tabs>
          <w:tab w:val="left" w:pos="993"/>
          <w:tab w:val="left" w:pos="4536"/>
          <w:tab w:val="left" w:pos="5103"/>
        </w:tabs>
      </w:pPr>
      <w:r>
        <w:tab/>
        <w:t>Subscription for one week</w:t>
      </w:r>
    </w:p>
    <w:p>
      <w:pPr>
        <w:pStyle w:val="yMiscellaneousBody"/>
        <w:tabs>
          <w:tab w:val="left" w:pos="993"/>
          <w:tab w:val="left" w:pos="4536"/>
          <w:tab w:val="left" w:pos="5103"/>
        </w:tabs>
      </w:pPr>
      <w:r>
        <w:tab/>
        <w:t>[28 games @ $0.60 each]</w:t>
      </w:r>
      <w:r>
        <w:tab/>
        <w:t>=</w:t>
      </w:r>
      <w:r>
        <w:tab/>
        <w:t>$16.80</w:t>
      </w:r>
    </w:p>
    <w:p>
      <w:pPr>
        <w:pStyle w:val="yMiscellaneousBody"/>
        <w:tabs>
          <w:tab w:val="left" w:pos="993"/>
          <w:tab w:val="left" w:pos="4536"/>
          <w:tab w:val="left" w:pos="5103"/>
        </w:tabs>
      </w:pPr>
      <w:r>
        <w:tab/>
        <w:t>9% of subscription [.09 x $16.80]</w:t>
      </w:r>
      <w:r>
        <w:tab/>
        <w:t>=</w:t>
      </w:r>
      <w:r>
        <w:tab/>
        <w:t>$1.512</w:t>
      </w:r>
    </w:p>
    <w:p>
      <w:pPr>
        <w:pStyle w:val="yMiscellaneousBody"/>
        <w:tabs>
          <w:tab w:val="left" w:pos="993"/>
          <w:tab w:val="left" w:pos="4536"/>
          <w:tab w:val="left" w:pos="5103"/>
        </w:tabs>
      </w:pPr>
      <w:r>
        <w:tab/>
        <w:t>Rounded using “bankers rounding”</w:t>
      </w:r>
      <w:r>
        <w:tab/>
        <w:t>=</w:t>
      </w:r>
      <w:r>
        <w:tab/>
        <w:t>$1.50</w:t>
      </w:r>
    </w:p>
    <w:p>
      <w:pPr>
        <w:pStyle w:val="yMiscellaneousBody"/>
        <w:tabs>
          <w:tab w:val="left" w:pos="993"/>
          <w:tab w:val="left" w:pos="4536"/>
          <w:tab w:val="left" w:pos="5103"/>
        </w:tabs>
        <w:rPr>
          <w:b/>
          <w:bCs/>
        </w:rPr>
      </w:pPr>
      <w:r>
        <w:rPr>
          <w:b/>
          <w:bCs/>
        </w:rPr>
        <w:tab/>
        <w:t>Total cost of entry</w:t>
      </w:r>
      <w:r>
        <w:rPr>
          <w:b/>
          <w:bCs/>
        </w:rPr>
        <w:tab/>
        <w:t>=</w:t>
      </w:r>
      <w:r>
        <w:rPr>
          <w:b/>
          <w:bCs/>
        </w:rPr>
        <w:tab/>
        <w:t>$18.30</w:t>
      </w:r>
    </w:p>
    <w:p>
      <w:pPr>
        <w:pStyle w:val="yMiscellaneousBody"/>
      </w:pPr>
      <w:r>
        <w:t>The total cost of entry for a 6 game board System 9 entry for a single Saturday lotto draw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[6 x 84 games @ $0.60 each]</w:t>
      </w:r>
      <w:r>
        <w:tab/>
        <w:t>=</w:t>
      </w:r>
      <w:r>
        <w:tab/>
        <w:t>$302.40</w:t>
      </w:r>
    </w:p>
    <w:p>
      <w:pPr>
        <w:pStyle w:val="yMiscellaneousBody"/>
        <w:tabs>
          <w:tab w:val="left" w:pos="993"/>
          <w:tab w:val="left" w:pos="4536"/>
          <w:tab w:val="left" w:pos="5103"/>
        </w:tabs>
      </w:pPr>
      <w:r>
        <w:tab/>
        <w:t>9% of subscription [.09 x $302.40]</w:t>
      </w:r>
      <w:r>
        <w:tab/>
        <w:t>=</w:t>
      </w:r>
      <w:r>
        <w:tab/>
        <w:t>$27.216</w:t>
      </w:r>
    </w:p>
    <w:p>
      <w:pPr>
        <w:pStyle w:val="yMiscellaneousBody"/>
        <w:tabs>
          <w:tab w:val="left" w:pos="993"/>
          <w:tab w:val="left" w:pos="4536"/>
          <w:tab w:val="left" w:pos="5103"/>
        </w:tabs>
      </w:pPr>
      <w:r>
        <w:tab/>
        <w:t>Rounded using “bankers rounding”</w:t>
      </w:r>
      <w:r>
        <w:tab/>
        <w:t>=</w:t>
      </w:r>
      <w:r>
        <w:tab/>
        <w:t>$27.20</w:t>
      </w:r>
    </w:p>
    <w:p>
      <w:pPr>
        <w:pStyle w:val="yMiscellaneousBody"/>
        <w:tabs>
          <w:tab w:val="left" w:pos="993"/>
          <w:tab w:val="left" w:pos="4536"/>
          <w:tab w:val="left" w:pos="5103"/>
        </w:tabs>
        <w:rPr>
          <w:b/>
          <w:bCs/>
        </w:rPr>
      </w:pPr>
      <w:r>
        <w:rPr>
          <w:b/>
          <w:bCs/>
        </w:rPr>
        <w:tab/>
        <w:t>Total cost of entry</w:t>
      </w:r>
      <w:r>
        <w:rPr>
          <w:b/>
          <w:bCs/>
        </w:rPr>
        <w:tab/>
        <w:t>=</w:t>
      </w:r>
      <w:r>
        <w:rPr>
          <w:b/>
          <w:bCs/>
        </w:rPr>
        <w:tab/>
        <w:t>$329.60</w:t>
      </w:r>
    </w:p>
    <w:p>
      <w:pPr>
        <w:pStyle w:val="yMiscellaneousBody"/>
      </w:pPr>
      <w:r>
        <w:t>The total cost of entry for a Slikpik 25 entry spanning 10 weeks of Saturday lotto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[25 games @ $0.60 each]</w:t>
      </w:r>
      <w:r>
        <w:tab/>
        <w:t>=</w:t>
      </w:r>
      <w:r>
        <w:tab/>
        <w:t>$15.00</w:t>
      </w:r>
    </w:p>
    <w:p>
      <w:pPr>
        <w:pStyle w:val="yMiscellaneousBody"/>
        <w:tabs>
          <w:tab w:val="left" w:pos="993"/>
          <w:tab w:val="left" w:pos="4536"/>
          <w:tab w:val="left" w:pos="5103"/>
        </w:tabs>
      </w:pPr>
      <w:r>
        <w:tab/>
        <w:t>9% of subscription [.09 x $15.00]</w:t>
      </w:r>
      <w:r>
        <w:tab/>
        <w:t>=</w:t>
      </w:r>
      <w:r>
        <w:tab/>
        <w:t>$1.35</w:t>
      </w:r>
    </w:p>
    <w:p>
      <w:pPr>
        <w:pStyle w:val="yMiscellaneousBody"/>
        <w:tabs>
          <w:tab w:val="left" w:pos="993"/>
          <w:tab w:val="left" w:pos="4536"/>
          <w:tab w:val="left" w:pos="5103"/>
        </w:tabs>
      </w:pPr>
      <w:r>
        <w:tab/>
        <w:t>Total cost of entry for one week</w:t>
      </w:r>
      <w:r>
        <w:tab/>
        <w:t>=</w:t>
      </w:r>
      <w:r>
        <w:tab/>
        <w:t>$16.35</w:t>
      </w:r>
    </w:p>
    <w:p>
      <w:pPr>
        <w:pStyle w:val="yMiscellaneousBody"/>
        <w:tabs>
          <w:tab w:val="left" w:pos="993"/>
          <w:tab w:val="left" w:pos="4536"/>
          <w:tab w:val="left" w:pos="5103"/>
        </w:tabs>
        <w:rPr>
          <w:b/>
          <w:bCs/>
        </w:rPr>
      </w:pPr>
      <w:r>
        <w:rPr>
          <w:b/>
          <w:bCs/>
        </w:rPr>
        <w:tab/>
        <w:t xml:space="preserve">Total cost of entry for 10 </w:t>
      </w:r>
      <w:r>
        <w:rPr>
          <w:b/>
        </w:rPr>
        <w:t>weeks</w:t>
      </w:r>
      <w:r>
        <w:rPr>
          <w:b/>
          <w:bCs/>
        </w:rPr>
        <w:tab/>
        <w:t>=</w:t>
      </w:r>
      <w:r>
        <w:rPr>
          <w:b/>
          <w:bCs/>
        </w:rPr>
        <w:tab/>
        <w:t>$163.50</w:t>
      </w:r>
    </w:p>
    <w:p>
      <w:pPr>
        <w:pStyle w:val="yMiscellaneousBody"/>
      </w:pPr>
      <w:r>
        <w:t>* Rounding is calculated using the method known as “bankers rounding” or “round</w:t>
      </w:r>
      <w:r>
        <w:noBreakHyphen/>
        <w:t>to</w:t>
      </w:r>
      <w:r>
        <w:noBreakHyphen/>
        <w:t>even” rounding.</w:t>
      </w:r>
    </w:p>
    <w:p>
      <w:pPr>
        <w:pStyle w:val="yFootnotesection"/>
      </w:pPr>
      <w:r>
        <w:tab/>
        <w:t>[Part 1 inserted in Gazette 6 May 2014 p.1386</w:t>
      </w:r>
      <w:r>
        <w:noBreakHyphen/>
        <w:t>7.]</w:t>
      </w:r>
    </w:p>
    <w:p>
      <w:pPr>
        <w:pStyle w:val="yHeading3"/>
      </w:pPr>
      <w:bookmarkStart w:id="188" w:name="_Toc391299444"/>
      <w:bookmarkStart w:id="189" w:name="_Toc391299544"/>
      <w:bookmarkStart w:id="190" w:name="_Toc406506946"/>
      <w:bookmarkStart w:id="191" w:name="_Toc421105999"/>
      <w:bookmarkStart w:id="192" w:name="_Toc421106063"/>
      <w:bookmarkStart w:id="193" w:name="_Toc463612467"/>
      <w:r>
        <w:rPr>
          <w:rStyle w:val="CharSDivNo"/>
        </w:rPr>
        <w:t>Part 2</w:t>
      </w:r>
      <w:r>
        <w:t> — </w:t>
      </w:r>
      <w:r>
        <w:rPr>
          <w:rStyle w:val="CharSDivText"/>
        </w:rPr>
        <w:t>Formula applicable to draw 3443 on 19 July 2014 and subsequent draws</w:t>
      </w:r>
      <w:bookmarkEnd w:id="188"/>
      <w:bookmarkEnd w:id="189"/>
      <w:bookmarkEnd w:id="190"/>
      <w:bookmarkEnd w:id="191"/>
      <w:bookmarkEnd w:id="192"/>
      <w:bookmarkEnd w:id="193"/>
    </w:p>
    <w:p>
      <w:pPr>
        <w:pStyle w:val="yFootnoteheading"/>
        <w:keepNext/>
      </w:pPr>
      <w:r>
        <w:tab/>
        <w:t>[Heading inserted in Gazette 6 May 2014 p. 1388.]</w:t>
      </w:r>
    </w:p>
    <w:p>
      <w:pPr>
        <w:pStyle w:val="yMiscellaneousBody"/>
        <w:spacing w:before="120"/>
      </w:pPr>
      <w:r>
        <w:t>The unit cost of entering a Saturday lotto draw is made up of a subscription of 65 cents per game and an agent’s component.</w:t>
      </w:r>
    </w:p>
    <w:p>
      <w:pPr>
        <w:pStyle w:val="yMiscellaneousBody"/>
        <w:spacing w:before="120"/>
      </w:pPr>
      <w:r>
        <w:t>The agent’s component is calculated as 9% of the total subscription amount for a particular week’s entry, rounded* (where necessary) to the nearest 5 cent multiple.</w:t>
      </w:r>
    </w:p>
    <w:p>
      <w:pPr>
        <w:pStyle w:val="yMiscellaneousBody"/>
        <w:rPr>
          <w:bCs/>
        </w:rPr>
      </w:pPr>
      <w:r>
        <w:rPr>
          <w:bCs/>
        </w:rPr>
        <w:t>((G x $0.65) x .09 </w:t>
      </w:r>
      <w:r>
        <w:rPr>
          <w:bCs/>
        </w:rPr>
        <w:sym w:font="Symbol" w:char="F0AE"/>
      </w:r>
      <w:r>
        <w:rPr>
          <w:bCs/>
        </w:rPr>
        <w:t xml:space="preserve"> rounded) x W = T</w:t>
      </w:r>
    </w:p>
    <w:p>
      <w:pPr>
        <w:pStyle w:val="yMiscellaneousBody"/>
      </w:pPr>
      <w:r>
        <w:t>where —</w:t>
      </w:r>
    </w:p>
    <w:p>
      <w:pPr>
        <w:pStyle w:val="yMiscellaneousBody"/>
        <w:tabs>
          <w:tab w:val="left" w:pos="993"/>
          <w:tab w:val="left" w:pos="1418"/>
          <w:tab w:val="left" w:pos="1701"/>
        </w:tabs>
      </w:pPr>
      <w:r>
        <w:tab/>
      </w:r>
      <w:r>
        <w:rPr>
          <w:bCs/>
        </w:rPr>
        <w:t>G</w:t>
      </w:r>
      <w:r>
        <w:rPr>
          <w:b/>
          <w:bCs/>
        </w:rPr>
        <w:tab/>
      </w:r>
      <w:r>
        <w:t>=</w:t>
      </w:r>
      <w:r>
        <w:tab/>
        <w:t>No. of games entered in a draw</w:t>
      </w:r>
    </w:p>
    <w:p>
      <w:pPr>
        <w:pStyle w:val="yMiscellaneousBody"/>
        <w:tabs>
          <w:tab w:val="left" w:pos="993"/>
          <w:tab w:val="left" w:pos="1418"/>
          <w:tab w:val="left" w:pos="1701"/>
        </w:tabs>
      </w:pPr>
      <w:r>
        <w:tab/>
      </w:r>
      <w:r>
        <w:rPr>
          <w:bCs/>
        </w:rPr>
        <w:t>W</w:t>
      </w:r>
      <w:r>
        <w:tab/>
        <w:t>=</w:t>
      </w:r>
      <w:r>
        <w:tab/>
        <w:t>No. of weeks the entry spans</w:t>
      </w:r>
    </w:p>
    <w:p>
      <w:pPr>
        <w:pStyle w:val="yMiscellaneousBody"/>
        <w:tabs>
          <w:tab w:val="left" w:pos="993"/>
          <w:tab w:val="left" w:pos="1418"/>
          <w:tab w:val="left" w:pos="1701"/>
        </w:tabs>
      </w:pPr>
      <w:r>
        <w:rPr>
          <w:b/>
          <w:bCs/>
        </w:rPr>
        <w:tab/>
      </w:r>
      <w:r>
        <w:rPr>
          <w:bCs/>
        </w:rPr>
        <w:t>T</w:t>
      </w:r>
      <w:r>
        <w:tab/>
        <w:t>=</w:t>
      </w:r>
      <w:r>
        <w:tab/>
        <w:t>Total agent’s component cost payable by the subscriber</w:t>
      </w:r>
    </w:p>
    <w:p>
      <w:pPr>
        <w:pStyle w:val="yMiscellaneousBody"/>
        <w:rPr>
          <w:b/>
        </w:rPr>
      </w:pPr>
      <w:r>
        <w:rPr>
          <w:b/>
        </w:rPr>
        <w:t>Examples:</w:t>
      </w:r>
    </w:p>
    <w:p>
      <w:pPr>
        <w:pStyle w:val="yMiscellaneousBody"/>
        <w:spacing w:before="120"/>
      </w:pPr>
      <w:r>
        <w:t>The total cost of entry for a Slikpik 25 entry for a single Saturday lotto draw is calculated as follows —</w:t>
      </w:r>
    </w:p>
    <w:p>
      <w:pPr>
        <w:pStyle w:val="yMiscellaneousBody"/>
        <w:tabs>
          <w:tab w:val="left" w:pos="993"/>
        </w:tabs>
      </w:pPr>
      <w:r>
        <w:tab/>
        <w:t>Subscription for one week</w:t>
      </w:r>
    </w:p>
    <w:p>
      <w:pPr>
        <w:pStyle w:val="yMiscellaneousBody"/>
        <w:tabs>
          <w:tab w:val="left" w:pos="993"/>
          <w:tab w:val="left" w:pos="4536"/>
          <w:tab w:val="left" w:pos="5103"/>
        </w:tabs>
      </w:pPr>
      <w:r>
        <w:tab/>
        <w:t>[25 games @ $0.65 each]</w:t>
      </w:r>
      <w:r>
        <w:tab/>
        <w:t>=</w:t>
      </w:r>
      <w:r>
        <w:tab/>
        <w:t>$16.25</w:t>
      </w:r>
    </w:p>
    <w:p>
      <w:pPr>
        <w:pStyle w:val="yMiscellaneousBody"/>
        <w:tabs>
          <w:tab w:val="left" w:pos="993"/>
          <w:tab w:val="left" w:pos="4536"/>
          <w:tab w:val="left" w:pos="5103"/>
        </w:tabs>
      </w:pPr>
      <w:r>
        <w:tab/>
        <w:t>9% of subscription [.09 x $16.25]</w:t>
      </w:r>
      <w:r>
        <w:tab/>
        <w:t>=</w:t>
      </w:r>
      <w:r>
        <w:tab/>
        <w:t>$1.462</w:t>
      </w:r>
    </w:p>
    <w:p>
      <w:pPr>
        <w:pStyle w:val="yMiscellaneousBody"/>
        <w:tabs>
          <w:tab w:val="left" w:pos="993"/>
          <w:tab w:val="left" w:pos="4536"/>
          <w:tab w:val="left" w:pos="5103"/>
        </w:tabs>
      </w:pPr>
      <w:r>
        <w:tab/>
        <w:t>Rounded using “bankers rounding”</w:t>
      </w:r>
      <w:r>
        <w:tab/>
        <w:t>=</w:t>
      </w:r>
      <w:r>
        <w:tab/>
        <w:t>$1.45</w:t>
      </w:r>
    </w:p>
    <w:p>
      <w:pPr>
        <w:pStyle w:val="yMiscellaneousBody"/>
        <w:tabs>
          <w:tab w:val="left" w:pos="993"/>
          <w:tab w:val="left" w:pos="4536"/>
          <w:tab w:val="left" w:pos="5103"/>
        </w:tabs>
        <w:rPr>
          <w:b/>
          <w:bCs/>
        </w:rPr>
      </w:pPr>
      <w:r>
        <w:rPr>
          <w:b/>
          <w:bCs/>
        </w:rPr>
        <w:tab/>
        <w:t>Total cost of entry</w:t>
      </w:r>
      <w:r>
        <w:rPr>
          <w:b/>
          <w:bCs/>
        </w:rPr>
        <w:tab/>
        <w:t>=</w:t>
      </w:r>
      <w:r>
        <w:rPr>
          <w:b/>
          <w:bCs/>
        </w:rPr>
        <w:tab/>
        <w:t>$17.70</w:t>
      </w:r>
    </w:p>
    <w:p>
      <w:pPr>
        <w:pStyle w:val="yMiscellaneousBody"/>
        <w:spacing w:before="120"/>
      </w:pPr>
      <w:r>
        <w:t>The total cost of entry for a System 8 entry for a single Saturday lotto draw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[28 games @ $0.65 each]</w:t>
      </w:r>
      <w:r>
        <w:tab/>
        <w:t>=</w:t>
      </w:r>
      <w:r>
        <w:tab/>
        <w:t>$18.20</w:t>
      </w:r>
    </w:p>
    <w:p>
      <w:pPr>
        <w:pStyle w:val="yMiscellaneousBody"/>
        <w:tabs>
          <w:tab w:val="left" w:pos="993"/>
          <w:tab w:val="left" w:pos="4536"/>
          <w:tab w:val="left" w:pos="5103"/>
        </w:tabs>
      </w:pPr>
      <w:r>
        <w:tab/>
        <w:t>9% of subscription [.09 x $18.20]</w:t>
      </w:r>
      <w:r>
        <w:tab/>
        <w:t>=</w:t>
      </w:r>
      <w:r>
        <w:tab/>
        <w:t>$1.638</w:t>
      </w:r>
    </w:p>
    <w:p>
      <w:pPr>
        <w:pStyle w:val="yMiscellaneousBody"/>
        <w:tabs>
          <w:tab w:val="left" w:pos="993"/>
          <w:tab w:val="left" w:pos="4536"/>
          <w:tab w:val="left" w:pos="5103"/>
        </w:tabs>
      </w:pPr>
      <w:r>
        <w:tab/>
        <w:t>Rounded using “bankers rounding”</w:t>
      </w:r>
      <w:r>
        <w:tab/>
        <w:t>=</w:t>
      </w:r>
      <w:r>
        <w:tab/>
        <w:t>$1.65</w:t>
      </w:r>
    </w:p>
    <w:p>
      <w:pPr>
        <w:pStyle w:val="yMiscellaneousBody"/>
        <w:tabs>
          <w:tab w:val="left" w:pos="993"/>
          <w:tab w:val="left" w:pos="4536"/>
          <w:tab w:val="left" w:pos="5103"/>
        </w:tabs>
        <w:rPr>
          <w:b/>
          <w:bCs/>
        </w:rPr>
      </w:pPr>
      <w:r>
        <w:rPr>
          <w:b/>
          <w:bCs/>
        </w:rPr>
        <w:tab/>
        <w:t>Total cost of entry</w:t>
      </w:r>
      <w:r>
        <w:rPr>
          <w:b/>
          <w:bCs/>
        </w:rPr>
        <w:tab/>
        <w:t>=</w:t>
      </w:r>
      <w:r>
        <w:rPr>
          <w:b/>
          <w:bCs/>
        </w:rPr>
        <w:tab/>
        <w:t>$19.85</w:t>
      </w:r>
    </w:p>
    <w:p>
      <w:pPr>
        <w:pStyle w:val="yMiscellaneousBody"/>
      </w:pPr>
      <w:r>
        <w:t>The total cost of entry for a 6 game board System 9 entry for a single Saturday lotto draw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[6 x 84 games @ $0.65 each]</w:t>
      </w:r>
      <w:r>
        <w:tab/>
        <w:t>=</w:t>
      </w:r>
      <w:r>
        <w:tab/>
        <w:t>$327.60</w:t>
      </w:r>
    </w:p>
    <w:p>
      <w:pPr>
        <w:pStyle w:val="yMiscellaneousBody"/>
        <w:tabs>
          <w:tab w:val="left" w:pos="993"/>
          <w:tab w:val="left" w:pos="4536"/>
          <w:tab w:val="left" w:pos="5103"/>
        </w:tabs>
      </w:pPr>
      <w:r>
        <w:tab/>
        <w:t>9% of subscription [.09 x $327.60]</w:t>
      </w:r>
      <w:r>
        <w:tab/>
        <w:t>=</w:t>
      </w:r>
      <w:r>
        <w:tab/>
        <w:t>$29.484</w:t>
      </w:r>
    </w:p>
    <w:p>
      <w:pPr>
        <w:pStyle w:val="yMiscellaneousBody"/>
        <w:tabs>
          <w:tab w:val="left" w:pos="993"/>
          <w:tab w:val="left" w:pos="4536"/>
          <w:tab w:val="left" w:pos="5103"/>
        </w:tabs>
      </w:pPr>
      <w:r>
        <w:tab/>
        <w:t>Rounded using “bankers rounding”</w:t>
      </w:r>
      <w:r>
        <w:tab/>
        <w:t>=</w:t>
      </w:r>
      <w:r>
        <w:tab/>
        <w:t>$29.50</w:t>
      </w:r>
    </w:p>
    <w:p>
      <w:pPr>
        <w:pStyle w:val="yMiscellaneousBody"/>
        <w:tabs>
          <w:tab w:val="left" w:pos="993"/>
          <w:tab w:val="left" w:pos="4536"/>
          <w:tab w:val="left" w:pos="5103"/>
        </w:tabs>
        <w:rPr>
          <w:b/>
          <w:bCs/>
        </w:rPr>
      </w:pPr>
      <w:r>
        <w:rPr>
          <w:b/>
          <w:bCs/>
        </w:rPr>
        <w:tab/>
        <w:t>Total cost of entry</w:t>
      </w:r>
      <w:r>
        <w:rPr>
          <w:b/>
          <w:bCs/>
        </w:rPr>
        <w:tab/>
        <w:t>=</w:t>
      </w:r>
      <w:r>
        <w:rPr>
          <w:b/>
          <w:bCs/>
        </w:rPr>
        <w:tab/>
        <w:t>$357.10</w:t>
      </w:r>
    </w:p>
    <w:p>
      <w:pPr>
        <w:pStyle w:val="yMiscellaneousBody"/>
      </w:pPr>
      <w:r>
        <w:t>The total cost of entry for a Slikpik 25 entry spanning 10 weeks of Saturday lotto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[25 games @ $0.65 each]</w:t>
      </w:r>
      <w:r>
        <w:tab/>
        <w:t>=</w:t>
      </w:r>
      <w:r>
        <w:tab/>
        <w:t>$16.25</w:t>
      </w:r>
    </w:p>
    <w:p>
      <w:pPr>
        <w:pStyle w:val="yMiscellaneousBody"/>
        <w:tabs>
          <w:tab w:val="left" w:pos="993"/>
          <w:tab w:val="left" w:pos="4536"/>
          <w:tab w:val="left" w:pos="5103"/>
        </w:tabs>
      </w:pPr>
      <w:r>
        <w:tab/>
        <w:t>9% of subscription [.09 x $16.25]</w:t>
      </w:r>
      <w:r>
        <w:tab/>
        <w:t>=</w:t>
      </w:r>
      <w:r>
        <w:tab/>
        <w:t>$1.462</w:t>
      </w:r>
    </w:p>
    <w:p>
      <w:pPr>
        <w:pStyle w:val="yMiscellaneousBody"/>
        <w:tabs>
          <w:tab w:val="left" w:pos="993"/>
          <w:tab w:val="left" w:pos="4536"/>
          <w:tab w:val="left" w:pos="5103"/>
        </w:tabs>
      </w:pPr>
      <w:r>
        <w:tab/>
        <w:t>Rounded using “bankers rounding”</w:t>
      </w:r>
      <w:r>
        <w:tab/>
        <w:t>=</w:t>
      </w:r>
      <w:r>
        <w:tab/>
        <w:t>$1.45</w:t>
      </w:r>
    </w:p>
    <w:p>
      <w:pPr>
        <w:pStyle w:val="yMiscellaneousBody"/>
        <w:tabs>
          <w:tab w:val="left" w:pos="993"/>
          <w:tab w:val="left" w:pos="4536"/>
          <w:tab w:val="left" w:pos="5103"/>
        </w:tabs>
      </w:pPr>
      <w:r>
        <w:tab/>
        <w:t>Total cost of entry for one week</w:t>
      </w:r>
      <w:r>
        <w:tab/>
        <w:t>=</w:t>
      </w:r>
      <w:r>
        <w:tab/>
        <w:t>$17.70</w:t>
      </w:r>
    </w:p>
    <w:p>
      <w:pPr>
        <w:pStyle w:val="yMiscellaneousBody"/>
        <w:tabs>
          <w:tab w:val="left" w:pos="993"/>
          <w:tab w:val="left" w:pos="4536"/>
          <w:tab w:val="left" w:pos="5103"/>
        </w:tabs>
        <w:rPr>
          <w:b/>
          <w:bCs/>
        </w:rPr>
      </w:pPr>
      <w:r>
        <w:rPr>
          <w:b/>
          <w:bCs/>
        </w:rPr>
        <w:tab/>
        <w:t>Total cost of entry for 10 weeks</w:t>
      </w:r>
      <w:r>
        <w:rPr>
          <w:b/>
          <w:bCs/>
        </w:rPr>
        <w:tab/>
        <w:t>=</w:t>
      </w:r>
      <w:r>
        <w:rPr>
          <w:b/>
          <w:bCs/>
        </w:rPr>
        <w:tab/>
        <w:t>$177.00</w:t>
      </w:r>
    </w:p>
    <w:p>
      <w:pPr>
        <w:pStyle w:val="yMiscellaneousBody"/>
      </w:pPr>
      <w:r>
        <w:t>* Rounding is calculated using the method known as “bankers rounding” or “round</w:t>
      </w:r>
      <w:r>
        <w:noBreakHyphen/>
        <w:t>to</w:t>
      </w:r>
      <w:r>
        <w:noBreakHyphen/>
        <w:t>even” rounding.</w:t>
      </w:r>
    </w:p>
    <w:p>
      <w:pPr>
        <w:pStyle w:val="yFootnotesection"/>
      </w:pPr>
      <w:r>
        <w:tab/>
        <w:t>[Part 2 inserted in Gazette 6 May 2014 p.1388</w:t>
      </w:r>
      <w:r>
        <w:noBreakHyphen/>
        <w:t>9; amended in Gazette 24 Jun 2014 p. 2094; 16 Dec 2014 p. 4762.]</w:t>
      </w:r>
    </w:p>
    <w:p>
      <w:pPr>
        <w:pStyle w:val="yScheduleHeading"/>
      </w:pPr>
      <w:bookmarkStart w:id="194" w:name="_Toc391299445"/>
      <w:bookmarkStart w:id="195" w:name="_Toc391299545"/>
      <w:bookmarkStart w:id="196" w:name="_Toc406506947"/>
      <w:bookmarkStart w:id="197" w:name="_Toc421106000"/>
      <w:bookmarkStart w:id="198" w:name="_Toc421106064"/>
      <w:bookmarkStart w:id="199" w:name="_Toc463612468"/>
      <w:r>
        <w:rPr>
          <w:rStyle w:val="CharSchNo"/>
        </w:rPr>
        <w:t>Schedule 1A</w:t>
      </w:r>
      <w:r>
        <w:rPr>
          <w:rStyle w:val="CharSDivNo"/>
        </w:rPr>
        <w:t> </w:t>
      </w:r>
      <w:r>
        <w:t>—</w:t>
      </w:r>
      <w:r>
        <w:rPr>
          <w:rStyle w:val="CharSDivText"/>
        </w:rPr>
        <w:t> </w:t>
      </w:r>
      <w:r>
        <w:rPr>
          <w:rStyle w:val="CharSchText"/>
        </w:rPr>
        <w:t>System entries and game equivalents</w:t>
      </w:r>
      <w:bookmarkEnd w:id="194"/>
      <w:bookmarkEnd w:id="195"/>
      <w:bookmarkEnd w:id="196"/>
      <w:bookmarkEnd w:id="197"/>
      <w:bookmarkEnd w:id="198"/>
      <w:bookmarkEnd w:id="199"/>
    </w:p>
    <w:p>
      <w:pPr>
        <w:pStyle w:val="yFootnoteheading"/>
        <w:spacing w:after="60"/>
      </w:pPr>
      <w:r>
        <w:tab/>
        <w:t>[Heading inserted in Gazette 6 Jun 2008 p. 2272.]</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Saturday Lotto</w:t>
            </w:r>
          </w:p>
          <w:p>
            <w:pPr>
              <w:pStyle w:val="yTable"/>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38 760</w:t>
            </w:r>
          </w:p>
        </w:tc>
      </w:tr>
    </w:tbl>
    <w:p>
      <w:pPr>
        <w:pStyle w:val="yFootnotesection"/>
      </w:pPr>
      <w:r>
        <w:tab/>
        <w:t>[Schedule 1A inserted in Gazette 6 Jun 2008 p. 2272-3.]</w:t>
      </w:r>
    </w:p>
    <w:p>
      <w:pPr>
        <w:pStyle w:val="yScheduleHeading"/>
      </w:pPr>
      <w:bookmarkStart w:id="200" w:name="_Toc391299446"/>
      <w:bookmarkStart w:id="201" w:name="_Toc391299546"/>
      <w:bookmarkStart w:id="202" w:name="_Toc406506948"/>
      <w:bookmarkStart w:id="203" w:name="_Toc421106001"/>
      <w:bookmarkStart w:id="204" w:name="_Toc421106065"/>
      <w:bookmarkStart w:id="205" w:name="_Toc463612469"/>
      <w:r>
        <w:rPr>
          <w:rStyle w:val="CharSchNo"/>
        </w:rPr>
        <w:t>Schedule 2</w:t>
      </w:r>
      <w:r>
        <w:t> — </w:t>
      </w:r>
      <w:r>
        <w:rPr>
          <w:rStyle w:val="CharSchText"/>
        </w:rPr>
        <w:t>System entry prizes</w:t>
      </w:r>
      <w:bookmarkEnd w:id="200"/>
      <w:bookmarkEnd w:id="201"/>
      <w:bookmarkEnd w:id="202"/>
      <w:bookmarkEnd w:id="203"/>
      <w:bookmarkEnd w:id="204"/>
      <w:bookmarkEnd w:id="205"/>
    </w:p>
    <w:p>
      <w:pPr>
        <w:pStyle w:val="yShoulderClause"/>
      </w:pPr>
      <w:r>
        <w:t>[r. 21(2)]</w:t>
      </w:r>
    </w:p>
    <w:p>
      <w:pPr>
        <w:pStyle w:val="yFootnoteheading"/>
      </w:pPr>
      <w:r>
        <w:tab/>
        <w:t>[Heading inserted in Gazette 21 Dec 2010 p. 6765.]</w:t>
      </w:r>
    </w:p>
    <w:p>
      <w:pPr>
        <w:pStyle w:val="yHeading3"/>
      </w:pPr>
      <w:bookmarkStart w:id="206" w:name="_Toc391299447"/>
      <w:bookmarkStart w:id="207" w:name="_Toc391299547"/>
      <w:bookmarkStart w:id="208" w:name="_Toc406506949"/>
      <w:bookmarkStart w:id="209" w:name="_Toc421106002"/>
      <w:bookmarkStart w:id="210" w:name="_Toc421106066"/>
      <w:bookmarkStart w:id="211" w:name="_Toc463612470"/>
      <w:r>
        <w:rPr>
          <w:rStyle w:val="CharSDivNo"/>
        </w:rPr>
        <w:t>Part 1</w:t>
      </w:r>
      <w:r>
        <w:rPr>
          <w:b w:val="0"/>
        </w:rPr>
        <w:t> — </w:t>
      </w:r>
      <w:r>
        <w:rPr>
          <w:rStyle w:val="CharSDivText"/>
        </w:rPr>
        <w:t xml:space="preserve">Prizes applicable up to and including draw 3079 on </w:t>
      </w:r>
      <w:r>
        <w:rPr>
          <w:rStyle w:val="CharSDivText"/>
        </w:rPr>
        <w:br/>
        <w:t>22 January 2011</w:t>
      </w:r>
      <w:bookmarkEnd w:id="206"/>
      <w:bookmarkEnd w:id="207"/>
      <w:bookmarkEnd w:id="208"/>
      <w:bookmarkEnd w:id="209"/>
      <w:bookmarkEnd w:id="210"/>
      <w:bookmarkEnd w:id="211"/>
    </w:p>
    <w:p>
      <w:pPr>
        <w:pStyle w:val="yFootnoteheading"/>
        <w:spacing w:after="80"/>
      </w:pPr>
      <w:r>
        <w:tab/>
        <w:t>[Heading inserted in Gazette 21 Dec 2010 p. 6765.]</w:t>
      </w:r>
    </w:p>
    <w:tbl>
      <w:tblPr>
        <w:tblW w:w="0" w:type="auto"/>
        <w:tblInd w:w="57" w:type="dxa"/>
        <w:tblBorders>
          <w:bottom w:val="single" w:sz="4" w:space="0" w:color="auto"/>
        </w:tblBorders>
        <w:tblLayout w:type="fixed"/>
        <w:tblCellMar>
          <w:left w:w="57" w:type="dxa"/>
        </w:tblCellMar>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gridCol w:w="54"/>
      </w:tblGrid>
      <w:tr>
        <w:trPr>
          <w:gridAfter w:val="1"/>
          <w:wAfter w:w="54" w:type="dxa"/>
          <w:trHeight w:val="275"/>
          <w:tblHeader/>
        </w:trPr>
        <w:tc>
          <w:tcPr>
            <w:tcW w:w="993" w:type="dxa"/>
            <w:tcBorders>
              <w:bottom w:val="nil"/>
            </w:tcBorders>
          </w:tcPr>
          <w:p>
            <w:pPr>
              <w:pStyle w:val="yTableNAm"/>
              <w:spacing w:before="0"/>
              <w:rPr>
                <w:b/>
                <w:bCs/>
                <w:sz w:val="12"/>
              </w:rPr>
            </w:pPr>
            <w:r>
              <w:rPr>
                <w:b/>
                <w:bCs/>
                <w:sz w:val="12"/>
              </w:rPr>
              <w:t>WINNING</w:t>
            </w:r>
          </w:p>
          <w:p>
            <w:pPr>
              <w:pStyle w:val="yTableNAm"/>
              <w:spacing w:before="0"/>
              <w:rPr>
                <w:b/>
                <w:bCs/>
                <w:sz w:val="12"/>
              </w:rPr>
            </w:pPr>
            <w:r>
              <w:rPr>
                <w:b/>
                <w:bCs/>
                <w:sz w:val="12"/>
              </w:rPr>
              <w:t>NUMBERS</w:t>
            </w:r>
          </w:p>
        </w:tc>
        <w:tc>
          <w:tcPr>
            <w:tcW w:w="2835" w:type="dxa"/>
            <w:gridSpan w:val="8"/>
            <w:tcBorders>
              <w:bottom w:val="nil"/>
            </w:tcBorders>
          </w:tcPr>
          <w:p>
            <w:pPr>
              <w:pStyle w:val="yTableNAm"/>
              <w:spacing w:before="0"/>
              <w:ind w:left="-18"/>
              <w:rPr>
                <w:b/>
                <w:bCs/>
                <w:sz w:val="12"/>
              </w:rPr>
            </w:pPr>
            <w:r>
              <w:rPr>
                <w:b/>
                <w:bCs/>
                <w:sz w:val="12"/>
              </w:rPr>
              <w:t>NUMBER OF PRIZES</w:t>
            </w:r>
          </w:p>
        </w:tc>
        <w:tc>
          <w:tcPr>
            <w:tcW w:w="3260" w:type="dxa"/>
            <w:gridSpan w:val="10"/>
            <w:tcBorders>
              <w:bottom w:val="nil"/>
            </w:tcBorders>
          </w:tcPr>
          <w:p>
            <w:pPr>
              <w:pStyle w:val="yTableNAm"/>
              <w:spacing w:before="0"/>
              <w:rPr>
                <w:b/>
                <w:bCs/>
                <w:sz w:val="12"/>
              </w:rPr>
            </w:pPr>
          </w:p>
        </w:tc>
      </w:tr>
      <w:tr>
        <w:trPr>
          <w:gridAfter w:val="1"/>
          <w:wAfter w:w="54" w:type="dxa"/>
          <w:trHeight w:val="275"/>
          <w:tblHeader/>
        </w:trPr>
        <w:tc>
          <w:tcPr>
            <w:tcW w:w="993" w:type="dxa"/>
            <w:tcBorders>
              <w:bottom w:val="single" w:sz="4" w:space="0" w:color="auto"/>
            </w:tcBorders>
          </w:tcPr>
          <w:p>
            <w:pPr>
              <w:pStyle w:val="yTableNAm"/>
              <w:spacing w:before="0"/>
              <w:rPr>
                <w:b/>
                <w:bCs/>
                <w:sz w:val="12"/>
              </w:rPr>
            </w:pPr>
          </w:p>
        </w:tc>
        <w:tc>
          <w:tcPr>
            <w:tcW w:w="2835" w:type="dxa"/>
            <w:gridSpan w:val="8"/>
            <w:tcBorders>
              <w:bottom w:val="single" w:sz="4" w:space="0" w:color="auto"/>
            </w:tcBorders>
          </w:tcPr>
          <w:p>
            <w:pPr>
              <w:pStyle w:val="yTableNAm"/>
              <w:spacing w:before="0"/>
              <w:ind w:left="-18"/>
              <w:rPr>
                <w:b/>
                <w:bCs/>
                <w:sz w:val="12"/>
              </w:rPr>
            </w:pPr>
            <w:r>
              <w:rPr>
                <w:b/>
                <w:bCs/>
                <w:sz w:val="12"/>
              </w:rPr>
              <w:t>PRIZE TAKE</w:t>
            </w:r>
          </w:p>
          <w:p>
            <w:pPr>
              <w:pStyle w:val="yTableNAm"/>
              <w:spacing w:before="0"/>
              <w:ind w:left="-18"/>
              <w:rPr>
                <w:b/>
                <w:bCs/>
                <w:sz w:val="12"/>
              </w:rPr>
            </w:pPr>
            <w:r>
              <w:rPr>
                <w:b/>
                <w:bCs/>
                <w:sz w:val="12"/>
              </w:rPr>
              <w:t>DIVISIONS</w:t>
            </w:r>
          </w:p>
          <w:p>
            <w:pPr>
              <w:pStyle w:val="yTableNAm"/>
              <w:spacing w:before="60"/>
              <w:ind w:left="363"/>
              <w:rPr>
                <w:b/>
                <w:bCs/>
                <w:sz w:val="12"/>
              </w:rPr>
            </w:pPr>
            <w:r>
              <w:rPr>
                <w:b/>
                <w:bCs/>
                <w:sz w:val="12"/>
              </w:rPr>
              <w:t>SYSTEMS</w:t>
            </w:r>
          </w:p>
        </w:tc>
        <w:tc>
          <w:tcPr>
            <w:tcW w:w="3260" w:type="dxa"/>
            <w:gridSpan w:val="10"/>
            <w:tcBorders>
              <w:bottom w:val="single" w:sz="4" w:space="0" w:color="auto"/>
            </w:tcBorders>
          </w:tcPr>
          <w:p>
            <w:pPr>
              <w:pStyle w:val="yTableNAm"/>
              <w:spacing w:before="0"/>
              <w:rPr>
                <w:b/>
                <w:bCs/>
                <w:sz w:val="12"/>
              </w:rPr>
            </w:pPr>
          </w:p>
        </w:tc>
      </w:tr>
      <w:tr>
        <w:tblPrEx>
          <w:tblCellMar>
            <w:right w:w="0" w:type="dxa"/>
          </w:tblCellMar>
        </w:tblPrEx>
        <w:trPr>
          <w:tblHeader/>
        </w:trPr>
        <w:tc>
          <w:tcPr>
            <w:tcW w:w="993" w:type="dxa"/>
            <w:tcBorders>
              <w:top w:val="single" w:sz="4" w:space="0" w:color="auto"/>
            </w:tcBorders>
          </w:tcPr>
          <w:p>
            <w:pPr>
              <w:pStyle w:val="yTableNAm"/>
              <w:spacing w:before="0"/>
              <w:rPr>
                <w:b/>
                <w:bCs/>
                <w:sz w:val="12"/>
              </w:rPr>
            </w:pPr>
            <w:r>
              <w:rPr>
                <w:b/>
                <w:bCs/>
                <w:sz w:val="12"/>
              </w:rPr>
              <w:fldChar w:fldCharType="begin"/>
            </w:r>
            <w:r>
              <w:rPr>
                <w:b/>
                <w:bCs/>
                <w:sz w:val="12"/>
              </w:rPr>
              <w:instrText>ADVANCE \D 2.80</w:instrText>
            </w:r>
            <w:r>
              <w:rPr>
                <w:b/>
                <w:bCs/>
                <w:sz w:val="12"/>
              </w:rPr>
              <w:fldChar w:fldCharType="end"/>
            </w:r>
          </w:p>
        </w:tc>
        <w:tc>
          <w:tcPr>
            <w:tcW w:w="358" w:type="dxa"/>
            <w:tcBorders>
              <w:top w:val="single" w:sz="4" w:space="0" w:color="auto"/>
              <w:bottom w:val="nil"/>
            </w:tcBorders>
          </w:tcPr>
          <w:p>
            <w:pPr>
              <w:pStyle w:val="yTableNAm"/>
              <w:spacing w:before="0"/>
              <w:rPr>
                <w:b/>
                <w:bCs/>
                <w:sz w:val="12"/>
              </w:rPr>
            </w:pPr>
          </w:p>
        </w:tc>
        <w:tc>
          <w:tcPr>
            <w:tcW w:w="359" w:type="dxa"/>
            <w:tcBorders>
              <w:top w:val="single" w:sz="4" w:space="0" w:color="auto"/>
              <w:bottom w:val="nil"/>
            </w:tcBorders>
          </w:tcPr>
          <w:p>
            <w:pPr>
              <w:pStyle w:val="yTableNAm"/>
              <w:spacing w:before="0"/>
              <w:rPr>
                <w:b/>
                <w:bCs/>
                <w:sz w:val="12"/>
              </w:rPr>
            </w:pPr>
            <w:r>
              <w:rPr>
                <w:b/>
                <w:bCs/>
                <w:sz w:val="12"/>
              </w:rPr>
              <w:t>5</w:t>
            </w:r>
          </w:p>
        </w:tc>
        <w:tc>
          <w:tcPr>
            <w:tcW w:w="358" w:type="dxa"/>
            <w:tcBorders>
              <w:top w:val="single" w:sz="4" w:space="0" w:color="auto"/>
              <w:bottom w:val="nil"/>
            </w:tcBorders>
          </w:tcPr>
          <w:p>
            <w:pPr>
              <w:pStyle w:val="yTableNAm"/>
              <w:spacing w:before="0"/>
              <w:rPr>
                <w:b/>
                <w:bCs/>
                <w:sz w:val="12"/>
              </w:rPr>
            </w:pPr>
            <w:r>
              <w:rPr>
                <w:b/>
                <w:bCs/>
                <w:sz w:val="12"/>
              </w:rPr>
              <w:t>4</w:t>
            </w:r>
          </w:p>
        </w:tc>
        <w:tc>
          <w:tcPr>
            <w:tcW w:w="359" w:type="dxa"/>
            <w:tcBorders>
              <w:top w:val="single" w:sz="4" w:space="0" w:color="auto"/>
              <w:bottom w:val="nil"/>
            </w:tcBorders>
          </w:tcPr>
          <w:p>
            <w:pPr>
              <w:pStyle w:val="yTableNAm"/>
              <w:spacing w:before="0"/>
              <w:rPr>
                <w:b/>
                <w:bCs/>
                <w:sz w:val="12"/>
              </w:rPr>
            </w:pPr>
            <w:r>
              <w:rPr>
                <w:b/>
                <w:bCs/>
                <w:sz w:val="12"/>
              </w:rPr>
              <w:t>7</w:t>
            </w:r>
          </w:p>
        </w:tc>
        <w:tc>
          <w:tcPr>
            <w:tcW w:w="358" w:type="dxa"/>
            <w:tcBorders>
              <w:top w:val="single" w:sz="4" w:space="0" w:color="auto"/>
              <w:bottom w:val="nil"/>
            </w:tcBorders>
          </w:tcPr>
          <w:p>
            <w:pPr>
              <w:pStyle w:val="yTableNAm"/>
              <w:spacing w:before="0"/>
              <w:rPr>
                <w:b/>
                <w:bCs/>
                <w:sz w:val="12"/>
              </w:rPr>
            </w:pPr>
            <w:r>
              <w:rPr>
                <w:b/>
                <w:bCs/>
                <w:sz w:val="12"/>
              </w:rPr>
              <w:t>8</w:t>
            </w:r>
          </w:p>
        </w:tc>
        <w:tc>
          <w:tcPr>
            <w:tcW w:w="359" w:type="dxa"/>
            <w:tcBorders>
              <w:top w:val="single" w:sz="4" w:space="0" w:color="auto"/>
              <w:bottom w:val="nil"/>
            </w:tcBorders>
          </w:tcPr>
          <w:p>
            <w:pPr>
              <w:pStyle w:val="yTableNAm"/>
              <w:spacing w:before="0"/>
              <w:rPr>
                <w:b/>
                <w:bCs/>
                <w:sz w:val="12"/>
              </w:rPr>
            </w:pPr>
            <w:r>
              <w:rPr>
                <w:b/>
                <w:bCs/>
                <w:sz w:val="12"/>
              </w:rPr>
              <w:t>9</w:t>
            </w:r>
          </w:p>
        </w:tc>
        <w:tc>
          <w:tcPr>
            <w:tcW w:w="358" w:type="dxa"/>
            <w:tcBorders>
              <w:top w:val="single" w:sz="4" w:space="0" w:color="auto"/>
              <w:bottom w:val="nil"/>
            </w:tcBorders>
          </w:tcPr>
          <w:p>
            <w:pPr>
              <w:pStyle w:val="yTableNAm"/>
              <w:spacing w:before="0"/>
              <w:rPr>
                <w:b/>
                <w:bCs/>
                <w:sz w:val="12"/>
              </w:rPr>
            </w:pPr>
            <w:r>
              <w:rPr>
                <w:b/>
                <w:bCs/>
                <w:sz w:val="12"/>
              </w:rPr>
              <w:t>10</w:t>
            </w:r>
          </w:p>
        </w:tc>
        <w:tc>
          <w:tcPr>
            <w:tcW w:w="359" w:type="dxa"/>
            <w:gridSpan w:val="2"/>
            <w:tcBorders>
              <w:top w:val="single" w:sz="4" w:space="0" w:color="auto"/>
              <w:bottom w:val="nil"/>
            </w:tcBorders>
          </w:tcPr>
          <w:p>
            <w:pPr>
              <w:pStyle w:val="yTableNAm"/>
              <w:spacing w:before="0"/>
              <w:rPr>
                <w:b/>
                <w:bCs/>
                <w:sz w:val="12"/>
              </w:rPr>
            </w:pPr>
            <w:r>
              <w:rPr>
                <w:b/>
                <w:bCs/>
                <w:sz w:val="12"/>
              </w:rPr>
              <w:t>11</w:t>
            </w:r>
          </w:p>
        </w:tc>
        <w:tc>
          <w:tcPr>
            <w:tcW w:w="358" w:type="dxa"/>
            <w:tcBorders>
              <w:top w:val="single" w:sz="4" w:space="0" w:color="auto"/>
              <w:bottom w:val="nil"/>
            </w:tcBorders>
          </w:tcPr>
          <w:p>
            <w:pPr>
              <w:pStyle w:val="yTableNAm"/>
              <w:spacing w:before="0"/>
              <w:rPr>
                <w:b/>
                <w:bCs/>
                <w:sz w:val="12"/>
              </w:rPr>
            </w:pPr>
            <w:r>
              <w:rPr>
                <w:b/>
                <w:bCs/>
                <w:sz w:val="12"/>
              </w:rPr>
              <w:t>12</w:t>
            </w:r>
          </w:p>
        </w:tc>
        <w:tc>
          <w:tcPr>
            <w:tcW w:w="359" w:type="dxa"/>
            <w:tcBorders>
              <w:top w:val="single" w:sz="4" w:space="0" w:color="auto"/>
              <w:bottom w:val="nil"/>
            </w:tcBorders>
          </w:tcPr>
          <w:p>
            <w:pPr>
              <w:pStyle w:val="yTableNAm"/>
              <w:spacing w:before="0"/>
              <w:rPr>
                <w:b/>
                <w:bCs/>
                <w:sz w:val="12"/>
              </w:rPr>
            </w:pPr>
            <w:r>
              <w:rPr>
                <w:b/>
                <w:bCs/>
                <w:sz w:val="12"/>
              </w:rPr>
              <w:t>13</w:t>
            </w:r>
          </w:p>
        </w:tc>
        <w:tc>
          <w:tcPr>
            <w:tcW w:w="358" w:type="dxa"/>
            <w:tcBorders>
              <w:top w:val="single" w:sz="4" w:space="0" w:color="auto"/>
              <w:bottom w:val="nil"/>
            </w:tcBorders>
          </w:tcPr>
          <w:p>
            <w:pPr>
              <w:pStyle w:val="yTableNAm"/>
              <w:spacing w:before="0"/>
              <w:rPr>
                <w:b/>
                <w:bCs/>
                <w:sz w:val="12"/>
              </w:rPr>
            </w:pPr>
            <w:r>
              <w:rPr>
                <w:b/>
                <w:bCs/>
                <w:sz w:val="12"/>
              </w:rPr>
              <w:t>14</w:t>
            </w:r>
          </w:p>
        </w:tc>
        <w:tc>
          <w:tcPr>
            <w:tcW w:w="359" w:type="dxa"/>
            <w:tcBorders>
              <w:top w:val="single" w:sz="4" w:space="0" w:color="auto"/>
              <w:bottom w:val="nil"/>
            </w:tcBorders>
          </w:tcPr>
          <w:p>
            <w:pPr>
              <w:pStyle w:val="yTableNAm"/>
              <w:spacing w:before="0"/>
              <w:rPr>
                <w:b/>
                <w:bCs/>
                <w:sz w:val="12"/>
              </w:rPr>
            </w:pPr>
            <w:r>
              <w:rPr>
                <w:b/>
                <w:bCs/>
                <w:sz w:val="12"/>
              </w:rPr>
              <w:t>15</w:t>
            </w:r>
          </w:p>
        </w:tc>
        <w:tc>
          <w:tcPr>
            <w:tcW w:w="358" w:type="dxa"/>
            <w:tcBorders>
              <w:top w:val="single" w:sz="4" w:space="0" w:color="auto"/>
              <w:bottom w:val="nil"/>
            </w:tcBorders>
          </w:tcPr>
          <w:p>
            <w:pPr>
              <w:pStyle w:val="yTableNAm"/>
              <w:spacing w:before="0"/>
              <w:rPr>
                <w:b/>
                <w:bCs/>
                <w:sz w:val="12"/>
              </w:rPr>
            </w:pPr>
            <w:r>
              <w:rPr>
                <w:b/>
                <w:bCs/>
                <w:sz w:val="12"/>
              </w:rPr>
              <w:t>16</w:t>
            </w:r>
          </w:p>
        </w:tc>
        <w:tc>
          <w:tcPr>
            <w:tcW w:w="359" w:type="dxa"/>
            <w:tcBorders>
              <w:top w:val="single" w:sz="4" w:space="0" w:color="auto"/>
              <w:bottom w:val="nil"/>
            </w:tcBorders>
          </w:tcPr>
          <w:p>
            <w:pPr>
              <w:pStyle w:val="yTableNAm"/>
              <w:spacing w:before="0"/>
              <w:rPr>
                <w:b/>
                <w:bCs/>
                <w:sz w:val="12"/>
              </w:rPr>
            </w:pPr>
            <w:r>
              <w:rPr>
                <w:b/>
                <w:bCs/>
                <w:sz w:val="12"/>
              </w:rPr>
              <w:t>17</w:t>
            </w:r>
          </w:p>
        </w:tc>
        <w:tc>
          <w:tcPr>
            <w:tcW w:w="358" w:type="dxa"/>
            <w:tcBorders>
              <w:top w:val="single" w:sz="4" w:space="0" w:color="auto"/>
              <w:bottom w:val="nil"/>
            </w:tcBorders>
          </w:tcPr>
          <w:p>
            <w:pPr>
              <w:pStyle w:val="yTableNAm"/>
              <w:spacing w:before="0"/>
              <w:rPr>
                <w:b/>
                <w:bCs/>
                <w:sz w:val="12"/>
              </w:rPr>
            </w:pPr>
            <w:r>
              <w:rPr>
                <w:b/>
                <w:bCs/>
                <w:sz w:val="12"/>
              </w:rPr>
              <w:t>18</w:t>
            </w:r>
          </w:p>
        </w:tc>
        <w:tc>
          <w:tcPr>
            <w:tcW w:w="359" w:type="dxa"/>
            <w:tcBorders>
              <w:top w:val="single" w:sz="4" w:space="0" w:color="auto"/>
              <w:bottom w:val="nil"/>
            </w:tcBorders>
          </w:tcPr>
          <w:p>
            <w:pPr>
              <w:pStyle w:val="yTableNAm"/>
              <w:spacing w:before="0"/>
              <w:rPr>
                <w:b/>
                <w:bCs/>
                <w:sz w:val="12"/>
              </w:rPr>
            </w:pPr>
            <w:r>
              <w:rPr>
                <w:b/>
                <w:bCs/>
                <w:sz w:val="12"/>
              </w:rPr>
              <w:t>19</w:t>
            </w:r>
          </w:p>
        </w:tc>
        <w:tc>
          <w:tcPr>
            <w:tcW w:w="359" w:type="dxa"/>
            <w:gridSpan w:val="2"/>
            <w:tcBorders>
              <w:top w:val="single" w:sz="4" w:space="0" w:color="auto"/>
              <w:bottom w:val="nil"/>
            </w:tcBorders>
          </w:tcPr>
          <w:p>
            <w:pPr>
              <w:pStyle w:val="yTableNAm"/>
              <w:spacing w:before="0"/>
              <w:rPr>
                <w:b/>
                <w:bCs/>
                <w:sz w:val="12"/>
              </w:rPr>
            </w:pPr>
            <w:r>
              <w:rPr>
                <w:b/>
                <w:bCs/>
                <w:sz w:val="12"/>
              </w:rPr>
              <w:t>20</w:t>
            </w:r>
          </w:p>
        </w:tc>
      </w:tr>
      <w:tr>
        <w:tblPrEx>
          <w:tblCellMar>
            <w:right w:w="0" w:type="dxa"/>
          </w:tblCellMar>
        </w:tblPrEx>
        <w:tc>
          <w:tcPr>
            <w:tcW w:w="993" w:type="dxa"/>
            <w:tcBorders>
              <w:top w:val="nil"/>
            </w:tcBorders>
          </w:tcPr>
          <w:p>
            <w:pPr>
              <w:pStyle w:val="yTableNAm"/>
              <w:spacing w:before="0"/>
              <w:rPr>
                <w:sz w:val="12"/>
              </w:rPr>
            </w:pPr>
            <w:r>
              <w:rPr>
                <w:sz w:val="12"/>
              </w:rPr>
              <w:t>Six and two</w:t>
            </w:r>
          </w:p>
          <w:p>
            <w:pPr>
              <w:pStyle w:val="yTableNAm"/>
              <w:spacing w:before="0"/>
              <w:rPr>
                <w:sz w:val="12"/>
              </w:rPr>
            </w:pPr>
            <w:r>
              <w:rPr>
                <w:sz w:val="12"/>
              </w:rPr>
              <w:t>supplementaries</w:t>
            </w: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gridSpan w:val="2"/>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9" w:type="dxa"/>
            <w:gridSpan w:val="2"/>
            <w:tcBorders>
              <w:top w:val="nil"/>
            </w:tcBorders>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9" w:type="dxa"/>
            <w:gridSpan w:val="2"/>
          </w:tcPr>
          <w:p>
            <w:pPr>
              <w:pStyle w:val="yTableNAm"/>
              <w:spacing w:before="0"/>
              <w:rPr>
                <w:sz w:val="12"/>
              </w:rPr>
            </w:pPr>
            <w:r>
              <w:rPr>
                <w:sz w:val="12"/>
              </w:rPr>
              <w:t>72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gridSpan w:val="2"/>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80</w:t>
            </w:r>
          </w:p>
        </w:tc>
        <w:tc>
          <w:tcPr>
            <w:tcW w:w="359" w:type="dxa"/>
            <w:gridSpan w:val="2"/>
          </w:tcPr>
          <w:p>
            <w:pPr>
              <w:pStyle w:val="yTableNAm"/>
              <w:spacing w:before="0"/>
              <w:rPr>
                <w:sz w:val="12"/>
              </w:rPr>
            </w:pPr>
            <w:r>
              <w:rPr>
                <w:sz w:val="12"/>
              </w:rPr>
              <w:t>180</w:t>
            </w:r>
          </w:p>
        </w:tc>
        <w:tc>
          <w:tcPr>
            <w:tcW w:w="358" w:type="dxa"/>
          </w:tcPr>
          <w:p>
            <w:pPr>
              <w:pStyle w:val="yTableNAm"/>
              <w:spacing w:before="0"/>
              <w:rPr>
                <w:sz w:val="12"/>
              </w:rPr>
            </w:pPr>
            <w:r>
              <w:rPr>
                <w:sz w:val="12"/>
              </w:rPr>
              <w:t>320</w:t>
            </w:r>
          </w:p>
        </w:tc>
        <w:tc>
          <w:tcPr>
            <w:tcW w:w="359" w:type="dxa"/>
          </w:tcPr>
          <w:p>
            <w:pPr>
              <w:pStyle w:val="yTableNAm"/>
              <w:spacing w:before="0"/>
              <w:rPr>
                <w:sz w:val="12"/>
              </w:rPr>
            </w:pPr>
            <w:r>
              <w:rPr>
                <w:sz w:val="12"/>
              </w:rPr>
              <w:t>500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980</w:t>
            </w:r>
          </w:p>
        </w:tc>
        <w:tc>
          <w:tcPr>
            <w:tcW w:w="358" w:type="dxa"/>
          </w:tcPr>
          <w:p>
            <w:pPr>
              <w:pStyle w:val="yTableNAm"/>
              <w:spacing w:before="0"/>
              <w:rPr>
                <w:sz w:val="12"/>
              </w:rPr>
            </w:pPr>
            <w:r>
              <w:rPr>
                <w:sz w:val="12"/>
              </w:rPr>
              <w:t>1280</w:t>
            </w:r>
          </w:p>
        </w:tc>
        <w:tc>
          <w:tcPr>
            <w:tcW w:w="359" w:type="dxa"/>
          </w:tcPr>
          <w:p>
            <w:pPr>
              <w:pStyle w:val="yTableNAm"/>
              <w:spacing w:before="0"/>
              <w:rPr>
                <w:sz w:val="12"/>
              </w:rPr>
            </w:pPr>
            <w:r>
              <w:rPr>
                <w:sz w:val="12"/>
              </w:rPr>
              <w:t>1620</w:t>
            </w:r>
          </w:p>
        </w:tc>
        <w:tc>
          <w:tcPr>
            <w:tcW w:w="358" w:type="dxa"/>
          </w:tcPr>
          <w:p>
            <w:pPr>
              <w:pStyle w:val="yTableNAm"/>
              <w:spacing w:before="0"/>
              <w:rPr>
                <w:sz w:val="12"/>
              </w:rPr>
            </w:pPr>
            <w:r>
              <w:rPr>
                <w:sz w:val="12"/>
              </w:rPr>
              <w:t>2000</w:t>
            </w:r>
          </w:p>
        </w:tc>
        <w:tc>
          <w:tcPr>
            <w:tcW w:w="359" w:type="dxa"/>
          </w:tcPr>
          <w:p>
            <w:pPr>
              <w:pStyle w:val="yTableNAm"/>
              <w:spacing w:before="0"/>
              <w:rPr>
                <w:sz w:val="12"/>
              </w:rPr>
            </w:pPr>
            <w:r>
              <w:rPr>
                <w:sz w:val="12"/>
              </w:rPr>
              <w:t>2420</w:t>
            </w:r>
          </w:p>
        </w:tc>
        <w:tc>
          <w:tcPr>
            <w:tcW w:w="359" w:type="dxa"/>
            <w:gridSpan w:val="2"/>
          </w:tcPr>
          <w:p>
            <w:pPr>
              <w:pStyle w:val="yTableNAm"/>
              <w:spacing w:before="0"/>
              <w:rPr>
                <w:sz w:val="12"/>
              </w:rPr>
            </w:pPr>
            <w:r>
              <w:rPr>
                <w:sz w:val="12"/>
              </w:rPr>
              <w:t>2880</w:t>
            </w:r>
          </w:p>
        </w:tc>
      </w:tr>
      <w:tr>
        <w:tblPrEx>
          <w:tblCellMar>
            <w:right w:w="0" w:type="dxa"/>
          </w:tblCellMar>
        </w:tblPrEx>
        <w:tc>
          <w:tcPr>
            <w:tcW w:w="993" w:type="dxa"/>
          </w:tcPr>
          <w:p>
            <w:pPr>
              <w:pStyle w:val="yTableNAm"/>
              <w:spacing w:before="0"/>
              <w:rPr>
                <w:sz w:val="12"/>
              </w:rPr>
            </w:pPr>
            <w:r>
              <w:rPr>
                <w:sz w:val="12"/>
              </w:rPr>
              <w:t>Six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9" w:type="dxa"/>
            <w:gridSpan w:val="2"/>
          </w:tcPr>
          <w:p>
            <w:pPr>
              <w:pStyle w:val="yTableNAm"/>
              <w:spacing w:before="0"/>
              <w:rPr>
                <w:sz w:val="12"/>
              </w:rPr>
            </w:pPr>
            <w:r>
              <w:rPr>
                <w:sz w:val="12"/>
              </w:rPr>
              <w:t>6</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18</w:t>
            </w:r>
          </w:p>
        </w:tc>
        <w:tc>
          <w:tcPr>
            <w:tcW w:w="359" w:type="dxa"/>
            <w:gridSpan w:val="2"/>
          </w:tcPr>
          <w:p>
            <w:pPr>
              <w:pStyle w:val="yTableNAm"/>
              <w:spacing w:before="0"/>
              <w:rPr>
                <w:sz w:val="12"/>
              </w:rPr>
            </w:pPr>
            <w:r>
              <w:rPr>
                <w:sz w:val="12"/>
              </w:rPr>
              <w:t>24</w:t>
            </w:r>
          </w:p>
        </w:tc>
        <w:tc>
          <w:tcPr>
            <w:tcW w:w="358" w:type="dxa"/>
          </w:tcPr>
          <w:p>
            <w:pPr>
              <w:pStyle w:val="yTableNAm"/>
              <w:spacing w:before="0"/>
              <w:rPr>
                <w:sz w:val="12"/>
              </w:rPr>
            </w:pPr>
            <w:r>
              <w:rPr>
                <w:sz w:val="12"/>
              </w:rPr>
              <w:t>30</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42</w:t>
            </w:r>
          </w:p>
        </w:tc>
        <w:tc>
          <w:tcPr>
            <w:tcW w:w="359" w:type="dxa"/>
          </w:tcPr>
          <w:p>
            <w:pPr>
              <w:pStyle w:val="yTableNAm"/>
              <w:spacing w:before="0"/>
              <w:rPr>
                <w:sz w:val="12"/>
              </w:rPr>
            </w:pPr>
            <w:r>
              <w:rPr>
                <w:sz w:val="12"/>
              </w:rPr>
              <w:t>48</w:t>
            </w:r>
          </w:p>
        </w:tc>
        <w:tc>
          <w:tcPr>
            <w:tcW w:w="358" w:type="dxa"/>
          </w:tcPr>
          <w:p>
            <w:pPr>
              <w:pStyle w:val="yTableNAm"/>
              <w:spacing w:before="0"/>
              <w:rPr>
                <w:sz w:val="12"/>
              </w:rPr>
            </w:pPr>
            <w:r>
              <w:rPr>
                <w:sz w:val="12"/>
              </w:rPr>
              <w:t>54</w:t>
            </w:r>
          </w:p>
        </w:tc>
        <w:tc>
          <w:tcPr>
            <w:tcW w:w="359" w:type="dxa"/>
          </w:tcPr>
          <w:p>
            <w:pPr>
              <w:pStyle w:val="yTableNAm"/>
              <w:spacing w:before="0"/>
              <w:rPr>
                <w:sz w:val="12"/>
              </w:rPr>
            </w:pPr>
            <w:r>
              <w:rPr>
                <w:sz w:val="12"/>
              </w:rPr>
              <w:t>60</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72</w:t>
            </w:r>
          </w:p>
        </w:tc>
        <w:tc>
          <w:tcPr>
            <w:tcW w:w="359" w:type="dxa"/>
            <w:gridSpan w:val="2"/>
          </w:tcPr>
          <w:p>
            <w:pPr>
              <w:pStyle w:val="yTableNAm"/>
              <w:spacing w:before="0"/>
              <w:rPr>
                <w:sz w:val="12"/>
              </w:rPr>
            </w:pPr>
            <w:r>
              <w:rPr>
                <w:sz w:val="12"/>
              </w:rPr>
              <w:t>78</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gridSpan w:val="2"/>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120</w:t>
            </w:r>
          </w:p>
        </w:tc>
        <w:tc>
          <w:tcPr>
            <w:tcW w:w="358" w:type="dxa"/>
          </w:tcPr>
          <w:p>
            <w:pPr>
              <w:pStyle w:val="yTableNAm"/>
              <w:spacing w:before="0"/>
              <w:rPr>
                <w:sz w:val="12"/>
              </w:rPr>
            </w:pPr>
            <w:r>
              <w:rPr>
                <w:sz w:val="12"/>
              </w:rPr>
              <w:t>200</w:t>
            </w:r>
          </w:p>
        </w:tc>
        <w:tc>
          <w:tcPr>
            <w:tcW w:w="359" w:type="dxa"/>
          </w:tcPr>
          <w:p>
            <w:pPr>
              <w:pStyle w:val="yTableNAm"/>
              <w:spacing w:before="0"/>
              <w:rPr>
                <w:sz w:val="12"/>
              </w:rPr>
            </w:pPr>
            <w:r>
              <w:rPr>
                <w:sz w:val="12"/>
              </w:rPr>
              <w:t>300</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560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900</w:t>
            </w:r>
          </w:p>
        </w:tc>
        <w:tc>
          <w:tcPr>
            <w:tcW w:w="358" w:type="dxa"/>
          </w:tcPr>
          <w:p>
            <w:pPr>
              <w:pStyle w:val="yTableNAm"/>
              <w:spacing w:before="0"/>
              <w:rPr>
                <w:sz w:val="12"/>
              </w:rPr>
            </w:pPr>
            <w:r>
              <w:rPr>
                <w:sz w:val="12"/>
              </w:rPr>
              <w:t>1100</w:t>
            </w:r>
          </w:p>
        </w:tc>
        <w:tc>
          <w:tcPr>
            <w:tcW w:w="359" w:type="dxa"/>
          </w:tcPr>
          <w:p>
            <w:pPr>
              <w:pStyle w:val="yTableNAm"/>
              <w:spacing w:before="0"/>
              <w:rPr>
                <w:sz w:val="12"/>
              </w:rPr>
            </w:pPr>
            <w:r>
              <w:rPr>
                <w:sz w:val="12"/>
              </w:rPr>
              <w:t>1320</w:t>
            </w:r>
          </w:p>
        </w:tc>
        <w:tc>
          <w:tcPr>
            <w:tcW w:w="359" w:type="dxa"/>
            <w:gridSpan w:val="2"/>
          </w:tcPr>
          <w:p>
            <w:pPr>
              <w:pStyle w:val="yTableNAm"/>
              <w:spacing w:before="0"/>
              <w:rPr>
                <w:sz w:val="12"/>
              </w:rPr>
            </w:pPr>
            <w:r>
              <w:rPr>
                <w:sz w:val="12"/>
              </w:rPr>
              <w:t>1560</w:t>
            </w:r>
          </w:p>
        </w:tc>
      </w:tr>
      <w:tr>
        <w:tblPrEx>
          <w:tblCellMar>
            <w:right w:w="0" w:type="dxa"/>
          </w:tblCellMar>
        </w:tblPrEx>
        <w:tc>
          <w:tcPr>
            <w:tcW w:w="993" w:type="dxa"/>
          </w:tcPr>
          <w:p>
            <w:pPr>
              <w:pStyle w:val="yTableNAm"/>
              <w:spacing w:before="0"/>
              <w:rPr>
                <w:sz w:val="12"/>
              </w:rPr>
            </w:pPr>
            <w:r>
              <w:rPr>
                <w:sz w:val="12"/>
              </w:rPr>
              <w:t>Six</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gridSpan w:val="2"/>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8" w:type="dxa"/>
          </w:tcPr>
          <w:p>
            <w:pPr>
              <w:pStyle w:val="yTableNAm"/>
              <w:spacing w:before="0"/>
              <w:rPr>
                <w:sz w:val="12"/>
              </w:rPr>
            </w:pPr>
            <w:r>
              <w:rPr>
                <w:sz w:val="12"/>
              </w:rPr>
              <w:t>72</w:t>
            </w:r>
          </w:p>
        </w:tc>
        <w:tc>
          <w:tcPr>
            <w:tcW w:w="359" w:type="dxa"/>
          </w:tcPr>
          <w:p>
            <w:pPr>
              <w:pStyle w:val="yTableNAm"/>
              <w:spacing w:before="0"/>
              <w:rPr>
                <w:sz w:val="12"/>
              </w:rPr>
            </w:pPr>
            <w:r>
              <w:rPr>
                <w:sz w:val="12"/>
              </w:rPr>
              <w:t>78</w:t>
            </w:r>
          </w:p>
        </w:tc>
        <w:tc>
          <w:tcPr>
            <w:tcW w:w="359" w:type="dxa"/>
            <w:gridSpan w:val="2"/>
          </w:tcPr>
          <w:p>
            <w:pPr>
              <w:pStyle w:val="yTableNAm"/>
              <w:spacing w:before="0"/>
              <w:rPr>
                <w:sz w:val="12"/>
              </w:rPr>
            </w:pPr>
            <w:r>
              <w:rPr>
                <w:sz w:val="12"/>
              </w:rPr>
              <w:t>84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gridSpan w:val="2"/>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r>
              <w:rPr>
                <w:sz w:val="12"/>
              </w:rPr>
              <w:t>Five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gridSpan w:val="2"/>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9" w:type="dxa"/>
            <w:gridSpan w:val="2"/>
          </w:tcPr>
          <w:p>
            <w:pPr>
              <w:pStyle w:val="yTableNAm"/>
              <w:spacing w:before="0"/>
              <w:rPr>
                <w:sz w:val="12"/>
              </w:rPr>
            </w:pPr>
            <w:r>
              <w:rPr>
                <w:sz w:val="12"/>
              </w:rPr>
              <w:t>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gridSpan w:val="2"/>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13</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gridSpan w:val="2"/>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40</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160</w:t>
            </w:r>
          </w:p>
        </w:tc>
        <w:tc>
          <w:tcPr>
            <w:tcW w:w="358" w:type="dxa"/>
          </w:tcPr>
          <w:p>
            <w:pPr>
              <w:pStyle w:val="yTableNAm"/>
              <w:spacing w:before="0"/>
              <w:rPr>
                <w:sz w:val="12"/>
              </w:rPr>
            </w:pPr>
            <w:r>
              <w:rPr>
                <w:sz w:val="12"/>
              </w:rPr>
              <w:t>250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490</w:t>
            </w:r>
          </w:p>
        </w:tc>
        <w:tc>
          <w:tcPr>
            <w:tcW w:w="359" w:type="dxa"/>
          </w:tcPr>
          <w:p>
            <w:pPr>
              <w:pStyle w:val="yTableNAm"/>
              <w:spacing w:before="0"/>
              <w:rPr>
                <w:sz w:val="12"/>
              </w:rPr>
            </w:pPr>
            <w:r>
              <w:rPr>
                <w:sz w:val="12"/>
              </w:rPr>
              <w:t>640</w:t>
            </w:r>
          </w:p>
        </w:tc>
        <w:tc>
          <w:tcPr>
            <w:tcW w:w="358" w:type="dxa"/>
          </w:tcPr>
          <w:p>
            <w:pPr>
              <w:pStyle w:val="yTableNAm"/>
              <w:spacing w:before="0"/>
              <w:rPr>
                <w:sz w:val="12"/>
              </w:rPr>
            </w:pPr>
            <w:r>
              <w:rPr>
                <w:sz w:val="12"/>
              </w:rPr>
              <w:t>810</w:t>
            </w:r>
          </w:p>
        </w:tc>
        <w:tc>
          <w:tcPr>
            <w:tcW w:w="359" w:type="dxa"/>
          </w:tcPr>
          <w:p>
            <w:pPr>
              <w:pStyle w:val="yTableNAm"/>
              <w:spacing w:before="0"/>
              <w:rPr>
                <w:sz w:val="12"/>
              </w:rPr>
            </w:pPr>
            <w:r>
              <w:rPr>
                <w:sz w:val="12"/>
              </w:rPr>
              <w:t>1000</w:t>
            </w:r>
          </w:p>
        </w:tc>
        <w:tc>
          <w:tcPr>
            <w:tcW w:w="358" w:type="dxa"/>
          </w:tcPr>
          <w:p>
            <w:pPr>
              <w:pStyle w:val="yTableNAm"/>
              <w:spacing w:before="0"/>
              <w:rPr>
                <w:sz w:val="12"/>
              </w:rPr>
            </w:pPr>
            <w:r>
              <w:rPr>
                <w:sz w:val="12"/>
              </w:rPr>
              <w:t>1210</w:t>
            </w:r>
          </w:p>
        </w:tc>
        <w:tc>
          <w:tcPr>
            <w:tcW w:w="359" w:type="dxa"/>
          </w:tcPr>
          <w:p>
            <w:pPr>
              <w:pStyle w:val="yTableNAm"/>
              <w:spacing w:before="0"/>
              <w:rPr>
                <w:sz w:val="12"/>
              </w:rPr>
            </w:pPr>
            <w:r>
              <w:rPr>
                <w:sz w:val="12"/>
              </w:rPr>
              <w:t>1440</w:t>
            </w:r>
          </w:p>
        </w:tc>
        <w:tc>
          <w:tcPr>
            <w:tcW w:w="359" w:type="dxa"/>
            <w:gridSpan w:val="2"/>
          </w:tcPr>
          <w:p>
            <w:pPr>
              <w:pStyle w:val="yTableNAm"/>
              <w:spacing w:before="0"/>
              <w:rPr>
                <w:sz w:val="12"/>
              </w:rPr>
            </w:pPr>
            <w:r>
              <w:rPr>
                <w:sz w:val="12"/>
              </w:rPr>
              <w:t>1690</w:t>
            </w:r>
          </w:p>
        </w:tc>
      </w:tr>
      <w:tr>
        <w:tblPrEx>
          <w:tblCellMar>
            <w:right w:w="0" w:type="dxa"/>
          </w:tblCellMar>
        </w:tblPrEx>
        <w:tc>
          <w:tcPr>
            <w:tcW w:w="993" w:type="dxa"/>
          </w:tcPr>
          <w:p>
            <w:pPr>
              <w:pStyle w:val="yTableNAm"/>
              <w:spacing w:before="0"/>
              <w:rPr>
                <w:sz w:val="12"/>
              </w:rPr>
            </w:pPr>
            <w:r>
              <w:rPr>
                <w:sz w:val="12"/>
              </w:rPr>
              <w:t>Five and one</w:t>
            </w:r>
          </w:p>
          <w:p>
            <w:pPr>
              <w:pStyle w:val="yTableNAm"/>
              <w:spacing w:before="0"/>
              <w:rPr>
                <w:sz w:val="12"/>
              </w:rPr>
            </w:pPr>
            <w:r>
              <w:rPr>
                <w:sz w:val="12"/>
              </w:rPr>
              <w:t>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4</w:t>
            </w:r>
          </w:p>
        </w:tc>
        <w:tc>
          <w:tcPr>
            <w:tcW w:w="359" w:type="dxa"/>
            <w:gridSpan w:val="2"/>
          </w:tcPr>
          <w:p>
            <w:pPr>
              <w:pStyle w:val="yTableNAm"/>
              <w:spacing w:before="0"/>
              <w:rPr>
                <w:sz w:val="12"/>
              </w:rPr>
            </w:pPr>
            <w:r>
              <w:rPr>
                <w:sz w:val="12"/>
              </w:rPr>
              <w:t>5</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7</w:t>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t>9</w:t>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11</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13</w:t>
            </w:r>
          </w:p>
        </w:tc>
        <w:tc>
          <w:tcPr>
            <w:tcW w:w="359" w:type="dxa"/>
            <w:gridSpan w:val="2"/>
          </w:tcPr>
          <w:p>
            <w:pPr>
              <w:pStyle w:val="yTableNAm"/>
              <w:spacing w:before="0"/>
              <w:rPr>
                <w:sz w:val="12"/>
              </w:rPr>
            </w:pPr>
            <w:r>
              <w:rPr>
                <w:sz w:val="12"/>
              </w:rPr>
              <w:t>14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gridSpan w:val="2"/>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150</w:t>
            </w:r>
          </w:p>
        </w:tc>
        <w:tc>
          <w:tcPr>
            <w:tcW w:w="359" w:type="dxa"/>
          </w:tcPr>
          <w:p>
            <w:pPr>
              <w:pStyle w:val="yTableNAm"/>
              <w:spacing w:before="0"/>
              <w:rPr>
                <w:sz w:val="12"/>
              </w:rPr>
            </w:pPr>
            <w:r>
              <w:rPr>
                <w:sz w:val="12"/>
              </w:rPr>
              <w:t>210</w:t>
            </w:r>
          </w:p>
        </w:tc>
        <w:tc>
          <w:tcPr>
            <w:tcW w:w="358" w:type="dxa"/>
          </w:tcPr>
          <w:p>
            <w:pPr>
              <w:pStyle w:val="yTableNAm"/>
              <w:spacing w:before="0"/>
              <w:rPr>
                <w:sz w:val="12"/>
              </w:rPr>
            </w:pPr>
            <w:r>
              <w:rPr>
                <w:sz w:val="12"/>
              </w:rPr>
              <w:t>280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450</w:t>
            </w:r>
          </w:p>
        </w:tc>
        <w:tc>
          <w:tcPr>
            <w:tcW w:w="359" w:type="dxa"/>
          </w:tcPr>
          <w:p>
            <w:pPr>
              <w:pStyle w:val="yTableNAm"/>
              <w:spacing w:before="0"/>
              <w:rPr>
                <w:sz w:val="12"/>
              </w:rPr>
            </w:pPr>
            <w:r>
              <w:rPr>
                <w:sz w:val="12"/>
              </w:rPr>
              <w:t>550</w:t>
            </w:r>
          </w:p>
        </w:tc>
        <w:tc>
          <w:tcPr>
            <w:tcW w:w="358" w:type="dxa"/>
          </w:tcPr>
          <w:p>
            <w:pPr>
              <w:pStyle w:val="yTableNAm"/>
              <w:spacing w:before="0"/>
              <w:rPr>
                <w:sz w:val="12"/>
              </w:rPr>
            </w:pPr>
            <w:r>
              <w:rPr>
                <w:sz w:val="12"/>
              </w:rPr>
              <w:t>660</w:t>
            </w:r>
          </w:p>
        </w:tc>
        <w:tc>
          <w:tcPr>
            <w:tcW w:w="359" w:type="dxa"/>
          </w:tcPr>
          <w:p>
            <w:pPr>
              <w:pStyle w:val="yTableNAm"/>
              <w:spacing w:before="0"/>
              <w:rPr>
                <w:sz w:val="12"/>
              </w:rPr>
            </w:pPr>
            <w:r>
              <w:rPr>
                <w:sz w:val="12"/>
              </w:rPr>
              <w:t>780</w:t>
            </w:r>
          </w:p>
        </w:tc>
        <w:tc>
          <w:tcPr>
            <w:tcW w:w="359" w:type="dxa"/>
            <w:gridSpan w:val="2"/>
          </w:tcPr>
          <w:p>
            <w:pPr>
              <w:pStyle w:val="yTableNAm"/>
              <w:spacing w:before="0"/>
              <w:rPr>
                <w:sz w:val="12"/>
              </w:rPr>
            </w:pPr>
            <w:r>
              <w:rPr>
                <w:sz w:val="12"/>
              </w:rPr>
              <w:t>910</w:t>
            </w:r>
          </w:p>
        </w:tc>
      </w:tr>
      <w:tr>
        <w:tblPrEx>
          <w:tblCellMar>
            <w:right w:w="0" w:type="dxa"/>
          </w:tblCellMar>
        </w:tblPrEx>
        <w:tc>
          <w:tcPr>
            <w:tcW w:w="993" w:type="dxa"/>
          </w:tcPr>
          <w:p>
            <w:pPr>
              <w:pStyle w:val="yTableNAm"/>
              <w:spacing w:before="0"/>
              <w:rPr>
                <w:sz w:val="12"/>
              </w:rPr>
            </w:pPr>
            <w:r>
              <w:rPr>
                <w:sz w:val="12"/>
              </w:rPr>
              <w:t>Five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13</w:t>
            </w:r>
          </w:p>
        </w:tc>
        <w:tc>
          <w:tcPr>
            <w:tcW w:w="359" w:type="dxa"/>
          </w:tcPr>
          <w:p>
            <w:pPr>
              <w:pStyle w:val="yTableNAm"/>
              <w:spacing w:before="0"/>
              <w:rPr>
                <w:sz w:val="12"/>
              </w:rPr>
            </w:pPr>
            <w:r>
              <w:rPr>
                <w:sz w:val="12"/>
              </w:rPr>
              <w:t>14</w:t>
            </w:r>
          </w:p>
        </w:tc>
        <w:tc>
          <w:tcPr>
            <w:tcW w:w="359" w:type="dxa"/>
            <w:gridSpan w:val="2"/>
          </w:tcPr>
          <w:p>
            <w:pPr>
              <w:pStyle w:val="yTableNAm"/>
              <w:spacing w:before="0"/>
              <w:rPr>
                <w:sz w:val="12"/>
              </w:rPr>
            </w:pPr>
            <w:r>
              <w:rPr>
                <w:sz w:val="12"/>
              </w:rPr>
              <w:t>15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gridSpan w:val="2"/>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r>
              <w:rPr>
                <w:sz w:val="12"/>
              </w:rPr>
              <w:t>Four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16</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64</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196</w:t>
            </w:r>
          </w:p>
        </w:tc>
        <w:tc>
          <w:tcPr>
            <w:tcW w:w="358" w:type="dxa"/>
          </w:tcPr>
          <w:p>
            <w:pPr>
              <w:pStyle w:val="yTableNAm"/>
              <w:spacing w:before="0"/>
              <w:rPr>
                <w:sz w:val="12"/>
              </w:rPr>
            </w:pPr>
            <w:r>
              <w:rPr>
                <w:sz w:val="12"/>
              </w:rPr>
              <w:t>256</w:t>
            </w:r>
          </w:p>
        </w:tc>
        <w:tc>
          <w:tcPr>
            <w:tcW w:w="359" w:type="dxa"/>
          </w:tcPr>
          <w:p>
            <w:pPr>
              <w:pStyle w:val="yTableNAm"/>
              <w:spacing w:before="0"/>
              <w:rPr>
                <w:sz w:val="12"/>
              </w:rPr>
            </w:pPr>
            <w:r>
              <w:rPr>
                <w:sz w:val="12"/>
              </w:rPr>
              <w:t>324</w:t>
            </w:r>
          </w:p>
        </w:tc>
        <w:tc>
          <w:tcPr>
            <w:tcW w:w="358" w:type="dxa"/>
          </w:tcPr>
          <w:p>
            <w:pPr>
              <w:pStyle w:val="yTableNAm"/>
              <w:spacing w:before="0"/>
              <w:rPr>
                <w:sz w:val="12"/>
              </w:rPr>
            </w:pPr>
            <w:r>
              <w:rPr>
                <w:sz w:val="12"/>
              </w:rPr>
              <w:t>400</w:t>
            </w:r>
          </w:p>
        </w:tc>
        <w:tc>
          <w:tcPr>
            <w:tcW w:w="359" w:type="dxa"/>
          </w:tcPr>
          <w:p>
            <w:pPr>
              <w:pStyle w:val="yTableNAm"/>
              <w:spacing w:before="0"/>
              <w:rPr>
                <w:sz w:val="12"/>
              </w:rPr>
            </w:pPr>
            <w:r>
              <w:rPr>
                <w:sz w:val="12"/>
              </w:rPr>
              <w:t>484</w:t>
            </w:r>
          </w:p>
        </w:tc>
        <w:tc>
          <w:tcPr>
            <w:tcW w:w="358" w:type="dxa"/>
          </w:tcPr>
          <w:p>
            <w:pPr>
              <w:pStyle w:val="yTableNAm"/>
              <w:spacing w:before="0"/>
              <w:rPr>
                <w:sz w:val="12"/>
              </w:rPr>
            </w:pPr>
            <w:r>
              <w:rPr>
                <w:sz w:val="12"/>
              </w:rPr>
              <w:t>576</w:t>
            </w:r>
          </w:p>
        </w:tc>
        <w:tc>
          <w:tcPr>
            <w:tcW w:w="359" w:type="dxa"/>
          </w:tcPr>
          <w:p>
            <w:pPr>
              <w:pStyle w:val="yTableNAm"/>
              <w:spacing w:before="0"/>
              <w:rPr>
                <w:sz w:val="12"/>
              </w:rPr>
            </w:pPr>
            <w:r>
              <w:rPr>
                <w:sz w:val="12"/>
              </w:rPr>
              <w:t>676</w:t>
            </w:r>
          </w:p>
        </w:tc>
        <w:tc>
          <w:tcPr>
            <w:tcW w:w="359" w:type="dxa"/>
            <w:gridSpan w:val="2"/>
          </w:tcPr>
          <w:p>
            <w:pPr>
              <w:pStyle w:val="yTableNAm"/>
              <w:spacing w:before="0"/>
              <w:rPr>
                <w:sz w:val="12"/>
              </w:rPr>
            </w:pPr>
            <w:r>
              <w:rPr>
                <w:sz w:val="12"/>
              </w:rPr>
              <w:t>784</w:t>
            </w:r>
          </w:p>
        </w:tc>
      </w:tr>
      <w:tr>
        <w:tblPrEx>
          <w:tblCellMar>
            <w:right w:w="0" w:type="dxa"/>
          </w:tblCellMar>
        </w:tblPrEx>
        <w:tc>
          <w:tcPr>
            <w:tcW w:w="993" w:type="dxa"/>
          </w:tcPr>
          <w:p>
            <w:pPr>
              <w:pStyle w:val="yTableNAm"/>
              <w:spacing w:before="0"/>
              <w:rPr>
                <w:sz w:val="12"/>
              </w:rPr>
            </w:pPr>
            <w:r>
              <w:rPr>
                <w:sz w:val="12"/>
              </w:rPr>
              <w:t>Four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24</w:t>
            </w:r>
          </w:p>
        </w:tc>
        <w:tc>
          <w:tcPr>
            <w:tcW w:w="358" w:type="dxa"/>
          </w:tcPr>
          <w:p>
            <w:pPr>
              <w:pStyle w:val="yTableNAm"/>
              <w:spacing w:before="0"/>
              <w:rPr>
                <w:sz w:val="12"/>
              </w:rPr>
            </w:pPr>
            <w:r>
              <w:rPr>
                <w:sz w:val="12"/>
              </w:rPr>
              <w:t>40</w:t>
            </w:r>
          </w:p>
        </w:tc>
        <w:tc>
          <w:tcPr>
            <w:tcW w:w="359" w:type="dxa"/>
            <w:gridSpan w:val="2"/>
          </w:tcPr>
          <w:p>
            <w:pPr>
              <w:pStyle w:val="yTableNAm"/>
              <w:spacing w:before="0"/>
              <w:rPr>
                <w:sz w:val="12"/>
              </w:rPr>
            </w:pPr>
            <w:r>
              <w:rPr>
                <w:sz w:val="12"/>
              </w:rPr>
              <w:t>60</w:t>
            </w:r>
          </w:p>
        </w:tc>
        <w:tc>
          <w:tcPr>
            <w:tcW w:w="358" w:type="dxa"/>
          </w:tcPr>
          <w:p>
            <w:pPr>
              <w:pStyle w:val="yTableNAm"/>
              <w:spacing w:before="0"/>
              <w:rPr>
                <w:sz w:val="12"/>
              </w:rPr>
            </w:pPr>
            <w:r>
              <w:rPr>
                <w:sz w:val="12"/>
              </w:rPr>
              <w:t>84</w:t>
            </w:r>
          </w:p>
        </w:tc>
        <w:tc>
          <w:tcPr>
            <w:tcW w:w="359" w:type="dxa"/>
          </w:tcPr>
          <w:p>
            <w:pPr>
              <w:pStyle w:val="yTableNAm"/>
              <w:spacing w:before="0"/>
              <w:rPr>
                <w:sz w:val="12"/>
              </w:rPr>
            </w:pPr>
            <w:r>
              <w:rPr>
                <w:sz w:val="12"/>
              </w:rPr>
              <w:t>112</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180</w:t>
            </w:r>
          </w:p>
        </w:tc>
        <w:tc>
          <w:tcPr>
            <w:tcW w:w="358" w:type="dxa"/>
          </w:tcPr>
          <w:p>
            <w:pPr>
              <w:pStyle w:val="yTableNAm"/>
              <w:spacing w:before="0"/>
              <w:rPr>
                <w:sz w:val="12"/>
              </w:rPr>
            </w:pPr>
            <w:r>
              <w:rPr>
                <w:sz w:val="12"/>
              </w:rPr>
              <w:t>220</w:t>
            </w:r>
          </w:p>
        </w:tc>
        <w:tc>
          <w:tcPr>
            <w:tcW w:w="359" w:type="dxa"/>
          </w:tcPr>
          <w:p>
            <w:pPr>
              <w:pStyle w:val="yTableNAm"/>
              <w:spacing w:before="0"/>
              <w:rPr>
                <w:sz w:val="12"/>
              </w:rPr>
            </w:pPr>
            <w:r>
              <w:rPr>
                <w:sz w:val="12"/>
              </w:rPr>
              <w:t>264</w:t>
            </w:r>
          </w:p>
        </w:tc>
        <w:tc>
          <w:tcPr>
            <w:tcW w:w="358" w:type="dxa"/>
          </w:tcPr>
          <w:p>
            <w:pPr>
              <w:pStyle w:val="yTableNAm"/>
              <w:spacing w:before="0"/>
              <w:rPr>
                <w:sz w:val="12"/>
              </w:rPr>
            </w:pPr>
            <w:r>
              <w:rPr>
                <w:sz w:val="12"/>
              </w:rPr>
              <w:t>312</w:t>
            </w:r>
          </w:p>
        </w:tc>
        <w:tc>
          <w:tcPr>
            <w:tcW w:w="359" w:type="dxa"/>
          </w:tcPr>
          <w:p>
            <w:pPr>
              <w:pStyle w:val="yTableNAm"/>
              <w:spacing w:before="0"/>
              <w:rPr>
                <w:sz w:val="12"/>
              </w:rPr>
            </w:pPr>
            <w:r>
              <w:rPr>
                <w:sz w:val="12"/>
              </w:rPr>
              <w:t>364</w:t>
            </w:r>
          </w:p>
        </w:tc>
        <w:tc>
          <w:tcPr>
            <w:tcW w:w="359" w:type="dxa"/>
            <w:gridSpan w:val="2"/>
          </w:tcPr>
          <w:p>
            <w:pPr>
              <w:pStyle w:val="yTableNAm"/>
              <w:spacing w:before="0"/>
              <w:rPr>
                <w:sz w:val="12"/>
              </w:rPr>
            </w:pPr>
            <w:r>
              <w:rPr>
                <w:sz w:val="12"/>
              </w:rPr>
              <w:t>420</w:t>
            </w:r>
          </w:p>
        </w:tc>
      </w:tr>
      <w:tr>
        <w:tblPrEx>
          <w:tblCellMar>
            <w:right w:w="0" w:type="dxa"/>
          </w:tblCellMar>
        </w:tblPrEx>
        <w:tc>
          <w:tcPr>
            <w:tcW w:w="993" w:type="dxa"/>
          </w:tcPr>
          <w:p>
            <w:pPr>
              <w:pStyle w:val="yTableNAm"/>
              <w:spacing w:before="0"/>
              <w:rPr>
                <w:sz w:val="12"/>
              </w:rPr>
            </w:pPr>
            <w:r>
              <w:rPr>
                <w:sz w:val="12"/>
              </w:rPr>
              <w:t>Four</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t>741</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keepNext/>
              <w:spacing w:before="0"/>
              <w:rPr>
                <w:sz w:val="12"/>
              </w:rPr>
            </w:pPr>
            <w:r>
              <w:rPr>
                <w:sz w:val="12"/>
              </w:rPr>
              <w:t>Three and two supplementaries</w:t>
            </w: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gridSpan w:val="2"/>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9" w:type="dxa"/>
            <w:gridSpan w:val="2"/>
          </w:tcPr>
          <w:p>
            <w:pPr>
              <w:pStyle w:val="yTableNAm"/>
              <w:keepNext/>
              <w:spacing w:before="0"/>
              <w:rPr>
                <w:sz w:val="12"/>
              </w:rPr>
            </w:pPr>
          </w:p>
        </w:tc>
      </w:tr>
      <w:tr>
        <w:tblPrEx>
          <w:tblCellMar>
            <w:right w:w="0" w:type="dxa"/>
          </w:tblCellMar>
        </w:tblPrEx>
        <w:tc>
          <w:tcPr>
            <w:tcW w:w="993" w:type="dxa"/>
          </w:tcPr>
          <w:p>
            <w:pPr>
              <w:pStyle w:val="yTableNAm"/>
              <w:keepNext/>
              <w:spacing w:before="0"/>
              <w:rPr>
                <w:sz w:val="12"/>
              </w:rPr>
            </w:pPr>
          </w:p>
        </w:tc>
        <w:tc>
          <w:tcPr>
            <w:tcW w:w="358" w:type="dxa"/>
          </w:tcPr>
          <w:p>
            <w:pPr>
              <w:pStyle w:val="yTableNAm"/>
              <w:keepNext/>
              <w:spacing w:before="0"/>
              <w:rPr>
                <w:sz w:val="12"/>
              </w:rPr>
            </w:pPr>
            <w:r>
              <w:rPr>
                <w:sz w:val="12"/>
              </w:rPr>
              <w:t>4</w:t>
            </w:r>
          </w:p>
        </w:tc>
        <w:tc>
          <w:tcPr>
            <w:tcW w:w="359" w:type="dxa"/>
          </w:tcPr>
          <w:p>
            <w:pPr>
              <w:pStyle w:val="yTableNAm"/>
              <w:keepNext/>
              <w:spacing w:before="0"/>
              <w:rPr>
                <w:sz w:val="12"/>
              </w:rPr>
            </w:pPr>
            <w:r>
              <w:rPr>
                <w:sz w:val="12"/>
              </w:rPr>
              <w:t>3</w:t>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16</w:t>
            </w:r>
          </w:p>
        </w:tc>
        <w:tc>
          <w:tcPr>
            <w:tcW w:w="358" w:type="dxa"/>
          </w:tcPr>
          <w:p>
            <w:pPr>
              <w:pStyle w:val="yTableNAm"/>
              <w:spacing w:before="0"/>
              <w:rPr>
                <w:sz w:val="12"/>
              </w:rPr>
            </w:pPr>
            <w:r>
              <w:rPr>
                <w:sz w:val="12"/>
              </w:rPr>
              <w:t>25</w:t>
            </w:r>
          </w:p>
        </w:tc>
        <w:tc>
          <w:tcPr>
            <w:tcW w:w="359" w:type="dxa"/>
            <w:gridSpan w:val="2"/>
          </w:tcPr>
          <w:p>
            <w:pPr>
              <w:pStyle w:val="yTableNAm"/>
              <w:spacing w:before="0"/>
              <w:rPr>
                <w:sz w:val="12"/>
              </w:rPr>
            </w:pPr>
            <w:r>
              <w:rPr>
                <w:sz w:val="12"/>
              </w:rPr>
              <w:t>36</w:t>
            </w:r>
          </w:p>
        </w:tc>
        <w:tc>
          <w:tcPr>
            <w:tcW w:w="358" w:type="dxa"/>
          </w:tcPr>
          <w:p>
            <w:pPr>
              <w:pStyle w:val="yTableNAm"/>
              <w:spacing w:before="0"/>
              <w:rPr>
                <w:sz w:val="12"/>
              </w:rPr>
            </w:pPr>
            <w:r>
              <w:rPr>
                <w:sz w:val="12"/>
              </w:rPr>
              <w:t>49</w:t>
            </w:r>
          </w:p>
        </w:tc>
        <w:tc>
          <w:tcPr>
            <w:tcW w:w="359" w:type="dxa"/>
          </w:tcPr>
          <w:p>
            <w:pPr>
              <w:pStyle w:val="yTableNAm"/>
              <w:spacing w:before="0"/>
              <w:rPr>
                <w:sz w:val="12"/>
              </w:rPr>
            </w:pPr>
            <w:r>
              <w:rPr>
                <w:sz w:val="12"/>
              </w:rPr>
              <w:t>64</w:t>
            </w:r>
          </w:p>
        </w:tc>
        <w:tc>
          <w:tcPr>
            <w:tcW w:w="358" w:type="dxa"/>
          </w:tcPr>
          <w:p>
            <w:pPr>
              <w:pStyle w:val="yTableNAm"/>
              <w:spacing w:before="0"/>
              <w:rPr>
                <w:sz w:val="12"/>
              </w:rPr>
            </w:pPr>
            <w:r>
              <w:rPr>
                <w:sz w:val="12"/>
              </w:rPr>
              <w:t>81</w:t>
            </w:r>
          </w:p>
        </w:tc>
        <w:tc>
          <w:tcPr>
            <w:tcW w:w="359" w:type="dxa"/>
          </w:tcPr>
          <w:p>
            <w:pPr>
              <w:pStyle w:val="yTableNAm"/>
              <w:spacing w:before="0"/>
              <w:rPr>
                <w:sz w:val="12"/>
              </w:rPr>
            </w:pPr>
            <w:r>
              <w:rPr>
                <w:sz w:val="12"/>
              </w:rPr>
              <w:t>100</w:t>
            </w:r>
          </w:p>
        </w:tc>
        <w:tc>
          <w:tcPr>
            <w:tcW w:w="358" w:type="dxa"/>
          </w:tcPr>
          <w:p>
            <w:pPr>
              <w:pStyle w:val="yTableNAm"/>
              <w:spacing w:before="0"/>
              <w:rPr>
                <w:sz w:val="12"/>
              </w:rPr>
            </w:pPr>
            <w:r>
              <w:rPr>
                <w:sz w:val="12"/>
              </w:rPr>
              <w:t>121</w:t>
            </w:r>
          </w:p>
        </w:tc>
        <w:tc>
          <w:tcPr>
            <w:tcW w:w="359" w:type="dxa"/>
          </w:tcPr>
          <w:p>
            <w:pPr>
              <w:pStyle w:val="yTableNAm"/>
              <w:spacing w:before="0"/>
              <w:rPr>
                <w:sz w:val="12"/>
              </w:rPr>
            </w:pPr>
            <w:r>
              <w:rPr>
                <w:sz w:val="12"/>
              </w:rPr>
              <w:t>144</w:t>
            </w:r>
          </w:p>
        </w:tc>
        <w:tc>
          <w:tcPr>
            <w:tcW w:w="358" w:type="dxa"/>
          </w:tcPr>
          <w:p>
            <w:pPr>
              <w:pStyle w:val="yTableNAm"/>
              <w:spacing w:before="0"/>
              <w:rPr>
                <w:sz w:val="12"/>
              </w:rPr>
            </w:pPr>
            <w:r>
              <w:rPr>
                <w:sz w:val="12"/>
              </w:rPr>
              <w:t>169</w:t>
            </w:r>
          </w:p>
        </w:tc>
        <w:tc>
          <w:tcPr>
            <w:tcW w:w="359" w:type="dxa"/>
          </w:tcPr>
          <w:p>
            <w:pPr>
              <w:pStyle w:val="yTableNAm"/>
              <w:spacing w:before="0"/>
              <w:rPr>
                <w:sz w:val="12"/>
              </w:rPr>
            </w:pPr>
            <w:r>
              <w:rPr>
                <w:sz w:val="12"/>
              </w:rPr>
              <w:t>196</w:t>
            </w:r>
          </w:p>
        </w:tc>
        <w:tc>
          <w:tcPr>
            <w:tcW w:w="359" w:type="dxa"/>
            <w:gridSpan w:val="2"/>
          </w:tcPr>
          <w:p>
            <w:pPr>
              <w:pStyle w:val="yTableNAm"/>
              <w:spacing w:before="0"/>
              <w:rPr>
                <w:sz w:val="12"/>
              </w:rPr>
            </w:pPr>
            <w:r>
              <w:rPr>
                <w:sz w:val="12"/>
              </w:rPr>
              <w:t>225</w:t>
            </w:r>
          </w:p>
        </w:tc>
      </w:tr>
      <w:tr>
        <w:tblPrEx>
          <w:tblCellMar>
            <w:right w:w="0" w:type="dxa"/>
          </w:tblCellMar>
        </w:tblPrEx>
        <w:tc>
          <w:tcPr>
            <w:tcW w:w="993" w:type="dxa"/>
          </w:tcPr>
          <w:p>
            <w:pPr>
              <w:pStyle w:val="yTableNAm"/>
              <w:spacing w:before="0"/>
              <w:rPr>
                <w:sz w:val="12"/>
              </w:rPr>
            </w:pPr>
            <w:r>
              <w:rPr>
                <w:sz w:val="12"/>
              </w:rPr>
              <w:t>Three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t>703</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r>
              <w:rPr>
                <w:sz w:val="12"/>
              </w:rPr>
              <w:t>Three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bl>
    <w:p>
      <w:pPr>
        <w:pStyle w:val="yFootnotesection"/>
      </w:pPr>
      <w:r>
        <w:tab/>
        <w:t>[Part 1, formerly Schedule 2, renumbered as Part 1 in Gazette 21 Dec 2010 p. 6765.]</w:t>
      </w:r>
    </w:p>
    <w:p>
      <w:pPr>
        <w:pStyle w:val="yHeading3"/>
        <w:pageBreakBefore/>
        <w:spacing w:before="0"/>
        <w:rPr>
          <w:bCs/>
        </w:rPr>
      </w:pPr>
      <w:bookmarkStart w:id="212" w:name="_Toc391299448"/>
      <w:bookmarkStart w:id="213" w:name="_Toc391299548"/>
      <w:bookmarkStart w:id="214" w:name="_Toc406506950"/>
      <w:bookmarkStart w:id="215" w:name="_Toc421106003"/>
      <w:bookmarkStart w:id="216" w:name="_Toc421106067"/>
      <w:bookmarkStart w:id="217" w:name="_Toc463612471"/>
      <w:r>
        <w:rPr>
          <w:rStyle w:val="CharSDivNo"/>
        </w:rPr>
        <w:t>Part 2</w:t>
      </w:r>
      <w:r>
        <w:rPr>
          <w:b w:val="0"/>
        </w:rPr>
        <w:t> — </w:t>
      </w:r>
      <w:r>
        <w:rPr>
          <w:rStyle w:val="CharSDivText"/>
        </w:rPr>
        <w:t>Prizes applicable to draw 3081 on 29 January 2011 and subsequent draws</w:t>
      </w:r>
      <w:bookmarkEnd w:id="212"/>
      <w:bookmarkEnd w:id="213"/>
      <w:bookmarkEnd w:id="214"/>
      <w:bookmarkEnd w:id="215"/>
      <w:bookmarkEnd w:id="216"/>
      <w:bookmarkEnd w:id="217"/>
    </w:p>
    <w:p>
      <w:pPr>
        <w:pStyle w:val="yFootnoteheading"/>
        <w:spacing w:after="80"/>
      </w:pPr>
      <w:r>
        <w:tab/>
        <w:t>[Heading inserted in Gazette 21 Dec 2010 p. 6765.]</w:t>
      </w:r>
    </w:p>
    <w:tbl>
      <w:tblPr>
        <w:tblW w:w="7088" w:type="dxa"/>
        <w:tblInd w:w="57" w:type="dxa"/>
        <w:tblBorders>
          <w:bottom w:val="single" w:sz="4" w:space="0" w:color="auto"/>
        </w:tblBorders>
        <w:tblLayout w:type="fixed"/>
        <w:tblCellMar>
          <w:left w:w="57" w:type="dxa"/>
        </w:tblCellMar>
        <w:tblLook w:val="0000" w:firstRow="0" w:lastRow="0" w:firstColumn="0" w:lastColumn="0" w:noHBand="0" w:noVBand="0"/>
      </w:tblPr>
      <w:tblGrid>
        <w:gridCol w:w="986"/>
        <w:gridCol w:w="356"/>
        <w:gridCol w:w="357"/>
        <w:gridCol w:w="356"/>
        <w:gridCol w:w="356"/>
        <w:gridCol w:w="355"/>
        <w:gridCol w:w="356"/>
        <w:gridCol w:w="355"/>
        <w:gridCol w:w="324"/>
        <w:gridCol w:w="33"/>
        <w:gridCol w:w="355"/>
        <w:gridCol w:w="356"/>
        <w:gridCol w:w="355"/>
        <w:gridCol w:w="356"/>
        <w:gridCol w:w="355"/>
        <w:gridCol w:w="356"/>
        <w:gridCol w:w="355"/>
        <w:gridCol w:w="356"/>
        <w:gridCol w:w="356"/>
        <w:gridCol w:w="54"/>
      </w:tblGrid>
      <w:tr>
        <w:trPr>
          <w:gridAfter w:val="1"/>
          <w:wAfter w:w="54" w:type="dxa"/>
          <w:trHeight w:val="275"/>
          <w:tblHeader/>
        </w:trPr>
        <w:tc>
          <w:tcPr>
            <w:tcW w:w="993" w:type="dxa"/>
            <w:tcBorders>
              <w:bottom w:val="nil"/>
            </w:tcBorders>
          </w:tcPr>
          <w:p>
            <w:pPr>
              <w:pStyle w:val="yTableNAm"/>
              <w:spacing w:before="0"/>
              <w:rPr>
                <w:b/>
                <w:bCs/>
                <w:sz w:val="12"/>
              </w:rPr>
            </w:pPr>
            <w:r>
              <w:rPr>
                <w:b/>
                <w:bCs/>
                <w:sz w:val="12"/>
              </w:rPr>
              <w:t>WINNING</w:t>
            </w:r>
          </w:p>
          <w:p>
            <w:pPr>
              <w:pStyle w:val="yTableNAm"/>
              <w:spacing w:before="0"/>
              <w:rPr>
                <w:b/>
                <w:bCs/>
                <w:sz w:val="12"/>
              </w:rPr>
            </w:pPr>
            <w:r>
              <w:rPr>
                <w:b/>
                <w:bCs/>
                <w:sz w:val="12"/>
              </w:rPr>
              <w:t>NUMBERS</w:t>
            </w:r>
          </w:p>
        </w:tc>
        <w:tc>
          <w:tcPr>
            <w:tcW w:w="6095" w:type="dxa"/>
            <w:gridSpan w:val="18"/>
            <w:tcBorders>
              <w:bottom w:val="nil"/>
            </w:tcBorders>
          </w:tcPr>
          <w:p>
            <w:pPr>
              <w:pStyle w:val="yTableNAm"/>
              <w:spacing w:before="0"/>
              <w:rPr>
                <w:b/>
                <w:bCs/>
                <w:sz w:val="12"/>
              </w:rPr>
            </w:pPr>
            <w:r>
              <w:rPr>
                <w:b/>
                <w:bCs/>
                <w:sz w:val="12"/>
              </w:rPr>
              <w:t>NUMBER OF PRIZES</w:t>
            </w:r>
          </w:p>
        </w:tc>
      </w:tr>
      <w:tr>
        <w:trPr>
          <w:gridAfter w:val="1"/>
          <w:wAfter w:w="54" w:type="dxa"/>
          <w:trHeight w:val="275"/>
          <w:tblHeader/>
        </w:trPr>
        <w:tc>
          <w:tcPr>
            <w:tcW w:w="993" w:type="dxa"/>
            <w:tcBorders>
              <w:bottom w:val="single" w:sz="4" w:space="0" w:color="auto"/>
            </w:tcBorders>
          </w:tcPr>
          <w:p>
            <w:pPr>
              <w:pStyle w:val="yTableNAm"/>
              <w:spacing w:before="0"/>
              <w:rPr>
                <w:b/>
                <w:bCs/>
                <w:sz w:val="12"/>
              </w:rPr>
            </w:pPr>
          </w:p>
        </w:tc>
        <w:tc>
          <w:tcPr>
            <w:tcW w:w="2835" w:type="dxa"/>
            <w:gridSpan w:val="8"/>
            <w:tcBorders>
              <w:bottom w:val="single" w:sz="4" w:space="0" w:color="auto"/>
            </w:tcBorders>
          </w:tcPr>
          <w:p>
            <w:pPr>
              <w:pStyle w:val="yTableNAm"/>
              <w:spacing w:before="0"/>
              <w:rPr>
                <w:b/>
                <w:bCs/>
                <w:sz w:val="12"/>
              </w:rPr>
            </w:pPr>
            <w:r>
              <w:rPr>
                <w:b/>
                <w:bCs/>
                <w:sz w:val="12"/>
              </w:rPr>
              <w:t>PRIZE TAKE</w:t>
            </w:r>
          </w:p>
          <w:p>
            <w:pPr>
              <w:pStyle w:val="yTableNAm"/>
              <w:spacing w:before="0"/>
              <w:rPr>
                <w:b/>
                <w:bCs/>
                <w:sz w:val="12"/>
              </w:rPr>
            </w:pPr>
            <w:r>
              <w:rPr>
                <w:b/>
                <w:bCs/>
                <w:sz w:val="12"/>
              </w:rPr>
              <w:t>DIVISIONS</w:t>
            </w:r>
          </w:p>
          <w:p>
            <w:pPr>
              <w:pStyle w:val="yTableNAm"/>
              <w:spacing w:before="60"/>
              <w:ind w:left="363"/>
              <w:rPr>
                <w:b/>
                <w:bCs/>
                <w:sz w:val="12"/>
              </w:rPr>
            </w:pPr>
            <w:r>
              <w:rPr>
                <w:b/>
                <w:bCs/>
                <w:sz w:val="12"/>
              </w:rPr>
              <w:t>SYSTEMS</w:t>
            </w:r>
          </w:p>
        </w:tc>
        <w:tc>
          <w:tcPr>
            <w:tcW w:w="3260" w:type="dxa"/>
            <w:gridSpan w:val="10"/>
            <w:tcBorders>
              <w:bottom w:val="single" w:sz="4" w:space="0" w:color="auto"/>
            </w:tcBorders>
          </w:tcPr>
          <w:p>
            <w:pPr>
              <w:pStyle w:val="yTableNAm"/>
              <w:spacing w:before="0"/>
              <w:rPr>
                <w:b/>
                <w:bCs/>
                <w:sz w:val="12"/>
              </w:rPr>
            </w:pPr>
          </w:p>
        </w:tc>
      </w:tr>
      <w:tr>
        <w:tblPrEx>
          <w:tblCellMar>
            <w:right w:w="0" w:type="dxa"/>
          </w:tblCellMar>
        </w:tblPrEx>
        <w:trPr>
          <w:tblHeader/>
        </w:trPr>
        <w:tc>
          <w:tcPr>
            <w:tcW w:w="993" w:type="dxa"/>
            <w:tcBorders>
              <w:top w:val="single" w:sz="4" w:space="0" w:color="auto"/>
            </w:tcBorders>
          </w:tcPr>
          <w:p>
            <w:pPr>
              <w:pStyle w:val="yTableNAm"/>
              <w:spacing w:before="0"/>
              <w:rPr>
                <w:b/>
                <w:bCs/>
                <w:sz w:val="12"/>
              </w:rPr>
            </w:pPr>
            <w:r>
              <w:rPr>
                <w:b/>
                <w:bCs/>
                <w:sz w:val="12"/>
              </w:rPr>
              <w:fldChar w:fldCharType="begin"/>
            </w:r>
            <w:r>
              <w:rPr>
                <w:b/>
                <w:bCs/>
                <w:sz w:val="12"/>
              </w:rPr>
              <w:instrText>ADVANCE \D 2.80</w:instrText>
            </w:r>
            <w:r>
              <w:rPr>
                <w:b/>
                <w:bCs/>
                <w:sz w:val="12"/>
              </w:rPr>
              <w:fldChar w:fldCharType="end"/>
            </w:r>
          </w:p>
        </w:tc>
        <w:tc>
          <w:tcPr>
            <w:tcW w:w="358" w:type="dxa"/>
            <w:tcBorders>
              <w:top w:val="single" w:sz="4" w:space="0" w:color="auto"/>
            </w:tcBorders>
          </w:tcPr>
          <w:p>
            <w:pPr>
              <w:pStyle w:val="yTableNAm"/>
              <w:spacing w:before="0"/>
              <w:rPr>
                <w:b/>
                <w:bCs/>
                <w:sz w:val="12"/>
              </w:rPr>
            </w:pPr>
          </w:p>
        </w:tc>
        <w:tc>
          <w:tcPr>
            <w:tcW w:w="359" w:type="dxa"/>
            <w:tcBorders>
              <w:top w:val="single" w:sz="4" w:space="0" w:color="auto"/>
            </w:tcBorders>
          </w:tcPr>
          <w:p>
            <w:pPr>
              <w:pStyle w:val="yTableNAm"/>
              <w:spacing w:before="0"/>
              <w:rPr>
                <w:b/>
                <w:bCs/>
                <w:sz w:val="12"/>
              </w:rPr>
            </w:pPr>
            <w:r>
              <w:rPr>
                <w:b/>
                <w:bCs/>
                <w:sz w:val="12"/>
              </w:rPr>
              <w:t>5</w:t>
            </w:r>
          </w:p>
        </w:tc>
        <w:tc>
          <w:tcPr>
            <w:tcW w:w="358" w:type="dxa"/>
            <w:tcBorders>
              <w:top w:val="single" w:sz="4" w:space="0" w:color="auto"/>
            </w:tcBorders>
          </w:tcPr>
          <w:p>
            <w:pPr>
              <w:pStyle w:val="yTableNAm"/>
              <w:spacing w:before="0"/>
              <w:rPr>
                <w:b/>
                <w:bCs/>
                <w:sz w:val="12"/>
              </w:rPr>
            </w:pPr>
            <w:r>
              <w:rPr>
                <w:b/>
                <w:bCs/>
                <w:sz w:val="12"/>
              </w:rPr>
              <w:t>4</w:t>
            </w:r>
          </w:p>
        </w:tc>
        <w:tc>
          <w:tcPr>
            <w:tcW w:w="359" w:type="dxa"/>
            <w:tcBorders>
              <w:top w:val="single" w:sz="4" w:space="0" w:color="auto"/>
            </w:tcBorders>
          </w:tcPr>
          <w:p>
            <w:pPr>
              <w:pStyle w:val="yTableNAm"/>
              <w:spacing w:before="0"/>
              <w:rPr>
                <w:b/>
                <w:bCs/>
                <w:sz w:val="12"/>
              </w:rPr>
            </w:pPr>
            <w:r>
              <w:rPr>
                <w:b/>
                <w:bCs/>
                <w:sz w:val="12"/>
              </w:rPr>
              <w:t>7</w:t>
            </w:r>
          </w:p>
        </w:tc>
        <w:tc>
          <w:tcPr>
            <w:tcW w:w="358" w:type="dxa"/>
            <w:tcBorders>
              <w:top w:val="single" w:sz="4" w:space="0" w:color="auto"/>
            </w:tcBorders>
          </w:tcPr>
          <w:p>
            <w:pPr>
              <w:pStyle w:val="yTableNAm"/>
              <w:spacing w:before="0"/>
              <w:rPr>
                <w:b/>
                <w:bCs/>
                <w:sz w:val="12"/>
              </w:rPr>
            </w:pPr>
            <w:r>
              <w:rPr>
                <w:b/>
                <w:bCs/>
                <w:sz w:val="12"/>
              </w:rPr>
              <w:t>8</w:t>
            </w:r>
          </w:p>
        </w:tc>
        <w:tc>
          <w:tcPr>
            <w:tcW w:w="359" w:type="dxa"/>
            <w:tcBorders>
              <w:top w:val="single" w:sz="4" w:space="0" w:color="auto"/>
            </w:tcBorders>
          </w:tcPr>
          <w:p>
            <w:pPr>
              <w:pStyle w:val="yTableNAm"/>
              <w:spacing w:before="0"/>
              <w:rPr>
                <w:b/>
                <w:bCs/>
                <w:sz w:val="12"/>
              </w:rPr>
            </w:pPr>
            <w:r>
              <w:rPr>
                <w:b/>
                <w:bCs/>
                <w:sz w:val="12"/>
              </w:rPr>
              <w:t>9</w:t>
            </w:r>
          </w:p>
        </w:tc>
        <w:tc>
          <w:tcPr>
            <w:tcW w:w="358" w:type="dxa"/>
            <w:tcBorders>
              <w:top w:val="single" w:sz="4" w:space="0" w:color="auto"/>
            </w:tcBorders>
          </w:tcPr>
          <w:p>
            <w:pPr>
              <w:pStyle w:val="yTableNAm"/>
              <w:spacing w:before="0"/>
              <w:rPr>
                <w:b/>
                <w:bCs/>
                <w:sz w:val="12"/>
              </w:rPr>
            </w:pPr>
            <w:r>
              <w:rPr>
                <w:b/>
                <w:bCs/>
                <w:sz w:val="12"/>
              </w:rPr>
              <w:t>10</w:t>
            </w:r>
          </w:p>
        </w:tc>
        <w:tc>
          <w:tcPr>
            <w:tcW w:w="359" w:type="dxa"/>
            <w:gridSpan w:val="2"/>
            <w:tcBorders>
              <w:top w:val="single" w:sz="4" w:space="0" w:color="auto"/>
            </w:tcBorders>
          </w:tcPr>
          <w:p>
            <w:pPr>
              <w:pStyle w:val="yTableNAm"/>
              <w:spacing w:before="0"/>
              <w:rPr>
                <w:b/>
                <w:bCs/>
                <w:sz w:val="12"/>
              </w:rPr>
            </w:pPr>
            <w:r>
              <w:rPr>
                <w:b/>
                <w:bCs/>
                <w:sz w:val="12"/>
              </w:rPr>
              <w:t>11</w:t>
            </w:r>
          </w:p>
        </w:tc>
        <w:tc>
          <w:tcPr>
            <w:tcW w:w="358" w:type="dxa"/>
            <w:tcBorders>
              <w:top w:val="single" w:sz="4" w:space="0" w:color="auto"/>
            </w:tcBorders>
          </w:tcPr>
          <w:p>
            <w:pPr>
              <w:pStyle w:val="yTableNAm"/>
              <w:spacing w:before="0"/>
              <w:rPr>
                <w:b/>
                <w:bCs/>
                <w:sz w:val="12"/>
              </w:rPr>
            </w:pPr>
            <w:r>
              <w:rPr>
                <w:b/>
                <w:bCs/>
                <w:sz w:val="12"/>
              </w:rPr>
              <w:t>12</w:t>
            </w:r>
          </w:p>
        </w:tc>
        <w:tc>
          <w:tcPr>
            <w:tcW w:w="359" w:type="dxa"/>
            <w:tcBorders>
              <w:top w:val="single" w:sz="4" w:space="0" w:color="auto"/>
            </w:tcBorders>
          </w:tcPr>
          <w:p>
            <w:pPr>
              <w:pStyle w:val="yTableNAm"/>
              <w:spacing w:before="0"/>
              <w:rPr>
                <w:b/>
                <w:bCs/>
                <w:sz w:val="12"/>
              </w:rPr>
            </w:pPr>
            <w:r>
              <w:rPr>
                <w:b/>
                <w:bCs/>
                <w:sz w:val="12"/>
              </w:rPr>
              <w:t>13</w:t>
            </w:r>
          </w:p>
        </w:tc>
        <w:tc>
          <w:tcPr>
            <w:tcW w:w="358" w:type="dxa"/>
            <w:tcBorders>
              <w:top w:val="single" w:sz="4" w:space="0" w:color="auto"/>
            </w:tcBorders>
          </w:tcPr>
          <w:p>
            <w:pPr>
              <w:pStyle w:val="yTableNAm"/>
              <w:spacing w:before="0"/>
              <w:rPr>
                <w:b/>
                <w:bCs/>
                <w:sz w:val="12"/>
              </w:rPr>
            </w:pPr>
            <w:r>
              <w:rPr>
                <w:b/>
                <w:bCs/>
                <w:sz w:val="12"/>
              </w:rPr>
              <w:t>14</w:t>
            </w:r>
          </w:p>
        </w:tc>
        <w:tc>
          <w:tcPr>
            <w:tcW w:w="359" w:type="dxa"/>
            <w:tcBorders>
              <w:top w:val="single" w:sz="4" w:space="0" w:color="auto"/>
            </w:tcBorders>
          </w:tcPr>
          <w:p>
            <w:pPr>
              <w:pStyle w:val="yTableNAm"/>
              <w:spacing w:before="0"/>
              <w:rPr>
                <w:b/>
                <w:bCs/>
                <w:sz w:val="12"/>
              </w:rPr>
            </w:pPr>
            <w:r>
              <w:rPr>
                <w:b/>
                <w:bCs/>
                <w:sz w:val="12"/>
              </w:rPr>
              <w:t>15</w:t>
            </w:r>
          </w:p>
        </w:tc>
        <w:tc>
          <w:tcPr>
            <w:tcW w:w="358" w:type="dxa"/>
            <w:tcBorders>
              <w:top w:val="single" w:sz="4" w:space="0" w:color="auto"/>
            </w:tcBorders>
          </w:tcPr>
          <w:p>
            <w:pPr>
              <w:pStyle w:val="yTableNAm"/>
              <w:spacing w:before="0"/>
              <w:rPr>
                <w:b/>
                <w:bCs/>
                <w:sz w:val="12"/>
              </w:rPr>
            </w:pPr>
            <w:r>
              <w:rPr>
                <w:b/>
                <w:bCs/>
                <w:sz w:val="12"/>
              </w:rPr>
              <w:t>16</w:t>
            </w:r>
          </w:p>
        </w:tc>
        <w:tc>
          <w:tcPr>
            <w:tcW w:w="359" w:type="dxa"/>
            <w:tcBorders>
              <w:top w:val="single" w:sz="4" w:space="0" w:color="auto"/>
            </w:tcBorders>
          </w:tcPr>
          <w:p>
            <w:pPr>
              <w:pStyle w:val="yTableNAm"/>
              <w:spacing w:before="0"/>
              <w:rPr>
                <w:b/>
                <w:bCs/>
                <w:sz w:val="12"/>
              </w:rPr>
            </w:pPr>
            <w:r>
              <w:rPr>
                <w:b/>
                <w:bCs/>
                <w:sz w:val="12"/>
              </w:rPr>
              <w:t>17</w:t>
            </w:r>
          </w:p>
        </w:tc>
        <w:tc>
          <w:tcPr>
            <w:tcW w:w="358" w:type="dxa"/>
            <w:tcBorders>
              <w:top w:val="single" w:sz="4" w:space="0" w:color="auto"/>
            </w:tcBorders>
          </w:tcPr>
          <w:p>
            <w:pPr>
              <w:pStyle w:val="yTableNAm"/>
              <w:spacing w:before="0"/>
              <w:rPr>
                <w:b/>
                <w:bCs/>
                <w:sz w:val="12"/>
              </w:rPr>
            </w:pPr>
            <w:r>
              <w:rPr>
                <w:b/>
                <w:bCs/>
                <w:sz w:val="12"/>
              </w:rPr>
              <w:t>18</w:t>
            </w:r>
          </w:p>
        </w:tc>
        <w:tc>
          <w:tcPr>
            <w:tcW w:w="359" w:type="dxa"/>
            <w:tcBorders>
              <w:top w:val="single" w:sz="4" w:space="0" w:color="auto"/>
            </w:tcBorders>
          </w:tcPr>
          <w:p>
            <w:pPr>
              <w:pStyle w:val="yTableNAm"/>
              <w:spacing w:before="0"/>
              <w:rPr>
                <w:b/>
                <w:bCs/>
                <w:sz w:val="12"/>
              </w:rPr>
            </w:pPr>
            <w:r>
              <w:rPr>
                <w:b/>
                <w:bCs/>
                <w:sz w:val="12"/>
              </w:rPr>
              <w:t>19</w:t>
            </w:r>
          </w:p>
        </w:tc>
        <w:tc>
          <w:tcPr>
            <w:tcW w:w="359" w:type="dxa"/>
            <w:gridSpan w:val="2"/>
            <w:tcBorders>
              <w:top w:val="single" w:sz="4" w:space="0" w:color="auto"/>
            </w:tcBorders>
          </w:tcPr>
          <w:p>
            <w:pPr>
              <w:pStyle w:val="yTableNAm"/>
              <w:spacing w:before="0"/>
              <w:rPr>
                <w:b/>
                <w:bCs/>
                <w:sz w:val="12"/>
              </w:rPr>
            </w:pPr>
            <w:r>
              <w:rPr>
                <w:b/>
                <w:bCs/>
                <w:sz w:val="12"/>
              </w:rPr>
              <w:t>20</w:t>
            </w:r>
          </w:p>
        </w:tc>
      </w:tr>
      <w:tr>
        <w:tblPrEx>
          <w:tblCellMar>
            <w:right w:w="0" w:type="dxa"/>
          </w:tblCellMar>
        </w:tblPrEx>
        <w:tc>
          <w:tcPr>
            <w:tcW w:w="993" w:type="dxa"/>
          </w:tcPr>
          <w:p>
            <w:pPr>
              <w:pStyle w:val="yTableNAm"/>
              <w:spacing w:before="0"/>
              <w:rPr>
                <w:sz w:val="12"/>
              </w:rPr>
            </w:pPr>
            <w:r>
              <w:rPr>
                <w:sz w:val="12"/>
              </w:rPr>
              <w:t>Six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9" w:type="dxa"/>
            <w:gridSpan w:val="2"/>
          </w:tcPr>
          <w:p>
            <w:pPr>
              <w:pStyle w:val="yTableNAm"/>
              <w:spacing w:before="0"/>
              <w:rPr>
                <w:sz w:val="12"/>
              </w:rPr>
            </w:pPr>
            <w:r>
              <w:rPr>
                <w:sz w:val="12"/>
              </w:rPr>
              <w:t>72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gridSpan w:val="2"/>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80</w:t>
            </w:r>
          </w:p>
        </w:tc>
        <w:tc>
          <w:tcPr>
            <w:tcW w:w="359" w:type="dxa"/>
            <w:gridSpan w:val="2"/>
          </w:tcPr>
          <w:p>
            <w:pPr>
              <w:pStyle w:val="yTableNAm"/>
              <w:spacing w:before="0"/>
              <w:rPr>
                <w:sz w:val="12"/>
              </w:rPr>
            </w:pPr>
            <w:r>
              <w:rPr>
                <w:sz w:val="12"/>
              </w:rPr>
              <w:t>180</w:t>
            </w:r>
          </w:p>
        </w:tc>
        <w:tc>
          <w:tcPr>
            <w:tcW w:w="358" w:type="dxa"/>
          </w:tcPr>
          <w:p>
            <w:pPr>
              <w:pStyle w:val="yTableNAm"/>
              <w:spacing w:before="0"/>
              <w:rPr>
                <w:sz w:val="12"/>
              </w:rPr>
            </w:pPr>
            <w:r>
              <w:rPr>
                <w:sz w:val="12"/>
              </w:rPr>
              <w:t>320</w:t>
            </w:r>
          </w:p>
        </w:tc>
        <w:tc>
          <w:tcPr>
            <w:tcW w:w="359" w:type="dxa"/>
          </w:tcPr>
          <w:p>
            <w:pPr>
              <w:pStyle w:val="yTableNAm"/>
              <w:spacing w:before="0"/>
              <w:rPr>
                <w:sz w:val="12"/>
              </w:rPr>
            </w:pPr>
            <w:r>
              <w:rPr>
                <w:sz w:val="12"/>
              </w:rPr>
              <w:t>500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980</w:t>
            </w:r>
          </w:p>
        </w:tc>
        <w:tc>
          <w:tcPr>
            <w:tcW w:w="358" w:type="dxa"/>
          </w:tcPr>
          <w:p>
            <w:pPr>
              <w:pStyle w:val="yTableNAm"/>
              <w:spacing w:before="0"/>
              <w:rPr>
                <w:sz w:val="12"/>
              </w:rPr>
            </w:pPr>
            <w:r>
              <w:rPr>
                <w:sz w:val="12"/>
              </w:rPr>
              <w:t>1280</w:t>
            </w:r>
          </w:p>
        </w:tc>
        <w:tc>
          <w:tcPr>
            <w:tcW w:w="359" w:type="dxa"/>
          </w:tcPr>
          <w:p>
            <w:pPr>
              <w:pStyle w:val="yTableNAm"/>
              <w:spacing w:before="0"/>
              <w:rPr>
                <w:sz w:val="12"/>
              </w:rPr>
            </w:pPr>
            <w:r>
              <w:rPr>
                <w:sz w:val="12"/>
              </w:rPr>
              <w:t>1620</w:t>
            </w:r>
          </w:p>
        </w:tc>
        <w:tc>
          <w:tcPr>
            <w:tcW w:w="358" w:type="dxa"/>
          </w:tcPr>
          <w:p>
            <w:pPr>
              <w:pStyle w:val="yTableNAm"/>
              <w:spacing w:before="0"/>
              <w:rPr>
                <w:sz w:val="12"/>
              </w:rPr>
            </w:pPr>
            <w:r>
              <w:rPr>
                <w:sz w:val="12"/>
              </w:rPr>
              <w:t>2000</w:t>
            </w:r>
          </w:p>
        </w:tc>
        <w:tc>
          <w:tcPr>
            <w:tcW w:w="359" w:type="dxa"/>
          </w:tcPr>
          <w:p>
            <w:pPr>
              <w:pStyle w:val="yTableNAm"/>
              <w:spacing w:before="0"/>
              <w:rPr>
                <w:sz w:val="12"/>
              </w:rPr>
            </w:pPr>
            <w:r>
              <w:rPr>
                <w:sz w:val="12"/>
              </w:rPr>
              <w:t>2420</w:t>
            </w:r>
          </w:p>
        </w:tc>
        <w:tc>
          <w:tcPr>
            <w:tcW w:w="359" w:type="dxa"/>
            <w:gridSpan w:val="2"/>
          </w:tcPr>
          <w:p>
            <w:pPr>
              <w:pStyle w:val="yTableNAm"/>
              <w:spacing w:before="0"/>
              <w:rPr>
                <w:sz w:val="12"/>
              </w:rPr>
            </w:pPr>
            <w:r>
              <w:rPr>
                <w:sz w:val="12"/>
              </w:rPr>
              <w:t>2880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51</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t>210</w:t>
            </w:r>
          </w:p>
        </w:tc>
        <w:tc>
          <w:tcPr>
            <w:tcW w:w="358" w:type="dxa"/>
          </w:tcPr>
          <w:p>
            <w:pPr>
              <w:pStyle w:val="yTableNAm"/>
              <w:spacing w:before="0"/>
              <w:rPr>
                <w:sz w:val="12"/>
              </w:rPr>
            </w:pPr>
            <w:r>
              <w:rPr>
                <w:sz w:val="12"/>
              </w:rPr>
              <w:t>345</w:t>
            </w:r>
          </w:p>
        </w:tc>
        <w:tc>
          <w:tcPr>
            <w:tcW w:w="359" w:type="dxa"/>
          </w:tcPr>
          <w:p>
            <w:pPr>
              <w:pStyle w:val="yTableNAm"/>
              <w:spacing w:before="0"/>
              <w:rPr>
                <w:sz w:val="12"/>
              </w:rPr>
            </w:pPr>
            <w:r>
              <w:rPr>
                <w:sz w:val="12"/>
              </w:rPr>
              <w:t>525</w:t>
            </w:r>
          </w:p>
        </w:tc>
        <w:tc>
          <w:tcPr>
            <w:tcW w:w="358" w:type="dxa"/>
          </w:tcPr>
          <w:p>
            <w:pPr>
              <w:pStyle w:val="yTableNAm"/>
              <w:spacing w:before="0"/>
              <w:rPr>
                <w:sz w:val="12"/>
              </w:rPr>
            </w:pPr>
            <w:r>
              <w:rPr>
                <w:sz w:val="12"/>
              </w:rPr>
              <w:t>756</w:t>
            </w:r>
          </w:p>
        </w:tc>
        <w:tc>
          <w:tcPr>
            <w:tcW w:w="359" w:type="dxa"/>
          </w:tcPr>
          <w:p>
            <w:pPr>
              <w:pStyle w:val="yTableNAm"/>
              <w:spacing w:before="0"/>
              <w:rPr>
                <w:sz w:val="12"/>
              </w:rPr>
            </w:pPr>
            <w:r>
              <w:rPr>
                <w:sz w:val="12"/>
              </w:rPr>
              <w:t>1044</w:t>
            </w:r>
          </w:p>
        </w:tc>
        <w:tc>
          <w:tcPr>
            <w:tcW w:w="358" w:type="dxa"/>
          </w:tcPr>
          <w:p>
            <w:pPr>
              <w:pStyle w:val="yTableNAm"/>
              <w:spacing w:before="0"/>
              <w:rPr>
                <w:sz w:val="12"/>
              </w:rPr>
            </w:pPr>
            <w:r>
              <w:rPr>
                <w:sz w:val="12"/>
              </w:rPr>
              <w:t>1395</w:t>
            </w:r>
          </w:p>
        </w:tc>
        <w:tc>
          <w:tcPr>
            <w:tcW w:w="359" w:type="dxa"/>
          </w:tcPr>
          <w:p>
            <w:pPr>
              <w:pStyle w:val="yTableNAm"/>
              <w:spacing w:before="0"/>
              <w:rPr>
                <w:sz w:val="12"/>
              </w:rPr>
            </w:pPr>
            <w:r>
              <w:rPr>
                <w:sz w:val="12"/>
              </w:rPr>
              <w:t>1815</w:t>
            </w:r>
          </w:p>
        </w:tc>
        <w:tc>
          <w:tcPr>
            <w:tcW w:w="359" w:type="dxa"/>
            <w:gridSpan w:val="2"/>
          </w:tcPr>
          <w:p>
            <w:pPr>
              <w:pStyle w:val="yTableNAm"/>
              <w:spacing w:before="0"/>
              <w:rPr>
                <w:sz w:val="12"/>
              </w:rPr>
            </w:pPr>
            <w:r>
              <w:rPr>
                <w:sz w:val="12"/>
              </w:rPr>
              <w:t>2310</w:t>
            </w:r>
          </w:p>
        </w:tc>
      </w:tr>
      <w:tr>
        <w:tblPrEx>
          <w:tblCellMar>
            <w:right w:w="0" w:type="dxa"/>
          </w:tblCellMar>
        </w:tblPrEx>
        <w:tc>
          <w:tcPr>
            <w:tcW w:w="993" w:type="dxa"/>
          </w:tcPr>
          <w:p>
            <w:pPr>
              <w:pStyle w:val="yTableNAm"/>
              <w:spacing w:before="0"/>
              <w:rPr>
                <w:sz w:val="12"/>
              </w:rPr>
            </w:pPr>
            <w:r>
              <w:rPr>
                <w:sz w:val="12"/>
              </w:rPr>
              <w:t>Six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9" w:type="dxa"/>
            <w:gridSpan w:val="2"/>
          </w:tcPr>
          <w:p>
            <w:pPr>
              <w:pStyle w:val="yTableNAm"/>
              <w:spacing w:before="0"/>
              <w:rPr>
                <w:sz w:val="12"/>
              </w:rPr>
            </w:pPr>
            <w:r>
              <w:rPr>
                <w:sz w:val="12"/>
              </w:rPr>
              <w:t>6</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18</w:t>
            </w:r>
          </w:p>
        </w:tc>
        <w:tc>
          <w:tcPr>
            <w:tcW w:w="359" w:type="dxa"/>
            <w:gridSpan w:val="2"/>
          </w:tcPr>
          <w:p>
            <w:pPr>
              <w:pStyle w:val="yTableNAm"/>
              <w:spacing w:before="0"/>
              <w:rPr>
                <w:sz w:val="12"/>
              </w:rPr>
            </w:pPr>
            <w:r>
              <w:rPr>
                <w:sz w:val="12"/>
              </w:rPr>
              <w:t>24</w:t>
            </w:r>
          </w:p>
        </w:tc>
        <w:tc>
          <w:tcPr>
            <w:tcW w:w="358" w:type="dxa"/>
          </w:tcPr>
          <w:p>
            <w:pPr>
              <w:pStyle w:val="yTableNAm"/>
              <w:spacing w:before="0"/>
              <w:rPr>
                <w:sz w:val="12"/>
              </w:rPr>
            </w:pPr>
            <w:r>
              <w:rPr>
                <w:sz w:val="12"/>
              </w:rPr>
              <w:t>30</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42</w:t>
            </w:r>
          </w:p>
        </w:tc>
        <w:tc>
          <w:tcPr>
            <w:tcW w:w="359" w:type="dxa"/>
          </w:tcPr>
          <w:p>
            <w:pPr>
              <w:pStyle w:val="yTableNAm"/>
              <w:spacing w:before="0"/>
              <w:rPr>
                <w:sz w:val="12"/>
              </w:rPr>
            </w:pPr>
            <w:r>
              <w:rPr>
                <w:sz w:val="12"/>
              </w:rPr>
              <w:t>48</w:t>
            </w:r>
          </w:p>
        </w:tc>
        <w:tc>
          <w:tcPr>
            <w:tcW w:w="358" w:type="dxa"/>
          </w:tcPr>
          <w:p>
            <w:pPr>
              <w:pStyle w:val="yTableNAm"/>
              <w:spacing w:before="0"/>
              <w:rPr>
                <w:sz w:val="12"/>
              </w:rPr>
            </w:pPr>
            <w:r>
              <w:rPr>
                <w:sz w:val="12"/>
              </w:rPr>
              <w:t>54</w:t>
            </w:r>
          </w:p>
        </w:tc>
        <w:tc>
          <w:tcPr>
            <w:tcW w:w="359" w:type="dxa"/>
          </w:tcPr>
          <w:p>
            <w:pPr>
              <w:pStyle w:val="yTableNAm"/>
              <w:spacing w:before="0"/>
              <w:rPr>
                <w:sz w:val="12"/>
              </w:rPr>
            </w:pPr>
            <w:r>
              <w:rPr>
                <w:sz w:val="12"/>
              </w:rPr>
              <w:t>60</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72</w:t>
            </w:r>
          </w:p>
        </w:tc>
        <w:tc>
          <w:tcPr>
            <w:tcW w:w="359" w:type="dxa"/>
            <w:gridSpan w:val="2"/>
          </w:tcPr>
          <w:p>
            <w:pPr>
              <w:pStyle w:val="yTableNAm"/>
              <w:spacing w:before="0"/>
              <w:rPr>
                <w:sz w:val="12"/>
              </w:rPr>
            </w:pPr>
            <w:r>
              <w:rPr>
                <w:sz w:val="12"/>
              </w:rPr>
              <w:t>78</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gridSpan w:val="2"/>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120</w:t>
            </w:r>
          </w:p>
        </w:tc>
        <w:tc>
          <w:tcPr>
            <w:tcW w:w="358" w:type="dxa"/>
          </w:tcPr>
          <w:p>
            <w:pPr>
              <w:pStyle w:val="yTableNAm"/>
              <w:spacing w:before="0"/>
              <w:rPr>
                <w:sz w:val="12"/>
              </w:rPr>
            </w:pPr>
            <w:r>
              <w:rPr>
                <w:sz w:val="12"/>
              </w:rPr>
              <w:t>200</w:t>
            </w:r>
          </w:p>
        </w:tc>
        <w:tc>
          <w:tcPr>
            <w:tcW w:w="359" w:type="dxa"/>
          </w:tcPr>
          <w:p>
            <w:pPr>
              <w:pStyle w:val="yTableNAm"/>
              <w:spacing w:before="0"/>
              <w:rPr>
                <w:sz w:val="12"/>
              </w:rPr>
            </w:pPr>
            <w:r>
              <w:rPr>
                <w:sz w:val="12"/>
              </w:rPr>
              <w:t>300</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560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900</w:t>
            </w:r>
          </w:p>
        </w:tc>
        <w:tc>
          <w:tcPr>
            <w:tcW w:w="358" w:type="dxa"/>
          </w:tcPr>
          <w:p>
            <w:pPr>
              <w:pStyle w:val="yTableNAm"/>
              <w:spacing w:before="0"/>
              <w:rPr>
                <w:sz w:val="12"/>
              </w:rPr>
            </w:pPr>
            <w:r>
              <w:rPr>
                <w:sz w:val="12"/>
              </w:rPr>
              <w:t>1100</w:t>
            </w:r>
          </w:p>
        </w:tc>
        <w:tc>
          <w:tcPr>
            <w:tcW w:w="359" w:type="dxa"/>
          </w:tcPr>
          <w:p>
            <w:pPr>
              <w:pStyle w:val="yTableNAm"/>
              <w:spacing w:before="0"/>
              <w:rPr>
                <w:sz w:val="12"/>
              </w:rPr>
            </w:pPr>
            <w:r>
              <w:rPr>
                <w:sz w:val="12"/>
              </w:rPr>
              <w:t>1320</w:t>
            </w:r>
          </w:p>
        </w:tc>
        <w:tc>
          <w:tcPr>
            <w:tcW w:w="359" w:type="dxa"/>
            <w:gridSpan w:val="2"/>
          </w:tcPr>
          <w:p>
            <w:pPr>
              <w:pStyle w:val="yTableNAm"/>
              <w:spacing w:before="0"/>
              <w:rPr>
                <w:sz w:val="12"/>
              </w:rPr>
            </w:pPr>
            <w:r>
              <w:rPr>
                <w:sz w:val="12"/>
              </w:rPr>
              <w:t>1560</w:t>
            </w:r>
          </w:p>
        </w:tc>
      </w:tr>
      <w:tr>
        <w:tblPrEx>
          <w:tblCellMar>
            <w:right w:w="0" w:type="dxa"/>
          </w:tblCellMar>
        </w:tblPrEx>
        <w:tc>
          <w:tcPr>
            <w:tcW w:w="993" w:type="dxa"/>
          </w:tcPr>
          <w:p>
            <w:pPr>
              <w:pStyle w:val="yTableNAm"/>
              <w:spacing w:before="0"/>
              <w:rPr>
                <w:sz w:val="12"/>
              </w:rPr>
            </w:pPr>
            <w:r>
              <w:rPr>
                <w:sz w:val="12"/>
              </w:rPr>
              <w:t>Six</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gridSpan w:val="2"/>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8" w:type="dxa"/>
          </w:tcPr>
          <w:p>
            <w:pPr>
              <w:pStyle w:val="yTableNAm"/>
              <w:spacing w:before="0"/>
              <w:rPr>
                <w:sz w:val="12"/>
              </w:rPr>
            </w:pPr>
            <w:r>
              <w:rPr>
                <w:sz w:val="12"/>
              </w:rPr>
              <w:t>72</w:t>
            </w:r>
          </w:p>
        </w:tc>
        <w:tc>
          <w:tcPr>
            <w:tcW w:w="359" w:type="dxa"/>
          </w:tcPr>
          <w:p>
            <w:pPr>
              <w:pStyle w:val="yTableNAm"/>
              <w:spacing w:before="0"/>
              <w:rPr>
                <w:sz w:val="12"/>
              </w:rPr>
            </w:pPr>
            <w:r>
              <w:rPr>
                <w:sz w:val="12"/>
              </w:rPr>
              <w:t>78</w:t>
            </w:r>
          </w:p>
        </w:tc>
        <w:tc>
          <w:tcPr>
            <w:tcW w:w="359" w:type="dxa"/>
            <w:gridSpan w:val="2"/>
          </w:tcPr>
          <w:p>
            <w:pPr>
              <w:pStyle w:val="yTableNAm"/>
              <w:spacing w:before="0"/>
              <w:rPr>
                <w:sz w:val="12"/>
              </w:rPr>
            </w:pPr>
            <w:r>
              <w:rPr>
                <w:sz w:val="12"/>
              </w:rPr>
              <w:t>84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gridSpan w:val="2"/>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r>
              <w:rPr>
                <w:sz w:val="12"/>
              </w:rPr>
              <w:t>Five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gridSpan w:val="2"/>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9" w:type="dxa"/>
            <w:gridSpan w:val="2"/>
          </w:tcPr>
          <w:p>
            <w:pPr>
              <w:pStyle w:val="yTableNAm"/>
              <w:spacing w:before="0"/>
              <w:rPr>
                <w:sz w:val="12"/>
              </w:rPr>
            </w:pPr>
            <w:r>
              <w:rPr>
                <w:sz w:val="12"/>
              </w:rPr>
              <w:t>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gridSpan w:val="2"/>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13</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gridSpan w:val="2"/>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40</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160</w:t>
            </w:r>
          </w:p>
        </w:tc>
        <w:tc>
          <w:tcPr>
            <w:tcW w:w="358" w:type="dxa"/>
          </w:tcPr>
          <w:p>
            <w:pPr>
              <w:pStyle w:val="yTableNAm"/>
              <w:spacing w:before="0"/>
              <w:rPr>
                <w:sz w:val="12"/>
              </w:rPr>
            </w:pPr>
            <w:r>
              <w:rPr>
                <w:sz w:val="12"/>
              </w:rPr>
              <w:t>250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490</w:t>
            </w:r>
          </w:p>
        </w:tc>
        <w:tc>
          <w:tcPr>
            <w:tcW w:w="359" w:type="dxa"/>
          </w:tcPr>
          <w:p>
            <w:pPr>
              <w:pStyle w:val="yTableNAm"/>
              <w:spacing w:before="0"/>
              <w:rPr>
                <w:sz w:val="12"/>
              </w:rPr>
            </w:pPr>
            <w:r>
              <w:rPr>
                <w:sz w:val="12"/>
              </w:rPr>
              <w:t>640</w:t>
            </w:r>
          </w:p>
        </w:tc>
        <w:tc>
          <w:tcPr>
            <w:tcW w:w="358" w:type="dxa"/>
          </w:tcPr>
          <w:p>
            <w:pPr>
              <w:pStyle w:val="yTableNAm"/>
              <w:spacing w:before="0"/>
              <w:rPr>
                <w:sz w:val="12"/>
              </w:rPr>
            </w:pPr>
            <w:r>
              <w:rPr>
                <w:sz w:val="12"/>
              </w:rPr>
              <w:t>810</w:t>
            </w:r>
          </w:p>
        </w:tc>
        <w:tc>
          <w:tcPr>
            <w:tcW w:w="359" w:type="dxa"/>
          </w:tcPr>
          <w:p>
            <w:pPr>
              <w:pStyle w:val="yTableNAm"/>
              <w:spacing w:before="0"/>
              <w:rPr>
                <w:sz w:val="12"/>
              </w:rPr>
            </w:pPr>
            <w:r>
              <w:rPr>
                <w:sz w:val="12"/>
              </w:rPr>
              <w:t>1000</w:t>
            </w:r>
          </w:p>
        </w:tc>
        <w:tc>
          <w:tcPr>
            <w:tcW w:w="358" w:type="dxa"/>
          </w:tcPr>
          <w:p>
            <w:pPr>
              <w:pStyle w:val="yTableNAm"/>
              <w:spacing w:before="0"/>
              <w:rPr>
                <w:sz w:val="12"/>
              </w:rPr>
            </w:pPr>
            <w:r>
              <w:rPr>
                <w:sz w:val="12"/>
              </w:rPr>
              <w:t>1210</w:t>
            </w:r>
          </w:p>
        </w:tc>
        <w:tc>
          <w:tcPr>
            <w:tcW w:w="359" w:type="dxa"/>
          </w:tcPr>
          <w:p>
            <w:pPr>
              <w:pStyle w:val="yTableNAm"/>
              <w:spacing w:before="0"/>
              <w:rPr>
                <w:sz w:val="12"/>
              </w:rPr>
            </w:pPr>
            <w:r>
              <w:rPr>
                <w:sz w:val="12"/>
              </w:rPr>
              <w:t>1440</w:t>
            </w:r>
          </w:p>
        </w:tc>
        <w:tc>
          <w:tcPr>
            <w:tcW w:w="359" w:type="dxa"/>
            <w:gridSpan w:val="2"/>
          </w:tcPr>
          <w:p>
            <w:pPr>
              <w:pStyle w:val="yTableNAm"/>
              <w:spacing w:before="0"/>
              <w:rPr>
                <w:sz w:val="12"/>
              </w:rPr>
            </w:pPr>
            <w:r>
              <w:rPr>
                <w:sz w:val="12"/>
              </w:rPr>
              <w:t>1690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35</w:t>
            </w:r>
          </w:p>
        </w:tc>
        <w:tc>
          <w:tcPr>
            <w:tcW w:w="359" w:type="dxa"/>
            <w:gridSpan w:val="2"/>
          </w:tcPr>
          <w:p>
            <w:pPr>
              <w:pStyle w:val="yTableNAm"/>
              <w:spacing w:before="0"/>
              <w:rPr>
                <w:sz w:val="12"/>
              </w:rPr>
            </w:pPr>
            <w:r>
              <w:rPr>
                <w:sz w:val="12"/>
              </w:rPr>
              <w:t>80</w:t>
            </w:r>
          </w:p>
        </w:tc>
        <w:tc>
          <w:tcPr>
            <w:tcW w:w="358" w:type="dxa"/>
          </w:tcPr>
          <w:p>
            <w:pPr>
              <w:pStyle w:val="yTableNAm"/>
              <w:spacing w:before="0"/>
              <w:rPr>
                <w:sz w:val="12"/>
              </w:rPr>
            </w:pPr>
            <w:r>
              <w:rPr>
                <w:sz w:val="12"/>
              </w:rPr>
              <w:t>150</w:t>
            </w:r>
          </w:p>
        </w:tc>
        <w:tc>
          <w:tcPr>
            <w:tcW w:w="359" w:type="dxa"/>
          </w:tcPr>
          <w:p>
            <w:pPr>
              <w:pStyle w:val="yTableNAm"/>
              <w:spacing w:before="0"/>
              <w:rPr>
                <w:sz w:val="12"/>
              </w:rPr>
            </w:pPr>
            <w:r>
              <w:rPr>
                <w:sz w:val="12"/>
              </w:rPr>
              <w:t>250</w:t>
            </w:r>
          </w:p>
        </w:tc>
        <w:tc>
          <w:tcPr>
            <w:tcW w:w="358" w:type="dxa"/>
          </w:tcPr>
          <w:p>
            <w:pPr>
              <w:pStyle w:val="yTableNAm"/>
              <w:spacing w:before="0"/>
              <w:rPr>
                <w:sz w:val="12"/>
              </w:rPr>
            </w:pPr>
            <w:r>
              <w:rPr>
                <w:sz w:val="12"/>
              </w:rPr>
              <w:t>385</w:t>
            </w:r>
          </w:p>
        </w:tc>
        <w:tc>
          <w:tcPr>
            <w:tcW w:w="359" w:type="dxa"/>
          </w:tcPr>
          <w:p>
            <w:pPr>
              <w:pStyle w:val="yTableNAm"/>
              <w:spacing w:before="0"/>
              <w:rPr>
                <w:sz w:val="12"/>
              </w:rPr>
            </w:pPr>
            <w:r>
              <w:rPr>
                <w:sz w:val="12"/>
              </w:rPr>
              <w:t>560</w:t>
            </w:r>
          </w:p>
        </w:tc>
        <w:tc>
          <w:tcPr>
            <w:tcW w:w="358" w:type="dxa"/>
          </w:tcPr>
          <w:p>
            <w:pPr>
              <w:pStyle w:val="yTableNAm"/>
              <w:spacing w:before="0"/>
              <w:rPr>
                <w:sz w:val="12"/>
              </w:rPr>
            </w:pPr>
            <w:r>
              <w:rPr>
                <w:sz w:val="12"/>
              </w:rPr>
              <w:t>780</w:t>
            </w:r>
          </w:p>
        </w:tc>
        <w:tc>
          <w:tcPr>
            <w:tcW w:w="359" w:type="dxa"/>
          </w:tcPr>
          <w:p>
            <w:pPr>
              <w:pStyle w:val="yTableNAm"/>
              <w:spacing w:before="0"/>
              <w:rPr>
                <w:sz w:val="12"/>
              </w:rPr>
            </w:pPr>
            <w:r>
              <w:rPr>
                <w:sz w:val="12"/>
              </w:rPr>
              <w:t>1050</w:t>
            </w:r>
          </w:p>
        </w:tc>
        <w:tc>
          <w:tcPr>
            <w:tcW w:w="358" w:type="dxa"/>
          </w:tcPr>
          <w:p>
            <w:pPr>
              <w:pStyle w:val="yTableNAm"/>
              <w:spacing w:before="0"/>
              <w:rPr>
                <w:sz w:val="12"/>
              </w:rPr>
            </w:pPr>
            <w:r>
              <w:rPr>
                <w:sz w:val="12"/>
              </w:rPr>
              <w:t>1375</w:t>
            </w:r>
          </w:p>
        </w:tc>
        <w:tc>
          <w:tcPr>
            <w:tcW w:w="359" w:type="dxa"/>
          </w:tcPr>
          <w:p>
            <w:pPr>
              <w:pStyle w:val="yTableNAm"/>
              <w:spacing w:before="0"/>
              <w:rPr>
                <w:sz w:val="12"/>
              </w:rPr>
            </w:pPr>
            <w:r>
              <w:rPr>
                <w:sz w:val="12"/>
              </w:rPr>
              <w:t>1760</w:t>
            </w:r>
          </w:p>
        </w:tc>
        <w:tc>
          <w:tcPr>
            <w:tcW w:w="359" w:type="dxa"/>
            <w:gridSpan w:val="2"/>
          </w:tcPr>
          <w:p>
            <w:pPr>
              <w:pStyle w:val="yTableNAm"/>
              <w:spacing w:before="0"/>
              <w:rPr>
                <w:sz w:val="12"/>
              </w:rPr>
            </w:pPr>
            <w:r>
              <w:rPr>
                <w:sz w:val="12"/>
              </w:rPr>
              <w:t>2210</w:t>
            </w:r>
          </w:p>
        </w:tc>
      </w:tr>
      <w:tr>
        <w:tblPrEx>
          <w:tblCellMar>
            <w:right w:w="0" w:type="dxa"/>
          </w:tblCellMar>
        </w:tblPrEx>
        <w:tc>
          <w:tcPr>
            <w:tcW w:w="993" w:type="dxa"/>
          </w:tcPr>
          <w:p>
            <w:pPr>
              <w:pStyle w:val="yTableNAm"/>
              <w:spacing w:before="0"/>
              <w:rPr>
                <w:sz w:val="12"/>
              </w:rPr>
            </w:pPr>
            <w:r>
              <w:rPr>
                <w:sz w:val="12"/>
              </w:rPr>
              <w:t>Five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4</w:t>
            </w:r>
          </w:p>
        </w:tc>
        <w:tc>
          <w:tcPr>
            <w:tcW w:w="359" w:type="dxa"/>
            <w:gridSpan w:val="2"/>
          </w:tcPr>
          <w:p>
            <w:pPr>
              <w:pStyle w:val="yTableNAm"/>
              <w:spacing w:before="0"/>
              <w:rPr>
                <w:sz w:val="12"/>
              </w:rPr>
            </w:pPr>
            <w:r>
              <w:rPr>
                <w:sz w:val="12"/>
              </w:rPr>
              <w:t>5</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7</w:t>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t>9</w:t>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11</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13</w:t>
            </w:r>
          </w:p>
        </w:tc>
        <w:tc>
          <w:tcPr>
            <w:tcW w:w="359" w:type="dxa"/>
            <w:gridSpan w:val="2"/>
          </w:tcPr>
          <w:p>
            <w:pPr>
              <w:pStyle w:val="yTableNAm"/>
              <w:spacing w:before="0"/>
              <w:rPr>
                <w:sz w:val="12"/>
              </w:rPr>
            </w:pPr>
            <w:r>
              <w:rPr>
                <w:sz w:val="12"/>
              </w:rPr>
              <w:t>14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gridSpan w:val="2"/>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150</w:t>
            </w:r>
          </w:p>
        </w:tc>
        <w:tc>
          <w:tcPr>
            <w:tcW w:w="359" w:type="dxa"/>
          </w:tcPr>
          <w:p>
            <w:pPr>
              <w:pStyle w:val="yTableNAm"/>
              <w:spacing w:before="0"/>
              <w:rPr>
                <w:sz w:val="12"/>
              </w:rPr>
            </w:pPr>
            <w:r>
              <w:rPr>
                <w:sz w:val="12"/>
              </w:rPr>
              <w:t>210</w:t>
            </w:r>
          </w:p>
        </w:tc>
        <w:tc>
          <w:tcPr>
            <w:tcW w:w="358" w:type="dxa"/>
          </w:tcPr>
          <w:p>
            <w:pPr>
              <w:pStyle w:val="yTableNAm"/>
              <w:spacing w:before="0"/>
              <w:rPr>
                <w:sz w:val="12"/>
              </w:rPr>
            </w:pPr>
            <w:r>
              <w:rPr>
                <w:sz w:val="12"/>
              </w:rPr>
              <w:t>280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450</w:t>
            </w:r>
          </w:p>
        </w:tc>
        <w:tc>
          <w:tcPr>
            <w:tcW w:w="359" w:type="dxa"/>
          </w:tcPr>
          <w:p>
            <w:pPr>
              <w:pStyle w:val="yTableNAm"/>
              <w:spacing w:before="0"/>
              <w:rPr>
                <w:sz w:val="12"/>
              </w:rPr>
            </w:pPr>
            <w:r>
              <w:rPr>
                <w:sz w:val="12"/>
              </w:rPr>
              <w:t>550</w:t>
            </w:r>
          </w:p>
        </w:tc>
        <w:tc>
          <w:tcPr>
            <w:tcW w:w="358" w:type="dxa"/>
          </w:tcPr>
          <w:p>
            <w:pPr>
              <w:pStyle w:val="yTableNAm"/>
              <w:spacing w:before="0"/>
              <w:rPr>
                <w:sz w:val="12"/>
              </w:rPr>
            </w:pPr>
            <w:r>
              <w:rPr>
                <w:sz w:val="12"/>
              </w:rPr>
              <w:t>660</w:t>
            </w:r>
          </w:p>
        </w:tc>
        <w:tc>
          <w:tcPr>
            <w:tcW w:w="359" w:type="dxa"/>
          </w:tcPr>
          <w:p>
            <w:pPr>
              <w:pStyle w:val="yTableNAm"/>
              <w:spacing w:before="0"/>
              <w:rPr>
                <w:sz w:val="12"/>
              </w:rPr>
            </w:pPr>
            <w:r>
              <w:rPr>
                <w:sz w:val="12"/>
              </w:rPr>
              <w:t>780</w:t>
            </w:r>
          </w:p>
        </w:tc>
        <w:tc>
          <w:tcPr>
            <w:tcW w:w="359" w:type="dxa"/>
            <w:gridSpan w:val="2"/>
          </w:tcPr>
          <w:p>
            <w:pPr>
              <w:pStyle w:val="yTableNAm"/>
              <w:spacing w:before="0"/>
              <w:rPr>
                <w:sz w:val="12"/>
              </w:rPr>
            </w:pPr>
            <w:r>
              <w:rPr>
                <w:sz w:val="12"/>
              </w:rPr>
              <w:t>910</w:t>
            </w:r>
          </w:p>
        </w:tc>
      </w:tr>
      <w:tr>
        <w:tblPrEx>
          <w:tblCellMar>
            <w:right w:w="0" w:type="dxa"/>
          </w:tblCellMar>
        </w:tblPrEx>
        <w:tc>
          <w:tcPr>
            <w:tcW w:w="993" w:type="dxa"/>
          </w:tcPr>
          <w:p>
            <w:pPr>
              <w:pStyle w:val="yTableNAm"/>
              <w:spacing w:before="0"/>
              <w:rPr>
                <w:sz w:val="12"/>
              </w:rPr>
            </w:pPr>
            <w:r>
              <w:rPr>
                <w:sz w:val="12"/>
              </w:rPr>
              <w:t>Five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13</w:t>
            </w:r>
          </w:p>
        </w:tc>
        <w:tc>
          <w:tcPr>
            <w:tcW w:w="359" w:type="dxa"/>
          </w:tcPr>
          <w:p>
            <w:pPr>
              <w:pStyle w:val="yTableNAm"/>
              <w:spacing w:before="0"/>
              <w:rPr>
                <w:sz w:val="12"/>
              </w:rPr>
            </w:pPr>
            <w:r>
              <w:rPr>
                <w:sz w:val="12"/>
              </w:rPr>
              <w:t>14</w:t>
            </w:r>
          </w:p>
        </w:tc>
        <w:tc>
          <w:tcPr>
            <w:tcW w:w="359" w:type="dxa"/>
            <w:gridSpan w:val="2"/>
          </w:tcPr>
          <w:p>
            <w:pPr>
              <w:pStyle w:val="yTableNAm"/>
              <w:spacing w:before="0"/>
              <w:rPr>
                <w:sz w:val="12"/>
              </w:rPr>
            </w:pPr>
            <w:r>
              <w:rPr>
                <w:sz w:val="12"/>
              </w:rPr>
              <w:t>15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gridSpan w:val="2"/>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r>
              <w:rPr>
                <w:sz w:val="12"/>
              </w:rPr>
              <w:t>Four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16</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64</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196</w:t>
            </w:r>
          </w:p>
        </w:tc>
        <w:tc>
          <w:tcPr>
            <w:tcW w:w="358" w:type="dxa"/>
          </w:tcPr>
          <w:p>
            <w:pPr>
              <w:pStyle w:val="yTableNAm"/>
              <w:spacing w:before="0"/>
              <w:rPr>
                <w:sz w:val="12"/>
              </w:rPr>
            </w:pPr>
            <w:r>
              <w:rPr>
                <w:sz w:val="12"/>
              </w:rPr>
              <w:t>256</w:t>
            </w:r>
          </w:p>
        </w:tc>
        <w:tc>
          <w:tcPr>
            <w:tcW w:w="359" w:type="dxa"/>
          </w:tcPr>
          <w:p>
            <w:pPr>
              <w:pStyle w:val="yTableNAm"/>
              <w:spacing w:before="0"/>
              <w:rPr>
                <w:sz w:val="12"/>
              </w:rPr>
            </w:pPr>
            <w:r>
              <w:rPr>
                <w:sz w:val="12"/>
              </w:rPr>
              <w:t>324</w:t>
            </w:r>
          </w:p>
        </w:tc>
        <w:tc>
          <w:tcPr>
            <w:tcW w:w="358" w:type="dxa"/>
          </w:tcPr>
          <w:p>
            <w:pPr>
              <w:pStyle w:val="yTableNAm"/>
              <w:spacing w:before="0"/>
              <w:rPr>
                <w:sz w:val="12"/>
              </w:rPr>
            </w:pPr>
            <w:r>
              <w:rPr>
                <w:sz w:val="12"/>
              </w:rPr>
              <w:t>400</w:t>
            </w:r>
          </w:p>
        </w:tc>
        <w:tc>
          <w:tcPr>
            <w:tcW w:w="359" w:type="dxa"/>
          </w:tcPr>
          <w:p>
            <w:pPr>
              <w:pStyle w:val="yTableNAm"/>
              <w:spacing w:before="0"/>
              <w:rPr>
                <w:sz w:val="12"/>
              </w:rPr>
            </w:pPr>
            <w:r>
              <w:rPr>
                <w:sz w:val="12"/>
              </w:rPr>
              <w:t>484</w:t>
            </w:r>
          </w:p>
        </w:tc>
        <w:tc>
          <w:tcPr>
            <w:tcW w:w="358" w:type="dxa"/>
          </w:tcPr>
          <w:p>
            <w:pPr>
              <w:pStyle w:val="yTableNAm"/>
              <w:spacing w:before="0"/>
              <w:rPr>
                <w:sz w:val="12"/>
              </w:rPr>
            </w:pPr>
            <w:r>
              <w:rPr>
                <w:sz w:val="12"/>
              </w:rPr>
              <w:t>576</w:t>
            </w:r>
          </w:p>
        </w:tc>
        <w:tc>
          <w:tcPr>
            <w:tcW w:w="359" w:type="dxa"/>
          </w:tcPr>
          <w:p>
            <w:pPr>
              <w:pStyle w:val="yTableNAm"/>
              <w:spacing w:before="0"/>
              <w:rPr>
                <w:sz w:val="12"/>
              </w:rPr>
            </w:pPr>
            <w:r>
              <w:rPr>
                <w:sz w:val="12"/>
              </w:rPr>
              <w:t>676</w:t>
            </w:r>
          </w:p>
        </w:tc>
        <w:tc>
          <w:tcPr>
            <w:tcW w:w="359" w:type="dxa"/>
            <w:gridSpan w:val="2"/>
          </w:tcPr>
          <w:p>
            <w:pPr>
              <w:pStyle w:val="yTableNAm"/>
              <w:spacing w:before="0"/>
              <w:rPr>
                <w:sz w:val="12"/>
              </w:rPr>
            </w:pPr>
            <w:r>
              <w:rPr>
                <w:sz w:val="12"/>
              </w:rPr>
              <w:t>784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22</w:t>
            </w:r>
          </w:p>
        </w:tc>
        <w:tc>
          <w:tcPr>
            <w:tcW w:w="358" w:type="dxa"/>
          </w:tcPr>
          <w:p>
            <w:pPr>
              <w:pStyle w:val="yTableNAm"/>
              <w:spacing w:before="0"/>
              <w:rPr>
                <w:sz w:val="12"/>
              </w:rPr>
            </w:pPr>
            <w:r>
              <w:rPr>
                <w:sz w:val="12"/>
              </w:rPr>
              <w:t>52</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170</w:t>
            </w:r>
          </w:p>
        </w:tc>
        <w:tc>
          <w:tcPr>
            <w:tcW w:w="359" w:type="dxa"/>
          </w:tcPr>
          <w:p>
            <w:pPr>
              <w:pStyle w:val="yTableNAm"/>
              <w:spacing w:before="0"/>
              <w:rPr>
                <w:sz w:val="12"/>
              </w:rPr>
            </w:pPr>
            <w:r>
              <w:rPr>
                <w:sz w:val="12"/>
              </w:rPr>
              <w:t>266</w:t>
            </w:r>
          </w:p>
        </w:tc>
        <w:tc>
          <w:tcPr>
            <w:tcW w:w="358" w:type="dxa"/>
          </w:tcPr>
          <w:p>
            <w:pPr>
              <w:pStyle w:val="yTableNAm"/>
              <w:spacing w:before="0"/>
              <w:rPr>
                <w:sz w:val="12"/>
              </w:rPr>
            </w:pPr>
            <w:r>
              <w:rPr>
                <w:sz w:val="12"/>
              </w:rPr>
              <w:t>392</w:t>
            </w:r>
          </w:p>
        </w:tc>
        <w:tc>
          <w:tcPr>
            <w:tcW w:w="359" w:type="dxa"/>
          </w:tcPr>
          <w:p>
            <w:pPr>
              <w:pStyle w:val="yTableNAm"/>
              <w:spacing w:before="0"/>
              <w:rPr>
                <w:sz w:val="12"/>
              </w:rPr>
            </w:pPr>
            <w:r>
              <w:rPr>
                <w:sz w:val="12"/>
              </w:rPr>
              <w:t>552</w:t>
            </w:r>
          </w:p>
        </w:tc>
        <w:tc>
          <w:tcPr>
            <w:tcW w:w="358" w:type="dxa"/>
          </w:tcPr>
          <w:p>
            <w:pPr>
              <w:pStyle w:val="yTableNAm"/>
              <w:spacing w:before="0"/>
              <w:rPr>
                <w:sz w:val="12"/>
              </w:rPr>
            </w:pPr>
            <w:r>
              <w:rPr>
                <w:sz w:val="12"/>
              </w:rPr>
              <w:t>750</w:t>
            </w:r>
          </w:p>
        </w:tc>
        <w:tc>
          <w:tcPr>
            <w:tcW w:w="359" w:type="dxa"/>
          </w:tcPr>
          <w:p>
            <w:pPr>
              <w:pStyle w:val="yTableNAm"/>
              <w:spacing w:before="0"/>
              <w:rPr>
                <w:sz w:val="12"/>
              </w:rPr>
            </w:pPr>
            <w:r>
              <w:rPr>
                <w:sz w:val="12"/>
              </w:rPr>
              <w:t>990</w:t>
            </w:r>
          </w:p>
        </w:tc>
        <w:tc>
          <w:tcPr>
            <w:tcW w:w="358" w:type="dxa"/>
          </w:tcPr>
          <w:p>
            <w:pPr>
              <w:pStyle w:val="yTableNAm"/>
              <w:spacing w:before="0"/>
              <w:rPr>
                <w:sz w:val="12"/>
              </w:rPr>
            </w:pPr>
            <w:r>
              <w:rPr>
                <w:sz w:val="12"/>
              </w:rPr>
              <w:t>1276</w:t>
            </w:r>
          </w:p>
        </w:tc>
        <w:tc>
          <w:tcPr>
            <w:tcW w:w="359" w:type="dxa"/>
          </w:tcPr>
          <w:p>
            <w:pPr>
              <w:pStyle w:val="yTableNAm"/>
              <w:spacing w:before="0"/>
              <w:rPr>
                <w:sz w:val="12"/>
              </w:rPr>
            </w:pPr>
            <w:r>
              <w:rPr>
                <w:sz w:val="12"/>
              </w:rPr>
              <w:t>1612</w:t>
            </w:r>
          </w:p>
        </w:tc>
        <w:tc>
          <w:tcPr>
            <w:tcW w:w="359" w:type="dxa"/>
            <w:gridSpan w:val="2"/>
          </w:tcPr>
          <w:p>
            <w:pPr>
              <w:pStyle w:val="yTableNAm"/>
              <w:spacing w:before="0"/>
              <w:rPr>
                <w:sz w:val="12"/>
              </w:rPr>
            </w:pPr>
            <w:r>
              <w:rPr>
                <w:sz w:val="12"/>
              </w:rPr>
              <w:t>2002</w:t>
            </w:r>
          </w:p>
        </w:tc>
      </w:tr>
      <w:tr>
        <w:tblPrEx>
          <w:tblCellMar>
            <w:right w:w="0" w:type="dxa"/>
          </w:tblCellMar>
        </w:tblPrEx>
        <w:tc>
          <w:tcPr>
            <w:tcW w:w="993" w:type="dxa"/>
          </w:tcPr>
          <w:p>
            <w:pPr>
              <w:pStyle w:val="yTableNAm"/>
              <w:spacing w:before="0"/>
              <w:rPr>
                <w:sz w:val="12"/>
              </w:rPr>
            </w:pPr>
            <w:r>
              <w:rPr>
                <w:sz w:val="12"/>
              </w:rPr>
              <w:t>Four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24</w:t>
            </w:r>
          </w:p>
        </w:tc>
        <w:tc>
          <w:tcPr>
            <w:tcW w:w="358" w:type="dxa"/>
          </w:tcPr>
          <w:p>
            <w:pPr>
              <w:pStyle w:val="yTableNAm"/>
              <w:spacing w:before="0"/>
              <w:rPr>
                <w:sz w:val="12"/>
              </w:rPr>
            </w:pPr>
            <w:r>
              <w:rPr>
                <w:sz w:val="12"/>
              </w:rPr>
              <w:t>40</w:t>
            </w:r>
          </w:p>
        </w:tc>
        <w:tc>
          <w:tcPr>
            <w:tcW w:w="359" w:type="dxa"/>
            <w:gridSpan w:val="2"/>
          </w:tcPr>
          <w:p>
            <w:pPr>
              <w:pStyle w:val="yTableNAm"/>
              <w:spacing w:before="0"/>
              <w:rPr>
                <w:sz w:val="12"/>
              </w:rPr>
            </w:pPr>
            <w:r>
              <w:rPr>
                <w:sz w:val="12"/>
              </w:rPr>
              <w:t>60</w:t>
            </w:r>
          </w:p>
        </w:tc>
        <w:tc>
          <w:tcPr>
            <w:tcW w:w="358" w:type="dxa"/>
          </w:tcPr>
          <w:p>
            <w:pPr>
              <w:pStyle w:val="yTableNAm"/>
              <w:spacing w:before="0"/>
              <w:rPr>
                <w:sz w:val="12"/>
              </w:rPr>
            </w:pPr>
            <w:r>
              <w:rPr>
                <w:sz w:val="12"/>
              </w:rPr>
              <w:t>84</w:t>
            </w:r>
          </w:p>
        </w:tc>
        <w:tc>
          <w:tcPr>
            <w:tcW w:w="359" w:type="dxa"/>
          </w:tcPr>
          <w:p>
            <w:pPr>
              <w:pStyle w:val="yTableNAm"/>
              <w:spacing w:before="0"/>
              <w:rPr>
                <w:sz w:val="12"/>
              </w:rPr>
            </w:pPr>
            <w:r>
              <w:rPr>
                <w:sz w:val="12"/>
              </w:rPr>
              <w:t>112</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180</w:t>
            </w:r>
          </w:p>
        </w:tc>
        <w:tc>
          <w:tcPr>
            <w:tcW w:w="358" w:type="dxa"/>
          </w:tcPr>
          <w:p>
            <w:pPr>
              <w:pStyle w:val="yTableNAm"/>
              <w:spacing w:before="0"/>
              <w:rPr>
                <w:sz w:val="12"/>
              </w:rPr>
            </w:pPr>
            <w:r>
              <w:rPr>
                <w:sz w:val="12"/>
              </w:rPr>
              <w:t>220</w:t>
            </w:r>
          </w:p>
        </w:tc>
        <w:tc>
          <w:tcPr>
            <w:tcW w:w="359" w:type="dxa"/>
          </w:tcPr>
          <w:p>
            <w:pPr>
              <w:pStyle w:val="yTableNAm"/>
              <w:spacing w:before="0"/>
              <w:rPr>
                <w:sz w:val="12"/>
              </w:rPr>
            </w:pPr>
            <w:r>
              <w:rPr>
                <w:sz w:val="12"/>
              </w:rPr>
              <w:t>264</w:t>
            </w:r>
          </w:p>
        </w:tc>
        <w:tc>
          <w:tcPr>
            <w:tcW w:w="358" w:type="dxa"/>
          </w:tcPr>
          <w:p>
            <w:pPr>
              <w:pStyle w:val="yTableNAm"/>
              <w:spacing w:before="0"/>
              <w:rPr>
                <w:sz w:val="12"/>
              </w:rPr>
            </w:pPr>
            <w:r>
              <w:rPr>
                <w:sz w:val="12"/>
              </w:rPr>
              <w:t>312</w:t>
            </w:r>
          </w:p>
        </w:tc>
        <w:tc>
          <w:tcPr>
            <w:tcW w:w="359" w:type="dxa"/>
          </w:tcPr>
          <w:p>
            <w:pPr>
              <w:pStyle w:val="yTableNAm"/>
              <w:spacing w:before="0"/>
              <w:rPr>
                <w:sz w:val="12"/>
              </w:rPr>
            </w:pPr>
            <w:r>
              <w:rPr>
                <w:sz w:val="12"/>
              </w:rPr>
              <w:t>364</w:t>
            </w:r>
          </w:p>
        </w:tc>
        <w:tc>
          <w:tcPr>
            <w:tcW w:w="359" w:type="dxa"/>
            <w:gridSpan w:val="2"/>
          </w:tcPr>
          <w:p>
            <w:pPr>
              <w:pStyle w:val="yTableNAm"/>
              <w:spacing w:before="0"/>
              <w:rPr>
                <w:sz w:val="12"/>
              </w:rPr>
            </w:pPr>
            <w:r>
              <w:rPr>
                <w:sz w:val="12"/>
              </w:rPr>
              <w:t>420</w:t>
            </w:r>
          </w:p>
        </w:tc>
      </w:tr>
      <w:tr>
        <w:tblPrEx>
          <w:tblCellMar>
            <w:right w:w="0" w:type="dxa"/>
          </w:tblCellMar>
        </w:tblPrEx>
        <w:tc>
          <w:tcPr>
            <w:tcW w:w="993" w:type="dxa"/>
          </w:tcPr>
          <w:p>
            <w:pPr>
              <w:pStyle w:val="yTableNAm"/>
              <w:spacing w:before="0"/>
              <w:rPr>
                <w:sz w:val="12"/>
              </w:rPr>
            </w:pPr>
            <w:r>
              <w:rPr>
                <w:sz w:val="12"/>
              </w:rPr>
              <w:t>Four</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t>741</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r>
              <w:rPr>
                <w:sz w:val="12"/>
              </w:rPr>
              <w:t>Three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16</w:t>
            </w:r>
          </w:p>
        </w:tc>
        <w:tc>
          <w:tcPr>
            <w:tcW w:w="358" w:type="dxa"/>
          </w:tcPr>
          <w:p>
            <w:pPr>
              <w:pStyle w:val="yTableNAm"/>
              <w:spacing w:before="0"/>
              <w:rPr>
                <w:sz w:val="12"/>
              </w:rPr>
            </w:pPr>
            <w:r>
              <w:rPr>
                <w:sz w:val="12"/>
              </w:rPr>
              <w:t>25</w:t>
            </w:r>
          </w:p>
        </w:tc>
        <w:tc>
          <w:tcPr>
            <w:tcW w:w="359" w:type="dxa"/>
            <w:gridSpan w:val="2"/>
          </w:tcPr>
          <w:p>
            <w:pPr>
              <w:pStyle w:val="yTableNAm"/>
              <w:spacing w:before="0"/>
              <w:rPr>
                <w:sz w:val="12"/>
              </w:rPr>
            </w:pPr>
            <w:r>
              <w:rPr>
                <w:sz w:val="12"/>
              </w:rPr>
              <w:t>36</w:t>
            </w:r>
          </w:p>
        </w:tc>
        <w:tc>
          <w:tcPr>
            <w:tcW w:w="358" w:type="dxa"/>
          </w:tcPr>
          <w:p>
            <w:pPr>
              <w:pStyle w:val="yTableNAm"/>
              <w:spacing w:before="0"/>
              <w:rPr>
                <w:sz w:val="12"/>
              </w:rPr>
            </w:pPr>
            <w:r>
              <w:rPr>
                <w:sz w:val="12"/>
              </w:rPr>
              <w:t>49</w:t>
            </w:r>
          </w:p>
        </w:tc>
        <w:tc>
          <w:tcPr>
            <w:tcW w:w="359" w:type="dxa"/>
          </w:tcPr>
          <w:p>
            <w:pPr>
              <w:pStyle w:val="yTableNAm"/>
              <w:spacing w:before="0"/>
              <w:rPr>
                <w:sz w:val="12"/>
              </w:rPr>
            </w:pPr>
            <w:r>
              <w:rPr>
                <w:sz w:val="12"/>
              </w:rPr>
              <w:t>64</w:t>
            </w:r>
          </w:p>
        </w:tc>
        <w:tc>
          <w:tcPr>
            <w:tcW w:w="358" w:type="dxa"/>
          </w:tcPr>
          <w:p>
            <w:pPr>
              <w:pStyle w:val="yTableNAm"/>
              <w:spacing w:before="0"/>
              <w:rPr>
                <w:sz w:val="12"/>
              </w:rPr>
            </w:pPr>
            <w:r>
              <w:rPr>
                <w:sz w:val="12"/>
              </w:rPr>
              <w:t>81</w:t>
            </w:r>
          </w:p>
        </w:tc>
        <w:tc>
          <w:tcPr>
            <w:tcW w:w="359" w:type="dxa"/>
          </w:tcPr>
          <w:p>
            <w:pPr>
              <w:pStyle w:val="yTableNAm"/>
              <w:spacing w:before="0"/>
              <w:rPr>
                <w:sz w:val="12"/>
              </w:rPr>
            </w:pPr>
            <w:r>
              <w:rPr>
                <w:sz w:val="12"/>
              </w:rPr>
              <w:t>100</w:t>
            </w:r>
          </w:p>
        </w:tc>
        <w:tc>
          <w:tcPr>
            <w:tcW w:w="358" w:type="dxa"/>
          </w:tcPr>
          <w:p>
            <w:pPr>
              <w:pStyle w:val="yTableNAm"/>
              <w:spacing w:before="0"/>
              <w:rPr>
                <w:sz w:val="12"/>
              </w:rPr>
            </w:pPr>
            <w:r>
              <w:rPr>
                <w:sz w:val="12"/>
              </w:rPr>
              <w:t>121</w:t>
            </w:r>
          </w:p>
        </w:tc>
        <w:tc>
          <w:tcPr>
            <w:tcW w:w="359" w:type="dxa"/>
          </w:tcPr>
          <w:p>
            <w:pPr>
              <w:pStyle w:val="yTableNAm"/>
              <w:spacing w:before="0"/>
              <w:rPr>
                <w:sz w:val="12"/>
              </w:rPr>
            </w:pPr>
            <w:r>
              <w:rPr>
                <w:sz w:val="12"/>
              </w:rPr>
              <w:t>144</w:t>
            </w:r>
          </w:p>
        </w:tc>
        <w:tc>
          <w:tcPr>
            <w:tcW w:w="358" w:type="dxa"/>
          </w:tcPr>
          <w:p>
            <w:pPr>
              <w:pStyle w:val="yTableNAm"/>
              <w:spacing w:before="0"/>
              <w:rPr>
                <w:sz w:val="12"/>
              </w:rPr>
            </w:pPr>
            <w:r>
              <w:rPr>
                <w:sz w:val="12"/>
              </w:rPr>
              <w:t>169</w:t>
            </w:r>
          </w:p>
        </w:tc>
        <w:tc>
          <w:tcPr>
            <w:tcW w:w="359" w:type="dxa"/>
          </w:tcPr>
          <w:p>
            <w:pPr>
              <w:pStyle w:val="yTableNAm"/>
              <w:spacing w:before="0"/>
              <w:rPr>
                <w:sz w:val="12"/>
              </w:rPr>
            </w:pPr>
            <w:r>
              <w:rPr>
                <w:sz w:val="12"/>
              </w:rPr>
              <w:t>196</w:t>
            </w:r>
          </w:p>
        </w:tc>
        <w:tc>
          <w:tcPr>
            <w:tcW w:w="359" w:type="dxa"/>
            <w:gridSpan w:val="2"/>
          </w:tcPr>
          <w:p>
            <w:pPr>
              <w:pStyle w:val="yTableNAm"/>
              <w:spacing w:before="0"/>
              <w:rPr>
                <w:sz w:val="12"/>
              </w:rPr>
            </w:pPr>
            <w:r>
              <w:rPr>
                <w:sz w:val="12"/>
              </w:rPr>
              <w:t>225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105</w:t>
            </w:r>
          </w:p>
        </w:tc>
        <w:tc>
          <w:tcPr>
            <w:tcW w:w="358" w:type="dxa"/>
          </w:tcPr>
          <w:p>
            <w:pPr>
              <w:pStyle w:val="yTableNAm"/>
              <w:spacing w:before="0"/>
              <w:rPr>
                <w:sz w:val="12"/>
              </w:rPr>
            </w:pPr>
            <w:r>
              <w:rPr>
                <w:sz w:val="12"/>
              </w:rPr>
              <w:t>168</w:t>
            </w:r>
          </w:p>
        </w:tc>
        <w:tc>
          <w:tcPr>
            <w:tcW w:w="359" w:type="dxa"/>
          </w:tcPr>
          <w:p>
            <w:pPr>
              <w:pStyle w:val="yTableNAm"/>
              <w:spacing w:before="0"/>
              <w:rPr>
                <w:sz w:val="12"/>
              </w:rPr>
            </w:pPr>
            <w:r>
              <w:rPr>
                <w:sz w:val="12"/>
              </w:rPr>
              <w:t>252</w:t>
            </w:r>
          </w:p>
        </w:tc>
        <w:tc>
          <w:tcPr>
            <w:tcW w:w="358" w:type="dxa"/>
          </w:tcPr>
          <w:p>
            <w:pPr>
              <w:pStyle w:val="yTableNAm"/>
              <w:spacing w:before="0"/>
              <w:rPr>
                <w:sz w:val="12"/>
              </w:rPr>
            </w:pPr>
            <w:r>
              <w:rPr>
                <w:sz w:val="12"/>
              </w:rPr>
              <w:t>360</w:t>
            </w:r>
          </w:p>
        </w:tc>
        <w:tc>
          <w:tcPr>
            <w:tcW w:w="359" w:type="dxa"/>
          </w:tcPr>
          <w:p>
            <w:pPr>
              <w:pStyle w:val="yTableNAm"/>
              <w:spacing w:before="0"/>
              <w:rPr>
                <w:sz w:val="12"/>
              </w:rPr>
            </w:pPr>
            <w:r>
              <w:rPr>
                <w:sz w:val="12"/>
              </w:rPr>
              <w:t>495</w:t>
            </w:r>
          </w:p>
        </w:tc>
        <w:tc>
          <w:tcPr>
            <w:tcW w:w="358" w:type="dxa"/>
          </w:tcPr>
          <w:p>
            <w:pPr>
              <w:pStyle w:val="yTableNAm"/>
              <w:spacing w:before="0"/>
              <w:rPr>
                <w:sz w:val="12"/>
              </w:rPr>
            </w:pPr>
            <w:r>
              <w:rPr>
                <w:sz w:val="12"/>
              </w:rPr>
              <w:t>660</w:t>
            </w:r>
          </w:p>
        </w:tc>
        <w:tc>
          <w:tcPr>
            <w:tcW w:w="359" w:type="dxa"/>
          </w:tcPr>
          <w:p>
            <w:pPr>
              <w:pStyle w:val="yTableNAm"/>
              <w:spacing w:before="0"/>
              <w:rPr>
                <w:sz w:val="12"/>
              </w:rPr>
            </w:pPr>
            <w:r>
              <w:rPr>
                <w:sz w:val="12"/>
              </w:rPr>
              <w:t>858</w:t>
            </w:r>
          </w:p>
        </w:tc>
        <w:tc>
          <w:tcPr>
            <w:tcW w:w="358" w:type="dxa"/>
          </w:tcPr>
          <w:p>
            <w:pPr>
              <w:pStyle w:val="yTableNAm"/>
              <w:spacing w:before="0"/>
              <w:rPr>
                <w:sz w:val="12"/>
              </w:rPr>
            </w:pPr>
            <w:r>
              <w:rPr>
                <w:sz w:val="12"/>
              </w:rPr>
              <w:t>1092</w:t>
            </w:r>
          </w:p>
        </w:tc>
        <w:tc>
          <w:tcPr>
            <w:tcW w:w="359" w:type="dxa"/>
          </w:tcPr>
          <w:p>
            <w:pPr>
              <w:pStyle w:val="yTableNAm"/>
              <w:spacing w:before="0"/>
              <w:rPr>
                <w:sz w:val="12"/>
              </w:rPr>
            </w:pPr>
            <w:r>
              <w:rPr>
                <w:sz w:val="12"/>
              </w:rPr>
              <w:t>1365</w:t>
            </w:r>
          </w:p>
        </w:tc>
        <w:tc>
          <w:tcPr>
            <w:tcW w:w="359" w:type="dxa"/>
            <w:gridSpan w:val="2"/>
          </w:tcPr>
          <w:p>
            <w:pPr>
              <w:pStyle w:val="yTableNAm"/>
              <w:spacing w:before="0"/>
              <w:rPr>
                <w:sz w:val="12"/>
              </w:rPr>
            </w:pPr>
            <w:r>
              <w:rPr>
                <w:sz w:val="12"/>
              </w:rPr>
              <w:t>1680</w:t>
            </w:r>
          </w:p>
        </w:tc>
      </w:tr>
      <w:tr>
        <w:tblPrEx>
          <w:tblCellMar>
            <w:right w:w="0" w:type="dxa"/>
          </w:tblCellMar>
        </w:tblPrEx>
        <w:tc>
          <w:tcPr>
            <w:tcW w:w="993" w:type="dxa"/>
          </w:tcPr>
          <w:p>
            <w:pPr>
              <w:pStyle w:val="yTableNAm"/>
              <w:keepNext/>
              <w:spacing w:before="0"/>
              <w:rPr>
                <w:sz w:val="12"/>
              </w:rPr>
            </w:pPr>
            <w:r>
              <w:rPr>
                <w:sz w:val="12"/>
              </w:rPr>
              <w:t>Three and one supplementary</w:t>
            </w: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gridSpan w:val="2"/>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9" w:type="dxa"/>
            <w:gridSpan w:val="2"/>
          </w:tcPr>
          <w:p>
            <w:pPr>
              <w:pStyle w:val="yTableNAm"/>
              <w:keepNext/>
              <w:spacing w:before="0"/>
              <w:rPr>
                <w:sz w:val="12"/>
              </w:rPr>
            </w:pPr>
          </w:p>
        </w:tc>
      </w:tr>
      <w:tr>
        <w:tblPrEx>
          <w:tblCellMar>
            <w:right w:w="0" w:type="dxa"/>
          </w:tblCellMar>
        </w:tblPrEx>
        <w:tc>
          <w:tcPr>
            <w:tcW w:w="993" w:type="dxa"/>
          </w:tcPr>
          <w:p>
            <w:pPr>
              <w:pStyle w:val="yTableNAm"/>
              <w:keepNext/>
              <w:spacing w:before="0"/>
              <w:rPr>
                <w:sz w:val="12"/>
              </w:rPr>
            </w:pPr>
          </w:p>
        </w:tc>
        <w:tc>
          <w:tcPr>
            <w:tcW w:w="358" w:type="dxa"/>
          </w:tcPr>
          <w:p>
            <w:pPr>
              <w:pStyle w:val="yTableNAm"/>
              <w:keepNext/>
              <w:spacing w:before="0"/>
              <w:rPr>
                <w:sz w:val="12"/>
              </w:rPr>
            </w:pPr>
            <w:r>
              <w:rPr>
                <w:sz w:val="12"/>
              </w:rPr>
              <w:t>2</w:t>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t>3</w:t>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r>
      <w:tr>
        <w:tblPrEx>
          <w:tblCellMar>
            <w:right w:w="0" w:type="dxa"/>
          </w:tblCellMar>
        </w:tblPrEx>
        <w:tc>
          <w:tcPr>
            <w:tcW w:w="993" w:type="dxa"/>
          </w:tcPr>
          <w:p>
            <w:pPr>
              <w:pStyle w:val="yTableNAm"/>
              <w:keepNext/>
              <w:spacing w:before="0"/>
              <w:rPr>
                <w:sz w:val="12"/>
              </w:rPr>
            </w:pPr>
          </w:p>
        </w:tc>
        <w:tc>
          <w:tcPr>
            <w:tcW w:w="358" w:type="dxa"/>
          </w:tcPr>
          <w:p>
            <w:pPr>
              <w:pStyle w:val="yTableNAm"/>
              <w:keepNext/>
              <w:spacing w:before="0"/>
              <w:rPr>
                <w:sz w:val="12"/>
              </w:rPr>
            </w:pPr>
            <w:r>
              <w:rPr>
                <w:sz w:val="12"/>
              </w:rPr>
              <w:t>4</w:t>
            </w:r>
          </w:p>
        </w:tc>
        <w:tc>
          <w:tcPr>
            <w:tcW w:w="359" w:type="dxa"/>
          </w:tcPr>
          <w:p>
            <w:pPr>
              <w:pStyle w:val="yTableNAm"/>
              <w:keepNext/>
              <w:spacing w:before="0"/>
              <w:rPr>
                <w:sz w:val="12"/>
              </w:rPr>
            </w:pPr>
            <w:r>
              <w:rPr>
                <w:sz w:val="12"/>
              </w:rPr>
              <w:t>3</w:t>
            </w:r>
          </w:p>
        </w:tc>
        <w:tc>
          <w:tcPr>
            <w:tcW w:w="358" w:type="dxa"/>
          </w:tcPr>
          <w:p>
            <w:pPr>
              <w:pStyle w:val="yTableNAm"/>
              <w:keepNext/>
              <w:spacing w:before="0"/>
              <w:rPr>
                <w:sz w:val="12"/>
              </w:rPr>
            </w:pPr>
            <w:r>
              <w:rPr>
                <w:sz w:val="12"/>
              </w:rPr>
              <w:t>114</w:t>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t>703</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r>
              <w:rPr>
                <w:sz w:val="12"/>
              </w:rPr>
              <w:t>Three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666</w:t>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14</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55</w:t>
            </w:r>
          </w:p>
        </w:tc>
        <w:tc>
          <w:tcPr>
            <w:tcW w:w="359" w:type="dxa"/>
            <w:gridSpan w:val="2"/>
          </w:tcPr>
          <w:p>
            <w:pPr>
              <w:pStyle w:val="yTableNAm"/>
              <w:spacing w:before="0"/>
              <w:rPr>
                <w:sz w:val="12"/>
              </w:rPr>
            </w:pPr>
            <w:r>
              <w:rPr>
                <w:sz w:val="12"/>
              </w:rPr>
              <w:t>91</w:t>
            </w:r>
          </w:p>
        </w:tc>
        <w:tc>
          <w:tcPr>
            <w:tcW w:w="358" w:type="dxa"/>
          </w:tcPr>
          <w:p>
            <w:pPr>
              <w:pStyle w:val="yTableNAm"/>
              <w:spacing w:before="0"/>
              <w:rPr>
                <w:sz w:val="12"/>
              </w:rPr>
            </w:pPr>
            <w:r>
              <w:rPr>
                <w:sz w:val="12"/>
              </w:rPr>
              <w:t>140</w:t>
            </w:r>
          </w:p>
        </w:tc>
        <w:tc>
          <w:tcPr>
            <w:tcW w:w="359" w:type="dxa"/>
          </w:tcPr>
          <w:p>
            <w:pPr>
              <w:pStyle w:val="yTableNAm"/>
              <w:spacing w:before="0"/>
              <w:rPr>
                <w:sz w:val="12"/>
              </w:rPr>
            </w:pPr>
            <w:r>
              <w:rPr>
                <w:sz w:val="12"/>
              </w:rPr>
              <w:t>204</w:t>
            </w:r>
          </w:p>
        </w:tc>
        <w:tc>
          <w:tcPr>
            <w:tcW w:w="358" w:type="dxa"/>
          </w:tcPr>
          <w:p>
            <w:pPr>
              <w:pStyle w:val="yTableNAm"/>
              <w:spacing w:before="0"/>
              <w:rPr>
                <w:sz w:val="12"/>
              </w:rPr>
            </w:pPr>
            <w:r>
              <w:rPr>
                <w:sz w:val="12"/>
              </w:rPr>
              <w:t>285</w:t>
            </w:r>
          </w:p>
        </w:tc>
        <w:tc>
          <w:tcPr>
            <w:tcW w:w="359" w:type="dxa"/>
          </w:tcPr>
          <w:p>
            <w:pPr>
              <w:pStyle w:val="yTableNAm"/>
              <w:spacing w:before="0"/>
              <w:rPr>
                <w:sz w:val="12"/>
              </w:rPr>
            </w:pPr>
            <w:r>
              <w:rPr>
                <w:sz w:val="12"/>
              </w:rPr>
              <w:t>385</w:t>
            </w:r>
          </w:p>
        </w:tc>
        <w:tc>
          <w:tcPr>
            <w:tcW w:w="358" w:type="dxa"/>
          </w:tcPr>
          <w:p>
            <w:pPr>
              <w:pStyle w:val="yTableNAm"/>
              <w:spacing w:before="0"/>
              <w:rPr>
                <w:sz w:val="12"/>
              </w:rPr>
            </w:pPr>
            <w:r>
              <w:rPr>
                <w:sz w:val="12"/>
              </w:rPr>
              <w:t>506</w:t>
            </w:r>
          </w:p>
        </w:tc>
        <w:tc>
          <w:tcPr>
            <w:tcW w:w="359" w:type="dxa"/>
          </w:tcPr>
          <w:p>
            <w:pPr>
              <w:pStyle w:val="yTableNAm"/>
              <w:spacing w:before="0"/>
              <w:rPr>
                <w:sz w:val="12"/>
              </w:rPr>
            </w:pPr>
            <w:r>
              <w:rPr>
                <w:sz w:val="12"/>
              </w:rPr>
              <w:t>650</w:t>
            </w:r>
          </w:p>
        </w:tc>
        <w:tc>
          <w:tcPr>
            <w:tcW w:w="358" w:type="dxa"/>
          </w:tcPr>
          <w:p>
            <w:pPr>
              <w:pStyle w:val="yTableNAm"/>
              <w:spacing w:before="0"/>
              <w:rPr>
                <w:sz w:val="12"/>
              </w:rPr>
            </w:pPr>
            <w:r>
              <w:rPr>
                <w:sz w:val="12"/>
              </w:rPr>
              <w:t>819</w:t>
            </w:r>
          </w:p>
        </w:tc>
        <w:tc>
          <w:tcPr>
            <w:tcW w:w="359" w:type="dxa"/>
          </w:tcPr>
          <w:p>
            <w:pPr>
              <w:pStyle w:val="yTableNAm"/>
              <w:spacing w:before="0"/>
              <w:rPr>
                <w:sz w:val="12"/>
              </w:rPr>
            </w:pPr>
            <w:r>
              <w:rPr>
                <w:sz w:val="12"/>
              </w:rPr>
              <w:t>1015</w:t>
            </w:r>
          </w:p>
        </w:tc>
        <w:tc>
          <w:tcPr>
            <w:tcW w:w="359" w:type="dxa"/>
            <w:gridSpan w:val="2"/>
          </w:tcPr>
          <w:p>
            <w:pPr>
              <w:pStyle w:val="yTableNAm"/>
              <w:spacing w:before="0"/>
              <w:rPr>
                <w:sz w:val="12"/>
              </w:rPr>
            </w:pPr>
            <w:r>
              <w:rPr>
                <w:sz w:val="12"/>
              </w:rPr>
              <w:t>1240</w:t>
            </w:r>
          </w:p>
        </w:tc>
      </w:tr>
      <w:tr>
        <w:tblPrEx>
          <w:tblCellMar>
            <w:right w:w="0" w:type="dxa"/>
          </w:tblCellMar>
        </w:tblPrEx>
        <w:tc>
          <w:tcPr>
            <w:tcW w:w="993" w:type="dxa"/>
          </w:tcPr>
          <w:p>
            <w:pPr>
              <w:pStyle w:val="yTableNAm"/>
              <w:spacing w:before="0"/>
              <w:rPr>
                <w:sz w:val="12"/>
              </w:rPr>
            </w:pPr>
            <w:r>
              <w:rPr>
                <w:sz w:val="12"/>
              </w:rPr>
              <w:t>Two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40</w:t>
            </w:r>
          </w:p>
        </w:tc>
        <w:tc>
          <w:tcPr>
            <w:tcW w:w="358" w:type="dxa"/>
          </w:tcPr>
          <w:p>
            <w:pPr>
              <w:pStyle w:val="yTableNAm"/>
              <w:spacing w:before="0"/>
              <w:rPr>
                <w:sz w:val="12"/>
              </w:rPr>
            </w:pPr>
            <w:r>
              <w:rPr>
                <w:sz w:val="12"/>
              </w:rPr>
              <w:t>810</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35</w:t>
            </w:r>
          </w:p>
        </w:tc>
        <w:tc>
          <w:tcPr>
            <w:tcW w:w="359" w:type="dxa"/>
            <w:gridSpan w:val="2"/>
          </w:tcPr>
          <w:p>
            <w:pPr>
              <w:pStyle w:val="yTableNAm"/>
              <w:spacing w:before="0"/>
              <w:rPr>
                <w:sz w:val="12"/>
              </w:rPr>
            </w:pPr>
            <w:r>
              <w:rPr>
                <w:sz w:val="12"/>
              </w:rPr>
              <w:t>56</w:t>
            </w:r>
          </w:p>
        </w:tc>
        <w:tc>
          <w:tcPr>
            <w:tcW w:w="358" w:type="dxa"/>
          </w:tcPr>
          <w:p>
            <w:pPr>
              <w:pStyle w:val="yTableNAm"/>
              <w:spacing w:before="0"/>
              <w:rPr>
                <w:sz w:val="12"/>
              </w:rPr>
            </w:pPr>
            <w:r>
              <w:rPr>
                <w:sz w:val="12"/>
              </w:rPr>
              <w:t>84</w:t>
            </w:r>
          </w:p>
        </w:tc>
        <w:tc>
          <w:tcPr>
            <w:tcW w:w="359" w:type="dxa"/>
          </w:tcPr>
          <w:p>
            <w:pPr>
              <w:pStyle w:val="yTableNAm"/>
              <w:spacing w:before="0"/>
              <w:rPr>
                <w:sz w:val="12"/>
              </w:rPr>
            </w:pPr>
            <w:r>
              <w:rPr>
                <w:sz w:val="12"/>
              </w:rPr>
              <w:t>120</w:t>
            </w:r>
          </w:p>
        </w:tc>
        <w:tc>
          <w:tcPr>
            <w:tcW w:w="358" w:type="dxa"/>
          </w:tcPr>
          <w:p>
            <w:pPr>
              <w:pStyle w:val="yTableNAm"/>
              <w:spacing w:before="0"/>
              <w:rPr>
                <w:sz w:val="12"/>
              </w:rPr>
            </w:pPr>
            <w:r>
              <w:rPr>
                <w:sz w:val="12"/>
              </w:rPr>
              <w:t>165</w:t>
            </w:r>
          </w:p>
        </w:tc>
        <w:tc>
          <w:tcPr>
            <w:tcW w:w="359" w:type="dxa"/>
          </w:tcPr>
          <w:p>
            <w:pPr>
              <w:pStyle w:val="yTableNAm"/>
              <w:spacing w:before="0"/>
              <w:rPr>
                <w:sz w:val="12"/>
              </w:rPr>
            </w:pPr>
            <w:r>
              <w:rPr>
                <w:sz w:val="12"/>
              </w:rPr>
              <w:t>220</w:t>
            </w:r>
          </w:p>
        </w:tc>
        <w:tc>
          <w:tcPr>
            <w:tcW w:w="358" w:type="dxa"/>
          </w:tcPr>
          <w:p>
            <w:pPr>
              <w:pStyle w:val="yTableNAm"/>
              <w:spacing w:before="0"/>
              <w:rPr>
                <w:sz w:val="12"/>
              </w:rPr>
            </w:pPr>
            <w:r>
              <w:rPr>
                <w:sz w:val="12"/>
              </w:rPr>
              <w:t>286</w:t>
            </w:r>
          </w:p>
        </w:tc>
        <w:tc>
          <w:tcPr>
            <w:tcW w:w="359" w:type="dxa"/>
          </w:tcPr>
          <w:p>
            <w:pPr>
              <w:pStyle w:val="yTableNAm"/>
              <w:spacing w:before="0"/>
              <w:rPr>
                <w:sz w:val="12"/>
              </w:rPr>
            </w:pPr>
            <w:r>
              <w:rPr>
                <w:sz w:val="12"/>
              </w:rPr>
              <w:t>364</w:t>
            </w:r>
          </w:p>
        </w:tc>
        <w:tc>
          <w:tcPr>
            <w:tcW w:w="358" w:type="dxa"/>
          </w:tcPr>
          <w:p>
            <w:pPr>
              <w:pStyle w:val="yTableNAm"/>
              <w:spacing w:before="0"/>
              <w:rPr>
                <w:sz w:val="12"/>
              </w:rPr>
            </w:pPr>
            <w:r>
              <w:rPr>
                <w:sz w:val="12"/>
              </w:rPr>
              <w:t>455</w:t>
            </w:r>
          </w:p>
        </w:tc>
        <w:tc>
          <w:tcPr>
            <w:tcW w:w="359" w:type="dxa"/>
          </w:tcPr>
          <w:p>
            <w:pPr>
              <w:pStyle w:val="yTableNAm"/>
              <w:spacing w:before="0"/>
              <w:rPr>
                <w:sz w:val="12"/>
              </w:rPr>
            </w:pPr>
            <w:r>
              <w:rPr>
                <w:sz w:val="12"/>
              </w:rPr>
              <w:t>560</w:t>
            </w:r>
          </w:p>
        </w:tc>
        <w:tc>
          <w:tcPr>
            <w:tcW w:w="359" w:type="dxa"/>
            <w:gridSpan w:val="2"/>
          </w:tcPr>
          <w:p>
            <w:pPr>
              <w:pStyle w:val="yTableNAm"/>
              <w:spacing w:before="0"/>
              <w:rPr>
                <w:sz w:val="12"/>
              </w:rPr>
            </w:pPr>
            <w:r>
              <w:rPr>
                <w:sz w:val="12"/>
              </w:rPr>
              <w:t>680</w:t>
            </w:r>
          </w:p>
        </w:tc>
      </w:tr>
      <w:tr>
        <w:tblPrEx>
          <w:tblCellMar>
            <w:right w:w="0" w:type="dxa"/>
          </w:tblCellMar>
        </w:tblPrEx>
        <w:tc>
          <w:tcPr>
            <w:tcW w:w="993" w:type="dxa"/>
          </w:tcPr>
          <w:p>
            <w:pPr>
              <w:pStyle w:val="yTableNAm"/>
              <w:spacing w:before="0"/>
              <w:rPr>
                <w:sz w:val="12"/>
              </w:rPr>
            </w:pPr>
            <w:r>
              <w:rPr>
                <w:sz w:val="12"/>
              </w:rPr>
              <w:t>One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40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bl>
    <w:p>
      <w:pPr>
        <w:pStyle w:val="yFootnotesection"/>
      </w:pPr>
      <w:r>
        <w:tab/>
        <w:t>[Part 2 inserted in Gazette 21 Dec 2010 p. 6765</w:t>
      </w:r>
      <w:r>
        <w:noBreakHyphen/>
        <w:t>6.]</w:t>
      </w:r>
    </w:p>
    <w:p>
      <w:pPr>
        <w:pStyle w:val="yScheduleHeading"/>
      </w:pPr>
      <w:bookmarkStart w:id="218" w:name="_Toc391299449"/>
      <w:bookmarkStart w:id="219" w:name="_Toc391299549"/>
      <w:bookmarkStart w:id="220" w:name="_Toc406506951"/>
      <w:bookmarkStart w:id="221" w:name="_Toc421106004"/>
      <w:bookmarkStart w:id="222" w:name="_Toc421106068"/>
      <w:bookmarkStart w:id="223" w:name="_Toc463612472"/>
      <w:r>
        <w:rPr>
          <w:rStyle w:val="CharSchNo"/>
        </w:rPr>
        <w:t>Schedule 3</w:t>
      </w:r>
      <w:r>
        <w:t> — </w:t>
      </w:r>
      <w:r>
        <w:rPr>
          <w:rStyle w:val="CharSchText"/>
        </w:rPr>
        <w:t>Summary of parameters within which Saturday lotto is conducted</w:t>
      </w:r>
      <w:bookmarkEnd w:id="218"/>
      <w:bookmarkEnd w:id="219"/>
      <w:bookmarkEnd w:id="220"/>
      <w:bookmarkEnd w:id="221"/>
      <w:bookmarkEnd w:id="222"/>
      <w:bookmarkEnd w:id="223"/>
    </w:p>
    <w:p>
      <w:pPr>
        <w:pStyle w:val="yFootnoteheading"/>
      </w:pPr>
      <w:r>
        <w:tab/>
        <w:t>[Heading inserted in Gazette 6 Jun 2008 p. 2273.]</w:t>
      </w:r>
    </w:p>
    <w:p>
      <w:pPr>
        <w:pStyle w:val="yHeading3"/>
        <w:spacing w:after="120"/>
      </w:pPr>
      <w:bookmarkStart w:id="224" w:name="_Toc391299450"/>
      <w:bookmarkStart w:id="225" w:name="_Toc391299550"/>
      <w:bookmarkStart w:id="226" w:name="_Toc406506952"/>
      <w:bookmarkStart w:id="227" w:name="_Toc421106005"/>
      <w:bookmarkStart w:id="228" w:name="_Toc421106069"/>
      <w:bookmarkStart w:id="229" w:name="_Toc463612473"/>
      <w:r>
        <w:rPr>
          <w:rStyle w:val="CharSDivNo"/>
        </w:rPr>
        <w:t>Part 1 </w:t>
      </w:r>
      <w:r>
        <w:t>—</w:t>
      </w:r>
      <w:r>
        <w:rPr>
          <w:rStyle w:val="CharSDivNo"/>
        </w:rPr>
        <w:t> </w:t>
      </w:r>
      <w:r>
        <w:rPr>
          <w:rStyle w:val="CharSDivText"/>
        </w:rPr>
        <w:t>Up to and including draw 3441 on 12 July 2014</w:t>
      </w:r>
      <w:bookmarkEnd w:id="224"/>
      <w:bookmarkEnd w:id="225"/>
      <w:bookmarkEnd w:id="226"/>
      <w:bookmarkEnd w:id="227"/>
      <w:bookmarkEnd w:id="228"/>
      <w:bookmarkEnd w:id="229"/>
    </w:p>
    <w:p>
      <w:pPr>
        <w:pStyle w:val="yFootnoteheading"/>
        <w:spacing w:after="120"/>
        <w:rPr>
          <w:rStyle w:val="CharSDivNo"/>
        </w:rPr>
      </w:pPr>
      <w:r>
        <w:tab/>
        <w:t>[Heading inserted in Gazette 6 May 2014 p. 1389.]</w:t>
      </w:r>
    </w:p>
    <w:tbl>
      <w:tblPr>
        <w:tblW w:w="0" w:type="auto"/>
        <w:tblInd w:w="283" w:type="dxa"/>
        <w:tblLayout w:type="fixed"/>
        <w:tblCellMar>
          <w:left w:w="141" w:type="dxa"/>
          <w:right w:w="141" w:type="dxa"/>
        </w:tblCellMar>
        <w:tblLook w:val="0000" w:firstRow="0" w:lastRow="0" w:firstColumn="0" w:lastColumn="0" w:noHBand="0" w:noVBand="0"/>
      </w:tblPr>
      <w:tblGrid>
        <w:gridCol w:w="4820"/>
        <w:gridCol w:w="1984"/>
      </w:tblGrid>
      <w:tr>
        <w:tc>
          <w:tcPr>
            <w:tcW w:w="4820" w:type="dxa"/>
          </w:tcPr>
          <w:p>
            <w:pPr>
              <w:pStyle w:val="yTableNAm"/>
            </w:pPr>
            <w:r>
              <w:t>Unit cost for a Saturday lotto draw</w:t>
            </w:r>
          </w:p>
        </w:tc>
        <w:tc>
          <w:tcPr>
            <w:tcW w:w="1984" w:type="dxa"/>
          </w:tcPr>
          <w:p>
            <w:pPr>
              <w:pStyle w:val="yTableNAm"/>
            </w:pPr>
            <w:r>
              <w:t>$0.60 (+ a 9% agent’s component)</w:t>
            </w:r>
          </w:p>
        </w:tc>
      </w:tr>
      <w:tr>
        <w:tc>
          <w:tcPr>
            <w:tcW w:w="4820" w:type="dxa"/>
          </w:tcPr>
          <w:p>
            <w:pPr>
              <w:pStyle w:val="yTableNAm"/>
              <w:spacing w:before="60"/>
            </w:pPr>
            <w:r>
              <w:t>Prize fund — % of subscriptions</w:t>
            </w:r>
          </w:p>
        </w:tc>
        <w:tc>
          <w:tcPr>
            <w:tcW w:w="1984" w:type="dxa"/>
          </w:tcPr>
          <w:p>
            <w:pPr>
              <w:pStyle w:val="yTableNAm"/>
              <w:spacing w:before="60"/>
            </w:pPr>
            <w:r>
              <w:t>60.0%</w:t>
            </w:r>
          </w:p>
        </w:tc>
      </w:tr>
      <w:tr>
        <w:tc>
          <w:tcPr>
            <w:tcW w:w="4820" w:type="dxa"/>
          </w:tcPr>
          <w:p>
            <w:pPr>
              <w:pStyle w:val="yTableNAm"/>
              <w:spacing w:before="60"/>
            </w:pPr>
            <w:r>
              <w:t>Prize pool — % of subscriptions</w:t>
            </w:r>
          </w:p>
        </w:tc>
        <w:tc>
          <w:tcPr>
            <w:tcW w:w="1984" w:type="dxa"/>
          </w:tcPr>
          <w:p>
            <w:pPr>
              <w:pStyle w:val="yTableNAm"/>
              <w:spacing w:before="60"/>
            </w:pPr>
            <w:r>
              <w:t>no less than 55%</w:t>
            </w:r>
          </w:p>
        </w:tc>
      </w:tr>
      <w:tr>
        <w:tc>
          <w:tcPr>
            <w:tcW w:w="4820" w:type="dxa"/>
          </w:tcPr>
          <w:p>
            <w:pPr>
              <w:pStyle w:val="yTableNAm"/>
              <w:spacing w:before="60"/>
            </w:pPr>
            <w:r>
              <w:t>Prize reserve fund — % of subscriptions</w:t>
            </w:r>
          </w:p>
        </w:tc>
        <w:tc>
          <w:tcPr>
            <w:tcW w:w="1984" w:type="dxa"/>
          </w:tcPr>
          <w:p>
            <w:pPr>
              <w:pStyle w:val="yTableNAm"/>
              <w:spacing w:before="60"/>
            </w:pPr>
            <w:r>
              <w:t>balance of prize fund after prize pool</w:t>
            </w:r>
            <w:r>
              <w:br/>
              <w:t>(up to 5.0%)</w:t>
            </w:r>
          </w:p>
        </w:tc>
      </w:tr>
      <w:tr>
        <w:tc>
          <w:tcPr>
            <w:tcW w:w="4820" w:type="dxa"/>
          </w:tcPr>
          <w:p>
            <w:pPr>
              <w:pStyle w:val="yTableNAm"/>
              <w:spacing w:before="60"/>
            </w:pPr>
            <w:r>
              <w:t>Number of divisions</w:t>
            </w:r>
          </w:p>
        </w:tc>
        <w:tc>
          <w:tcPr>
            <w:tcW w:w="1984" w:type="dxa"/>
          </w:tcPr>
          <w:p>
            <w:pPr>
              <w:pStyle w:val="yTableNAm"/>
              <w:spacing w:before="60"/>
            </w:pPr>
            <w:r>
              <w:t>6</w:t>
            </w:r>
          </w:p>
        </w:tc>
      </w:tr>
      <w:tr>
        <w:tc>
          <w:tcPr>
            <w:tcW w:w="4820" w:type="dxa"/>
          </w:tcPr>
          <w:p>
            <w:pPr>
              <w:pStyle w:val="yTableNAm"/>
              <w:spacing w:before="60"/>
            </w:pPr>
            <w:r>
              <w:t>Winning numbers drawn</w:t>
            </w:r>
          </w:p>
        </w:tc>
        <w:tc>
          <w:tcPr>
            <w:tcW w:w="1984" w:type="dxa"/>
          </w:tcPr>
          <w:p>
            <w:pPr>
              <w:pStyle w:val="yTableNAm"/>
              <w:spacing w:before="60"/>
            </w:pPr>
            <w:r>
              <w:t>6</w:t>
            </w:r>
          </w:p>
        </w:tc>
      </w:tr>
      <w:tr>
        <w:tc>
          <w:tcPr>
            <w:tcW w:w="4820" w:type="dxa"/>
          </w:tcPr>
          <w:p>
            <w:pPr>
              <w:pStyle w:val="yTableNAm"/>
              <w:spacing w:before="60"/>
            </w:pPr>
            <w:r>
              <w:t>Supplementary numbers drawn</w:t>
            </w:r>
          </w:p>
        </w:tc>
        <w:tc>
          <w:tcPr>
            <w:tcW w:w="1984" w:type="dxa"/>
          </w:tcPr>
          <w:p>
            <w:pPr>
              <w:pStyle w:val="yTableNAm"/>
              <w:spacing w:before="60"/>
            </w:pPr>
            <w:r>
              <w:t>2</w:t>
            </w:r>
          </w:p>
        </w:tc>
      </w:tr>
      <w:tr>
        <w:tc>
          <w:tcPr>
            <w:tcW w:w="4820" w:type="dxa"/>
          </w:tcPr>
          <w:p>
            <w:pPr>
              <w:pStyle w:val="yTableNAm"/>
              <w:spacing w:before="60"/>
            </w:pPr>
            <w:r>
              <w:t>Forecast range </w:t>
            </w:r>
          </w:p>
        </w:tc>
        <w:tc>
          <w:tcPr>
            <w:tcW w:w="1984" w:type="dxa"/>
          </w:tcPr>
          <w:p>
            <w:pPr>
              <w:pStyle w:val="yTableNAm"/>
              <w:spacing w:before="60"/>
            </w:pPr>
            <w:r>
              <w:t>1 to 45 inclusive</w:t>
            </w:r>
          </w:p>
        </w:tc>
      </w:tr>
      <w:tr>
        <w:tc>
          <w:tcPr>
            <w:tcW w:w="4820" w:type="dxa"/>
          </w:tcPr>
          <w:p>
            <w:pPr>
              <w:pStyle w:val="yTableNAm"/>
              <w:spacing w:before="60"/>
            </w:pPr>
            <w:r>
              <w:t>Odds of winning —</w:t>
            </w:r>
          </w:p>
          <w:p>
            <w:pPr>
              <w:pStyle w:val="yTableNAm"/>
              <w:spacing w:before="60"/>
            </w:pPr>
            <w:r>
              <w:t>division 1</w:t>
            </w:r>
          </w:p>
          <w:p>
            <w:pPr>
              <w:pStyle w:val="yTableNAm"/>
              <w:spacing w:before="60"/>
            </w:pPr>
            <w:r>
              <w:t>division 2</w:t>
            </w:r>
          </w:p>
          <w:p>
            <w:pPr>
              <w:pStyle w:val="yTableNAm"/>
              <w:spacing w:before="60"/>
            </w:pPr>
            <w:r>
              <w:t>division 3</w:t>
            </w:r>
          </w:p>
          <w:p>
            <w:pPr>
              <w:pStyle w:val="yTableNAm"/>
              <w:spacing w:before="60"/>
            </w:pPr>
            <w:r>
              <w:t>division 4</w:t>
            </w:r>
          </w:p>
          <w:p>
            <w:pPr>
              <w:pStyle w:val="yTableNAm"/>
              <w:spacing w:before="60"/>
            </w:pPr>
            <w:r>
              <w:t>division 5</w:t>
            </w:r>
          </w:p>
          <w:p>
            <w:pPr>
              <w:pStyle w:val="yTableNAm"/>
              <w:spacing w:before="60"/>
            </w:pPr>
            <w:r>
              <w:t>division 6</w:t>
            </w:r>
          </w:p>
        </w:tc>
        <w:tc>
          <w:tcPr>
            <w:tcW w:w="1984" w:type="dxa"/>
          </w:tcPr>
          <w:p>
            <w:pPr>
              <w:pStyle w:val="yTableNAm"/>
              <w:spacing w:before="60"/>
            </w:pPr>
          </w:p>
          <w:p>
            <w:pPr>
              <w:pStyle w:val="yTableNAm"/>
              <w:spacing w:before="60"/>
            </w:pPr>
            <w:r>
              <w:t>1 in 8 145 060</w:t>
            </w:r>
          </w:p>
          <w:p>
            <w:pPr>
              <w:pStyle w:val="yTableNAm"/>
              <w:spacing w:before="60"/>
            </w:pPr>
            <w:r>
              <w:t>1 in 678 755</w:t>
            </w:r>
          </w:p>
          <w:p>
            <w:pPr>
              <w:pStyle w:val="yTableNAm"/>
              <w:spacing w:before="60"/>
            </w:pPr>
            <w:r>
              <w:t>1 in 36 690</w:t>
            </w:r>
          </w:p>
          <w:p>
            <w:pPr>
              <w:pStyle w:val="yTableNAm"/>
              <w:spacing w:before="60"/>
            </w:pPr>
            <w:r>
              <w:t>1 in 733</w:t>
            </w:r>
          </w:p>
          <w:p>
            <w:pPr>
              <w:pStyle w:val="yTableNAm"/>
              <w:spacing w:before="60"/>
            </w:pPr>
            <w:r>
              <w:t>1 in 298</w:t>
            </w:r>
          </w:p>
          <w:p>
            <w:pPr>
              <w:pStyle w:val="yTableNAm"/>
              <w:spacing w:before="60"/>
            </w:pPr>
            <w:r>
              <w:t>1 in 144</w:t>
            </w:r>
          </w:p>
        </w:tc>
      </w:tr>
      <w:tr>
        <w:tc>
          <w:tcPr>
            <w:tcW w:w="4820" w:type="dxa"/>
          </w:tcPr>
          <w:p>
            <w:pPr>
              <w:pStyle w:val="yTableNAm"/>
              <w:spacing w:before="60"/>
            </w:pPr>
            <w:r>
              <w:t>Systems range</w:t>
            </w:r>
          </w:p>
        </w:tc>
        <w:tc>
          <w:tcPr>
            <w:tcW w:w="1984" w:type="dxa"/>
          </w:tcPr>
          <w:p>
            <w:pPr>
              <w:pStyle w:val="yTableNAm"/>
              <w:spacing w:before="60"/>
            </w:pPr>
            <w:r>
              <w:t>4</w:t>
            </w:r>
            <w:r>
              <w:noBreakHyphen/>
              <w:t>5/7</w:t>
            </w:r>
            <w:r>
              <w:noBreakHyphen/>
              <w:t>20 inclusive</w:t>
            </w:r>
          </w:p>
        </w:tc>
      </w:tr>
      <w:tr>
        <w:tc>
          <w:tcPr>
            <w:tcW w:w="4820" w:type="dxa"/>
          </w:tcPr>
          <w:p>
            <w:pPr>
              <w:pStyle w:val="yTableNAm"/>
              <w:spacing w:before="60"/>
            </w:pPr>
            <w:r>
              <w:t>Multiweek options (</w:t>
            </w:r>
            <w:r>
              <w:rPr>
                <w:i/>
                <w:iCs/>
              </w:rPr>
              <w:t>if available</w:t>
            </w:r>
            <w:r>
              <w:t>)</w:t>
            </w:r>
          </w:p>
        </w:tc>
        <w:tc>
          <w:tcPr>
            <w:tcW w:w="1984" w:type="dxa"/>
          </w:tcPr>
          <w:p>
            <w:pPr>
              <w:pStyle w:val="yTableNAm"/>
              <w:spacing w:before="60"/>
            </w:pPr>
            <w:r>
              <w:t>2, 5 or 10 weeks</w:t>
            </w:r>
          </w:p>
        </w:tc>
      </w:tr>
      <w:tr>
        <w:tc>
          <w:tcPr>
            <w:tcW w:w="4820" w:type="dxa"/>
          </w:tcPr>
          <w:p>
            <w:pPr>
              <w:pStyle w:val="yTableNAm"/>
              <w:spacing w:before="60"/>
            </w:pPr>
            <w:r>
              <w:t>Advance sales (maximum) (</w:t>
            </w:r>
            <w:r>
              <w:rPr>
                <w:i/>
                <w:iCs/>
              </w:rPr>
              <w:t>if available</w:t>
            </w:r>
            <w:r>
              <w:t>)</w:t>
            </w:r>
          </w:p>
        </w:tc>
        <w:tc>
          <w:tcPr>
            <w:tcW w:w="1984" w:type="dxa"/>
          </w:tcPr>
          <w:p>
            <w:pPr>
              <w:pStyle w:val="yTableNAm"/>
              <w:spacing w:before="60"/>
            </w:pPr>
            <w:r>
              <w:t>10 weeks</w:t>
            </w:r>
          </w:p>
        </w:tc>
      </w:tr>
      <w:tr>
        <w:tc>
          <w:tcPr>
            <w:tcW w:w="4820" w:type="dxa"/>
          </w:tcPr>
          <w:p>
            <w:pPr>
              <w:pStyle w:val="yTableNAm"/>
              <w:spacing w:before="60"/>
            </w:pPr>
            <w:r>
              <w:t>Games per playslip (minimum)</w:t>
            </w:r>
          </w:p>
        </w:tc>
        <w:tc>
          <w:tcPr>
            <w:tcW w:w="1984" w:type="dxa"/>
          </w:tcPr>
          <w:p>
            <w:pPr>
              <w:pStyle w:val="yTableNAm"/>
              <w:spacing w:before="60"/>
            </w:pPr>
            <w:r>
              <w:t>4</w:t>
            </w:r>
          </w:p>
        </w:tc>
      </w:tr>
      <w:tr>
        <w:tc>
          <w:tcPr>
            <w:tcW w:w="4820" w:type="dxa"/>
          </w:tcPr>
          <w:p>
            <w:pPr>
              <w:pStyle w:val="yTableNAm"/>
              <w:keepNext/>
              <w:spacing w:before="60"/>
            </w:pPr>
            <w:r>
              <w:t>Systems entries per playslip (maximum)</w:t>
            </w:r>
          </w:p>
        </w:tc>
        <w:tc>
          <w:tcPr>
            <w:tcW w:w="1984" w:type="dxa"/>
          </w:tcPr>
          <w:p>
            <w:pPr>
              <w:pStyle w:val="yTableNAm"/>
              <w:keepNext/>
              <w:spacing w:before="60"/>
            </w:pPr>
            <w:r>
              <w:t>18</w:t>
            </w:r>
            <w:r>
              <w:br/>
              <w:t>(subject to maximum aggregate entry cost)</w:t>
            </w:r>
          </w:p>
        </w:tc>
      </w:tr>
      <w:tr>
        <w:tc>
          <w:tcPr>
            <w:tcW w:w="4820" w:type="dxa"/>
          </w:tcPr>
          <w:p>
            <w:pPr>
              <w:pStyle w:val="yTableNAm"/>
              <w:spacing w:before="60"/>
            </w:pPr>
            <w:r>
              <w:t>Games per playslip (maximum)</w:t>
            </w:r>
          </w:p>
        </w:tc>
        <w:tc>
          <w:tcPr>
            <w:tcW w:w="1984" w:type="dxa"/>
          </w:tcPr>
          <w:p>
            <w:pPr>
              <w:pStyle w:val="yTableNAm"/>
              <w:spacing w:before="60"/>
            </w:pPr>
            <w:r>
              <w:t>18</w:t>
            </w:r>
          </w:p>
        </w:tc>
      </w:tr>
      <w:tr>
        <w:tc>
          <w:tcPr>
            <w:tcW w:w="4820" w:type="dxa"/>
          </w:tcPr>
          <w:p>
            <w:pPr>
              <w:pStyle w:val="yTableNAm"/>
              <w:spacing w:before="60"/>
            </w:pPr>
            <w:r>
              <w:t>Games per oral request (default)</w:t>
            </w:r>
          </w:p>
        </w:tc>
        <w:tc>
          <w:tcPr>
            <w:tcW w:w="1984" w:type="dxa"/>
          </w:tcPr>
          <w:p>
            <w:pPr>
              <w:pStyle w:val="yTableNAm"/>
              <w:spacing w:before="60"/>
            </w:pPr>
            <w:r>
              <w:t>12, 18, 25, 30 or 50</w:t>
            </w:r>
          </w:p>
        </w:tc>
      </w:tr>
      <w:tr>
        <w:tc>
          <w:tcPr>
            <w:tcW w:w="4820" w:type="dxa"/>
          </w:tcPr>
          <w:p>
            <w:pPr>
              <w:pStyle w:val="yTableNAm"/>
              <w:spacing w:before="60"/>
            </w:pPr>
            <w:r>
              <w:t>Games per oral request (</w:t>
            </w:r>
            <w:r>
              <w:rPr>
                <w:i/>
                <w:iCs/>
              </w:rPr>
              <w:t>if available</w:t>
            </w:r>
            <w:r>
              <w:t>)</w:t>
            </w:r>
          </w:p>
        </w:tc>
        <w:tc>
          <w:tcPr>
            <w:tcW w:w="1984" w:type="dxa"/>
          </w:tcPr>
          <w:p>
            <w:pPr>
              <w:pStyle w:val="yTableNAm"/>
              <w:spacing w:before="60"/>
            </w:pPr>
            <w:r>
              <w:t>4 to 50</w:t>
            </w:r>
          </w:p>
        </w:tc>
      </w:tr>
      <w:tr>
        <w:tc>
          <w:tcPr>
            <w:tcW w:w="4820" w:type="dxa"/>
          </w:tcPr>
          <w:p>
            <w:pPr>
              <w:pStyle w:val="yTableNAm"/>
              <w:spacing w:before="60"/>
            </w:pPr>
            <w:r>
              <w:t>Syndicate entries may be purchased (</w:t>
            </w:r>
            <w:r>
              <w:rPr>
                <w:i/>
                <w:iCs/>
              </w:rPr>
              <w:t>if available</w:t>
            </w:r>
            <w:r>
              <w:t>)</w:t>
            </w:r>
          </w:p>
        </w:tc>
        <w:tc>
          <w:tcPr>
            <w:tcW w:w="1984" w:type="dxa"/>
          </w:tcPr>
          <w:p>
            <w:pPr>
              <w:pStyle w:val="yTableNAm"/>
              <w:spacing w:before="60"/>
            </w:pPr>
            <w:r>
              <w:t>(see Part 2A)</w:t>
            </w:r>
          </w:p>
        </w:tc>
      </w:tr>
      <w:tr>
        <w:tc>
          <w:tcPr>
            <w:tcW w:w="4820" w:type="dxa"/>
          </w:tcPr>
          <w:p>
            <w:pPr>
              <w:pStyle w:val="yTableNAm"/>
              <w:spacing w:before="60"/>
            </w:pPr>
            <w:r>
              <w:t>Systems entries per oral request</w:t>
            </w:r>
          </w:p>
        </w:tc>
        <w:tc>
          <w:tcPr>
            <w:tcW w:w="1984" w:type="dxa"/>
          </w:tcPr>
          <w:p>
            <w:pPr>
              <w:pStyle w:val="yTableNAm"/>
              <w:spacing w:before="60"/>
            </w:pPr>
            <w:r>
              <w:t>1</w:t>
            </w:r>
          </w:p>
        </w:tc>
      </w:tr>
      <w:tr>
        <w:tc>
          <w:tcPr>
            <w:tcW w:w="4820" w:type="dxa"/>
          </w:tcPr>
          <w:p>
            <w:pPr>
              <w:pStyle w:val="yTableNAm"/>
              <w:spacing w:before="60"/>
            </w:pPr>
            <w:r>
              <w:t>Slikpik entries per oral request</w:t>
            </w:r>
          </w:p>
        </w:tc>
        <w:tc>
          <w:tcPr>
            <w:tcW w:w="1984" w:type="dxa"/>
          </w:tcPr>
          <w:p>
            <w:pPr>
              <w:pStyle w:val="yTableNAm"/>
              <w:spacing w:before="60"/>
            </w:pPr>
            <w:r>
              <w:t>1</w:t>
            </w:r>
          </w:p>
        </w:tc>
      </w:tr>
      <w:tr>
        <w:tc>
          <w:tcPr>
            <w:tcW w:w="4820" w:type="dxa"/>
          </w:tcPr>
          <w:p>
            <w:pPr>
              <w:pStyle w:val="yTableNAm"/>
              <w:spacing w:before="60"/>
            </w:pPr>
            <w:r>
              <w:t>Prize payout period</w:t>
            </w:r>
          </w:p>
        </w:tc>
        <w:tc>
          <w:tcPr>
            <w:tcW w:w="1984" w:type="dxa"/>
          </w:tcPr>
          <w:p>
            <w:pPr>
              <w:pStyle w:val="yTableNAm"/>
              <w:spacing w:before="60"/>
            </w:pPr>
            <w:r>
              <w:t>12 months</w:t>
            </w:r>
          </w:p>
        </w:tc>
      </w:tr>
      <w:tr>
        <w:tc>
          <w:tcPr>
            <w:tcW w:w="4820" w:type="dxa"/>
          </w:tcPr>
          <w:p>
            <w:pPr>
              <w:pStyle w:val="yTableNAm"/>
              <w:spacing w:before="60"/>
            </w:pPr>
            <w:r>
              <w:t>Maximum aggregate entry cost</w:t>
            </w:r>
          </w:p>
        </w:tc>
        <w:tc>
          <w:tcPr>
            <w:tcW w:w="1984" w:type="dxa"/>
          </w:tcPr>
          <w:p>
            <w:pPr>
              <w:pStyle w:val="yTableNAm"/>
              <w:spacing w:before="60"/>
            </w:pPr>
            <w:r>
              <w:t>$100 000</w:t>
            </w:r>
          </w:p>
        </w:tc>
      </w:tr>
    </w:tbl>
    <w:p>
      <w:pPr>
        <w:pStyle w:val="yFootnotesection"/>
      </w:pPr>
      <w:r>
        <w:tab/>
        <w:t>[Part 1 inserted in Gazette 6 May 2014 p. 1389</w:t>
      </w:r>
      <w:r>
        <w:noBreakHyphen/>
        <w:t>90.]</w:t>
      </w:r>
    </w:p>
    <w:p>
      <w:pPr>
        <w:pStyle w:val="yHeading3"/>
        <w:rPr>
          <w:bCs/>
        </w:rPr>
      </w:pPr>
      <w:bookmarkStart w:id="230" w:name="_Toc391299451"/>
      <w:bookmarkStart w:id="231" w:name="_Toc391299551"/>
      <w:bookmarkStart w:id="232" w:name="_Toc406506953"/>
      <w:bookmarkStart w:id="233" w:name="_Toc421106006"/>
      <w:bookmarkStart w:id="234" w:name="_Toc421106070"/>
      <w:bookmarkStart w:id="235" w:name="_Toc463612474"/>
      <w:r>
        <w:rPr>
          <w:rStyle w:val="CharSDivNo"/>
        </w:rPr>
        <w:t>Part 2</w:t>
      </w:r>
      <w:r>
        <w:rPr>
          <w:b w:val="0"/>
        </w:rPr>
        <w:t> — </w:t>
      </w:r>
      <w:r>
        <w:rPr>
          <w:rStyle w:val="CharSDivText"/>
        </w:rPr>
        <w:t>Draw 3443 on 19 July 2014 and subsequent draws</w:t>
      </w:r>
      <w:bookmarkEnd w:id="230"/>
      <w:bookmarkEnd w:id="231"/>
      <w:bookmarkEnd w:id="232"/>
      <w:bookmarkEnd w:id="233"/>
      <w:bookmarkEnd w:id="234"/>
      <w:bookmarkEnd w:id="235"/>
    </w:p>
    <w:p>
      <w:pPr>
        <w:pStyle w:val="yFootnoteheading"/>
      </w:pPr>
      <w:r>
        <w:tab/>
        <w:t>[Heading inserted in Gazette 21 Dec 2010 p. 6767; amended in Gazette 6 May 2014 p. 1390.]</w:t>
      </w:r>
    </w:p>
    <w:p>
      <w:pPr>
        <w:rPr>
          <w:sz w:val="16"/>
          <w:szCs w:val="16"/>
        </w:rPr>
      </w:pPr>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spacing w:before="0"/>
              <w:rPr>
                <w:sz w:val="20"/>
              </w:rPr>
            </w:pPr>
            <w:r>
              <w:rPr>
                <w:sz w:val="20"/>
              </w:rPr>
              <w:t>Unit cost for a Saturday lotto draw</w:t>
            </w:r>
          </w:p>
        </w:tc>
        <w:tc>
          <w:tcPr>
            <w:tcW w:w="2048" w:type="dxa"/>
            <w:gridSpan w:val="2"/>
          </w:tcPr>
          <w:p>
            <w:pPr>
              <w:pStyle w:val="yTableNAm"/>
              <w:spacing w:before="0"/>
              <w:rPr>
                <w:sz w:val="20"/>
              </w:rPr>
            </w:pPr>
            <w:r>
              <w:rPr>
                <w:sz w:val="20"/>
              </w:rPr>
              <w:t>$0.65 (+ a 9% agent’s component)</w:t>
            </w:r>
          </w:p>
        </w:tc>
      </w:tr>
      <w:tr>
        <w:tc>
          <w:tcPr>
            <w:tcW w:w="5040" w:type="dxa"/>
          </w:tcPr>
          <w:p>
            <w:pPr>
              <w:pStyle w:val="yTableNAm"/>
              <w:spacing w:before="0"/>
              <w:rPr>
                <w:sz w:val="20"/>
              </w:rPr>
            </w:pPr>
            <w:r>
              <w:rPr>
                <w:sz w:val="20"/>
              </w:rPr>
              <w:t>Prize fund — % of subscriptions</w:t>
            </w:r>
          </w:p>
        </w:tc>
        <w:tc>
          <w:tcPr>
            <w:tcW w:w="2048" w:type="dxa"/>
            <w:gridSpan w:val="2"/>
          </w:tcPr>
          <w:p>
            <w:pPr>
              <w:pStyle w:val="yTableNAm"/>
              <w:spacing w:before="0"/>
              <w:rPr>
                <w:sz w:val="20"/>
              </w:rPr>
            </w:pPr>
            <w:r>
              <w:rPr>
                <w:sz w:val="20"/>
              </w:rPr>
              <w:t>60.0%</w:t>
            </w:r>
          </w:p>
        </w:tc>
      </w:tr>
      <w:tr>
        <w:trPr>
          <w:gridAfter w:val="1"/>
          <w:wAfter w:w="8" w:type="dxa"/>
        </w:trPr>
        <w:tc>
          <w:tcPr>
            <w:tcW w:w="5040" w:type="dxa"/>
          </w:tcPr>
          <w:p>
            <w:pPr>
              <w:pStyle w:val="yTableNAm"/>
              <w:spacing w:before="0"/>
              <w:rPr>
                <w:sz w:val="20"/>
              </w:rPr>
            </w:pPr>
            <w:r>
              <w:rPr>
                <w:sz w:val="20"/>
              </w:rPr>
              <w:t>Prize pool — % of subscriptions</w:t>
            </w:r>
          </w:p>
        </w:tc>
        <w:tc>
          <w:tcPr>
            <w:tcW w:w="2040" w:type="dxa"/>
          </w:tcPr>
          <w:p>
            <w:pPr>
              <w:pStyle w:val="yTableNAm"/>
              <w:spacing w:before="0"/>
              <w:rPr>
                <w:sz w:val="20"/>
              </w:rPr>
            </w:pPr>
            <w:r>
              <w:rPr>
                <w:sz w:val="20"/>
              </w:rPr>
              <w:t>no less than 55%</w:t>
            </w:r>
          </w:p>
        </w:tc>
      </w:tr>
      <w:tr>
        <w:trPr>
          <w:gridAfter w:val="1"/>
          <w:wAfter w:w="8" w:type="dxa"/>
        </w:trPr>
        <w:tc>
          <w:tcPr>
            <w:tcW w:w="5040" w:type="dxa"/>
          </w:tcPr>
          <w:p>
            <w:pPr>
              <w:pStyle w:val="yTableNAm"/>
              <w:spacing w:before="0"/>
              <w:rPr>
                <w:sz w:val="20"/>
              </w:rPr>
            </w:pPr>
            <w:r>
              <w:rPr>
                <w:sz w:val="20"/>
              </w:rPr>
              <w:t>Prize reserve fund — % of subscriptions</w:t>
            </w:r>
          </w:p>
        </w:tc>
        <w:tc>
          <w:tcPr>
            <w:tcW w:w="2040" w:type="dxa"/>
          </w:tcPr>
          <w:p>
            <w:pPr>
              <w:pStyle w:val="yTableNAm"/>
              <w:spacing w:before="0"/>
              <w:rPr>
                <w:sz w:val="20"/>
              </w:rPr>
            </w:pPr>
            <w:r>
              <w:rPr>
                <w:sz w:val="20"/>
              </w:rPr>
              <w:t>balance of prize fund after prize pool</w:t>
            </w:r>
            <w:r>
              <w:rPr>
                <w:sz w:val="20"/>
              </w:rPr>
              <w:br/>
              <w:t>(up to 5.0%)</w:t>
            </w:r>
          </w:p>
        </w:tc>
      </w:tr>
      <w:tr>
        <w:trPr>
          <w:gridAfter w:val="1"/>
          <w:wAfter w:w="8" w:type="dxa"/>
        </w:trPr>
        <w:tc>
          <w:tcPr>
            <w:tcW w:w="5040" w:type="dxa"/>
          </w:tcPr>
          <w:p>
            <w:pPr>
              <w:pStyle w:val="yTableNAm"/>
              <w:spacing w:before="0"/>
              <w:rPr>
                <w:sz w:val="20"/>
              </w:rPr>
            </w:pPr>
            <w:r>
              <w:rPr>
                <w:sz w:val="20"/>
              </w:rPr>
              <w:t>Number of divisions</w:t>
            </w:r>
          </w:p>
        </w:tc>
        <w:tc>
          <w:tcPr>
            <w:tcW w:w="2040" w:type="dxa"/>
          </w:tcPr>
          <w:p>
            <w:pPr>
              <w:pStyle w:val="yTableNAm"/>
              <w:spacing w:before="0"/>
              <w:rPr>
                <w:sz w:val="20"/>
              </w:rPr>
            </w:pPr>
            <w:r>
              <w:rPr>
                <w:sz w:val="20"/>
              </w:rPr>
              <w:t>6</w:t>
            </w:r>
          </w:p>
        </w:tc>
      </w:tr>
      <w:tr>
        <w:trPr>
          <w:gridAfter w:val="1"/>
          <w:wAfter w:w="8" w:type="dxa"/>
        </w:trPr>
        <w:tc>
          <w:tcPr>
            <w:tcW w:w="5040" w:type="dxa"/>
          </w:tcPr>
          <w:p>
            <w:pPr>
              <w:pStyle w:val="yTableNAm"/>
              <w:spacing w:before="0"/>
              <w:rPr>
                <w:sz w:val="20"/>
              </w:rPr>
            </w:pPr>
            <w:r>
              <w:rPr>
                <w:sz w:val="20"/>
              </w:rPr>
              <w:t>Winning numbers drawn</w:t>
            </w:r>
          </w:p>
        </w:tc>
        <w:tc>
          <w:tcPr>
            <w:tcW w:w="2040" w:type="dxa"/>
          </w:tcPr>
          <w:p>
            <w:pPr>
              <w:pStyle w:val="yTableNAm"/>
              <w:spacing w:before="0"/>
              <w:rPr>
                <w:sz w:val="20"/>
              </w:rPr>
            </w:pPr>
            <w:r>
              <w:rPr>
                <w:sz w:val="20"/>
              </w:rPr>
              <w:t>6</w:t>
            </w:r>
          </w:p>
        </w:tc>
      </w:tr>
      <w:tr>
        <w:trPr>
          <w:gridAfter w:val="1"/>
          <w:wAfter w:w="8" w:type="dxa"/>
        </w:trPr>
        <w:tc>
          <w:tcPr>
            <w:tcW w:w="5040" w:type="dxa"/>
          </w:tcPr>
          <w:p>
            <w:pPr>
              <w:pStyle w:val="yTableNAm"/>
              <w:spacing w:before="0"/>
              <w:rPr>
                <w:sz w:val="20"/>
              </w:rPr>
            </w:pPr>
            <w:r>
              <w:rPr>
                <w:sz w:val="20"/>
              </w:rPr>
              <w:t>Supplementary numbers drawn</w:t>
            </w:r>
          </w:p>
        </w:tc>
        <w:tc>
          <w:tcPr>
            <w:tcW w:w="2040" w:type="dxa"/>
          </w:tcPr>
          <w:p>
            <w:pPr>
              <w:pStyle w:val="yTableNAm"/>
              <w:spacing w:before="0"/>
              <w:rPr>
                <w:sz w:val="20"/>
              </w:rPr>
            </w:pPr>
            <w:r>
              <w:rPr>
                <w:sz w:val="20"/>
              </w:rPr>
              <w:t>2</w:t>
            </w:r>
          </w:p>
        </w:tc>
      </w:tr>
      <w:tr>
        <w:trPr>
          <w:gridAfter w:val="1"/>
          <w:wAfter w:w="8" w:type="dxa"/>
        </w:trPr>
        <w:tc>
          <w:tcPr>
            <w:tcW w:w="5040" w:type="dxa"/>
          </w:tcPr>
          <w:p>
            <w:pPr>
              <w:pStyle w:val="yTableNAm"/>
              <w:spacing w:before="0"/>
              <w:rPr>
                <w:sz w:val="20"/>
              </w:rPr>
            </w:pPr>
            <w:r>
              <w:rPr>
                <w:sz w:val="20"/>
              </w:rPr>
              <w:t>Forecast range </w:t>
            </w:r>
          </w:p>
        </w:tc>
        <w:tc>
          <w:tcPr>
            <w:tcW w:w="2040" w:type="dxa"/>
          </w:tcPr>
          <w:p>
            <w:pPr>
              <w:pStyle w:val="yTableNAm"/>
              <w:spacing w:before="0"/>
              <w:rPr>
                <w:sz w:val="20"/>
              </w:rPr>
            </w:pPr>
            <w:r>
              <w:rPr>
                <w:sz w:val="20"/>
              </w:rPr>
              <w:t>1 to 45 inclusive</w:t>
            </w:r>
          </w:p>
        </w:tc>
      </w:tr>
      <w:tr>
        <w:trPr>
          <w:gridAfter w:val="1"/>
          <w:wAfter w:w="8" w:type="dxa"/>
        </w:trPr>
        <w:tc>
          <w:tcPr>
            <w:tcW w:w="5040" w:type="dxa"/>
          </w:tcPr>
          <w:p>
            <w:pPr>
              <w:pStyle w:val="yTableNAm"/>
              <w:spacing w:before="0"/>
              <w:rPr>
                <w:sz w:val="20"/>
              </w:rPr>
            </w:pPr>
            <w:r>
              <w:rPr>
                <w:sz w:val="20"/>
              </w:rPr>
              <w:t>Odds of winning —</w:t>
            </w:r>
          </w:p>
          <w:p>
            <w:pPr>
              <w:pStyle w:val="yTableNAm"/>
              <w:spacing w:before="0"/>
              <w:rPr>
                <w:sz w:val="20"/>
              </w:rPr>
            </w:pPr>
            <w:r>
              <w:rPr>
                <w:sz w:val="20"/>
              </w:rPr>
              <w:t>division 1</w:t>
            </w:r>
          </w:p>
          <w:p>
            <w:pPr>
              <w:pStyle w:val="yTableNAm"/>
              <w:spacing w:before="0"/>
              <w:rPr>
                <w:sz w:val="20"/>
              </w:rPr>
            </w:pPr>
            <w:r>
              <w:rPr>
                <w:sz w:val="20"/>
              </w:rPr>
              <w:t>division 2</w:t>
            </w:r>
          </w:p>
          <w:p>
            <w:pPr>
              <w:pStyle w:val="yTableNAm"/>
              <w:spacing w:before="0"/>
              <w:rPr>
                <w:sz w:val="20"/>
              </w:rPr>
            </w:pPr>
            <w:r>
              <w:rPr>
                <w:sz w:val="20"/>
              </w:rPr>
              <w:t>division 3</w:t>
            </w:r>
          </w:p>
          <w:p>
            <w:pPr>
              <w:pStyle w:val="yTableNAm"/>
              <w:spacing w:before="0"/>
              <w:rPr>
                <w:sz w:val="20"/>
              </w:rPr>
            </w:pPr>
            <w:r>
              <w:rPr>
                <w:sz w:val="20"/>
              </w:rPr>
              <w:t>division 4</w:t>
            </w:r>
          </w:p>
          <w:p>
            <w:pPr>
              <w:pStyle w:val="yTableNAm"/>
              <w:spacing w:before="0"/>
              <w:rPr>
                <w:sz w:val="20"/>
              </w:rPr>
            </w:pPr>
            <w:r>
              <w:rPr>
                <w:sz w:val="20"/>
              </w:rPr>
              <w:t>division 5</w:t>
            </w:r>
          </w:p>
          <w:p>
            <w:pPr>
              <w:pStyle w:val="yTableNAm"/>
              <w:spacing w:before="0"/>
              <w:rPr>
                <w:sz w:val="20"/>
              </w:rPr>
            </w:pPr>
            <w:r>
              <w:rPr>
                <w:sz w:val="20"/>
              </w:rPr>
              <w:t>division 6</w:t>
            </w:r>
          </w:p>
        </w:tc>
        <w:tc>
          <w:tcPr>
            <w:tcW w:w="2040" w:type="dxa"/>
          </w:tcPr>
          <w:p>
            <w:pPr>
              <w:pStyle w:val="yTableNAm"/>
              <w:spacing w:before="0"/>
              <w:rPr>
                <w:sz w:val="20"/>
              </w:rPr>
            </w:pPr>
          </w:p>
          <w:p>
            <w:pPr>
              <w:pStyle w:val="yTableNAm"/>
              <w:spacing w:before="0"/>
              <w:rPr>
                <w:sz w:val="20"/>
              </w:rPr>
            </w:pPr>
            <w:r>
              <w:rPr>
                <w:sz w:val="20"/>
              </w:rPr>
              <w:t>1 in 8 145 060</w:t>
            </w:r>
          </w:p>
          <w:p>
            <w:pPr>
              <w:pStyle w:val="yTableNAm"/>
              <w:spacing w:before="0"/>
              <w:rPr>
                <w:sz w:val="20"/>
              </w:rPr>
            </w:pPr>
            <w:r>
              <w:rPr>
                <w:sz w:val="20"/>
              </w:rPr>
              <w:t>1 in 678 755</w:t>
            </w:r>
          </w:p>
          <w:p>
            <w:pPr>
              <w:pStyle w:val="yTableNAm"/>
              <w:spacing w:before="0"/>
              <w:rPr>
                <w:sz w:val="20"/>
              </w:rPr>
            </w:pPr>
            <w:r>
              <w:rPr>
                <w:sz w:val="20"/>
              </w:rPr>
              <w:t>1 in 36 690</w:t>
            </w:r>
          </w:p>
          <w:p>
            <w:pPr>
              <w:pStyle w:val="yTableNAm"/>
              <w:spacing w:before="0"/>
              <w:rPr>
                <w:sz w:val="20"/>
              </w:rPr>
            </w:pPr>
            <w:r>
              <w:rPr>
                <w:sz w:val="20"/>
              </w:rPr>
              <w:t>1 in 733</w:t>
            </w:r>
          </w:p>
          <w:p>
            <w:pPr>
              <w:pStyle w:val="yTableNAm"/>
              <w:spacing w:before="0"/>
              <w:rPr>
                <w:sz w:val="20"/>
              </w:rPr>
            </w:pPr>
            <w:r>
              <w:rPr>
                <w:sz w:val="20"/>
              </w:rPr>
              <w:t>1 in 298</w:t>
            </w:r>
          </w:p>
          <w:p>
            <w:pPr>
              <w:pStyle w:val="yTableNAm"/>
              <w:spacing w:before="0"/>
              <w:rPr>
                <w:sz w:val="20"/>
              </w:rPr>
            </w:pPr>
            <w:r>
              <w:rPr>
                <w:sz w:val="20"/>
              </w:rPr>
              <w:t>1 in 144</w:t>
            </w:r>
          </w:p>
        </w:tc>
      </w:tr>
      <w:tr>
        <w:trPr>
          <w:gridAfter w:val="1"/>
          <w:wAfter w:w="8" w:type="dxa"/>
        </w:trPr>
        <w:tc>
          <w:tcPr>
            <w:tcW w:w="5040" w:type="dxa"/>
          </w:tcPr>
          <w:p>
            <w:pPr>
              <w:pStyle w:val="yTableNAm"/>
              <w:spacing w:before="0"/>
              <w:rPr>
                <w:sz w:val="20"/>
              </w:rPr>
            </w:pPr>
            <w:r>
              <w:rPr>
                <w:sz w:val="20"/>
              </w:rPr>
              <w:t>Systems range</w:t>
            </w:r>
          </w:p>
        </w:tc>
        <w:tc>
          <w:tcPr>
            <w:tcW w:w="2040" w:type="dxa"/>
          </w:tcPr>
          <w:p>
            <w:pPr>
              <w:pStyle w:val="yTableNAm"/>
              <w:spacing w:before="0"/>
              <w:rPr>
                <w:sz w:val="20"/>
              </w:rPr>
            </w:pPr>
            <w:r>
              <w:rPr>
                <w:sz w:val="20"/>
              </w:rPr>
              <w:t>4</w:t>
            </w:r>
            <w:r>
              <w:rPr>
                <w:sz w:val="20"/>
              </w:rPr>
              <w:noBreakHyphen/>
              <w:t>5/7</w:t>
            </w:r>
            <w:r>
              <w:rPr>
                <w:sz w:val="20"/>
              </w:rPr>
              <w:noBreakHyphen/>
              <w:t>20 inclusive</w:t>
            </w:r>
          </w:p>
        </w:tc>
      </w:tr>
      <w:tr>
        <w:trPr>
          <w:gridAfter w:val="1"/>
          <w:wAfter w:w="8" w:type="dxa"/>
        </w:trPr>
        <w:tc>
          <w:tcPr>
            <w:tcW w:w="5040" w:type="dxa"/>
          </w:tcPr>
          <w:p>
            <w:pPr>
              <w:pStyle w:val="yTableNAm"/>
              <w:spacing w:before="0"/>
              <w:rPr>
                <w:sz w:val="20"/>
              </w:rPr>
            </w:pPr>
            <w:r>
              <w:rPr>
                <w:sz w:val="20"/>
              </w:rPr>
              <w:t>Multiweek options (</w:t>
            </w:r>
            <w:r>
              <w:rPr>
                <w:i/>
                <w:iCs/>
                <w:sz w:val="20"/>
              </w:rPr>
              <w:t>if available</w:t>
            </w:r>
            <w:r>
              <w:rPr>
                <w:sz w:val="20"/>
              </w:rPr>
              <w:t>)</w:t>
            </w:r>
          </w:p>
        </w:tc>
        <w:tc>
          <w:tcPr>
            <w:tcW w:w="2040" w:type="dxa"/>
          </w:tcPr>
          <w:p>
            <w:pPr>
              <w:pStyle w:val="yTableNAm"/>
              <w:spacing w:before="0"/>
              <w:rPr>
                <w:sz w:val="20"/>
              </w:rPr>
            </w:pPr>
            <w:r>
              <w:rPr>
                <w:sz w:val="20"/>
              </w:rPr>
              <w:t>2, 5 or 10 weeks</w:t>
            </w:r>
          </w:p>
        </w:tc>
      </w:tr>
      <w:tr>
        <w:trPr>
          <w:gridAfter w:val="1"/>
          <w:wAfter w:w="8" w:type="dxa"/>
        </w:trPr>
        <w:tc>
          <w:tcPr>
            <w:tcW w:w="5040" w:type="dxa"/>
          </w:tcPr>
          <w:p>
            <w:pPr>
              <w:pStyle w:val="yTableNAm"/>
              <w:spacing w:before="0"/>
              <w:rPr>
                <w:sz w:val="20"/>
              </w:rPr>
            </w:pPr>
            <w:r>
              <w:rPr>
                <w:sz w:val="20"/>
              </w:rPr>
              <w:t>Advance sales (maximum) (</w:t>
            </w:r>
            <w:r>
              <w:rPr>
                <w:i/>
                <w:iCs/>
                <w:sz w:val="20"/>
              </w:rPr>
              <w:t>if available</w:t>
            </w:r>
            <w:r>
              <w:rPr>
                <w:sz w:val="20"/>
              </w:rPr>
              <w:t>)</w:t>
            </w:r>
          </w:p>
        </w:tc>
        <w:tc>
          <w:tcPr>
            <w:tcW w:w="2040" w:type="dxa"/>
          </w:tcPr>
          <w:p>
            <w:pPr>
              <w:pStyle w:val="yTableNAm"/>
              <w:spacing w:before="0"/>
              <w:rPr>
                <w:sz w:val="20"/>
              </w:rPr>
            </w:pPr>
            <w:r>
              <w:rPr>
                <w:sz w:val="20"/>
              </w:rPr>
              <w:t>10 weeks</w:t>
            </w:r>
          </w:p>
        </w:tc>
      </w:tr>
      <w:tr>
        <w:trPr>
          <w:gridAfter w:val="1"/>
          <w:wAfter w:w="8" w:type="dxa"/>
        </w:trPr>
        <w:tc>
          <w:tcPr>
            <w:tcW w:w="5040" w:type="dxa"/>
          </w:tcPr>
          <w:p>
            <w:pPr>
              <w:pStyle w:val="yTableNAm"/>
              <w:spacing w:before="0"/>
              <w:rPr>
                <w:sz w:val="20"/>
              </w:rPr>
            </w:pPr>
            <w:r>
              <w:rPr>
                <w:sz w:val="20"/>
              </w:rPr>
              <w:t>Games per playslip (minimum)</w:t>
            </w:r>
          </w:p>
        </w:tc>
        <w:tc>
          <w:tcPr>
            <w:tcW w:w="2040" w:type="dxa"/>
          </w:tcPr>
          <w:p>
            <w:pPr>
              <w:pStyle w:val="yTableNAm"/>
              <w:spacing w:before="0"/>
              <w:rPr>
                <w:sz w:val="20"/>
              </w:rPr>
            </w:pPr>
            <w:r>
              <w:rPr>
                <w:sz w:val="20"/>
              </w:rPr>
              <w:t>4</w:t>
            </w:r>
          </w:p>
        </w:tc>
      </w:tr>
      <w:tr>
        <w:trPr>
          <w:gridAfter w:val="1"/>
          <w:wAfter w:w="8" w:type="dxa"/>
        </w:trPr>
        <w:tc>
          <w:tcPr>
            <w:tcW w:w="5040" w:type="dxa"/>
          </w:tcPr>
          <w:p>
            <w:pPr>
              <w:pStyle w:val="yTableNAm"/>
              <w:spacing w:before="0"/>
              <w:rPr>
                <w:sz w:val="20"/>
              </w:rPr>
            </w:pPr>
            <w:r>
              <w:rPr>
                <w:sz w:val="20"/>
              </w:rPr>
              <w:t>Systems entries per playslip (maximum)</w:t>
            </w:r>
          </w:p>
        </w:tc>
        <w:tc>
          <w:tcPr>
            <w:tcW w:w="2040" w:type="dxa"/>
          </w:tcPr>
          <w:p>
            <w:pPr>
              <w:pStyle w:val="yTableNAm"/>
              <w:spacing w:before="0"/>
              <w:rPr>
                <w:sz w:val="20"/>
              </w:rPr>
            </w:pPr>
            <w:r>
              <w:rPr>
                <w:sz w:val="20"/>
              </w:rPr>
              <w:t>18</w:t>
            </w:r>
            <w:r>
              <w:rPr>
                <w:sz w:val="20"/>
              </w:rPr>
              <w:br/>
              <w:t>(subject to maximum aggregate entry cost)</w:t>
            </w:r>
          </w:p>
        </w:tc>
      </w:tr>
      <w:tr>
        <w:trPr>
          <w:gridAfter w:val="1"/>
          <w:wAfter w:w="8" w:type="dxa"/>
        </w:trPr>
        <w:tc>
          <w:tcPr>
            <w:tcW w:w="5040" w:type="dxa"/>
          </w:tcPr>
          <w:p>
            <w:pPr>
              <w:pStyle w:val="yTableNAm"/>
              <w:spacing w:before="0"/>
              <w:rPr>
                <w:sz w:val="20"/>
              </w:rPr>
            </w:pPr>
            <w:r>
              <w:rPr>
                <w:sz w:val="20"/>
              </w:rPr>
              <w:t>Games per playslip (maximum)</w:t>
            </w:r>
          </w:p>
        </w:tc>
        <w:tc>
          <w:tcPr>
            <w:tcW w:w="2040" w:type="dxa"/>
          </w:tcPr>
          <w:p>
            <w:pPr>
              <w:pStyle w:val="yTableNAm"/>
              <w:spacing w:before="0"/>
              <w:rPr>
                <w:sz w:val="20"/>
              </w:rPr>
            </w:pPr>
            <w:r>
              <w:rPr>
                <w:sz w:val="20"/>
              </w:rPr>
              <w:t>18</w:t>
            </w:r>
          </w:p>
        </w:tc>
      </w:tr>
      <w:tr>
        <w:trPr>
          <w:gridAfter w:val="1"/>
          <w:wAfter w:w="8" w:type="dxa"/>
        </w:trPr>
        <w:tc>
          <w:tcPr>
            <w:tcW w:w="5040" w:type="dxa"/>
          </w:tcPr>
          <w:p>
            <w:pPr>
              <w:pStyle w:val="yTableNAm"/>
              <w:spacing w:before="0"/>
              <w:rPr>
                <w:sz w:val="20"/>
              </w:rPr>
            </w:pPr>
            <w:r>
              <w:rPr>
                <w:sz w:val="20"/>
              </w:rPr>
              <w:t>Games per oral request (default)</w:t>
            </w:r>
          </w:p>
        </w:tc>
        <w:tc>
          <w:tcPr>
            <w:tcW w:w="2040" w:type="dxa"/>
          </w:tcPr>
          <w:p>
            <w:pPr>
              <w:pStyle w:val="yTableNAm"/>
              <w:spacing w:before="0"/>
              <w:rPr>
                <w:sz w:val="20"/>
              </w:rPr>
            </w:pPr>
            <w:r>
              <w:rPr>
                <w:sz w:val="20"/>
              </w:rPr>
              <w:t>12, 18, 25, 30 or 50</w:t>
            </w:r>
          </w:p>
        </w:tc>
      </w:tr>
      <w:tr>
        <w:trPr>
          <w:gridAfter w:val="1"/>
          <w:wAfter w:w="8" w:type="dxa"/>
        </w:trPr>
        <w:tc>
          <w:tcPr>
            <w:tcW w:w="5040" w:type="dxa"/>
          </w:tcPr>
          <w:p>
            <w:pPr>
              <w:pStyle w:val="yTableNAm"/>
              <w:spacing w:before="0"/>
              <w:rPr>
                <w:sz w:val="20"/>
              </w:rPr>
            </w:pPr>
            <w:r>
              <w:rPr>
                <w:sz w:val="20"/>
              </w:rPr>
              <w:t>Games per oral request (</w:t>
            </w:r>
            <w:r>
              <w:rPr>
                <w:i/>
                <w:iCs/>
                <w:sz w:val="20"/>
              </w:rPr>
              <w:t>if available</w:t>
            </w:r>
            <w:r>
              <w:rPr>
                <w:sz w:val="20"/>
              </w:rPr>
              <w:t>)</w:t>
            </w:r>
          </w:p>
        </w:tc>
        <w:tc>
          <w:tcPr>
            <w:tcW w:w="2040" w:type="dxa"/>
          </w:tcPr>
          <w:p>
            <w:pPr>
              <w:pStyle w:val="yTableNAm"/>
              <w:spacing w:before="0"/>
              <w:rPr>
                <w:sz w:val="20"/>
              </w:rPr>
            </w:pPr>
            <w:r>
              <w:rPr>
                <w:sz w:val="20"/>
              </w:rPr>
              <w:t>4 to 50</w:t>
            </w:r>
          </w:p>
        </w:tc>
      </w:tr>
      <w:tr>
        <w:trPr>
          <w:gridAfter w:val="1"/>
          <w:wAfter w:w="8" w:type="dxa"/>
        </w:trPr>
        <w:tc>
          <w:tcPr>
            <w:tcW w:w="5040" w:type="dxa"/>
          </w:tcPr>
          <w:p>
            <w:pPr>
              <w:pStyle w:val="yTableNAm"/>
              <w:spacing w:before="0"/>
              <w:rPr>
                <w:sz w:val="20"/>
              </w:rPr>
            </w:pPr>
            <w:r>
              <w:rPr>
                <w:sz w:val="20"/>
              </w:rPr>
              <w:t>Syndicate entries may be purchased (</w:t>
            </w:r>
            <w:r>
              <w:rPr>
                <w:i/>
                <w:iCs/>
                <w:sz w:val="20"/>
              </w:rPr>
              <w:t>if available</w:t>
            </w:r>
            <w:r>
              <w:rPr>
                <w:sz w:val="20"/>
              </w:rPr>
              <w:t>)</w:t>
            </w:r>
          </w:p>
        </w:tc>
        <w:tc>
          <w:tcPr>
            <w:tcW w:w="2040" w:type="dxa"/>
          </w:tcPr>
          <w:p>
            <w:pPr>
              <w:pStyle w:val="yTableNAm"/>
              <w:spacing w:before="0"/>
              <w:rPr>
                <w:sz w:val="20"/>
              </w:rPr>
            </w:pPr>
            <w:r>
              <w:rPr>
                <w:sz w:val="20"/>
              </w:rPr>
              <w:t>(see Part 2A)</w:t>
            </w:r>
          </w:p>
        </w:tc>
      </w:tr>
      <w:tr>
        <w:trPr>
          <w:gridAfter w:val="1"/>
          <w:wAfter w:w="8" w:type="dxa"/>
        </w:trPr>
        <w:tc>
          <w:tcPr>
            <w:tcW w:w="5040" w:type="dxa"/>
          </w:tcPr>
          <w:p>
            <w:pPr>
              <w:pStyle w:val="yTableNAm"/>
              <w:spacing w:before="0"/>
              <w:rPr>
                <w:sz w:val="20"/>
              </w:rPr>
            </w:pPr>
            <w:r>
              <w:rPr>
                <w:sz w:val="20"/>
              </w:rPr>
              <w:t>Systems entries per oral request</w:t>
            </w:r>
          </w:p>
        </w:tc>
        <w:tc>
          <w:tcPr>
            <w:tcW w:w="2040" w:type="dxa"/>
          </w:tcPr>
          <w:p>
            <w:pPr>
              <w:pStyle w:val="yTableNAm"/>
              <w:spacing w:before="0"/>
              <w:rPr>
                <w:sz w:val="20"/>
              </w:rPr>
            </w:pPr>
            <w:r>
              <w:rPr>
                <w:sz w:val="20"/>
              </w:rPr>
              <w:t>1</w:t>
            </w:r>
          </w:p>
        </w:tc>
      </w:tr>
      <w:tr>
        <w:trPr>
          <w:gridAfter w:val="1"/>
          <w:wAfter w:w="8" w:type="dxa"/>
        </w:trPr>
        <w:tc>
          <w:tcPr>
            <w:tcW w:w="5040" w:type="dxa"/>
          </w:tcPr>
          <w:p>
            <w:pPr>
              <w:pStyle w:val="yTableNAm"/>
              <w:spacing w:before="0"/>
              <w:rPr>
                <w:sz w:val="20"/>
              </w:rPr>
            </w:pPr>
            <w:r>
              <w:rPr>
                <w:sz w:val="20"/>
              </w:rPr>
              <w:t>Prize payout period</w:t>
            </w:r>
          </w:p>
        </w:tc>
        <w:tc>
          <w:tcPr>
            <w:tcW w:w="2040" w:type="dxa"/>
          </w:tcPr>
          <w:p>
            <w:pPr>
              <w:pStyle w:val="yTableNAm"/>
              <w:spacing w:before="0"/>
              <w:rPr>
                <w:sz w:val="20"/>
              </w:rPr>
            </w:pPr>
            <w:r>
              <w:rPr>
                <w:sz w:val="20"/>
              </w:rPr>
              <w:t>12 months</w:t>
            </w:r>
          </w:p>
        </w:tc>
      </w:tr>
      <w:tr>
        <w:trPr>
          <w:gridAfter w:val="1"/>
          <w:wAfter w:w="8" w:type="dxa"/>
        </w:trPr>
        <w:tc>
          <w:tcPr>
            <w:tcW w:w="5040" w:type="dxa"/>
          </w:tcPr>
          <w:p>
            <w:pPr>
              <w:pStyle w:val="yTableNAm"/>
              <w:spacing w:before="0"/>
              <w:rPr>
                <w:sz w:val="20"/>
              </w:rPr>
            </w:pPr>
            <w:r>
              <w:rPr>
                <w:sz w:val="20"/>
              </w:rPr>
              <w:t>Maximum aggregate entry cost</w:t>
            </w:r>
          </w:p>
        </w:tc>
        <w:tc>
          <w:tcPr>
            <w:tcW w:w="2040" w:type="dxa"/>
          </w:tcPr>
          <w:p>
            <w:pPr>
              <w:pStyle w:val="yTableNAm"/>
              <w:spacing w:before="0"/>
              <w:rPr>
                <w:sz w:val="20"/>
              </w:rPr>
            </w:pPr>
            <w:r>
              <w:rPr>
                <w:sz w:val="20"/>
              </w:rPr>
              <w:t>$100 000</w:t>
            </w:r>
          </w:p>
        </w:tc>
      </w:tr>
    </w:tbl>
    <w:p>
      <w:pPr>
        <w:pStyle w:val="yFootnotesection"/>
      </w:pPr>
      <w:r>
        <w:tab/>
        <w:t>[Part 2 inserted in Gazette 21 Dec 2010 p. 6767; amended in Gazette 6 May 2014 p. 1390.]</w:t>
      </w:r>
    </w:p>
    <w:p>
      <w:pPr>
        <w:pStyle w:val="CentredBaseLine"/>
        <w:jc w:val="center"/>
      </w:pPr>
      <w:r>
        <w:rPr>
          <w:noProof/>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237" w:name="_Toc391299452"/>
      <w:bookmarkStart w:id="238" w:name="_Toc391299552"/>
      <w:bookmarkStart w:id="239" w:name="_Toc406506954"/>
      <w:bookmarkStart w:id="240" w:name="_Toc421106007"/>
      <w:bookmarkStart w:id="241" w:name="_Toc421106071"/>
      <w:bookmarkStart w:id="242" w:name="_Toc463612475"/>
      <w:r>
        <w:t>Notes</w:t>
      </w:r>
      <w:bookmarkEnd w:id="237"/>
      <w:bookmarkEnd w:id="238"/>
      <w:bookmarkEnd w:id="239"/>
      <w:bookmarkEnd w:id="240"/>
      <w:bookmarkEnd w:id="241"/>
      <w:bookmarkEnd w:id="242"/>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(Saturday Lotto)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3" w:name="_Toc406506955"/>
      <w:bookmarkStart w:id="244" w:name="_Toc463612476"/>
      <w:bookmarkStart w:id="245" w:name="_Toc421106072"/>
      <w:r>
        <w:t>Compilation table</w:t>
      </w:r>
      <w:bookmarkEnd w:id="243"/>
      <w:bookmarkEnd w:id="244"/>
      <w:bookmarkEnd w:id="24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Lotteries Commission (Saturday Lotto) Rules 1996</w:t>
            </w:r>
          </w:p>
        </w:tc>
        <w:tc>
          <w:tcPr>
            <w:tcW w:w="1276" w:type="dxa"/>
            <w:tcBorders>
              <w:top w:val="single" w:sz="8" w:space="0" w:color="auto"/>
            </w:tcBorders>
          </w:tcPr>
          <w:p>
            <w:pPr>
              <w:pStyle w:val="nTable"/>
              <w:spacing w:after="40"/>
            </w:pPr>
            <w:r>
              <w:t>15 Nov 1996 p. 6529</w:t>
            </w:r>
            <w:r>
              <w:noBreakHyphen/>
              <w:t>52</w:t>
            </w:r>
          </w:p>
        </w:tc>
        <w:tc>
          <w:tcPr>
            <w:tcW w:w="2693" w:type="dxa"/>
            <w:tcBorders>
              <w:top w:val="single" w:sz="8" w:space="0" w:color="auto"/>
            </w:tcBorders>
          </w:tcPr>
          <w:p>
            <w:pPr>
              <w:pStyle w:val="nTable"/>
              <w:spacing w:after="40"/>
            </w:pPr>
            <w:r>
              <w:t>Rules other than r. 35(1): 18 Nov 1996 (see r. 2(1));</w:t>
            </w:r>
            <w:r>
              <w:br/>
              <w:t>r. 35(1): 31 Jan 1997 (see r. 2(2))</w:t>
            </w:r>
          </w:p>
        </w:tc>
      </w:tr>
      <w:tr>
        <w:trPr>
          <w:cantSplit/>
        </w:trPr>
        <w:tc>
          <w:tcPr>
            <w:tcW w:w="3119" w:type="dxa"/>
          </w:tcPr>
          <w:p>
            <w:pPr>
              <w:pStyle w:val="nTable"/>
              <w:spacing w:after="40"/>
              <w:ind w:right="113"/>
            </w:pPr>
            <w:r>
              <w:rPr>
                <w:i/>
              </w:rPr>
              <w:t>Lotteries Commission (Saturday Lotto) Amendment Rules 1997</w:t>
            </w:r>
          </w:p>
        </w:tc>
        <w:tc>
          <w:tcPr>
            <w:tcW w:w="1276" w:type="dxa"/>
          </w:tcPr>
          <w:p>
            <w:pPr>
              <w:pStyle w:val="nTable"/>
              <w:spacing w:after="40"/>
            </w:pPr>
            <w:r>
              <w:t>29 Apr 1997 p. 2147</w:t>
            </w:r>
          </w:p>
        </w:tc>
        <w:tc>
          <w:tcPr>
            <w:tcW w:w="2693" w:type="dxa"/>
          </w:tcPr>
          <w:p>
            <w:pPr>
              <w:pStyle w:val="nTable"/>
              <w:spacing w:after="40"/>
            </w:pPr>
            <w:r>
              <w:t>5 May 1997 (see r. 2)</w:t>
            </w:r>
          </w:p>
        </w:tc>
      </w:tr>
      <w:tr>
        <w:trPr>
          <w:cantSplit/>
        </w:trPr>
        <w:tc>
          <w:tcPr>
            <w:tcW w:w="3119" w:type="dxa"/>
          </w:tcPr>
          <w:p>
            <w:pPr>
              <w:pStyle w:val="nTable"/>
              <w:spacing w:after="40"/>
              <w:ind w:right="113"/>
            </w:pPr>
            <w:r>
              <w:rPr>
                <w:i/>
              </w:rPr>
              <w:t>Lotteries Commission (Lotto and Soccer Pools) Amendment Rules 1997</w:t>
            </w:r>
          </w:p>
        </w:tc>
        <w:tc>
          <w:tcPr>
            <w:tcW w:w="1276" w:type="dxa"/>
          </w:tcPr>
          <w:p>
            <w:pPr>
              <w:pStyle w:val="nTable"/>
              <w:spacing w:after="40"/>
            </w:pPr>
            <w:r>
              <w:t>31 Oct 1997 p. 6017</w:t>
            </w:r>
          </w:p>
        </w:tc>
        <w:tc>
          <w:tcPr>
            <w:tcW w:w="2693" w:type="dxa"/>
          </w:tcPr>
          <w:p>
            <w:pPr>
              <w:pStyle w:val="nTable"/>
              <w:spacing w:after="40"/>
            </w:pPr>
            <w:r>
              <w:t>3 Nov 1997 (see r. 2)</w:t>
            </w:r>
          </w:p>
        </w:tc>
      </w:tr>
      <w:tr>
        <w:trPr>
          <w:cantSplit/>
        </w:trPr>
        <w:tc>
          <w:tcPr>
            <w:tcW w:w="3119" w:type="dxa"/>
          </w:tcPr>
          <w:p>
            <w:pPr>
              <w:pStyle w:val="nTable"/>
              <w:spacing w:after="40"/>
              <w:ind w:right="113"/>
            </w:pPr>
            <w:r>
              <w:rPr>
                <w:i/>
              </w:rPr>
              <w:t>Lotteries Commission (Saturday Lotto) Amendment Rules (No. 2) 1997</w:t>
            </w:r>
          </w:p>
        </w:tc>
        <w:tc>
          <w:tcPr>
            <w:tcW w:w="1276" w:type="dxa"/>
          </w:tcPr>
          <w:p>
            <w:pPr>
              <w:pStyle w:val="nTable"/>
              <w:spacing w:after="40"/>
            </w:pPr>
            <w:r>
              <w:t>5 Dec 1997 p. 7130</w:t>
            </w:r>
            <w:r>
              <w:noBreakHyphen/>
              <w:t>1</w:t>
            </w:r>
          </w:p>
        </w:tc>
        <w:tc>
          <w:tcPr>
            <w:tcW w:w="2693" w:type="dxa"/>
          </w:tcPr>
          <w:p>
            <w:pPr>
              <w:pStyle w:val="nTable"/>
              <w:spacing w:after="40"/>
            </w:pPr>
            <w:r>
              <w:t>5 Dec 1997</w:t>
            </w:r>
          </w:p>
        </w:tc>
      </w:tr>
      <w:tr>
        <w:trPr>
          <w:cantSplit/>
        </w:trPr>
        <w:tc>
          <w:tcPr>
            <w:tcW w:w="3119" w:type="dxa"/>
          </w:tcPr>
          <w:p>
            <w:pPr>
              <w:pStyle w:val="nTable"/>
              <w:spacing w:after="40"/>
              <w:ind w:right="113"/>
              <w:rPr>
                <w:i/>
              </w:rPr>
            </w:pPr>
            <w:r>
              <w:rPr>
                <w:i/>
              </w:rPr>
              <w:t>Lotteries Commission (Saturday Lotto) Amendment Rules 2001</w:t>
            </w:r>
          </w:p>
        </w:tc>
        <w:tc>
          <w:tcPr>
            <w:tcW w:w="1276" w:type="dxa"/>
          </w:tcPr>
          <w:p>
            <w:pPr>
              <w:pStyle w:val="nTable"/>
              <w:spacing w:after="40"/>
            </w:pPr>
            <w:r>
              <w:t>9 Mar 2001 p. 1325</w:t>
            </w:r>
            <w:r>
              <w:noBreakHyphen/>
              <w:t>8</w:t>
            </w:r>
          </w:p>
        </w:tc>
        <w:tc>
          <w:tcPr>
            <w:tcW w:w="2693" w:type="dxa"/>
          </w:tcPr>
          <w:p>
            <w:pPr>
              <w:pStyle w:val="nTable"/>
              <w:spacing w:after="40"/>
            </w:pPr>
            <w:r>
              <w:t>11 Mar 2001 (see r. 2)</w:t>
            </w:r>
          </w:p>
        </w:tc>
      </w:tr>
      <w:tr>
        <w:trPr>
          <w:cantSplit/>
        </w:trPr>
        <w:tc>
          <w:tcPr>
            <w:tcW w:w="3119" w:type="dxa"/>
          </w:tcPr>
          <w:p>
            <w:pPr>
              <w:pStyle w:val="nTable"/>
              <w:spacing w:after="40"/>
              <w:ind w:right="113"/>
              <w:rPr>
                <w:i/>
              </w:rPr>
            </w:pPr>
            <w:r>
              <w:rPr>
                <w:i/>
              </w:rPr>
              <w:t>Lotteries Commission (Saturday Lotto) Amendment Rules 2002</w:t>
            </w:r>
          </w:p>
        </w:tc>
        <w:tc>
          <w:tcPr>
            <w:tcW w:w="1276" w:type="dxa"/>
          </w:tcPr>
          <w:p>
            <w:pPr>
              <w:pStyle w:val="nTable"/>
              <w:spacing w:after="40"/>
            </w:pPr>
            <w:r>
              <w:t>28 Mar 2002 p. 1765</w:t>
            </w:r>
          </w:p>
        </w:tc>
        <w:tc>
          <w:tcPr>
            <w:tcW w:w="2693" w:type="dxa"/>
          </w:tcPr>
          <w:p>
            <w:pPr>
              <w:pStyle w:val="nTable"/>
              <w:spacing w:after="40"/>
            </w:pPr>
            <w:r>
              <w:t>2 Apr 2002 (see r. 2)</w:t>
            </w:r>
          </w:p>
        </w:tc>
      </w:tr>
      <w:tr>
        <w:trPr>
          <w:cantSplit/>
        </w:trPr>
        <w:tc>
          <w:tcPr>
            <w:tcW w:w="7088" w:type="dxa"/>
            <w:gridSpan w:val="3"/>
          </w:tcPr>
          <w:p>
            <w:pPr>
              <w:pStyle w:val="nTable"/>
              <w:spacing w:after="40"/>
            </w:pPr>
            <w:r>
              <w:rPr>
                <w:b/>
              </w:rPr>
              <w:t xml:space="preserve">Reprint of the </w:t>
            </w:r>
            <w:r>
              <w:rPr>
                <w:b/>
                <w:i/>
              </w:rPr>
              <w:t>Lotteries Commission (Saturday Lotto) Rules 1996</w:t>
            </w:r>
            <w:r>
              <w:rPr>
                <w:b/>
              </w:rPr>
              <w:t xml:space="preserve"> as at 17 May 2002</w:t>
            </w:r>
            <w:r>
              <w:rPr>
                <w:b/>
              </w:rPr>
              <w:br/>
            </w:r>
            <w:r>
              <w:t>(includes amendments listed above)</w:t>
            </w:r>
          </w:p>
        </w:tc>
      </w:tr>
      <w:tr>
        <w:trPr>
          <w:cantSplit/>
        </w:trPr>
        <w:tc>
          <w:tcPr>
            <w:tcW w:w="3119" w:type="dxa"/>
          </w:tcPr>
          <w:p>
            <w:pPr>
              <w:pStyle w:val="nTable"/>
              <w:spacing w:after="40"/>
              <w:ind w:right="113"/>
              <w:rPr>
                <w:i/>
              </w:rPr>
            </w:pPr>
            <w:r>
              <w:rPr>
                <w:i/>
              </w:rPr>
              <w:t>Lotteries Commission (Saturday Lotto) Amendment Rules (No. 2) 2002</w:t>
            </w:r>
          </w:p>
        </w:tc>
        <w:tc>
          <w:tcPr>
            <w:tcW w:w="1276" w:type="dxa"/>
          </w:tcPr>
          <w:p>
            <w:pPr>
              <w:pStyle w:val="nTable"/>
              <w:spacing w:after="40"/>
            </w:pPr>
            <w:r>
              <w:t>10 Sep 2002 p. 4597</w:t>
            </w:r>
            <w:r>
              <w:noBreakHyphen/>
              <w:t>601</w:t>
            </w:r>
          </w:p>
        </w:tc>
        <w:tc>
          <w:tcPr>
            <w:tcW w:w="2693" w:type="dxa"/>
          </w:tcPr>
          <w:p>
            <w:pPr>
              <w:pStyle w:val="nTable"/>
              <w:spacing w:after="40"/>
            </w:pPr>
            <w:r>
              <w:t>29 Sep 2002 (see r. 2)</w:t>
            </w:r>
          </w:p>
        </w:tc>
      </w:tr>
      <w:tr>
        <w:trPr>
          <w:cantSplit/>
        </w:trPr>
        <w:tc>
          <w:tcPr>
            <w:tcW w:w="3119" w:type="dxa"/>
          </w:tcPr>
          <w:p>
            <w:pPr>
              <w:pStyle w:val="nTable"/>
              <w:spacing w:after="40"/>
              <w:ind w:right="113"/>
              <w:rPr>
                <w:i/>
              </w:rPr>
            </w:pPr>
            <w:r>
              <w:rPr>
                <w:i/>
              </w:rPr>
              <w:t>Lotteries Commission (Saturday Lotto) Amendment Rules 2003</w:t>
            </w:r>
          </w:p>
        </w:tc>
        <w:tc>
          <w:tcPr>
            <w:tcW w:w="1276" w:type="dxa"/>
          </w:tcPr>
          <w:p>
            <w:pPr>
              <w:pStyle w:val="nTable"/>
              <w:spacing w:after="40"/>
            </w:pPr>
            <w:r>
              <w:t>8 Aug 2003 p. 3577</w:t>
            </w:r>
            <w:r>
              <w:noBreakHyphen/>
              <w:t>8</w:t>
            </w:r>
          </w:p>
        </w:tc>
        <w:tc>
          <w:tcPr>
            <w:tcW w:w="2693" w:type="dxa"/>
          </w:tcPr>
          <w:p>
            <w:pPr>
              <w:pStyle w:val="nTable"/>
              <w:spacing w:after="40"/>
            </w:pPr>
            <w:r>
              <w:t>10 Aug 2003 (see r. 2)</w:t>
            </w:r>
          </w:p>
        </w:tc>
      </w:tr>
      <w:tr>
        <w:trPr>
          <w:cantSplit/>
        </w:trPr>
        <w:tc>
          <w:tcPr>
            <w:tcW w:w="3119" w:type="dxa"/>
          </w:tcPr>
          <w:p>
            <w:pPr>
              <w:pStyle w:val="nTable"/>
              <w:spacing w:after="40"/>
              <w:ind w:right="113"/>
              <w:rPr>
                <w:i/>
              </w:rPr>
            </w:pPr>
            <w:r>
              <w:rPr>
                <w:i/>
              </w:rPr>
              <w:t>Lotteries Commission (Saturday Lotto) Amendment Rules 2005</w:t>
            </w:r>
          </w:p>
        </w:tc>
        <w:tc>
          <w:tcPr>
            <w:tcW w:w="1276" w:type="dxa"/>
          </w:tcPr>
          <w:p>
            <w:pPr>
              <w:pStyle w:val="nTable"/>
              <w:spacing w:after="40"/>
            </w:pPr>
            <w:r>
              <w:t>23 Dec 2005 p. 6274</w:t>
            </w:r>
            <w:r>
              <w:noBreakHyphen/>
              <w:t>5</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Lotteries Commission (Saturday Lotto) Amendment Rules 2006</w:t>
            </w:r>
          </w:p>
        </w:tc>
        <w:tc>
          <w:tcPr>
            <w:tcW w:w="1276" w:type="dxa"/>
          </w:tcPr>
          <w:p>
            <w:pPr>
              <w:pStyle w:val="nTable"/>
              <w:spacing w:after="40"/>
            </w:pPr>
            <w:r>
              <w:t>10 Feb 2006 p. 661</w:t>
            </w:r>
            <w:r>
              <w:noBreakHyphen/>
              <w:t>5</w:t>
            </w:r>
          </w:p>
        </w:tc>
        <w:tc>
          <w:tcPr>
            <w:tcW w:w="2693" w:type="dxa"/>
          </w:tcPr>
          <w:p>
            <w:pPr>
              <w:pStyle w:val="nTable"/>
              <w:spacing w:after="40"/>
            </w:pPr>
            <w:r>
              <w:t>12 Mar 2006 (see r. 2)</w:t>
            </w:r>
          </w:p>
        </w:tc>
      </w:tr>
      <w:tr>
        <w:trPr>
          <w:cantSplit/>
        </w:trPr>
        <w:tc>
          <w:tcPr>
            <w:tcW w:w="7088" w:type="dxa"/>
            <w:gridSpan w:val="3"/>
          </w:tcPr>
          <w:p>
            <w:pPr>
              <w:pStyle w:val="nTable"/>
              <w:spacing w:after="40"/>
            </w:pPr>
            <w:r>
              <w:rPr>
                <w:b/>
              </w:rPr>
              <w:t xml:space="preserve">Reprint 2: The </w:t>
            </w:r>
            <w:r>
              <w:rPr>
                <w:b/>
                <w:i/>
              </w:rPr>
              <w:t>Lotteries Commission (Saturday Lotto) Rules 1996</w:t>
            </w:r>
            <w:r>
              <w:rPr>
                <w:b/>
              </w:rPr>
              <w:t xml:space="preserve"> as at 4 Aug 2006</w:t>
            </w:r>
            <w:r>
              <w:rPr>
                <w:b/>
              </w:rPr>
              <w:br/>
            </w:r>
            <w:r>
              <w:t>(includes amendments listed above)</w:t>
            </w:r>
          </w:p>
        </w:tc>
      </w:tr>
      <w:tr>
        <w:trPr>
          <w:cantSplit/>
        </w:trPr>
        <w:tc>
          <w:tcPr>
            <w:tcW w:w="3119" w:type="dxa"/>
          </w:tcPr>
          <w:p>
            <w:pPr>
              <w:pStyle w:val="nTable"/>
              <w:spacing w:after="40"/>
              <w:ind w:right="113"/>
              <w:rPr>
                <w:i/>
              </w:rPr>
            </w:pPr>
            <w:r>
              <w:rPr>
                <w:i/>
              </w:rPr>
              <w:t>Lotteries Commission (Saturday Lotto) Amendment Rules (No. 2) 2006</w:t>
            </w:r>
          </w:p>
        </w:tc>
        <w:tc>
          <w:tcPr>
            <w:tcW w:w="1276" w:type="dxa"/>
          </w:tcPr>
          <w:p>
            <w:pPr>
              <w:pStyle w:val="nTable"/>
              <w:spacing w:after="40"/>
            </w:pPr>
            <w:r>
              <w:t>29 Sep 2006 p. 4267</w:t>
            </w:r>
            <w:r>
              <w:noBreakHyphen/>
              <w:t>8</w:t>
            </w:r>
          </w:p>
        </w:tc>
        <w:tc>
          <w:tcPr>
            <w:tcW w:w="2693" w:type="dxa"/>
          </w:tcPr>
          <w:p>
            <w:pPr>
              <w:pStyle w:val="nTable"/>
              <w:spacing w:after="40"/>
            </w:pPr>
            <w:r>
              <w:t>29 Sep 2006</w:t>
            </w:r>
          </w:p>
        </w:tc>
      </w:tr>
      <w:tr>
        <w:trPr>
          <w:cantSplit/>
        </w:trPr>
        <w:tc>
          <w:tcPr>
            <w:tcW w:w="3119" w:type="dxa"/>
          </w:tcPr>
          <w:p>
            <w:pPr>
              <w:pStyle w:val="nTable"/>
              <w:spacing w:after="40"/>
              <w:ind w:right="113"/>
              <w:rPr>
                <w:i/>
              </w:rPr>
            </w:pPr>
            <w:r>
              <w:rPr>
                <w:i/>
              </w:rPr>
              <w:t>Lotteries Commission (Saturday Lotto) Amendment Rules 2007</w:t>
            </w:r>
          </w:p>
        </w:tc>
        <w:tc>
          <w:tcPr>
            <w:tcW w:w="1276" w:type="dxa"/>
          </w:tcPr>
          <w:p>
            <w:pPr>
              <w:pStyle w:val="nTable"/>
              <w:spacing w:after="40"/>
            </w:pPr>
            <w:r>
              <w:t>26 Jun 2007 p. 3053</w:t>
            </w:r>
            <w:r>
              <w:noBreakHyphen/>
              <w:t>4</w:t>
            </w:r>
          </w:p>
        </w:tc>
        <w:tc>
          <w:tcPr>
            <w:tcW w:w="2693" w:type="dxa"/>
          </w:tcPr>
          <w:p>
            <w:pPr>
              <w:pStyle w:val="nTable"/>
              <w:spacing w:after="40"/>
            </w:pPr>
            <w:r>
              <w:rPr>
                <w:snapToGrid w:val="0"/>
              </w:rPr>
              <w:t>r. 1 and 2: 26 Jun 2007 (see r. 2(a));</w:t>
            </w:r>
            <w:r>
              <w:rPr>
                <w:snapToGrid w:val="0"/>
              </w:rPr>
              <w:br/>
              <w:t>Rules other than r. 1 and 2: 27 Jun 2007 (see r. 2(b))</w:t>
            </w:r>
          </w:p>
        </w:tc>
      </w:tr>
      <w:tr>
        <w:trPr>
          <w:cantSplit/>
        </w:trPr>
        <w:tc>
          <w:tcPr>
            <w:tcW w:w="3119" w:type="dxa"/>
          </w:tcPr>
          <w:p>
            <w:pPr>
              <w:pStyle w:val="nTable"/>
              <w:spacing w:after="40"/>
              <w:ind w:right="113"/>
              <w:rPr>
                <w:i/>
              </w:rPr>
            </w:pPr>
            <w:r>
              <w:rPr>
                <w:i/>
              </w:rPr>
              <w:t>Lotteries Commission (Saturday Lotto) Amendment Rules 2008</w:t>
            </w:r>
          </w:p>
        </w:tc>
        <w:tc>
          <w:tcPr>
            <w:tcW w:w="1276" w:type="dxa"/>
          </w:tcPr>
          <w:p>
            <w:pPr>
              <w:pStyle w:val="nTable"/>
              <w:spacing w:after="40"/>
            </w:pPr>
            <w:r>
              <w:t>6 Jun 2008 p. 2253</w:t>
            </w:r>
            <w:r>
              <w:noBreakHyphen/>
              <w:t>74</w:t>
            </w:r>
          </w:p>
        </w:tc>
        <w:tc>
          <w:tcPr>
            <w:tcW w:w="2693" w:type="dxa"/>
          </w:tcPr>
          <w:p>
            <w:pPr>
              <w:pStyle w:val="nTable"/>
              <w:spacing w:after="40"/>
              <w:rPr>
                <w:snapToGrid w:val="0"/>
              </w:rPr>
            </w:pPr>
            <w:r>
              <w:rPr>
                <w:snapToGrid w:val="0"/>
              </w:rPr>
              <w:t>r. 1 and 2: 6 Jun 2008 (see r. 2(a));</w:t>
            </w:r>
            <w:r>
              <w:rPr>
                <w:snapToGrid w:val="0"/>
              </w:rPr>
              <w:br/>
              <w:t>Rules other than r. 1 and 2: 8 Jun 2008 (see r. 2(b))</w:t>
            </w:r>
          </w:p>
        </w:tc>
      </w:tr>
      <w:tr>
        <w:trPr>
          <w:cantSplit/>
        </w:trPr>
        <w:tc>
          <w:tcPr>
            <w:tcW w:w="3119" w:type="dxa"/>
          </w:tcPr>
          <w:p>
            <w:pPr>
              <w:pStyle w:val="nTable"/>
              <w:spacing w:after="40"/>
              <w:ind w:right="113"/>
              <w:rPr>
                <w:i/>
              </w:rPr>
            </w:pPr>
            <w:r>
              <w:rPr>
                <w:i/>
              </w:rPr>
              <w:t>Lotteries Commission (Saturday Lotto) Amendment Rules (No. 2) 2008</w:t>
            </w:r>
          </w:p>
        </w:tc>
        <w:tc>
          <w:tcPr>
            <w:tcW w:w="1276" w:type="dxa"/>
          </w:tcPr>
          <w:p>
            <w:pPr>
              <w:pStyle w:val="nTable"/>
              <w:spacing w:after="40"/>
            </w:pPr>
            <w:r>
              <w:t>3 Oct 2008 p. 4497</w:t>
            </w:r>
            <w:r>
              <w:noBreakHyphen/>
              <w:t>9</w:t>
            </w:r>
          </w:p>
        </w:tc>
        <w:tc>
          <w:tcPr>
            <w:tcW w:w="2693" w:type="dxa"/>
          </w:tcPr>
          <w:p>
            <w:pPr>
              <w:pStyle w:val="nTable"/>
              <w:spacing w:after="40"/>
              <w:rPr>
                <w:snapToGrid w:val="0"/>
              </w:rPr>
            </w:pPr>
            <w:r>
              <w:rPr>
                <w:snapToGrid w:val="0"/>
              </w:rPr>
              <w:t>r. 1 and 2: 3 Oct 2008 (see r. 2(a));</w:t>
            </w:r>
            <w:r>
              <w:rPr>
                <w:snapToGrid w:val="0"/>
              </w:rPr>
              <w:br/>
              <w:t>Rules other than r. 1 and 2: 12 Oct 2008 (see r. 2(b) and applies to Saturday lotto draws conducted on or after 18 Oct 2008)</w:t>
            </w:r>
          </w:p>
        </w:tc>
      </w:tr>
      <w:tr>
        <w:trPr>
          <w:cantSplit/>
        </w:trPr>
        <w:tc>
          <w:tcPr>
            <w:tcW w:w="7088" w:type="dxa"/>
            <w:gridSpan w:val="3"/>
          </w:tcPr>
          <w:p>
            <w:pPr>
              <w:pStyle w:val="nTable"/>
              <w:spacing w:after="40"/>
              <w:rPr>
                <w:snapToGrid w:val="0"/>
              </w:rPr>
            </w:pPr>
            <w:r>
              <w:rPr>
                <w:b/>
              </w:rPr>
              <w:t xml:space="preserve">Reprint 3: The </w:t>
            </w:r>
            <w:r>
              <w:rPr>
                <w:b/>
                <w:i/>
              </w:rPr>
              <w:t>Lotteries Commission (Saturday Lotto) Rules 1996</w:t>
            </w:r>
            <w:r>
              <w:rPr>
                <w:b/>
              </w:rPr>
              <w:t xml:space="preserve"> as at 13 Mar 2009</w:t>
            </w:r>
            <w:r>
              <w:rPr>
                <w:b/>
              </w:rPr>
              <w:br/>
            </w:r>
            <w:r>
              <w:t>(includes amendments listed above)</w:t>
            </w:r>
          </w:p>
        </w:tc>
      </w:tr>
      <w:tr>
        <w:tc>
          <w:tcPr>
            <w:tcW w:w="3119" w:type="dxa"/>
          </w:tcPr>
          <w:p>
            <w:pPr>
              <w:pStyle w:val="nTable"/>
              <w:spacing w:after="40"/>
              <w:rPr>
                <w:iCs/>
              </w:rPr>
            </w:pPr>
            <w:r>
              <w:rPr>
                <w:i/>
              </w:rPr>
              <w:t>Lotteries Commission Amendment Rules 2009</w:t>
            </w:r>
            <w:r>
              <w:rPr>
                <w:iCs/>
              </w:rPr>
              <w:t xml:space="preserve"> Pt. 3</w:t>
            </w:r>
          </w:p>
        </w:tc>
        <w:tc>
          <w:tcPr>
            <w:tcW w:w="1276" w:type="dxa"/>
          </w:tcPr>
          <w:p>
            <w:pPr>
              <w:pStyle w:val="nTable"/>
              <w:spacing w:after="40"/>
            </w:pPr>
            <w:r>
              <w:t>15 May 2009 p. 1632</w:t>
            </w:r>
            <w:r>
              <w:noBreakHyphen/>
              <w:t>5</w:t>
            </w:r>
          </w:p>
        </w:tc>
        <w:tc>
          <w:tcPr>
            <w:tcW w:w="2693" w:type="dxa"/>
          </w:tcPr>
          <w:p>
            <w:pPr>
              <w:pStyle w:val="nTable"/>
              <w:spacing w:after="40"/>
              <w:rPr>
                <w:rFonts w:ascii="Times" w:hAnsi="Times"/>
              </w:rPr>
            </w:pPr>
            <w:r>
              <w:rPr>
                <w:rFonts w:ascii="Times" w:hAnsi="Times"/>
              </w:rPr>
              <w:t>17 May 2009 (see r. 2(b))</w:t>
            </w:r>
          </w:p>
        </w:tc>
      </w:tr>
      <w:tr>
        <w:tc>
          <w:tcPr>
            <w:tcW w:w="3119" w:type="dxa"/>
          </w:tcPr>
          <w:p>
            <w:pPr>
              <w:pStyle w:val="nTable"/>
              <w:spacing w:after="40"/>
              <w:rPr>
                <w:i/>
              </w:rPr>
            </w:pPr>
            <w:r>
              <w:rPr>
                <w:i/>
              </w:rPr>
              <w:t>Lotteries Commission (Saturday Lotto) Amendment Rules 2010</w:t>
            </w:r>
          </w:p>
        </w:tc>
        <w:tc>
          <w:tcPr>
            <w:tcW w:w="1276" w:type="dxa"/>
          </w:tcPr>
          <w:p>
            <w:pPr>
              <w:pStyle w:val="nTable"/>
              <w:spacing w:after="40"/>
            </w:pPr>
            <w:r>
              <w:t>12 Mar 2010 p. 948</w:t>
            </w:r>
            <w:r>
              <w:noBreakHyphen/>
              <w:t>50</w:t>
            </w:r>
          </w:p>
        </w:tc>
        <w:tc>
          <w:tcPr>
            <w:tcW w:w="2693" w:type="dxa"/>
          </w:tcPr>
          <w:p>
            <w:pPr>
              <w:pStyle w:val="nTable"/>
              <w:spacing w:after="40"/>
              <w:rPr>
                <w:rFonts w:ascii="Times" w:hAnsi="Times"/>
              </w:rPr>
            </w:pPr>
            <w:r>
              <w:rPr>
                <w:rFonts w:ascii="Times" w:hAnsi="Times"/>
                <w:snapToGrid w:val="0"/>
              </w:rPr>
              <w:t>r. 1 and 2: 12 Mar 2010 (see r. 2(a));</w:t>
            </w:r>
            <w:r>
              <w:rPr>
                <w:rFonts w:ascii="Times" w:hAnsi="Times"/>
                <w:snapToGrid w:val="0"/>
              </w:rPr>
              <w:br/>
              <w:t>Rules other than r. 1 and 2: 14 Mar 2010 (see r. 2(b))</w:t>
            </w:r>
          </w:p>
        </w:tc>
      </w:tr>
      <w:tr>
        <w:tc>
          <w:tcPr>
            <w:tcW w:w="3119" w:type="dxa"/>
          </w:tcPr>
          <w:p>
            <w:pPr>
              <w:pStyle w:val="nTable"/>
              <w:spacing w:after="40"/>
              <w:rPr>
                <w:i/>
              </w:rPr>
            </w:pPr>
            <w:r>
              <w:rPr>
                <w:i/>
              </w:rPr>
              <w:t>Lotteries Commission (Saturday Lotto) Amendment Rules (No. 2) 2010</w:t>
            </w:r>
          </w:p>
        </w:tc>
        <w:tc>
          <w:tcPr>
            <w:tcW w:w="1276" w:type="dxa"/>
          </w:tcPr>
          <w:p>
            <w:pPr>
              <w:pStyle w:val="nTable"/>
              <w:spacing w:after="40"/>
            </w:pPr>
            <w:r>
              <w:t>19 Nov 2010 p. 5729</w:t>
            </w:r>
            <w:r>
              <w:noBreakHyphen/>
              <w:t>32</w:t>
            </w:r>
          </w:p>
        </w:tc>
        <w:tc>
          <w:tcPr>
            <w:tcW w:w="2693" w:type="dxa"/>
          </w:tcPr>
          <w:p>
            <w:pPr>
              <w:pStyle w:val="nTable"/>
              <w:spacing w:after="40"/>
              <w:rPr>
                <w:rFonts w:ascii="Times" w:hAnsi="Times"/>
                <w:snapToGrid w:val="0"/>
              </w:rPr>
            </w:pPr>
            <w:r>
              <w:rPr>
                <w:rFonts w:ascii="Times" w:hAnsi="Times"/>
                <w:snapToGrid w:val="0"/>
              </w:rPr>
              <w:t>r. 1 and 2: 19 Nov 2010 (see r. 2(a));</w:t>
            </w:r>
            <w:r>
              <w:rPr>
                <w:rFonts w:ascii="Times" w:hAnsi="Times"/>
                <w:snapToGrid w:val="0"/>
              </w:rPr>
              <w:br/>
              <w:t>Rules other than r. 1 and 2: 20 Nov 2010 (see r. 2(b))</w:t>
            </w:r>
          </w:p>
        </w:tc>
      </w:tr>
      <w:tr>
        <w:tc>
          <w:tcPr>
            <w:tcW w:w="3119" w:type="dxa"/>
            <w:shd w:val="clear" w:color="auto" w:fill="auto"/>
          </w:tcPr>
          <w:p>
            <w:pPr>
              <w:pStyle w:val="nTable"/>
              <w:spacing w:after="40"/>
              <w:rPr>
                <w:i/>
              </w:rPr>
            </w:pPr>
            <w:r>
              <w:rPr>
                <w:i/>
              </w:rPr>
              <w:t>Lotteries Commission (Saturday Lotto) Amendment Rules (No. 3) 2010</w:t>
            </w:r>
          </w:p>
        </w:tc>
        <w:tc>
          <w:tcPr>
            <w:tcW w:w="1276" w:type="dxa"/>
            <w:shd w:val="clear" w:color="auto" w:fill="auto"/>
          </w:tcPr>
          <w:p>
            <w:pPr>
              <w:pStyle w:val="nTable"/>
              <w:spacing w:after="40"/>
            </w:pPr>
            <w:r>
              <w:t>21 Dec 2010 p. 6763</w:t>
            </w:r>
            <w:r>
              <w:noBreakHyphen/>
              <w:t>7</w:t>
            </w:r>
          </w:p>
        </w:tc>
        <w:tc>
          <w:tcPr>
            <w:tcW w:w="2693" w:type="dxa"/>
            <w:shd w:val="clear" w:color="auto" w:fill="auto"/>
          </w:tcPr>
          <w:p>
            <w:pPr>
              <w:pStyle w:val="nTable"/>
              <w:spacing w:after="40"/>
              <w:rPr>
                <w:rFonts w:ascii="Times" w:hAnsi="Times"/>
                <w:snapToGrid w:val="0"/>
              </w:rPr>
            </w:pPr>
            <w:r>
              <w:rPr>
                <w:rFonts w:ascii="Times" w:hAnsi="Times"/>
                <w:snapToGrid w:val="0"/>
              </w:rPr>
              <w:t>r. 1 and 2: 21 Dec 2010 (see r. 2(a));</w:t>
            </w:r>
            <w:r>
              <w:rPr>
                <w:rFonts w:ascii="Times" w:hAnsi="Times"/>
                <w:snapToGrid w:val="0"/>
              </w:rPr>
              <w:br/>
              <w:t xml:space="preserve">Rules other than r. 1 and 2: </w:t>
            </w:r>
            <w:r>
              <w:rPr>
                <w:rFonts w:ascii="Times" w:hAnsi="Times"/>
              </w:rPr>
              <w:t>23 Jan 2011 (see r. 2(b))</w:t>
            </w:r>
          </w:p>
        </w:tc>
      </w:tr>
      <w:tr>
        <w:tc>
          <w:tcPr>
            <w:tcW w:w="7088" w:type="dxa"/>
            <w:gridSpan w:val="3"/>
            <w:shd w:val="clear" w:color="auto" w:fill="auto"/>
          </w:tcPr>
          <w:p>
            <w:pPr>
              <w:pStyle w:val="nTable"/>
              <w:spacing w:after="40"/>
              <w:rPr>
                <w:rFonts w:ascii="Times" w:hAnsi="Times"/>
                <w:snapToGrid w:val="0"/>
              </w:rPr>
            </w:pPr>
            <w:r>
              <w:rPr>
                <w:b/>
              </w:rPr>
              <w:t xml:space="preserve">Reprint 4: The </w:t>
            </w:r>
            <w:r>
              <w:rPr>
                <w:b/>
                <w:i/>
              </w:rPr>
              <w:t>Lotteries Commission (Saturday Lotto) Rules 1996</w:t>
            </w:r>
            <w:r>
              <w:rPr>
                <w:b/>
              </w:rPr>
              <w:t xml:space="preserve"> as at 19 Oct 2012</w:t>
            </w:r>
            <w:r>
              <w:rPr>
                <w:b/>
              </w:rPr>
              <w:br/>
            </w:r>
            <w:r>
              <w:t>(includes amendments listed above)</w:t>
            </w:r>
          </w:p>
        </w:tc>
      </w:tr>
      <w:tr>
        <w:tc>
          <w:tcPr>
            <w:tcW w:w="3119" w:type="dxa"/>
            <w:shd w:val="clear" w:color="auto" w:fill="auto"/>
          </w:tcPr>
          <w:p>
            <w:pPr>
              <w:pStyle w:val="nTable"/>
              <w:spacing w:after="40"/>
              <w:rPr>
                <w:i/>
              </w:rPr>
            </w:pPr>
            <w:r>
              <w:rPr>
                <w:i/>
              </w:rPr>
              <w:t>Lotteries Commission (Saturday Lotto) Amendment Rules 2014</w:t>
            </w:r>
          </w:p>
        </w:tc>
        <w:tc>
          <w:tcPr>
            <w:tcW w:w="1276" w:type="dxa"/>
            <w:shd w:val="clear" w:color="auto" w:fill="auto"/>
          </w:tcPr>
          <w:p>
            <w:pPr>
              <w:pStyle w:val="nTable"/>
              <w:spacing w:after="40"/>
            </w:pPr>
            <w:r>
              <w:t>6 May 2014 p. 1386</w:t>
            </w:r>
            <w:r>
              <w:noBreakHyphen/>
              <w:t>90</w:t>
            </w:r>
          </w:p>
        </w:tc>
        <w:tc>
          <w:tcPr>
            <w:tcW w:w="2693" w:type="dxa"/>
            <w:shd w:val="clear" w:color="auto" w:fill="auto"/>
          </w:tcPr>
          <w:p>
            <w:pPr>
              <w:pStyle w:val="nTable"/>
              <w:spacing w:after="40"/>
              <w:rPr>
                <w:rFonts w:ascii="Times" w:hAnsi="Times"/>
                <w:snapToGrid w:val="0"/>
              </w:rPr>
            </w:pPr>
            <w:r>
              <w:rPr>
                <w:rFonts w:ascii="Times" w:hAnsi="Times"/>
                <w:snapToGrid w:val="0"/>
              </w:rPr>
              <w:t>r. 1 and 2: 6 May 2014 (see r. 2(a));</w:t>
            </w:r>
            <w:r>
              <w:rPr>
                <w:rFonts w:ascii="Times" w:hAnsi="Times"/>
                <w:snapToGrid w:val="0"/>
              </w:rPr>
              <w:br/>
              <w:t xml:space="preserve">Rules other than r. 1 and 2: </w:t>
            </w:r>
            <w:r>
              <w:rPr>
                <w:rFonts w:ascii="Times" w:hAnsi="Times"/>
              </w:rPr>
              <w:t>7 May 2014 (see r. 2(b))</w:t>
            </w:r>
          </w:p>
        </w:tc>
      </w:tr>
      <w:tr>
        <w:tc>
          <w:tcPr>
            <w:tcW w:w="3119" w:type="dxa"/>
            <w:shd w:val="clear" w:color="auto" w:fill="auto"/>
          </w:tcPr>
          <w:p>
            <w:pPr>
              <w:pStyle w:val="nTable"/>
              <w:spacing w:after="40"/>
              <w:rPr>
                <w:i/>
              </w:rPr>
            </w:pPr>
            <w:r>
              <w:rPr>
                <w:i/>
              </w:rPr>
              <w:t>Lotteries Commission (Saturday Lotto) Amendment Rules (No. 2) 2014</w:t>
            </w:r>
          </w:p>
        </w:tc>
        <w:tc>
          <w:tcPr>
            <w:tcW w:w="1276" w:type="dxa"/>
            <w:shd w:val="clear" w:color="auto" w:fill="auto"/>
          </w:tcPr>
          <w:p>
            <w:pPr>
              <w:pStyle w:val="nTable"/>
              <w:spacing w:after="40"/>
            </w:pPr>
            <w:r>
              <w:t>24 Jun 2014 p. 2093</w:t>
            </w:r>
            <w:r>
              <w:noBreakHyphen/>
              <w:t>4</w:t>
            </w:r>
          </w:p>
        </w:tc>
        <w:tc>
          <w:tcPr>
            <w:tcW w:w="2693" w:type="dxa"/>
            <w:shd w:val="clear" w:color="auto" w:fill="auto"/>
          </w:tcPr>
          <w:p>
            <w:pPr>
              <w:pStyle w:val="nTable"/>
              <w:spacing w:after="40"/>
              <w:rPr>
                <w:rFonts w:ascii="Times" w:hAnsi="Times"/>
                <w:snapToGrid w:val="0"/>
              </w:rPr>
            </w:pPr>
            <w:r>
              <w:rPr>
                <w:rFonts w:ascii="Times" w:hAnsi="Times"/>
                <w:snapToGrid w:val="0"/>
              </w:rPr>
              <w:t>r. 1 and 2: 24 Jun 2014 (see r. 2(a));</w:t>
            </w:r>
            <w:r>
              <w:rPr>
                <w:rFonts w:ascii="Times" w:hAnsi="Times"/>
                <w:snapToGrid w:val="0"/>
              </w:rPr>
              <w:br/>
              <w:t>Rules other than r. 1 and 2: 25</w:t>
            </w:r>
            <w:r>
              <w:rPr>
                <w:rFonts w:ascii="Times" w:hAnsi="Times"/>
              </w:rPr>
              <w:t> Jun 2014 (see r. 2(b))</w:t>
            </w:r>
          </w:p>
        </w:tc>
      </w:tr>
      <w:tr>
        <w:tc>
          <w:tcPr>
            <w:tcW w:w="3119" w:type="dxa"/>
            <w:shd w:val="clear" w:color="auto" w:fill="auto"/>
          </w:tcPr>
          <w:p>
            <w:pPr>
              <w:pStyle w:val="nTable"/>
              <w:spacing w:after="40"/>
              <w:rPr>
                <w:i/>
              </w:rPr>
            </w:pPr>
            <w:r>
              <w:rPr>
                <w:i/>
              </w:rPr>
              <w:t>Lotteries Commission (Saturday Lotto) Amendment Rules (No. 3) 2014</w:t>
            </w:r>
          </w:p>
        </w:tc>
        <w:tc>
          <w:tcPr>
            <w:tcW w:w="1276" w:type="dxa"/>
            <w:shd w:val="clear" w:color="auto" w:fill="auto"/>
          </w:tcPr>
          <w:p>
            <w:pPr>
              <w:pStyle w:val="nTable"/>
              <w:spacing w:after="40"/>
            </w:pPr>
            <w:r>
              <w:t>16 Dec 2014 p. 4761</w:t>
            </w:r>
            <w:r>
              <w:noBreakHyphen/>
              <w:t>2</w:t>
            </w:r>
          </w:p>
        </w:tc>
        <w:tc>
          <w:tcPr>
            <w:tcW w:w="2693" w:type="dxa"/>
            <w:shd w:val="clear" w:color="auto" w:fill="auto"/>
          </w:tcPr>
          <w:p>
            <w:pPr>
              <w:pStyle w:val="nTable"/>
              <w:spacing w:after="40"/>
              <w:rPr>
                <w:rFonts w:ascii="Times" w:hAnsi="Times"/>
                <w:snapToGrid w:val="0"/>
              </w:rPr>
            </w:pPr>
            <w:r>
              <w:rPr>
                <w:rFonts w:ascii="Times" w:hAnsi="Times"/>
                <w:bCs/>
                <w:snapToGrid w:val="0"/>
                <w:spacing w:val="-2"/>
              </w:rPr>
              <w:t>r. 1 and 2: 16 Dec 2014 (see r. 2(a));</w:t>
            </w:r>
            <w:r>
              <w:rPr>
                <w:rFonts w:ascii="Times" w:hAnsi="Times"/>
                <w:bCs/>
                <w:snapToGrid w:val="0"/>
                <w:spacing w:val="-2"/>
              </w:rPr>
              <w:br/>
              <w:t>Rules other than r. 1 and 2: 17 Dec 2014 (see r. 2(b))</w:t>
            </w:r>
          </w:p>
        </w:tc>
      </w:tr>
      <w:tr>
        <w:trPr>
          <w:ins w:id="246" w:author="Master Repository Process" w:date="2021-08-29T03:49:00Z"/>
        </w:trPr>
        <w:tc>
          <w:tcPr>
            <w:tcW w:w="7088" w:type="dxa"/>
            <w:gridSpan w:val="3"/>
            <w:tcBorders>
              <w:bottom w:val="single" w:sz="4" w:space="0" w:color="auto"/>
            </w:tcBorders>
            <w:shd w:val="clear" w:color="auto" w:fill="auto"/>
          </w:tcPr>
          <w:p>
            <w:pPr>
              <w:pStyle w:val="nTable"/>
              <w:spacing w:after="40"/>
              <w:rPr>
                <w:ins w:id="247" w:author="Master Repository Process" w:date="2021-08-29T03:49:00Z"/>
                <w:rFonts w:ascii="Times" w:hAnsi="Times"/>
                <w:b/>
                <w:bCs/>
                <w:snapToGrid w:val="0"/>
                <w:spacing w:val="-2"/>
              </w:rPr>
            </w:pPr>
            <w:ins w:id="248" w:author="Master Repository Process" w:date="2021-08-29T03:49:00Z">
              <w:r>
                <w:rPr>
                  <w:rFonts w:ascii="Times" w:hAnsi="Times"/>
                  <w:b/>
                  <w:bCs/>
                  <w:snapToGrid w:val="0"/>
                  <w:color w:val="FF0000"/>
                  <w:spacing w:val="-2"/>
                </w:rPr>
                <w:t xml:space="preserve">These rules were repealed by the </w:t>
              </w:r>
              <w:r>
                <w:rPr>
                  <w:rFonts w:ascii="Times" w:hAnsi="Times"/>
                  <w:b/>
                  <w:bCs/>
                  <w:i/>
                  <w:snapToGrid w:val="0"/>
                  <w:color w:val="FF0000"/>
                  <w:spacing w:val="-2"/>
                </w:rPr>
                <w:t>Lotteries Commission (Authorised Lotteries) Rules 2016</w:t>
              </w:r>
              <w:r>
                <w:rPr>
                  <w:rFonts w:ascii="Times" w:hAnsi="Times"/>
                  <w:b/>
                  <w:bCs/>
                  <w:snapToGrid w:val="0"/>
                  <w:color w:val="FF0000"/>
                  <w:spacing w:val="-2"/>
                </w:rPr>
                <w:t xml:space="preserve"> r. 146(f) as at 8 Oct 2016 (see r. 2(b))</w:t>
              </w:r>
            </w:ins>
          </w:p>
        </w:tc>
      </w:tr>
    </w:tbl>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Lotteries Commission (Saturday Lotto) Rules 1996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(Saturday Lotto) Rules 1996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(Saturday Lotto) Rules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(Saturday Lotto) Rules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6" w:name="Schedule"/>
    <w:bookmarkEnd w:id="2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Lotteries Commission (Saturday Lotto) Rules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(Saturday Lotto) Rules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9" w:name="Compilation"/>
    <w:bookmarkEnd w:id="2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0" w:name="Coversheet"/>
    <w:bookmarkEnd w:id="2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D3C62E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95C1EA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4D22FE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42EA29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3481DB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1237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A909ED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35AA6A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5281E1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32C12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0B226B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00706"/>
    <w:docVar w:name="WAFER_20140203160931" w:val="RemoveTocBookmarks,RemoveUnusedBookmarks,RemoveLanguageTags,UsedStyles,ResetPageSize,UpdateArrangement"/>
    <w:docVar w:name="WAFER_20140203160931_GUID" w:val="661ec98e-1977-455c-8975-41af212d2ed8"/>
    <w:docVar w:name="WAFER_20140203161546" w:val="RemoveTocBookmarks,RunningHeaders"/>
    <w:docVar w:name="WAFER_20140203161546_GUID" w:val="369c8709-e82b-494a-8c04-b7cf7c79a1bb"/>
    <w:docVar w:name="WAFER_20140214120234" w:val="ResetStyles"/>
    <w:docVar w:name="WAFER_20140214120234_GUID" w:val="2f90f087-07f5-49fb-882b-5ae84db5547a"/>
    <w:docVar w:name="WAFER_20140505104918" w:val="RemoveTocBookmarks,RemoveUnusedBookmarks,RemoveLanguageTags,UsedStyles,ResetPageSize,UpdateArrangement"/>
    <w:docVar w:name="WAFER_20140505104918_GUID" w:val="0db6f70b-04d1-4a68-9e2e-c26b959be82c"/>
    <w:docVar w:name="WAFER_20140623150712" w:val="RemoveTocBookmarks,RunningHeaders"/>
    <w:docVar w:name="WAFER_20140623150712_GUID" w:val="12dfb3d0-1656-49e4-8d18-030e4d544939"/>
    <w:docVar w:name="WAFER_20150603143450" w:val="ResetPageSize,UpdateArrangement,UpdateNTable"/>
    <w:docVar w:name="WAFER_20150603143450_GUID" w:val="3ff5fc5b-ea0b-42f3-baaf-f47349153793"/>
    <w:docVar w:name="WAFER_20151106100706" w:val="UpdateStyles,UsedStyles"/>
    <w:docVar w:name="WAFER_20151106100706_GUID" w:val="513db667-c81b-4a43-a7f6-22aac964cd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E86B1695-6527-45C9-AB84-E105C0648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11143</Words>
  <Characters>44685</Characters>
  <Application>Microsoft Office Word</Application>
  <DocSecurity>0</DocSecurity>
  <Lines>4468</Lines>
  <Paragraphs>3283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04-d0-04 - 04-e0-00</dc:title>
  <dc:subject/>
  <dc:creator/>
  <cp:keywords/>
  <dc:description/>
  <cp:lastModifiedBy>Master Repository Process</cp:lastModifiedBy>
  <cp:revision>2</cp:revision>
  <cp:lastPrinted>2014-12-04T04:00:00Z</cp:lastPrinted>
  <dcterms:created xsi:type="dcterms:W3CDTF">2021-08-28T19:49:00Z</dcterms:created>
  <dcterms:modified xsi:type="dcterms:W3CDTF">2021-08-28T19:49:00Z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DocumentType">
    <vt:lpwstr>Reg</vt:lpwstr>
  </property>
  <property fmtid="{D5CDD505-2E9C-101B-9397-08002B2CF9AE}" pid="4" name="OwlsUID">
    <vt:i4>4607</vt:i4>
  </property>
  <property fmtid="{D5CDD505-2E9C-101B-9397-08002B2CF9AE}" pid="5" name="ReprintNo">
    <vt:lpwstr>4</vt:lpwstr>
  </property>
  <property fmtid="{D5CDD505-2E9C-101B-9397-08002B2CF9AE}" pid="6" name="ReprintedAsAt">
    <vt:filetime>2012-10-18T16:00:00Z</vt:filetime>
  </property>
  <property fmtid="{D5CDD505-2E9C-101B-9397-08002B2CF9AE}" pid="7" name="Status">
    <vt:lpwstr>NIF</vt:lpwstr>
  </property>
  <property fmtid="{D5CDD505-2E9C-101B-9397-08002B2CF9AE}" pid="8" name="CommencementDate">
    <vt:lpwstr>20161008</vt:lpwstr>
  </property>
  <property fmtid="{D5CDD505-2E9C-101B-9397-08002B2CF9AE}" pid="9" name="FromSuffix">
    <vt:lpwstr>04-d0-04</vt:lpwstr>
  </property>
  <property fmtid="{D5CDD505-2E9C-101B-9397-08002B2CF9AE}" pid="10" name="FromAsAtDate">
    <vt:lpwstr>17 Dec 2014</vt:lpwstr>
  </property>
  <property fmtid="{D5CDD505-2E9C-101B-9397-08002B2CF9AE}" pid="11" name="ToSuffix">
    <vt:lpwstr>04-e0-00</vt:lpwstr>
  </property>
  <property fmtid="{D5CDD505-2E9C-101B-9397-08002B2CF9AE}" pid="12" name="ToAsAtDate">
    <vt:lpwstr>08 Oct 2016</vt:lpwstr>
  </property>
</Properties>
</file>