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(Soccer Pools)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02-d0-06</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Lotteries Commission Act 1990</w:t>
      </w:r>
    </w:p>
    <w:p>
      <w:pPr>
        <w:pStyle w:val="NameofActReg"/>
        <w:spacing w:before="120"/>
      </w:pPr>
      <w:r>
        <w:t xml:space="preserve">Lotteries Commission (Soccer Pools) Rules 1996 </w:t>
      </w:r>
    </w:p>
    <w:p>
      <w:pPr>
        <w:pStyle w:val="Heading2"/>
        <w:pageBreakBefore w:val="0"/>
      </w:pPr>
      <w:bookmarkStart w:id="1" w:name="_Toc379207704"/>
      <w:bookmarkStart w:id="2" w:name="_Toc421106009"/>
      <w:bookmarkStart w:id="3" w:name="_Toc421106072"/>
      <w:bookmarkStart w:id="4" w:name="_Toc46361287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6" w:name="_Toc379207705"/>
      <w:bookmarkStart w:id="7" w:name="_Toc463612879"/>
      <w:bookmarkStart w:id="8" w:name="_Toc421106073"/>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pPr>
        <w:pStyle w:val="Heading5"/>
        <w:rPr>
          <w:snapToGrid w:val="0"/>
        </w:rPr>
      </w:pPr>
      <w:bookmarkStart w:id="9" w:name="_Toc379207706"/>
      <w:bookmarkStart w:id="10" w:name="_Toc463612880"/>
      <w:bookmarkStart w:id="11" w:name="_Toc421106074"/>
      <w:r>
        <w:rPr>
          <w:rStyle w:val="CharSectno"/>
        </w:rPr>
        <w:t>2</w:t>
      </w:r>
      <w:r>
        <w:rPr>
          <w:snapToGrid w:val="0"/>
        </w:rPr>
        <w:t>.</w:t>
      </w:r>
      <w:r>
        <w:rPr>
          <w:snapToGrid w:val="0"/>
        </w:rPr>
        <w:tab/>
        <w:t>Terms used in these rules</w:t>
      </w:r>
      <w:bookmarkEnd w:id="9"/>
      <w:bookmarkEnd w:id="10"/>
      <w:bookmarkEnd w:id="11"/>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pPr>
        <w:pStyle w:val="Defstart"/>
      </w:pPr>
      <w:r>
        <w:rPr>
          <w:b/>
        </w:rPr>
        <w:tab/>
      </w:r>
      <w:r>
        <w:rPr>
          <w:rStyle w:val="CharDefText"/>
        </w:rPr>
        <w:t>agent’s component</w:t>
      </w:r>
      <w:r>
        <w:t xml:space="preserve"> means that part of the entry cost calculated in accordance with the formula set out in Schedule 1 that is payable to the agent;</w:t>
      </w:r>
    </w:p>
    <w:p>
      <w:pPr>
        <w:pStyle w:val="Defstart"/>
      </w:pPr>
      <w:r>
        <w:rPr>
          <w:b/>
        </w:rPr>
        <w:tab/>
      </w:r>
      <w:r>
        <w:rPr>
          <w:rStyle w:val="CharDefText"/>
        </w:rPr>
        <w:t>Australian Soccer Pools Bloc</w:t>
      </w:r>
      <w:r>
        <w:t xml:space="preserve"> means the members of the Australian Soccer Pools Bloc Agreement;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13(5) or 14(2)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systems entry, one of the notional multiple games making up that systems entry; </w:t>
      </w:r>
    </w:p>
    <w:p>
      <w:pPr>
        <w:pStyle w:val="Defstart"/>
      </w:pPr>
      <w:r>
        <w:rPr>
          <w:b/>
        </w:rPr>
        <w:tab/>
      </w:r>
      <w:r>
        <w:rPr>
          <w:rStyle w:val="CharDefText"/>
        </w:rPr>
        <w:t>match list</w:t>
      </w:r>
      <w:r>
        <w:t xml:space="preserve"> means a list of matches published under rule 21; </w:t>
      </w:r>
    </w:p>
    <w:p>
      <w:pPr>
        <w:pStyle w:val="Defstart"/>
      </w:pPr>
      <w:r>
        <w:rPr>
          <w:b/>
        </w:rPr>
        <w:tab/>
      </w:r>
      <w:r>
        <w:rPr>
          <w:rStyle w:val="CharDefText"/>
        </w:rPr>
        <w:t>participant</w:t>
      </w:r>
      <w:r>
        <w:t xml:space="preserve"> means a person who has taken one or more of the steps necessary to participate in Soccer Pools;</w:t>
      </w:r>
    </w:p>
    <w:p>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pPr>
        <w:pStyle w:val="Defstart"/>
      </w:pPr>
      <w:r>
        <w:rPr>
          <w:b/>
        </w:rPr>
        <w:tab/>
      </w:r>
      <w:r>
        <w:rPr>
          <w:rStyle w:val="CharDefText"/>
        </w:rPr>
        <w:t>player’s card</w:t>
      </w:r>
      <w:r>
        <w:t xml:space="preserve"> means a card issued following a request under rule 34;</w:t>
      </w:r>
    </w:p>
    <w:p>
      <w:pPr>
        <w:pStyle w:val="Defstart"/>
      </w:pPr>
      <w:r>
        <w:rPr>
          <w:b/>
        </w:rPr>
        <w:tab/>
      </w:r>
      <w:r>
        <w:rPr>
          <w:rStyle w:val="CharDefText"/>
        </w:rPr>
        <w:t>player’s card number</w:t>
      </w:r>
      <w:r>
        <w:t xml:space="preserve"> includes a PRS number issued under these rules prior to 9 June 2008, if the PRS number is still valid under rule 34;</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Pools Game</w:t>
      </w:r>
      <w:r>
        <w:t xml:space="preserve"> means a particular game of Soccer Pools designated by a number in accordance with rule 20; </w:t>
      </w:r>
    </w:p>
    <w:p>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pPr>
        <w:pStyle w:val="Defstart"/>
      </w:pPr>
      <w:r>
        <w:rPr>
          <w:b/>
        </w:rPr>
        <w:tab/>
      </w:r>
      <w:r>
        <w:rPr>
          <w:rStyle w:val="CharDefText"/>
        </w:rPr>
        <w:t>prize pool</w:t>
      </w:r>
      <w:r>
        <w:t xml:space="preserve"> means the prize pool referred to in rule 23(2)(a); </w:t>
      </w:r>
    </w:p>
    <w:p>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before a Pools Game, terminating at the time specified by the Commission for the weekend on which that Pools Game is determined;</w:t>
      </w:r>
    </w:p>
    <w:p>
      <w:pPr>
        <w:pStyle w:val="Defstart"/>
      </w:pPr>
      <w:r>
        <w:rPr>
          <w:b/>
        </w:rPr>
        <w:tab/>
      </w:r>
      <w:r>
        <w:rPr>
          <w:rStyle w:val="CharDefText"/>
        </w:rPr>
        <w:t>Soccer Pools</w:t>
      </w:r>
      <w:r>
        <w:t xml:space="preserve"> means a competition conducted in accordance with these rules;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4(3); </w:t>
      </w:r>
    </w:p>
    <w:p>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pPr>
        <w:pStyle w:val="Defstart"/>
      </w:pPr>
      <w:r>
        <w:rPr>
          <w:b/>
        </w:rPr>
        <w:tab/>
      </w:r>
      <w:r>
        <w:rPr>
          <w:rStyle w:val="CharDefText"/>
        </w:rPr>
        <w:t>validation period</w:t>
      </w:r>
      <w:r>
        <w:t xml:space="preserve"> means the period of time from midnight on the day on which a Pools Game was determined to the close of business — </w:t>
      </w:r>
    </w:p>
    <w:p>
      <w:pPr>
        <w:pStyle w:val="Defpara"/>
      </w:pPr>
      <w:r>
        <w:tab/>
        <w:t>(a)</w:t>
      </w:r>
      <w:r>
        <w:tab/>
        <w:t>on the 14th day after that day; or</w:t>
      </w:r>
    </w:p>
    <w:p>
      <w:pPr>
        <w:pStyle w:val="Defpara"/>
      </w:pPr>
      <w:r>
        <w:tab/>
        <w:t>(b)</w:t>
      </w:r>
      <w:r>
        <w:tab/>
        <w:t>if that 14th day is a public holiday, on the preceding business day;</w:t>
      </w:r>
    </w:p>
    <w:p>
      <w:pPr>
        <w:pStyle w:val="Defstart"/>
      </w:pPr>
      <w:r>
        <w:rPr>
          <w:b/>
        </w:rPr>
        <w:tab/>
      </w:r>
      <w:r>
        <w:rPr>
          <w:rStyle w:val="CharDefText"/>
        </w:rPr>
        <w:t>winning number</w:t>
      </w:r>
      <w:r>
        <w:t xml:space="preserve"> means any one of the 6 numbers referred to in rule 4(2).</w:t>
      </w:r>
    </w:p>
    <w:p>
      <w:pPr>
        <w:pStyle w:val="Footnotesection"/>
      </w:pPr>
      <w:r>
        <w:tab/>
        <w:t>[Rule 2 amended in Gazette 15 Nov 1996 p. 6525; 5 Aug 2005 p. 3599</w:t>
      </w:r>
      <w:r>
        <w:noBreakHyphen/>
        <w:t>600; 6 Jun 2008 p. 2323</w:t>
      </w:r>
      <w:r>
        <w:noBreakHyphen/>
        <w:t xml:space="preserve">4.] </w:t>
      </w:r>
    </w:p>
    <w:p>
      <w:pPr>
        <w:pStyle w:val="Heading2"/>
      </w:pPr>
      <w:bookmarkStart w:id="12" w:name="_Toc379207707"/>
      <w:bookmarkStart w:id="13" w:name="_Toc421106012"/>
      <w:bookmarkStart w:id="14" w:name="_Toc421106075"/>
      <w:bookmarkStart w:id="15" w:name="_Toc463612881"/>
      <w:r>
        <w:rPr>
          <w:rStyle w:val="CharPartNo"/>
        </w:rPr>
        <w:t>Part 2</w:t>
      </w:r>
      <w:r>
        <w:rPr>
          <w:rStyle w:val="CharDivNo"/>
        </w:rPr>
        <w:t> </w:t>
      </w:r>
      <w:r>
        <w:t>—</w:t>
      </w:r>
      <w:r>
        <w:rPr>
          <w:rStyle w:val="CharDivText"/>
        </w:rPr>
        <w:t> </w:t>
      </w:r>
      <w:r>
        <w:rPr>
          <w:rStyle w:val="CharPartText"/>
        </w:rPr>
        <w:t>Determination of results of Soccer Pools</w:t>
      </w:r>
      <w:bookmarkEnd w:id="12"/>
      <w:bookmarkEnd w:id="13"/>
      <w:bookmarkEnd w:id="14"/>
      <w:bookmarkEnd w:id="15"/>
      <w:r>
        <w:rPr>
          <w:rStyle w:val="CharPartText"/>
        </w:rPr>
        <w:t xml:space="preserve"> </w:t>
      </w:r>
    </w:p>
    <w:p>
      <w:pPr>
        <w:pStyle w:val="Heading5"/>
        <w:rPr>
          <w:snapToGrid w:val="0"/>
        </w:rPr>
      </w:pPr>
      <w:bookmarkStart w:id="16" w:name="_Toc379207708"/>
      <w:bookmarkStart w:id="17" w:name="_Toc463612882"/>
      <w:bookmarkStart w:id="18" w:name="_Toc421106076"/>
      <w:r>
        <w:rPr>
          <w:rStyle w:val="CharSectno"/>
        </w:rPr>
        <w:t>3</w:t>
      </w:r>
      <w:r>
        <w:rPr>
          <w:snapToGrid w:val="0"/>
        </w:rPr>
        <w:t>.</w:t>
      </w:r>
      <w:r>
        <w:rPr>
          <w:snapToGrid w:val="0"/>
        </w:rPr>
        <w:tab/>
        <w:t>Terms used in this Part</w:t>
      </w:r>
      <w:bookmarkEnd w:id="16"/>
      <w:bookmarkEnd w:id="17"/>
      <w:bookmarkEnd w:id="1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void match</w:t>
      </w:r>
      <w:r>
        <w:t xml:space="preserve"> means a match on the match list that has been declared to be a void match by the Australian Soccer Pools Bloc.</w:t>
      </w:r>
    </w:p>
    <w:p>
      <w:pPr>
        <w:pStyle w:val="Footnotesection"/>
      </w:pPr>
      <w:r>
        <w:tab/>
        <w:t>[Rule 3 amended in Gazette 5 Aug 2005 p. 3600.]</w:t>
      </w:r>
    </w:p>
    <w:p>
      <w:pPr>
        <w:pStyle w:val="Heading5"/>
        <w:rPr>
          <w:snapToGrid w:val="0"/>
        </w:rPr>
      </w:pPr>
      <w:bookmarkStart w:id="19" w:name="_Toc379207709"/>
      <w:bookmarkStart w:id="20" w:name="_Toc463612883"/>
      <w:bookmarkStart w:id="21" w:name="_Toc421106077"/>
      <w:r>
        <w:rPr>
          <w:rStyle w:val="CharSectno"/>
        </w:rPr>
        <w:t>4</w:t>
      </w:r>
      <w:r>
        <w:rPr>
          <w:snapToGrid w:val="0"/>
        </w:rPr>
        <w:t>.</w:t>
      </w:r>
      <w:r>
        <w:rPr>
          <w:snapToGrid w:val="0"/>
        </w:rPr>
        <w:tab/>
        <w:t>Determination of the winning numbers</w:t>
      </w:r>
      <w:bookmarkEnd w:id="19"/>
      <w:bookmarkEnd w:id="20"/>
      <w:bookmarkEnd w:id="21"/>
      <w:r>
        <w:rPr>
          <w:snapToGrid w:val="0"/>
        </w:rPr>
        <w:t xml:space="preserve"> </w:t>
      </w:r>
    </w:p>
    <w:p>
      <w:pPr>
        <w:pStyle w:val="Subsection"/>
        <w:rPr>
          <w:snapToGrid w:val="0"/>
        </w:rPr>
      </w:pPr>
      <w:r>
        <w:rPr>
          <w:snapToGrid w:val="0"/>
        </w:rPr>
        <w:tab/>
        <w:t>(1)</w:t>
      </w:r>
      <w:r>
        <w:rPr>
          <w:snapToGrid w:val="0"/>
        </w:rPr>
        <w:tab/>
        <w:t>The winning numbers and the supplementary number for a Pools Game are to be determined by — </w:t>
      </w:r>
    </w:p>
    <w:p>
      <w:pPr>
        <w:pStyle w:val="Indenta"/>
        <w:rPr>
          <w:snapToGrid w:val="0"/>
        </w:rPr>
      </w:pPr>
      <w:r>
        <w:rPr>
          <w:snapToGrid w:val="0"/>
        </w:rPr>
        <w:tab/>
        <w:t>(a)</w:t>
      </w:r>
      <w:r>
        <w:rPr>
          <w:snapToGrid w:val="0"/>
        </w:rPr>
        <w:tab/>
        <w:t>ranking the matches on the match list for that Pools Game in accordance with rule 5;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 (1)(b)(i) are the 6 winning numbers for that Pools Game.</w:t>
      </w:r>
    </w:p>
    <w:p>
      <w:pPr>
        <w:pStyle w:val="Subsection"/>
        <w:rPr>
          <w:snapToGrid w:val="0"/>
        </w:rPr>
      </w:pPr>
      <w:r>
        <w:rPr>
          <w:snapToGrid w:val="0"/>
        </w:rPr>
        <w:tab/>
        <w:t>(3)</w:t>
      </w:r>
      <w:r>
        <w:rPr>
          <w:snapToGrid w:val="0"/>
        </w:rPr>
        <w:tab/>
        <w:t>The number identified under subrule (1)(b)(ii) is the supplementary number for that Pools Game.</w:t>
      </w:r>
    </w:p>
    <w:p>
      <w:pPr>
        <w:pStyle w:val="Heading5"/>
        <w:rPr>
          <w:snapToGrid w:val="0"/>
        </w:rPr>
      </w:pPr>
      <w:bookmarkStart w:id="22" w:name="_Toc379207710"/>
      <w:bookmarkStart w:id="23" w:name="_Toc463612884"/>
      <w:bookmarkStart w:id="24" w:name="_Toc421106078"/>
      <w:r>
        <w:rPr>
          <w:rStyle w:val="CharSectno"/>
        </w:rPr>
        <w:t>5</w:t>
      </w:r>
      <w:r>
        <w:rPr>
          <w:snapToGrid w:val="0"/>
        </w:rPr>
        <w:t>.</w:t>
      </w:r>
      <w:r>
        <w:rPr>
          <w:snapToGrid w:val="0"/>
        </w:rPr>
        <w:tab/>
        <w:t>Ranking matches</w:t>
      </w:r>
      <w:bookmarkEnd w:id="22"/>
      <w:bookmarkEnd w:id="23"/>
      <w:bookmarkEnd w:id="24"/>
      <w:r>
        <w:rPr>
          <w:snapToGrid w:val="0"/>
        </w:rPr>
        <w:t xml:space="preserve"> </w:t>
      </w:r>
    </w:p>
    <w:p>
      <w:pPr>
        <w:pStyle w:val="Subsection"/>
        <w:rPr>
          <w:snapToGrid w:val="0"/>
        </w:rPr>
      </w:pPr>
      <w:r>
        <w:rPr>
          <w:snapToGrid w:val="0"/>
        </w:rPr>
        <w:tab/>
        <w:t>(1)</w:t>
      </w:r>
      <w:r>
        <w:rPr>
          <w:snapToGrid w:val="0"/>
        </w:rPr>
        <w:tab/>
        <w:t>The matches on the match list for a Pools Game are to be ranked in the following order — </w:t>
      </w:r>
    </w:p>
    <w:p>
      <w:pPr>
        <w:pStyle w:val="Indenta"/>
        <w:rPr>
          <w:snapToGrid w:val="0"/>
        </w:rPr>
      </w:pPr>
      <w:r>
        <w:rPr>
          <w:snapToGrid w:val="0"/>
        </w:rPr>
        <w:tab/>
        <w:t>(a)</w:t>
      </w:r>
      <w:r>
        <w:rPr>
          <w:snapToGrid w:val="0"/>
        </w:rPr>
        <w:tab/>
        <w:t xml:space="preserve">score draws; </w:t>
      </w:r>
    </w:p>
    <w:p>
      <w:pPr>
        <w:pStyle w:val="Indenta"/>
        <w:rPr>
          <w:snapToGrid w:val="0"/>
        </w:rPr>
      </w:pPr>
      <w:r>
        <w:rPr>
          <w:snapToGrid w:val="0"/>
        </w:rPr>
        <w:tab/>
        <w:t>(b)</w:t>
      </w:r>
      <w:r>
        <w:rPr>
          <w:snapToGrid w:val="0"/>
        </w:rPr>
        <w:tab/>
        <w:t xml:space="preserve">scoreless draws; </w:t>
      </w:r>
    </w:p>
    <w:p>
      <w:pPr>
        <w:pStyle w:val="Indenta"/>
        <w:rPr>
          <w:snapToGrid w:val="0"/>
        </w:rPr>
      </w:pPr>
      <w:r>
        <w:rPr>
          <w:snapToGrid w:val="0"/>
        </w:rPr>
        <w:tab/>
        <w:t>(c)</w:t>
      </w:r>
      <w:r>
        <w:rPr>
          <w:snapToGrid w:val="0"/>
        </w:rPr>
        <w:tab/>
        <w:t>Away wins; and</w:t>
      </w:r>
    </w:p>
    <w:p>
      <w:pPr>
        <w:pStyle w:val="Indenta"/>
        <w:rPr>
          <w:snapToGrid w:val="0"/>
        </w:rPr>
      </w:pPr>
      <w:r>
        <w:rPr>
          <w:snapToGrid w:val="0"/>
        </w:rPr>
        <w:tab/>
        <w:t>(d)</w:t>
      </w:r>
      <w:r>
        <w:rPr>
          <w:snapToGrid w:val="0"/>
        </w:rPr>
        <w:tab/>
        <w:t xml:space="preserve">Home wins. </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pPr>
        <w:pStyle w:val="Heading5"/>
        <w:rPr>
          <w:snapToGrid w:val="0"/>
        </w:rPr>
      </w:pPr>
      <w:bookmarkStart w:id="25" w:name="_Toc379207711"/>
      <w:bookmarkStart w:id="26" w:name="_Toc463612885"/>
      <w:bookmarkStart w:id="27" w:name="_Toc421106079"/>
      <w:r>
        <w:rPr>
          <w:rStyle w:val="CharSectno"/>
        </w:rPr>
        <w:t>6</w:t>
      </w:r>
      <w:r>
        <w:rPr>
          <w:snapToGrid w:val="0"/>
        </w:rPr>
        <w:t>.</w:t>
      </w:r>
      <w:r>
        <w:rPr>
          <w:snapToGrid w:val="0"/>
        </w:rPr>
        <w:tab/>
        <w:t>Dealing with void matches</w:t>
      </w:r>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Ednotesection"/>
      </w:pPr>
      <w:r>
        <w:t>[</w:t>
      </w:r>
      <w:r>
        <w:rPr>
          <w:b/>
        </w:rPr>
        <w:t>7.</w:t>
      </w:r>
      <w:r>
        <w:tab/>
        <w:t>Deleted in Gazette 5 Aug 2005 p. 3600.]</w:t>
      </w:r>
    </w:p>
    <w:p>
      <w:pPr>
        <w:pStyle w:val="Heading5"/>
        <w:rPr>
          <w:snapToGrid w:val="0"/>
        </w:rPr>
      </w:pPr>
      <w:bookmarkStart w:id="28" w:name="_Toc379207712"/>
      <w:bookmarkStart w:id="29" w:name="_Toc463612886"/>
      <w:bookmarkStart w:id="30" w:name="_Toc421106080"/>
      <w:r>
        <w:rPr>
          <w:rStyle w:val="CharSectno"/>
        </w:rPr>
        <w:t>8</w:t>
      </w:r>
      <w:r>
        <w:rPr>
          <w:snapToGrid w:val="0"/>
        </w:rPr>
        <w:t>.</w:t>
      </w:r>
      <w:r>
        <w:rPr>
          <w:snapToGrid w:val="0"/>
        </w:rPr>
        <w:tab/>
        <w:t>When Pools Games are to be cancelled</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pPr>
        <w:pStyle w:val="Subsection"/>
        <w:rPr>
          <w:snapToGrid w:val="0"/>
        </w:rPr>
      </w:pPr>
      <w:r>
        <w:rPr>
          <w:snapToGrid w:val="0"/>
        </w:rPr>
        <w:tab/>
        <w:t>(2)</w:t>
      </w:r>
      <w:r>
        <w:rPr>
          <w:snapToGrid w:val="0"/>
        </w:rPr>
        <w:tab/>
        <w:t>If a Pools Game is cancelled — </w:t>
      </w:r>
    </w:p>
    <w:p>
      <w:pPr>
        <w:pStyle w:val="Indenta"/>
        <w:rPr>
          <w:snapToGrid w:val="0"/>
        </w:rPr>
      </w:pPr>
      <w:r>
        <w:rPr>
          <w:snapToGrid w:val="0"/>
        </w:rPr>
        <w:tab/>
        <w:t>(a)</w:t>
      </w:r>
      <w:r>
        <w:rPr>
          <w:snapToGrid w:val="0"/>
        </w:rPr>
        <w:tab/>
        <w:t>no prizes are to be paid for that Pools Game; and</w:t>
      </w:r>
    </w:p>
    <w:p>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pPr>
        <w:pStyle w:val="Heading5"/>
        <w:spacing w:before="180"/>
      </w:pPr>
      <w:bookmarkStart w:id="31" w:name="_Toc379207713"/>
      <w:bookmarkStart w:id="32" w:name="_Toc463612887"/>
      <w:bookmarkStart w:id="33" w:name="_Toc421106081"/>
      <w:r>
        <w:rPr>
          <w:rStyle w:val="CharSectno"/>
        </w:rPr>
        <w:t>8A</w:t>
      </w:r>
      <w:r>
        <w:t>.</w:t>
      </w:r>
      <w:r>
        <w:tab/>
        <w:t>Commission may withdraw from non</w:t>
      </w:r>
      <w:r>
        <w:noBreakHyphen/>
        <w:t>conforming Pools Game</w:t>
      </w:r>
      <w:bookmarkEnd w:id="31"/>
      <w:bookmarkEnd w:id="32"/>
      <w:bookmarkEnd w:id="33"/>
    </w:p>
    <w:p>
      <w:pPr>
        <w:pStyle w:val="Subsection"/>
        <w:keepNext/>
        <w:keepLines/>
        <w:spacing w:before="120"/>
      </w:pPr>
      <w:r>
        <w:tab/>
        <w:t>(1)</w:t>
      </w:r>
      <w:r>
        <w:tab/>
        <w:t xml:space="preserve">The Commission may withdraw all entries received by the Commission in respect of a particular Pools Game if — </w:t>
      </w:r>
    </w:p>
    <w:p>
      <w:pPr>
        <w:pStyle w:val="Indenta"/>
      </w:pPr>
      <w:r>
        <w:tab/>
        <w:t>(a)</w:t>
      </w:r>
      <w:r>
        <w:tab/>
        <w:t>fewer than 38 matches remain scheduled to be played immediately before the close of entries for that Pools Game;</w:t>
      </w:r>
    </w:p>
    <w:p>
      <w:pPr>
        <w:pStyle w:val="Indenta"/>
      </w:pPr>
      <w:r>
        <w:tab/>
        <w:t>(b)</w:t>
      </w:r>
      <w:r>
        <w:tab/>
        <w:t>results are declared in fewer than 7 matches; or</w:t>
      </w:r>
    </w:p>
    <w:p>
      <w:pPr>
        <w:pStyle w:val="Indenta"/>
      </w:pPr>
      <w:r>
        <w:tab/>
        <w:t>(c)</w:t>
      </w:r>
      <w:r>
        <w:tab/>
        <w:t>the Australian Soccer Pools Bloc determines that the Pools Game for that week is to be conducted in a manner that is inconsistent with the Act.</w:t>
      </w:r>
    </w:p>
    <w:p>
      <w:pPr>
        <w:pStyle w:val="Subsection"/>
      </w:pPr>
      <w:r>
        <w:tab/>
        <w:t>(2)</w:t>
      </w:r>
      <w:r>
        <w:tab/>
        <w:t xml:space="preserve">If the Commission withdraws from a Pools Game — </w:t>
      </w:r>
    </w:p>
    <w:p>
      <w:pPr>
        <w:pStyle w:val="Indenta"/>
      </w:pPr>
      <w:r>
        <w:tab/>
        <w:t>(a)</w:t>
      </w:r>
      <w:r>
        <w:tab/>
        <w:t>no prizes are to be paid by the Commission for that Pools Game; and</w:t>
      </w:r>
    </w:p>
    <w:p>
      <w:pPr>
        <w:pStyle w:val="Indenta"/>
      </w:pPr>
      <w:r>
        <w:tab/>
        <w:t>(b)</w:t>
      </w:r>
      <w:r>
        <w:tab/>
        <w:t>all entries received by the Commission in respect of that Pools Game are to be entered in the next Pools Game following the inconsistent Pools Game.</w:t>
      </w:r>
    </w:p>
    <w:p>
      <w:pPr>
        <w:pStyle w:val="Footnotesection"/>
      </w:pPr>
      <w:r>
        <w:tab/>
        <w:t>[Rule 8A inserted in Gazette 5 Aug 2005 p. 3600.]</w:t>
      </w:r>
    </w:p>
    <w:p>
      <w:pPr>
        <w:pStyle w:val="Heading2"/>
      </w:pPr>
      <w:bookmarkStart w:id="34" w:name="_Toc379207714"/>
      <w:bookmarkStart w:id="35" w:name="_Toc421106019"/>
      <w:bookmarkStart w:id="36" w:name="_Toc421106082"/>
      <w:bookmarkStart w:id="37" w:name="_Toc463612888"/>
      <w:r>
        <w:rPr>
          <w:rStyle w:val="CharPartNo"/>
        </w:rPr>
        <w:t>Part 3</w:t>
      </w:r>
      <w:r>
        <w:rPr>
          <w:rStyle w:val="CharDivNo"/>
        </w:rPr>
        <w:t> </w:t>
      </w:r>
      <w:r>
        <w:t>—</w:t>
      </w:r>
      <w:r>
        <w:rPr>
          <w:rStyle w:val="CharDivText"/>
        </w:rPr>
        <w:t> </w:t>
      </w:r>
      <w:r>
        <w:rPr>
          <w:rStyle w:val="CharPartText"/>
        </w:rPr>
        <w:t>Requirements for entry</w:t>
      </w:r>
      <w:bookmarkEnd w:id="34"/>
      <w:bookmarkEnd w:id="35"/>
      <w:bookmarkEnd w:id="36"/>
      <w:bookmarkEnd w:id="37"/>
      <w:r>
        <w:rPr>
          <w:rStyle w:val="CharPartText"/>
        </w:rPr>
        <w:t xml:space="preserve"> </w:t>
      </w:r>
    </w:p>
    <w:p>
      <w:pPr>
        <w:pStyle w:val="Heading5"/>
        <w:rPr>
          <w:snapToGrid w:val="0"/>
        </w:rPr>
      </w:pPr>
      <w:bookmarkStart w:id="38" w:name="_Toc379207715"/>
      <w:bookmarkStart w:id="39" w:name="_Toc463612889"/>
      <w:bookmarkStart w:id="40" w:name="_Toc421106083"/>
      <w:r>
        <w:rPr>
          <w:rStyle w:val="CharSectno"/>
        </w:rPr>
        <w:t>9</w:t>
      </w:r>
      <w:r>
        <w:rPr>
          <w:snapToGrid w:val="0"/>
        </w:rPr>
        <w:t>.</w:t>
      </w:r>
      <w:r>
        <w:rPr>
          <w:snapToGrid w:val="0"/>
        </w:rPr>
        <w:tab/>
        <w:t>Playslip</w:t>
      </w:r>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participants, </w:t>
      </w:r>
    </w:p>
    <w:p>
      <w:pPr>
        <w:pStyle w:val="Subsection"/>
        <w:rPr>
          <w:snapToGrid w:val="0"/>
        </w:rPr>
      </w:pPr>
      <w:r>
        <w:rPr>
          <w:snapToGrid w:val="0"/>
        </w:rPr>
        <w:tab/>
      </w:r>
      <w:r>
        <w:rPr>
          <w:snapToGrid w:val="0"/>
        </w:rPr>
        <w:tab/>
        <w:t>as the Commission considers necessary.</w:t>
      </w:r>
    </w:p>
    <w:p>
      <w:pPr>
        <w:pStyle w:val="Footnotesection"/>
      </w:pPr>
      <w:r>
        <w:tab/>
        <w:t>[Rule 9 amended in Gazette 6 Jun 2008 p. 2324.]</w:t>
      </w:r>
    </w:p>
    <w:p>
      <w:pPr>
        <w:pStyle w:val="Heading5"/>
        <w:rPr>
          <w:snapToGrid w:val="0"/>
        </w:rPr>
      </w:pPr>
      <w:bookmarkStart w:id="41" w:name="_Toc379207716"/>
      <w:bookmarkStart w:id="42" w:name="_Toc463612890"/>
      <w:bookmarkStart w:id="43" w:name="_Toc421106084"/>
      <w:r>
        <w:rPr>
          <w:rStyle w:val="CharSectno"/>
        </w:rPr>
        <w:t>10</w:t>
      </w:r>
      <w:r>
        <w:rPr>
          <w:snapToGrid w:val="0"/>
        </w:rPr>
        <w:t>.</w:t>
      </w:r>
      <w:r>
        <w:rPr>
          <w:snapToGrid w:val="0"/>
        </w:rPr>
        <w:tab/>
        <w:t>Methods of entry</w:t>
      </w:r>
      <w:bookmarkEnd w:id="41"/>
      <w:bookmarkEnd w:id="42"/>
      <w:bookmarkEnd w:id="43"/>
      <w:r>
        <w:rPr>
          <w:snapToGrid w:val="0"/>
        </w:rPr>
        <w:t xml:space="preserve"> </w:t>
      </w:r>
    </w:p>
    <w:p>
      <w:pPr>
        <w:pStyle w:val="Subsection"/>
        <w:ind w:left="1474"/>
        <w:rPr>
          <w:snapToGrid w:val="0"/>
        </w:rPr>
      </w:pPr>
      <w:r>
        <w:rPr>
          <w:snapToGrid w:val="0"/>
        </w:rPr>
        <w:tab/>
        <w:t>(1)</w:t>
      </w:r>
      <w:r>
        <w:rPr>
          <w:snapToGrid w:val="0"/>
        </w:rPr>
        <w:tab/>
        <w:t xml:space="preserve">A person may enter Soccer Pools —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13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14; or</w:t>
      </w:r>
    </w:p>
    <w:p>
      <w:pPr>
        <w:pStyle w:val="Indenta"/>
      </w:pPr>
      <w:r>
        <w:tab/>
        <w:t>(c)</w:t>
      </w:r>
      <w:r>
        <w:tab/>
        <w:t>by using the “ticket repeat” method set out in rule 13A;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entry amount </w:t>
      </w:r>
      <w:r>
        <w:t>as calculated using the formula set out in Schedule 1.</w:t>
      </w:r>
    </w:p>
    <w:p>
      <w:pPr>
        <w:pStyle w:val="Subsection"/>
      </w:pPr>
      <w:r>
        <w:tab/>
        <w:t>(1A)</w:t>
      </w:r>
      <w:r>
        <w:tab/>
        <w:t>A person may enter Soccer Pools by redeeming a promotional coupon and, in that case, may be required to pay less than the amount payable under subrule (1).</w:t>
      </w:r>
    </w:p>
    <w:p>
      <w:pPr>
        <w:pStyle w:val="Subsection"/>
      </w:pPr>
      <w:r>
        <w:tab/>
        <w:t>(1B)</w:t>
      </w:r>
      <w:r>
        <w:tab/>
        <w:t>A person may enter Soccer Pools as a part of a syndicate in accordance with Part 3A.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participant.</w:t>
      </w:r>
    </w:p>
    <w:p>
      <w:pPr>
        <w:pStyle w:val="Footnotesection"/>
      </w:pPr>
      <w:r>
        <w:tab/>
        <w:t>[Rule 10 amended in Gazette 6 Jun 2008 p. 2325</w:t>
      </w:r>
      <w:r>
        <w:noBreakHyphen/>
        <w:t>6; 19 Nov 2010 p. 5735.]</w:t>
      </w:r>
    </w:p>
    <w:p>
      <w:pPr>
        <w:pStyle w:val="Heading5"/>
        <w:rPr>
          <w:snapToGrid w:val="0"/>
        </w:rPr>
      </w:pPr>
      <w:bookmarkStart w:id="44" w:name="_Toc379207717"/>
      <w:bookmarkStart w:id="45" w:name="_Toc463612891"/>
      <w:bookmarkStart w:id="46" w:name="_Toc421106085"/>
      <w:r>
        <w:rPr>
          <w:rStyle w:val="CharSectno"/>
        </w:rPr>
        <w:t>11</w:t>
      </w:r>
      <w:r>
        <w:rPr>
          <w:snapToGrid w:val="0"/>
        </w:rPr>
        <w:t>.</w:t>
      </w:r>
      <w:r>
        <w:rPr>
          <w:snapToGrid w:val="0"/>
        </w:rPr>
        <w:tab/>
        <w:t>No limit to number of entries</w:t>
      </w:r>
      <w:bookmarkEnd w:id="44"/>
      <w:bookmarkEnd w:id="45"/>
      <w:bookmarkEnd w:id="46"/>
      <w:r>
        <w:rPr>
          <w:snapToGrid w:val="0"/>
        </w:rPr>
        <w:t xml:space="preserve"> </w:t>
      </w:r>
    </w:p>
    <w:p>
      <w:pPr>
        <w:pStyle w:val="Subsection"/>
        <w:rPr>
          <w:snapToGrid w:val="0"/>
        </w:rPr>
      </w:pPr>
      <w:r>
        <w:rPr>
          <w:snapToGrid w:val="0"/>
        </w:rPr>
        <w:tab/>
      </w:r>
      <w:r>
        <w:rPr>
          <w:snapToGrid w:val="0"/>
        </w:rPr>
        <w:tab/>
        <w:t xml:space="preserve">There is no limit on the number of entries a participant may make in a Pools Game. </w:t>
      </w:r>
    </w:p>
    <w:p>
      <w:pPr>
        <w:pStyle w:val="Heading5"/>
        <w:rPr>
          <w:snapToGrid w:val="0"/>
        </w:rPr>
      </w:pPr>
      <w:bookmarkStart w:id="47" w:name="_Toc379207718"/>
      <w:bookmarkStart w:id="48" w:name="_Toc463612892"/>
      <w:bookmarkStart w:id="49" w:name="_Toc421106086"/>
      <w:r>
        <w:rPr>
          <w:rStyle w:val="CharSectno"/>
        </w:rPr>
        <w:t>12</w:t>
      </w:r>
      <w:r>
        <w:rPr>
          <w:snapToGrid w:val="0"/>
        </w:rPr>
        <w:t>.</w:t>
      </w:r>
      <w:r>
        <w:rPr>
          <w:snapToGrid w:val="0"/>
        </w:rPr>
        <w:tab/>
        <w:t>Super 66 entry</w:t>
      </w:r>
      <w:bookmarkEnd w:id="47"/>
      <w:bookmarkEnd w:id="48"/>
      <w:bookmarkEnd w:id="49"/>
      <w:r>
        <w:rPr>
          <w:snapToGrid w:val="0"/>
        </w:rPr>
        <w:t xml:space="preserve"> </w:t>
      </w:r>
    </w:p>
    <w:p>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pPr>
      <w:r>
        <w:tab/>
        <w:t xml:space="preserve">[Rule 12 inserted in Gazette 15 Nov 1996 p. 6525.] </w:t>
      </w:r>
    </w:p>
    <w:p>
      <w:pPr>
        <w:pStyle w:val="Heading5"/>
        <w:rPr>
          <w:snapToGrid w:val="0"/>
        </w:rPr>
      </w:pPr>
      <w:bookmarkStart w:id="50" w:name="_Toc379207719"/>
      <w:bookmarkStart w:id="51" w:name="_Toc463612893"/>
      <w:bookmarkStart w:id="52" w:name="_Toc421106087"/>
      <w:r>
        <w:rPr>
          <w:rStyle w:val="CharSectno"/>
        </w:rPr>
        <w:t>13</w:t>
      </w:r>
      <w:r>
        <w:rPr>
          <w:snapToGrid w:val="0"/>
        </w:rPr>
        <w:t>.</w:t>
      </w:r>
      <w:r>
        <w:rPr>
          <w:snapToGrid w:val="0"/>
        </w:rPr>
        <w:tab/>
        <w:t>Completion of playslip</w:t>
      </w:r>
      <w:bookmarkEnd w:id="50"/>
      <w:bookmarkEnd w:id="51"/>
      <w:bookmarkEnd w:id="52"/>
    </w:p>
    <w:p>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pPr>
        <w:pStyle w:val="Subsection"/>
        <w:spacing w:before="180"/>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pPr>
        <w:pStyle w:val="Indenta"/>
        <w:rPr>
          <w:snapToGrid w:val="0"/>
        </w:rPr>
      </w:pPr>
      <w:r>
        <w:rPr>
          <w:snapToGrid w:val="0"/>
        </w:rPr>
        <w:tab/>
        <w:t>(a)</w:t>
      </w:r>
      <w:r>
        <w:rPr>
          <w:snapToGrid w:val="0"/>
        </w:rPr>
        <w:tab/>
        <w:t>6 numbers, the resulting receipted ticket constitutes one entry (made up of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pPr>
        <w:pStyle w:val="Footnotesection"/>
      </w:pPr>
      <w:r>
        <w:tab/>
        <w:t>[Rule 13 amended in Gazette 15 Nov 1996 p. 6525; 9 Mar 2001 p. 1344; 6 Jun 2008 p. 2326</w:t>
      </w:r>
      <w:r>
        <w:noBreakHyphen/>
        <w:t xml:space="preserve">7.] </w:t>
      </w:r>
    </w:p>
    <w:p>
      <w:pPr>
        <w:pStyle w:val="Heading5"/>
      </w:pPr>
      <w:bookmarkStart w:id="53" w:name="_Toc379207720"/>
      <w:bookmarkStart w:id="54" w:name="_Toc463612894"/>
      <w:bookmarkStart w:id="55" w:name="_Toc421106088"/>
      <w:r>
        <w:rPr>
          <w:rStyle w:val="CharSectno"/>
        </w:rPr>
        <w:t>13A</w:t>
      </w:r>
      <w:r>
        <w:t>.</w:t>
      </w:r>
      <w:r>
        <w:tab/>
        <w:t>Ticket repeat</w:t>
      </w:r>
      <w:bookmarkEnd w:id="53"/>
      <w:bookmarkEnd w:id="54"/>
      <w:bookmarkEnd w:id="55"/>
      <w:r>
        <w:t xml:space="preserve"> </w:t>
      </w:r>
    </w:p>
    <w:p>
      <w:pPr>
        <w:pStyle w:val="Subsection"/>
      </w:pPr>
      <w:r>
        <w:tab/>
        <w:t>(1)</w:t>
      </w:r>
      <w:r>
        <w:tab/>
        <w:t>A person may select the numbers and game type required to enter Soccer Pools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pPr>
        <w:pStyle w:val="Subsection"/>
      </w:pPr>
      <w:r>
        <w:tab/>
        <w:t>(3)</w:t>
      </w:r>
      <w:r>
        <w:tab/>
        <w:t>This rule does not apply to a syndicate share receipted ticket or a syndicate master ticket.</w:t>
      </w:r>
    </w:p>
    <w:p>
      <w:pPr>
        <w:pStyle w:val="Footnotesection"/>
      </w:pPr>
      <w:r>
        <w:tab/>
        <w:t>[Rule 13A inserted in Gazette 6 Jun 2008 p. 2328; amended in Gazette 15 May 2009 p. 1634-5.]</w:t>
      </w:r>
    </w:p>
    <w:p>
      <w:pPr>
        <w:pStyle w:val="Heading5"/>
      </w:pPr>
      <w:bookmarkStart w:id="56" w:name="_Toc379207721"/>
      <w:bookmarkStart w:id="57" w:name="_Toc463612895"/>
      <w:bookmarkStart w:id="58" w:name="_Toc421106089"/>
      <w:r>
        <w:rPr>
          <w:rStyle w:val="CharSectno"/>
        </w:rPr>
        <w:t>13B</w:t>
      </w:r>
      <w:r>
        <w:t>.</w:t>
      </w:r>
      <w:r>
        <w:tab/>
        <w:t>Favourite numbers</w:t>
      </w:r>
      <w:bookmarkEnd w:id="56"/>
      <w:bookmarkEnd w:id="57"/>
      <w:bookmarkEnd w:id="58"/>
      <w:r>
        <w:t xml:space="preserve"> </w:t>
      </w:r>
    </w:p>
    <w:p>
      <w:pPr>
        <w:pStyle w:val="Subsection"/>
      </w:pPr>
      <w:r>
        <w:tab/>
        <w:t>(1)</w:t>
      </w:r>
      <w:r>
        <w:tab/>
        <w:t xml:space="preserve">A person who has a player’s card may — </w:t>
      </w:r>
    </w:p>
    <w:p>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pPr>
        <w:pStyle w:val="Subsection"/>
      </w:pPr>
      <w:r>
        <w:tab/>
        <w:t>(2)</w:t>
      </w:r>
      <w:r>
        <w:tab/>
        <w:t>Favourite numbers can be selected for one week, or for 2, 5 or 10 consecutive weeks.</w:t>
      </w:r>
    </w:p>
    <w:p>
      <w:pPr>
        <w:pStyle w:val="Footnotesection"/>
      </w:pPr>
      <w:r>
        <w:tab/>
        <w:t>[Rule 13B inserted in Gazette 6 Jun 2008 p. 2328</w:t>
      </w:r>
      <w:r>
        <w:noBreakHyphen/>
        <w:t>9.]</w:t>
      </w:r>
    </w:p>
    <w:p>
      <w:pPr>
        <w:pStyle w:val="Heading5"/>
        <w:rPr>
          <w:snapToGrid w:val="0"/>
        </w:rPr>
      </w:pPr>
      <w:bookmarkStart w:id="59" w:name="_Toc379207722"/>
      <w:bookmarkStart w:id="60" w:name="_Toc463612896"/>
      <w:bookmarkStart w:id="61" w:name="_Toc421106090"/>
      <w:r>
        <w:rPr>
          <w:rStyle w:val="CharSectno"/>
        </w:rPr>
        <w:t>14</w:t>
      </w:r>
      <w:r>
        <w:rPr>
          <w:snapToGrid w:val="0"/>
        </w:rPr>
        <w:t>.</w:t>
      </w:r>
      <w:r>
        <w:rPr>
          <w:snapToGrid w:val="0"/>
        </w:rPr>
        <w:tab/>
        <w:t>Oral request for entry</w:t>
      </w:r>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pPr>
        <w:pStyle w:val="Indenta"/>
        <w:rPr>
          <w:snapToGrid w:val="0"/>
        </w:rPr>
      </w:pPr>
      <w:r>
        <w:rPr>
          <w:snapToGrid w:val="0"/>
        </w:rPr>
        <w:tab/>
        <w:t>(a)</w:t>
      </w:r>
      <w:r>
        <w:rPr>
          <w:snapToGrid w:val="0"/>
        </w:rPr>
        <w:tab/>
        <w:t>that the entry is for Soccer Pools;</w:t>
      </w:r>
    </w:p>
    <w:p>
      <w:pPr>
        <w:pStyle w:val="Indenta"/>
        <w:rPr>
          <w:snapToGrid w:val="0"/>
        </w:rPr>
      </w:pPr>
      <w:r>
        <w:rPr>
          <w:snapToGrid w:val="0"/>
        </w:rPr>
        <w:tab/>
        <w:t>(b)</w:t>
      </w:r>
      <w:r>
        <w:rPr>
          <w:snapToGrid w:val="0"/>
        </w:rPr>
        <w:tab/>
        <w:t>whether the participant wishes to select —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(ie. a systems entry);</w:t>
      </w:r>
    </w:p>
    <w:p>
      <w:pPr>
        <w:pStyle w:val="Indenta"/>
      </w:pPr>
      <w:r>
        <w:tab/>
        <w:t>(c)</w:t>
      </w:r>
      <w:r>
        <w:tab/>
        <w:t xml:space="preserve">if the participant selects 6 selected numbers — </w:t>
      </w:r>
    </w:p>
    <w:p>
      <w:pPr>
        <w:pStyle w:val="Indenti"/>
      </w:pPr>
      <w:r>
        <w:tab/>
        <w:t>(i)</w:t>
      </w:r>
      <w:r>
        <w:tab/>
        <w:t>whether the participant wishes the entry to be entered in 12, 18, 25, 30 or 50 games; or</w:t>
      </w:r>
    </w:p>
    <w:p>
      <w:pPr>
        <w:pStyle w:val="Indenti"/>
      </w:pPr>
      <w:r>
        <w:tab/>
        <w:t>(ii)</w:t>
      </w:r>
      <w:r>
        <w:tab/>
        <w:t>where available, exactly how many games the participant wants to be entered, with a maximum of 50;</w:t>
      </w:r>
    </w:p>
    <w:p>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pPr>
        <w:pStyle w:val="Subsection"/>
        <w:rPr>
          <w:snapToGrid w:val="0"/>
        </w:rPr>
      </w:pPr>
      <w:r>
        <w:rPr>
          <w:snapToGrid w:val="0"/>
        </w:rPr>
        <w:tab/>
        <w:t>(2)</w:t>
      </w:r>
      <w:r>
        <w:rPr>
          <w:snapToGrid w:val="0"/>
        </w:rPr>
        <w:tab/>
        <w:t>If a participant requests —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4 and 20 numbers (other than 6 numbers) the entry will be entered as one systems entry,</w:t>
      </w:r>
    </w:p>
    <w:p>
      <w:pPr>
        <w:pStyle w:val="Subsection"/>
        <w:rPr>
          <w:snapToGrid w:val="0"/>
        </w:rPr>
      </w:pPr>
      <w:r>
        <w:rPr>
          <w:snapToGrid w:val="0"/>
        </w:rPr>
        <w:tab/>
      </w:r>
      <w:r>
        <w:rPr>
          <w:snapToGrid w:val="0"/>
        </w:rPr>
        <w:tab/>
        <w:t>and the resulting receipted ticket constitutes one entry in Soccer Pools.</w:t>
      </w:r>
    </w:p>
    <w:p>
      <w:pPr>
        <w:pStyle w:val="Footnotesection"/>
      </w:pPr>
      <w:r>
        <w:tab/>
        <w:t xml:space="preserve">[Rule 14 amended in Gazette 15 Nov 1996 p. 6525; 29 Apr 1997 p. 2148; 9 Mar 2001 p. 1344; 6 Jun 2008 p. 2329.] </w:t>
      </w:r>
    </w:p>
    <w:p>
      <w:pPr>
        <w:pStyle w:val="Heading5"/>
        <w:rPr>
          <w:snapToGrid w:val="0"/>
        </w:rPr>
      </w:pPr>
      <w:bookmarkStart w:id="62" w:name="_Toc379207723"/>
      <w:bookmarkStart w:id="63" w:name="_Toc463612897"/>
      <w:bookmarkStart w:id="64" w:name="_Toc421106091"/>
      <w:r>
        <w:rPr>
          <w:rStyle w:val="CharSectno"/>
        </w:rPr>
        <w:t>15</w:t>
      </w:r>
      <w:r>
        <w:rPr>
          <w:snapToGrid w:val="0"/>
        </w:rPr>
        <w:t>.</w:t>
      </w:r>
      <w:r>
        <w:rPr>
          <w:snapToGrid w:val="0"/>
        </w:rPr>
        <w:tab/>
        <w:t>Entry by mail</w:t>
      </w:r>
      <w:bookmarkEnd w:id="62"/>
      <w:bookmarkEnd w:id="63"/>
      <w:bookmarkEnd w:id="64"/>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pPr>
        <w:pStyle w:val="Subsection"/>
        <w:keepLines/>
        <w:rPr>
          <w:snapToGrid w:val="0"/>
        </w:rPr>
      </w:pPr>
      <w:r>
        <w:rPr>
          <w:snapToGrid w:val="0"/>
        </w:rPr>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pPr>
        <w:pStyle w:val="Subsection"/>
        <w:rPr>
          <w:snapToGrid w:val="0"/>
        </w:rPr>
      </w:pPr>
      <w:r>
        <w:rPr>
          <w:snapToGrid w:val="0"/>
        </w:rPr>
        <w:tab/>
        <w:t>(5)</w:t>
      </w:r>
      <w:r>
        <w:rPr>
          <w:snapToGrid w:val="0"/>
        </w:rPr>
        <w:tab/>
        <w:t>If one or more of the games on a postal entry contains too few selected numbers, the Commission may — </w:t>
      </w:r>
    </w:p>
    <w:p>
      <w:pPr>
        <w:pStyle w:val="Indenta"/>
        <w:rPr>
          <w:snapToGrid w:val="0"/>
        </w:rPr>
      </w:pPr>
      <w:r>
        <w:rPr>
          <w:snapToGrid w:val="0"/>
        </w:rPr>
        <w:tab/>
        <w:t>(a)</w:t>
      </w:r>
      <w:r>
        <w:rPr>
          <w:snapToGrid w:val="0"/>
        </w:rPr>
        <w:tab/>
        <w:t>ignore the games with too few numbers and produce a receipted ticket from the remaining games;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participant.</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Pools Games the Commission must — </w:t>
      </w:r>
    </w:p>
    <w:p>
      <w:pPr>
        <w:pStyle w:val="Indenta"/>
        <w:rPr>
          <w:snapToGrid w:val="0"/>
        </w:rPr>
      </w:pPr>
      <w:r>
        <w:rPr>
          <w:snapToGrid w:val="0"/>
        </w:rPr>
        <w:tab/>
        <w:t>(a)</w:t>
      </w:r>
      <w:r>
        <w:rPr>
          <w:snapToGrid w:val="0"/>
        </w:rPr>
        <w:tab/>
        <w:t>enter the entry in the Pools Game or Games requested; or</w:t>
      </w:r>
    </w:p>
    <w:p>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15 amended in Gazette 6 Jun 2008 p. 2330.]</w:t>
      </w:r>
    </w:p>
    <w:p>
      <w:pPr>
        <w:pStyle w:val="Heading5"/>
        <w:rPr>
          <w:snapToGrid w:val="0"/>
        </w:rPr>
      </w:pPr>
      <w:bookmarkStart w:id="65" w:name="_Toc379207724"/>
      <w:bookmarkStart w:id="66" w:name="_Toc463612898"/>
      <w:bookmarkStart w:id="67" w:name="_Toc421106092"/>
      <w:r>
        <w:rPr>
          <w:rStyle w:val="CharSectno"/>
        </w:rPr>
        <w:t>16</w:t>
      </w:r>
      <w:r>
        <w:rPr>
          <w:snapToGrid w:val="0"/>
        </w:rPr>
        <w:t>.</w:t>
      </w:r>
      <w:r>
        <w:rPr>
          <w:snapToGrid w:val="0"/>
        </w:rPr>
        <w:tab/>
        <w:t>Receipted tickets</w:t>
      </w:r>
      <w:bookmarkEnd w:id="65"/>
      <w:bookmarkEnd w:id="66"/>
      <w:bookmarkEnd w:id="67"/>
      <w:r>
        <w:rPr>
          <w:snapToGrid w:val="0"/>
        </w:rPr>
        <w:t xml:space="preserve"> </w:t>
      </w:r>
    </w:p>
    <w:p>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pPr>
        <w:pStyle w:val="Footnotesection"/>
      </w:pPr>
      <w:r>
        <w:tab/>
        <w:t>[Rule 16 amended in Gazette 15 Nov 1996 p. 6525; 6 Jun 2008 p. 2330</w:t>
      </w:r>
      <w:r>
        <w:noBreakHyphen/>
        <w:t xml:space="preserve">1.] </w:t>
      </w:r>
    </w:p>
    <w:p>
      <w:pPr>
        <w:pStyle w:val="Heading5"/>
        <w:rPr>
          <w:snapToGrid w:val="0"/>
        </w:rPr>
      </w:pPr>
      <w:bookmarkStart w:id="68" w:name="_Toc379207725"/>
      <w:bookmarkStart w:id="69" w:name="_Toc463612899"/>
      <w:bookmarkStart w:id="70" w:name="_Toc421106093"/>
      <w:r>
        <w:rPr>
          <w:rStyle w:val="CharSectno"/>
        </w:rPr>
        <w:t>17</w:t>
      </w:r>
      <w:r>
        <w:rPr>
          <w:snapToGrid w:val="0"/>
        </w:rPr>
        <w:t>.</w:t>
      </w:r>
      <w:r>
        <w:rPr>
          <w:snapToGrid w:val="0"/>
        </w:rPr>
        <w:tab/>
        <w:t>Surrender of receipted ticket</w:t>
      </w:r>
      <w:bookmarkEnd w:id="68"/>
      <w:bookmarkEnd w:id="69"/>
      <w:bookmarkEnd w:id="70"/>
      <w:r>
        <w:rPr>
          <w:snapToGrid w:val="0"/>
        </w:rPr>
        <w:t xml:space="preserve"> </w:t>
      </w:r>
    </w:p>
    <w:p>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Soccer Pools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participant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pPr>
        <w:pStyle w:val="Footnotesection"/>
      </w:pPr>
      <w:r>
        <w:tab/>
        <w:t xml:space="preserve">[Rule 17 amended in Gazette 15 Nov 1996 p. 6525; 9 Mar 2001 p. 1345; 6 Jun 2008 p. 2331.] </w:t>
      </w:r>
    </w:p>
    <w:p>
      <w:pPr>
        <w:pStyle w:val="Heading5"/>
        <w:rPr>
          <w:snapToGrid w:val="0"/>
        </w:rPr>
      </w:pPr>
      <w:bookmarkStart w:id="71" w:name="_Toc379207726"/>
      <w:bookmarkStart w:id="72" w:name="_Toc463612900"/>
      <w:bookmarkStart w:id="73" w:name="_Toc421106094"/>
      <w:r>
        <w:rPr>
          <w:rStyle w:val="CharSectno"/>
        </w:rPr>
        <w:t>18</w:t>
      </w:r>
      <w:r>
        <w:rPr>
          <w:snapToGrid w:val="0"/>
        </w:rPr>
        <w:t>.</w:t>
      </w:r>
      <w:r>
        <w:rPr>
          <w:snapToGrid w:val="0"/>
        </w:rPr>
        <w:tab/>
        <w:t>Accuracy of receipted ticket</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pPr>
        <w:pStyle w:val="Footnotesection"/>
      </w:pPr>
      <w:r>
        <w:tab/>
        <w:t>[Rule 18 amended in Gazette 6 Jun 2008 p. 2331.]</w:t>
      </w:r>
    </w:p>
    <w:p>
      <w:pPr>
        <w:pStyle w:val="Heading5"/>
        <w:rPr>
          <w:snapToGrid w:val="0"/>
        </w:rPr>
      </w:pPr>
      <w:bookmarkStart w:id="74" w:name="_Toc379207727"/>
      <w:bookmarkStart w:id="75" w:name="_Toc463612901"/>
      <w:bookmarkStart w:id="76" w:name="_Toc421106095"/>
      <w:r>
        <w:rPr>
          <w:rStyle w:val="CharSectno"/>
        </w:rPr>
        <w:t>19</w:t>
      </w:r>
      <w:r>
        <w:rPr>
          <w:snapToGrid w:val="0"/>
        </w:rPr>
        <w:t>.</w:t>
      </w:r>
      <w:r>
        <w:rPr>
          <w:snapToGrid w:val="0"/>
        </w:rPr>
        <w:tab/>
        <w:t>Validity of receipted ticket</w:t>
      </w:r>
      <w:bookmarkEnd w:id="74"/>
      <w:bookmarkEnd w:id="75"/>
      <w:bookmarkEnd w:id="76"/>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pPr>
        <w:pStyle w:val="Indenta"/>
        <w:rPr>
          <w:snapToGrid w:val="0"/>
        </w:rPr>
      </w:pPr>
      <w:r>
        <w:rPr>
          <w:snapToGrid w:val="0"/>
        </w:rPr>
        <w:tab/>
        <w:t>(c)</w:t>
      </w:r>
      <w:r>
        <w:rPr>
          <w:snapToGrid w:val="0"/>
        </w:rPr>
        <w:tab/>
        <w:t>is forged or altered, or obtained as a direct result of fraud, by the participant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 xml:space="preserve">[Rule 19 amended in Gazette 15 Nov 1996 p. 6525; 6 Jun 2008 p. 2332.] </w:t>
      </w:r>
    </w:p>
    <w:p>
      <w:pPr>
        <w:pStyle w:val="Heading2"/>
      </w:pPr>
      <w:bookmarkStart w:id="77" w:name="_Toc379207728"/>
      <w:bookmarkStart w:id="78" w:name="_Toc421106033"/>
      <w:bookmarkStart w:id="79" w:name="_Toc421106096"/>
      <w:bookmarkStart w:id="80" w:name="_Toc463612902"/>
      <w:r>
        <w:rPr>
          <w:rStyle w:val="CharPartNo"/>
        </w:rPr>
        <w:t>Part 3A</w:t>
      </w:r>
      <w:r>
        <w:rPr>
          <w:b w:val="0"/>
        </w:rPr>
        <w:t> </w:t>
      </w:r>
      <w:r>
        <w:t>—</w:t>
      </w:r>
      <w:r>
        <w:rPr>
          <w:b w:val="0"/>
        </w:rPr>
        <w:t> </w:t>
      </w:r>
      <w:r>
        <w:rPr>
          <w:rStyle w:val="CharPartText"/>
        </w:rPr>
        <w:t>Syndicate entries</w:t>
      </w:r>
      <w:bookmarkEnd w:id="77"/>
      <w:bookmarkEnd w:id="78"/>
      <w:bookmarkEnd w:id="79"/>
      <w:bookmarkEnd w:id="80"/>
    </w:p>
    <w:p>
      <w:pPr>
        <w:pStyle w:val="Footnoteheading"/>
      </w:pPr>
      <w:r>
        <w:tab/>
        <w:t>[Heading inserted in Gazette 6 Jun 2008 p. 2333.]</w:t>
      </w:r>
    </w:p>
    <w:p>
      <w:pPr>
        <w:pStyle w:val="Heading5"/>
      </w:pPr>
      <w:bookmarkStart w:id="81" w:name="_Toc379207729"/>
      <w:bookmarkStart w:id="82" w:name="_Toc463612903"/>
      <w:bookmarkStart w:id="83" w:name="_Toc421106097"/>
      <w:r>
        <w:rPr>
          <w:rStyle w:val="CharSectno"/>
        </w:rPr>
        <w:t>19A</w:t>
      </w:r>
      <w:r>
        <w:t>.</w:t>
      </w:r>
      <w:r>
        <w:tab/>
        <w:t>Application of this Part</w:t>
      </w:r>
      <w:bookmarkEnd w:id="81"/>
      <w:bookmarkEnd w:id="82"/>
      <w:bookmarkEnd w:id="83"/>
    </w:p>
    <w:p>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Pools Game.</w:t>
      </w:r>
    </w:p>
    <w:p>
      <w:pPr>
        <w:pStyle w:val="Subsection"/>
      </w:pPr>
      <w:r>
        <w:tab/>
        <w:t>(3)</w:t>
      </w:r>
      <w:r>
        <w:tab/>
        <w:t>This Part only applies to syndicate entries if the syndicate entries are offered in accordance with rules 19B to 19H by the Commission or an agent, as the case may be.</w:t>
      </w:r>
    </w:p>
    <w:p>
      <w:pPr>
        <w:pStyle w:val="Footnotesection"/>
      </w:pPr>
      <w:r>
        <w:tab/>
        <w:t>[Rule 19A inserted in Gazette 6 Jun 2008 p. 2333.]</w:t>
      </w:r>
    </w:p>
    <w:p>
      <w:pPr>
        <w:pStyle w:val="Heading5"/>
      </w:pPr>
      <w:bookmarkStart w:id="84" w:name="_Toc379207730"/>
      <w:bookmarkStart w:id="85" w:name="_Toc463612904"/>
      <w:bookmarkStart w:id="86" w:name="_Toc421106098"/>
      <w:r>
        <w:rPr>
          <w:rStyle w:val="CharSectno"/>
        </w:rPr>
        <w:t>19B</w:t>
      </w:r>
      <w:r>
        <w:t>.</w:t>
      </w:r>
      <w:r>
        <w:tab/>
        <w:t>Establishing a syndicate</w:t>
      </w:r>
      <w:bookmarkEnd w:id="84"/>
      <w:bookmarkEnd w:id="85"/>
      <w:bookmarkEnd w:id="8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19B inserted in Gazette 6 Jun 2008 p. 2333; amended in Gazette 12 Mar 2010 p. 951.]</w:t>
      </w:r>
    </w:p>
    <w:p>
      <w:pPr>
        <w:pStyle w:val="Heading5"/>
      </w:pPr>
      <w:bookmarkStart w:id="87" w:name="_Toc379207731"/>
      <w:bookmarkStart w:id="88" w:name="_Toc463612905"/>
      <w:bookmarkStart w:id="89" w:name="_Toc421106099"/>
      <w:r>
        <w:rPr>
          <w:rStyle w:val="CharSectno"/>
        </w:rPr>
        <w:t>19C</w:t>
      </w:r>
      <w:r>
        <w:t>.</w:t>
      </w:r>
      <w:r>
        <w:tab/>
        <w:t>Syndicate share and cost parameters</w:t>
      </w:r>
      <w:bookmarkEnd w:id="87"/>
      <w:bookmarkEnd w:id="88"/>
      <w:bookmarkEnd w:id="8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19C inserted in Gazette 6 Jun 2008 p. 2334; amended in Gazette 12 Mar 2010 p. 951</w:t>
      </w:r>
      <w:r>
        <w:noBreakHyphen/>
        <w:t>2.]</w:t>
      </w:r>
    </w:p>
    <w:p>
      <w:pPr>
        <w:pStyle w:val="Heading5"/>
      </w:pPr>
      <w:bookmarkStart w:id="90" w:name="_Toc379207732"/>
      <w:bookmarkStart w:id="91" w:name="_Toc463612906"/>
      <w:bookmarkStart w:id="92" w:name="_Toc421106100"/>
      <w:r>
        <w:rPr>
          <w:rStyle w:val="CharSectno"/>
        </w:rPr>
        <w:t>19D</w:t>
      </w:r>
      <w:r>
        <w:t>.</w:t>
      </w:r>
      <w:r>
        <w:tab/>
        <w:t>Agent’s component of a syndicate share</w:t>
      </w:r>
      <w:bookmarkEnd w:id="90"/>
      <w:bookmarkEnd w:id="91"/>
      <w:bookmarkEnd w:id="92"/>
    </w:p>
    <w:p>
      <w:pPr>
        <w:pStyle w:val="Subsection"/>
      </w:pPr>
      <w:r>
        <w:tab/>
      </w:r>
      <w:r>
        <w:tab/>
        <w:t>The agent’s component per share is the difference between the final price per share and the subscription per share.</w:t>
      </w:r>
    </w:p>
    <w:p>
      <w:pPr>
        <w:pStyle w:val="Footnotesection"/>
      </w:pPr>
      <w:r>
        <w:tab/>
        <w:t>[Rule 19D inserted in Gazette 12 Mar 2010 p. 952.]</w:t>
      </w:r>
    </w:p>
    <w:p>
      <w:pPr>
        <w:pStyle w:val="Heading5"/>
      </w:pPr>
      <w:bookmarkStart w:id="93" w:name="_Toc379207733"/>
      <w:bookmarkStart w:id="94" w:name="_Toc463612907"/>
      <w:bookmarkStart w:id="95" w:name="_Toc421106101"/>
      <w:r>
        <w:rPr>
          <w:rStyle w:val="CharSectno"/>
        </w:rPr>
        <w:t>19E</w:t>
      </w:r>
      <w:r>
        <w:t>.</w:t>
      </w:r>
      <w:r>
        <w:tab/>
        <w:t>Syndicate participation parameters</w:t>
      </w:r>
      <w:bookmarkEnd w:id="93"/>
      <w:bookmarkEnd w:id="94"/>
      <w:bookmarkEnd w:id="95"/>
    </w:p>
    <w:p>
      <w:pPr>
        <w:pStyle w:val="Subsection"/>
      </w:pPr>
      <w:r>
        <w:tab/>
        <w:t>(1)</w:t>
      </w:r>
      <w:r>
        <w:tab/>
        <w:t>A syndicate cannot be created for more than one Pools Game.</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Soccer Pools and another type of lotto under the Act.</w:t>
      </w:r>
    </w:p>
    <w:p>
      <w:pPr>
        <w:pStyle w:val="Footnotesection"/>
      </w:pPr>
      <w:r>
        <w:tab/>
        <w:t>[Rule 19E inserted in Gazette 6 Jun 2008 p. 2334.]</w:t>
      </w:r>
    </w:p>
    <w:p>
      <w:pPr>
        <w:pStyle w:val="Heading5"/>
      </w:pPr>
      <w:bookmarkStart w:id="96" w:name="_Toc379207734"/>
      <w:bookmarkStart w:id="97" w:name="_Toc463612908"/>
      <w:bookmarkStart w:id="98" w:name="_Toc421106102"/>
      <w:r>
        <w:rPr>
          <w:rStyle w:val="CharSectno"/>
        </w:rPr>
        <w:t>19F</w:t>
      </w:r>
      <w:r>
        <w:t>.</w:t>
      </w:r>
      <w:r>
        <w:tab/>
        <w:t>Types of syndicates</w:t>
      </w:r>
      <w:bookmarkEnd w:id="96"/>
      <w:bookmarkEnd w:id="97"/>
      <w:bookmarkEnd w:id="98"/>
    </w:p>
    <w:p>
      <w:pPr>
        <w:pStyle w:val="Subsection"/>
      </w:pPr>
      <w:r>
        <w:tab/>
        <w:t>(1)</w:t>
      </w:r>
      <w:r>
        <w:tab/>
        <w:t xml:space="preserve">A syndicate entry in a Pools Game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19F inserted in Gazette 6 Jun 2008 p. 2335.]</w:t>
      </w:r>
    </w:p>
    <w:p>
      <w:pPr>
        <w:pStyle w:val="Heading5"/>
      </w:pPr>
      <w:bookmarkStart w:id="99" w:name="_Toc379207735"/>
      <w:bookmarkStart w:id="100" w:name="_Toc463612909"/>
      <w:bookmarkStart w:id="101" w:name="_Toc421106103"/>
      <w:r>
        <w:rPr>
          <w:rStyle w:val="CharSectno"/>
        </w:rPr>
        <w:t>19G</w:t>
      </w:r>
      <w:r>
        <w:t>.</w:t>
      </w:r>
      <w:r>
        <w:tab/>
        <w:t>Syndicate share receipted ticket</w:t>
      </w:r>
      <w:bookmarkEnd w:id="99"/>
      <w:bookmarkEnd w:id="100"/>
      <w:bookmarkEnd w:id="101"/>
    </w:p>
    <w:p>
      <w:pPr>
        <w:pStyle w:val="Subsection"/>
      </w:pPr>
      <w:r>
        <w:tab/>
        <w:t>(1)</w:t>
      </w:r>
      <w:r>
        <w:tab/>
        <w:t>A syndicate share receipted ticket in a Pools Game may be registered by the participant so that a player’s card membership number is allocated to that receipted ticket.</w:t>
      </w:r>
    </w:p>
    <w:p>
      <w:pPr>
        <w:pStyle w:val="Subsection"/>
      </w:pPr>
      <w:r>
        <w:tab/>
        <w:t>(2)</w:t>
      </w:r>
      <w:r>
        <w:tab/>
        <w:t>A syndicate share receipted ticket in a Pools Game cannot be cancelled but, where the Commission agrees, the entry fee may be refunded and the ticket may be returned for resale.</w:t>
      </w:r>
    </w:p>
    <w:p>
      <w:pPr>
        <w:pStyle w:val="Footnotesection"/>
      </w:pPr>
      <w:r>
        <w:tab/>
        <w:t>[Rule 19G inserted in Gazette 6 Jun 2008 p. 2335.]</w:t>
      </w:r>
    </w:p>
    <w:p>
      <w:pPr>
        <w:pStyle w:val="Heading5"/>
      </w:pPr>
      <w:bookmarkStart w:id="102" w:name="_Toc379207736"/>
      <w:bookmarkStart w:id="103" w:name="_Toc463612910"/>
      <w:bookmarkStart w:id="104" w:name="_Toc421106104"/>
      <w:r>
        <w:rPr>
          <w:rStyle w:val="CharSectno"/>
        </w:rPr>
        <w:t>19H</w:t>
      </w:r>
      <w:r>
        <w:t>.</w:t>
      </w:r>
      <w:r>
        <w:tab/>
        <w:t>Syndicate master ticket</w:t>
      </w:r>
      <w:bookmarkEnd w:id="102"/>
      <w:bookmarkEnd w:id="103"/>
      <w:bookmarkEnd w:id="10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 xml:space="preserve">A master ticket may be cancelled if, at the time of the request for cancellation, no shares have been sold in that syndicate. </w:t>
      </w:r>
    </w:p>
    <w:p>
      <w:pPr>
        <w:pStyle w:val="Subsection"/>
      </w:pPr>
      <w:r>
        <w:tab/>
        <w:t>(3)</w:t>
      </w:r>
      <w:r>
        <w:tab/>
        <w:t>Any truncation adjustments that are required under rules 19C(7), 19D and 26(5)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19H inserted in Gazette 6 Jun 2008 p. 2335</w:t>
      </w:r>
      <w:r>
        <w:noBreakHyphen/>
        <w:t>6; amended in Gazette 12 Mar 2010 p. 952.]</w:t>
      </w:r>
    </w:p>
    <w:p>
      <w:pPr>
        <w:pStyle w:val="Heading2"/>
      </w:pPr>
      <w:bookmarkStart w:id="105" w:name="_Toc379207737"/>
      <w:bookmarkStart w:id="106" w:name="_Toc421106042"/>
      <w:bookmarkStart w:id="107" w:name="_Toc421106105"/>
      <w:bookmarkStart w:id="108" w:name="_Toc463612911"/>
      <w:r>
        <w:rPr>
          <w:rStyle w:val="CharPartNo"/>
        </w:rPr>
        <w:t>Part 4</w:t>
      </w:r>
      <w:r>
        <w:rPr>
          <w:rStyle w:val="CharDivNo"/>
        </w:rPr>
        <w:t> </w:t>
      </w:r>
      <w:r>
        <w:t>—</w:t>
      </w:r>
      <w:r>
        <w:rPr>
          <w:rStyle w:val="CharDivText"/>
        </w:rPr>
        <w:t> </w:t>
      </w:r>
      <w:r>
        <w:rPr>
          <w:rStyle w:val="CharPartText"/>
        </w:rPr>
        <w:t>General duties of Commission</w:t>
      </w:r>
      <w:bookmarkEnd w:id="105"/>
      <w:bookmarkEnd w:id="106"/>
      <w:bookmarkEnd w:id="107"/>
      <w:bookmarkEnd w:id="108"/>
      <w:r>
        <w:rPr>
          <w:rStyle w:val="CharPartText"/>
        </w:rPr>
        <w:t xml:space="preserve"> </w:t>
      </w:r>
    </w:p>
    <w:p>
      <w:pPr>
        <w:pStyle w:val="Heading5"/>
        <w:rPr>
          <w:snapToGrid w:val="0"/>
        </w:rPr>
      </w:pPr>
      <w:bookmarkStart w:id="109" w:name="_Toc379207738"/>
      <w:bookmarkStart w:id="110" w:name="_Toc463612912"/>
      <w:bookmarkStart w:id="111" w:name="_Toc421106106"/>
      <w:r>
        <w:rPr>
          <w:rStyle w:val="CharSectno"/>
        </w:rPr>
        <w:t>20</w:t>
      </w:r>
      <w:r>
        <w:rPr>
          <w:snapToGrid w:val="0"/>
        </w:rPr>
        <w:t>.</w:t>
      </w:r>
      <w:r>
        <w:rPr>
          <w:snapToGrid w:val="0"/>
        </w:rPr>
        <w:tab/>
        <w:t>Pools to be numbered</w:t>
      </w:r>
      <w:bookmarkEnd w:id="109"/>
      <w:bookmarkEnd w:id="110"/>
      <w:bookmarkEnd w:id="111"/>
      <w:r>
        <w:rPr>
          <w:snapToGrid w:val="0"/>
        </w:rPr>
        <w:t xml:space="preserve"> </w:t>
      </w:r>
    </w:p>
    <w:p>
      <w:pPr>
        <w:pStyle w:val="Subsection"/>
        <w:rPr>
          <w:snapToGrid w:val="0"/>
        </w:rPr>
      </w:pPr>
      <w:r>
        <w:rPr>
          <w:snapToGrid w:val="0"/>
        </w:rPr>
        <w:tab/>
      </w:r>
      <w:r>
        <w:rPr>
          <w:snapToGrid w:val="0"/>
        </w:rPr>
        <w:tab/>
        <w:t>Each game in Soccer Pools conducted by the Commission is to be identified with a “Pools Game number”.</w:t>
      </w:r>
    </w:p>
    <w:p>
      <w:pPr>
        <w:pStyle w:val="Heading5"/>
        <w:rPr>
          <w:snapToGrid w:val="0"/>
        </w:rPr>
      </w:pPr>
      <w:bookmarkStart w:id="112" w:name="_Toc379207739"/>
      <w:bookmarkStart w:id="113" w:name="_Toc463612913"/>
      <w:bookmarkStart w:id="114" w:name="_Toc421106107"/>
      <w:r>
        <w:rPr>
          <w:rStyle w:val="CharSectno"/>
        </w:rPr>
        <w:t>21</w:t>
      </w:r>
      <w:r>
        <w:rPr>
          <w:snapToGrid w:val="0"/>
        </w:rPr>
        <w:t>.</w:t>
      </w:r>
      <w:r>
        <w:rPr>
          <w:snapToGrid w:val="0"/>
        </w:rPr>
        <w:tab/>
        <w:t>Publication of match list</w:t>
      </w:r>
      <w:bookmarkEnd w:id="112"/>
      <w:bookmarkEnd w:id="113"/>
      <w:bookmarkEnd w:id="114"/>
      <w:r>
        <w:rPr>
          <w:snapToGrid w:val="0"/>
        </w:rPr>
        <w:t xml:space="preserve"> </w:t>
      </w:r>
    </w:p>
    <w:p>
      <w:pPr>
        <w:pStyle w:val="Subsection"/>
      </w:pPr>
      <w:r>
        <w:tab/>
        <w:t>(1)</w:t>
      </w:r>
      <w:r>
        <w:tab/>
        <w:t>Before each Pools Game the Commission must publish the list of soccer matches included in the list of matches for that week.</w:t>
      </w:r>
    </w:p>
    <w:p>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pPr>
        <w:pStyle w:val="Footnotesection"/>
      </w:pPr>
      <w:r>
        <w:tab/>
        <w:t>[Rule 21 amended in Gazette 5 Aug 2005 p. 3600.]</w:t>
      </w:r>
    </w:p>
    <w:p>
      <w:pPr>
        <w:pStyle w:val="Heading5"/>
        <w:rPr>
          <w:snapToGrid w:val="0"/>
        </w:rPr>
      </w:pPr>
      <w:bookmarkStart w:id="115" w:name="_Toc379207740"/>
      <w:bookmarkStart w:id="116" w:name="_Toc463612914"/>
      <w:bookmarkStart w:id="117" w:name="_Toc421106108"/>
      <w:r>
        <w:rPr>
          <w:rStyle w:val="CharSectno"/>
        </w:rPr>
        <w:t>22</w:t>
      </w:r>
      <w:r>
        <w:rPr>
          <w:snapToGrid w:val="0"/>
        </w:rPr>
        <w:t>.</w:t>
      </w:r>
      <w:r>
        <w:rPr>
          <w:snapToGrid w:val="0"/>
        </w:rPr>
        <w:tab/>
        <w:t>Publication of results</w:t>
      </w:r>
      <w:bookmarkEnd w:id="115"/>
      <w:bookmarkEnd w:id="116"/>
      <w:bookmarkEnd w:id="117"/>
      <w:r>
        <w:rPr>
          <w:snapToGrid w:val="0"/>
        </w:rPr>
        <w:t xml:space="preserve"> </w:t>
      </w:r>
    </w:p>
    <w:p>
      <w:pPr>
        <w:pStyle w:val="Subsection"/>
        <w:rPr>
          <w:snapToGrid w:val="0"/>
        </w:rPr>
      </w:pPr>
      <w:r>
        <w:rPr>
          <w:snapToGrid w:val="0"/>
        </w:rPr>
        <w:tab/>
      </w:r>
      <w:r>
        <w:rPr>
          <w:snapToGrid w:val="0"/>
        </w:rPr>
        <w:tab/>
        <w:t>After each Pools Game the Commission must publish, in a daily newspaper in this State — </w:t>
      </w:r>
    </w:p>
    <w:p>
      <w:pPr>
        <w:pStyle w:val="Indenta"/>
        <w:rPr>
          <w:snapToGrid w:val="0"/>
        </w:rPr>
      </w:pPr>
      <w:r>
        <w:rPr>
          <w:snapToGrid w:val="0"/>
        </w:rPr>
        <w:tab/>
        <w:t>(a)</w:t>
      </w:r>
      <w:r>
        <w:rPr>
          <w:snapToGrid w:val="0"/>
        </w:rPr>
        <w:tab/>
        <w:t>the “Pools Game number” for that Pools Game;</w:t>
      </w:r>
    </w:p>
    <w:p>
      <w:pPr>
        <w:pStyle w:val="Indenta"/>
        <w:rPr>
          <w:snapToGrid w:val="0"/>
        </w:rPr>
      </w:pPr>
      <w:r>
        <w:rPr>
          <w:snapToGrid w:val="0"/>
        </w:rPr>
        <w:tab/>
        <w:t>(b)</w:t>
      </w:r>
      <w:r>
        <w:rPr>
          <w:snapToGrid w:val="0"/>
        </w:rPr>
        <w:tab/>
        <w:t>the 6 winning numbers and the supplementary number;</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the division 1 prizes will be paid; </w:t>
      </w:r>
    </w:p>
    <w:p>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pPr>
        <w:pStyle w:val="Indenta"/>
        <w:rPr>
          <w:snapToGrid w:val="0"/>
        </w:rPr>
      </w:pPr>
      <w:r>
        <w:rPr>
          <w:snapToGrid w:val="0"/>
        </w:rPr>
        <w:tab/>
        <w:t>(g)</w:t>
      </w:r>
      <w:r>
        <w:rPr>
          <w:snapToGrid w:val="0"/>
        </w:rPr>
        <w:tab/>
        <w:t>the amount, if any, to carry over as a jackpot to the division 1 prize pool for the next Pools Game; and</w:t>
      </w:r>
    </w:p>
    <w:p>
      <w:pPr>
        <w:pStyle w:val="Indenta"/>
        <w:rPr>
          <w:snapToGrid w:val="0"/>
        </w:rPr>
      </w:pPr>
      <w:r>
        <w:rPr>
          <w:snapToGrid w:val="0"/>
        </w:rPr>
        <w:tab/>
        <w:t>(h)</w:t>
      </w:r>
      <w:r>
        <w:rPr>
          <w:snapToGrid w:val="0"/>
        </w:rPr>
        <w:tab/>
        <w:t>the total prize pool for that Pools Game.</w:t>
      </w:r>
    </w:p>
    <w:p>
      <w:pPr>
        <w:pStyle w:val="Heading5"/>
        <w:rPr>
          <w:snapToGrid w:val="0"/>
        </w:rPr>
      </w:pPr>
      <w:bookmarkStart w:id="118" w:name="_Toc379207741"/>
      <w:bookmarkStart w:id="119" w:name="_Toc463612915"/>
      <w:bookmarkStart w:id="120" w:name="_Toc421106109"/>
      <w:r>
        <w:rPr>
          <w:rStyle w:val="CharSectno"/>
        </w:rPr>
        <w:t>23</w:t>
      </w:r>
      <w:r>
        <w:rPr>
          <w:snapToGrid w:val="0"/>
        </w:rPr>
        <w:t>.</w:t>
      </w:r>
      <w:r>
        <w:rPr>
          <w:snapToGrid w:val="0"/>
        </w:rPr>
        <w:tab/>
        <w:t>Soccer pools prize pool and prize reserve fund</w:t>
      </w:r>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pPr>
        <w:pStyle w:val="Subsection"/>
        <w:rPr>
          <w:snapToGrid w:val="0"/>
        </w:rPr>
      </w:pPr>
      <w:r>
        <w:rPr>
          <w:snapToGrid w:val="0"/>
        </w:rPr>
        <w:tab/>
        <w:t>(2)</w:t>
      </w:r>
      <w:r>
        <w:rPr>
          <w:snapToGrid w:val="0"/>
        </w:rPr>
        <w:tab/>
        <w:t>The total contribution under subrule (1) is to be divided so that —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pPr>
        <w:pStyle w:val="Footnotesection"/>
      </w:pPr>
      <w:r>
        <w:tab/>
        <w:t>[Rule 23 amended in Gazette 29 Sep 2006 p. 4275; 26 Jun 2007 p. 3058; 6 Jun 2008 p. 2336.]</w:t>
      </w:r>
    </w:p>
    <w:p>
      <w:pPr>
        <w:pStyle w:val="Heading2"/>
      </w:pPr>
      <w:bookmarkStart w:id="121" w:name="_Toc379207742"/>
      <w:bookmarkStart w:id="122" w:name="_Toc421106047"/>
      <w:bookmarkStart w:id="123" w:name="_Toc421106110"/>
      <w:bookmarkStart w:id="124" w:name="_Toc463612916"/>
      <w:r>
        <w:rPr>
          <w:rStyle w:val="CharPartNo"/>
        </w:rPr>
        <w:t>Part 5</w:t>
      </w:r>
      <w:r>
        <w:rPr>
          <w:rStyle w:val="CharDivNo"/>
        </w:rPr>
        <w:t> </w:t>
      </w:r>
      <w:r>
        <w:t>—</w:t>
      </w:r>
      <w:r>
        <w:rPr>
          <w:rStyle w:val="CharDivText"/>
        </w:rPr>
        <w:t> </w:t>
      </w:r>
      <w:r>
        <w:rPr>
          <w:rStyle w:val="CharPartText"/>
        </w:rPr>
        <w:t>Determination of pools game prizes</w:t>
      </w:r>
      <w:bookmarkEnd w:id="121"/>
      <w:bookmarkEnd w:id="122"/>
      <w:bookmarkEnd w:id="123"/>
      <w:bookmarkEnd w:id="124"/>
      <w:r>
        <w:rPr>
          <w:rStyle w:val="CharPartText"/>
        </w:rPr>
        <w:t xml:space="preserve"> </w:t>
      </w:r>
    </w:p>
    <w:p>
      <w:pPr>
        <w:pStyle w:val="Heading5"/>
        <w:rPr>
          <w:snapToGrid w:val="0"/>
        </w:rPr>
      </w:pPr>
      <w:bookmarkStart w:id="125" w:name="_Toc379207743"/>
      <w:bookmarkStart w:id="126" w:name="_Toc463612917"/>
      <w:bookmarkStart w:id="127" w:name="_Toc421106111"/>
      <w:r>
        <w:rPr>
          <w:rStyle w:val="CharSectno"/>
        </w:rPr>
        <w:t>24</w:t>
      </w:r>
      <w:r>
        <w:rPr>
          <w:snapToGrid w:val="0"/>
        </w:rPr>
        <w:t>.</w:t>
      </w:r>
      <w:r>
        <w:rPr>
          <w:snapToGrid w:val="0"/>
        </w:rPr>
        <w:tab/>
        <w:t>Criteria for prizes</w:t>
      </w:r>
      <w:bookmarkEnd w:id="125"/>
      <w:bookmarkEnd w:id="126"/>
      <w:bookmarkEnd w:id="127"/>
      <w:r>
        <w:rPr>
          <w:snapToGrid w:val="0"/>
        </w:rPr>
        <w:t xml:space="preserve"> </w:t>
      </w:r>
    </w:p>
    <w:p>
      <w:pPr>
        <w:pStyle w:val="Subsection"/>
        <w:rPr>
          <w:snapToGrid w:val="0"/>
        </w:rPr>
      </w:pPr>
      <w:r>
        <w:rPr>
          <w:snapToGrid w:val="0"/>
        </w:rPr>
        <w:tab/>
      </w:r>
      <w:r>
        <w:rPr>
          <w:snapToGrid w:val="0"/>
        </w:rPr>
        <w:tab/>
        <w:t>In a Pools Game, the holder of a receipted ticket</w:t>
      </w:r>
      <w:r>
        <w:t xml:space="preserve"> or the purchaser of an entry under the </w:t>
      </w:r>
      <w:r>
        <w:rPr>
          <w:i/>
          <w:iCs/>
        </w:rPr>
        <w:t>Lotteries Commission (Internet Entries) Rules 2010</w:t>
      </w:r>
      <w:r>
        <w:rPr>
          <w:snapToGrid w:val="0"/>
        </w:rPr>
        <w:t xml:space="preserve"> wins — </w:t>
      </w:r>
    </w:p>
    <w:p>
      <w:pPr>
        <w:pStyle w:val="Indenta"/>
        <w:rPr>
          <w:snapToGrid w:val="0"/>
        </w:rPr>
      </w:pPr>
      <w:r>
        <w:rPr>
          <w:snapToGrid w:val="0"/>
        </w:rPr>
        <w:tab/>
        <w:t>(a)</w:t>
      </w:r>
      <w:r>
        <w:rPr>
          <w:snapToGrid w:val="0"/>
        </w:rPr>
        <w:tab/>
        <w:t>division 1, if 6 winning numbers;</w:t>
      </w:r>
    </w:p>
    <w:p>
      <w:pPr>
        <w:pStyle w:val="Indenta"/>
        <w:rPr>
          <w:snapToGrid w:val="0"/>
        </w:rPr>
      </w:pPr>
      <w:r>
        <w:rPr>
          <w:snapToGrid w:val="0"/>
        </w:rPr>
        <w:tab/>
        <w:t>(b)</w:t>
      </w:r>
      <w:r>
        <w:rPr>
          <w:snapToGrid w:val="0"/>
        </w:rPr>
        <w:tab/>
        <w:t xml:space="preserve">division 2, if any 5 of the 6 winning numbers and the supplementary number; </w:t>
      </w:r>
    </w:p>
    <w:p>
      <w:pPr>
        <w:pStyle w:val="Indenta"/>
        <w:rPr>
          <w:snapToGrid w:val="0"/>
        </w:rPr>
      </w:pPr>
      <w:r>
        <w:rPr>
          <w:snapToGrid w:val="0"/>
        </w:rPr>
        <w:tab/>
        <w:t>(c)</w:t>
      </w:r>
      <w:r>
        <w:rPr>
          <w:snapToGrid w:val="0"/>
        </w:rPr>
        <w:tab/>
        <w:t xml:space="preserve">division 3, if any 5 of the 6 winning numbers; </w:t>
      </w:r>
    </w:p>
    <w:p>
      <w:pPr>
        <w:pStyle w:val="Indenta"/>
        <w:rPr>
          <w:snapToGrid w:val="0"/>
        </w:rPr>
      </w:pPr>
      <w:r>
        <w:rPr>
          <w:snapToGrid w:val="0"/>
        </w:rPr>
        <w:tab/>
        <w:t>(d)</w:t>
      </w:r>
      <w:r>
        <w:rPr>
          <w:snapToGrid w:val="0"/>
        </w:rPr>
        <w:tab/>
        <w:t xml:space="preserve">division 4, if any 4 of the 6 winning numbers; </w:t>
      </w:r>
    </w:p>
    <w:p>
      <w:pPr>
        <w:pStyle w:val="Indenta"/>
        <w:rPr>
          <w:snapToGrid w:val="0"/>
        </w:rPr>
      </w:pPr>
      <w:r>
        <w:rPr>
          <w:snapToGrid w:val="0"/>
        </w:rPr>
        <w:tab/>
        <w:t>(e)</w:t>
      </w:r>
      <w:r>
        <w:rPr>
          <w:snapToGrid w:val="0"/>
        </w:rPr>
        <w:tab/>
        <w:t xml:space="preserve">division 5, if any 3 of the 6 winning numbers and the supplementary number, </w:t>
      </w:r>
    </w:p>
    <w:p>
      <w:pPr>
        <w:pStyle w:val="Subsection"/>
        <w:rPr>
          <w:snapToGrid w:val="0"/>
        </w:rPr>
      </w:pPr>
      <w:r>
        <w:rPr>
          <w:snapToGrid w:val="0"/>
        </w:rPr>
        <w:tab/>
      </w:r>
      <w:r>
        <w:rPr>
          <w:snapToGrid w:val="0"/>
        </w:rPr>
        <w:tab/>
        <w:t>are selected in the one game.</w:t>
      </w:r>
    </w:p>
    <w:p>
      <w:pPr>
        <w:pStyle w:val="Footnotesection"/>
      </w:pPr>
      <w:r>
        <w:tab/>
        <w:t>[Rule 24 amended in Gazette 19 Nov 2010 p. 5735.]</w:t>
      </w:r>
    </w:p>
    <w:p>
      <w:pPr>
        <w:pStyle w:val="Heading5"/>
        <w:rPr>
          <w:snapToGrid w:val="0"/>
        </w:rPr>
      </w:pPr>
      <w:bookmarkStart w:id="128" w:name="_Toc379207744"/>
      <w:bookmarkStart w:id="129" w:name="_Toc463612918"/>
      <w:bookmarkStart w:id="130" w:name="_Toc421106112"/>
      <w:r>
        <w:rPr>
          <w:rStyle w:val="CharSectno"/>
        </w:rPr>
        <w:t>25</w:t>
      </w:r>
      <w:r>
        <w:rPr>
          <w:snapToGrid w:val="0"/>
        </w:rPr>
        <w:t>.</w:t>
      </w:r>
      <w:r>
        <w:rPr>
          <w:snapToGrid w:val="0"/>
        </w:rPr>
        <w:tab/>
        <w:t>Only systems entry can win in more than one division</w:t>
      </w:r>
      <w:bookmarkEnd w:id="128"/>
      <w:bookmarkEnd w:id="129"/>
      <w:bookmarkEnd w:id="130"/>
      <w:r>
        <w:rPr>
          <w:snapToGrid w:val="0"/>
        </w:rPr>
        <w:t xml:space="preserve"> </w:t>
      </w:r>
    </w:p>
    <w:p>
      <w:pPr>
        <w:pStyle w:val="Subsection"/>
        <w:rPr>
          <w:snapToGrid w:val="0"/>
        </w:rPr>
      </w:pPr>
      <w:r>
        <w:rPr>
          <w:snapToGrid w:val="0"/>
        </w:rPr>
        <w:tab/>
        <w:t>(1)</w:t>
      </w:r>
      <w:r>
        <w:rPr>
          <w:snapToGrid w:val="0"/>
        </w:rPr>
        <w:tab/>
        <w:t>The holder of a receipted ticket</w:t>
      </w:r>
      <w:r>
        <w:t xml:space="preserve"> or the purchaser of an entry under the </w:t>
      </w:r>
      <w:r>
        <w:rPr>
          <w:i/>
          <w:iCs/>
        </w:rPr>
        <w:t>Lotteries Commission (Internet Entries) Rules 2010</w:t>
      </w:r>
      <w:r>
        <w:rPr>
          <w:snapToGrid w:val="0"/>
        </w:rPr>
        <w:t xml:space="preserve"> may claim a prize in only one division for each Pools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25 amended in Gazette 6 Jun 2008 p. 2336</w:t>
      </w:r>
      <w:r>
        <w:noBreakHyphen/>
        <w:t>7; 19 Nov 2010 p. 5735</w:t>
      </w:r>
      <w:r>
        <w:noBreakHyphen/>
        <w:t>6.]</w:t>
      </w:r>
    </w:p>
    <w:p>
      <w:pPr>
        <w:pStyle w:val="Heading5"/>
        <w:rPr>
          <w:snapToGrid w:val="0"/>
        </w:rPr>
      </w:pPr>
      <w:bookmarkStart w:id="131" w:name="_Toc379207745"/>
      <w:bookmarkStart w:id="132" w:name="_Toc463612919"/>
      <w:bookmarkStart w:id="133" w:name="_Toc421106113"/>
      <w:r>
        <w:rPr>
          <w:rStyle w:val="CharSectno"/>
        </w:rPr>
        <w:t>26</w:t>
      </w:r>
      <w:r>
        <w:rPr>
          <w:snapToGrid w:val="0"/>
        </w:rPr>
        <w:t>.</w:t>
      </w:r>
      <w:r>
        <w:rPr>
          <w:snapToGrid w:val="0"/>
        </w:rPr>
        <w:tab/>
        <w:t>Distribution of prize pool</w:t>
      </w:r>
      <w:bookmarkEnd w:id="131"/>
      <w:bookmarkEnd w:id="132"/>
      <w:bookmarkEnd w:id="133"/>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26 amended in Gazette 26 Jun 2007 p. 3058; 6 Jun 2008 p. 2337.]</w:t>
      </w:r>
    </w:p>
    <w:p>
      <w:pPr>
        <w:pStyle w:val="Heading5"/>
        <w:rPr>
          <w:snapToGrid w:val="0"/>
        </w:rPr>
      </w:pPr>
      <w:bookmarkStart w:id="134" w:name="_Toc379207746"/>
      <w:bookmarkStart w:id="135" w:name="_Toc463612920"/>
      <w:bookmarkStart w:id="136" w:name="_Toc421106114"/>
      <w:r>
        <w:rPr>
          <w:rStyle w:val="CharSectno"/>
        </w:rPr>
        <w:t>27</w:t>
      </w:r>
      <w:r>
        <w:rPr>
          <w:snapToGrid w:val="0"/>
        </w:rPr>
        <w:t>.</w:t>
      </w:r>
      <w:r>
        <w:rPr>
          <w:snapToGrid w:val="0"/>
        </w:rPr>
        <w:tab/>
        <w:t>Division 1 jackpot</w:t>
      </w:r>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Footnotesection"/>
      </w:pPr>
      <w:r>
        <w:tab/>
        <w:t>[Rule 27 amended in Gazette 6 Jun 2008 p. 2337.]</w:t>
      </w:r>
    </w:p>
    <w:p>
      <w:pPr>
        <w:pStyle w:val="Heading5"/>
        <w:rPr>
          <w:snapToGrid w:val="0"/>
        </w:rPr>
      </w:pPr>
      <w:bookmarkStart w:id="137" w:name="_Toc379207747"/>
      <w:bookmarkStart w:id="138" w:name="_Toc463612921"/>
      <w:bookmarkStart w:id="139" w:name="_Toc421106115"/>
      <w:r>
        <w:rPr>
          <w:rStyle w:val="CharSectno"/>
        </w:rPr>
        <w:t>28</w:t>
      </w:r>
      <w:r>
        <w:rPr>
          <w:snapToGrid w:val="0"/>
        </w:rPr>
        <w:t>.</w:t>
      </w:r>
      <w:r>
        <w:rPr>
          <w:snapToGrid w:val="0"/>
        </w:rPr>
        <w:tab/>
        <w:t>Divisions 2 — 5 prize pools may be varied or re</w:t>
      </w:r>
      <w:r>
        <w:rPr>
          <w:snapToGrid w:val="0"/>
        </w:rPr>
        <w:noBreakHyphen/>
        <w:t>allocated</w:t>
      </w:r>
      <w:bookmarkEnd w:id="137"/>
      <w:bookmarkEnd w:id="138"/>
      <w:bookmarkEnd w:id="139"/>
      <w:r>
        <w:rPr>
          <w:snapToGrid w:val="0"/>
        </w:rPr>
        <w:t xml:space="preserve"> </w:t>
      </w:r>
    </w:p>
    <w:p>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140" w:name="_Toc379207748"/>
      <w:bookmarkStart w:id="141" w:name="_Toc463612922"/>
      <w:bookmarkStart w:id="142" w:name="_Toc421106116"/>
      <w:r>
        <w:rPr>
          <w:rStyle w:val="CharSectno"/>
        </w:rPr>
        <w:t>29</w:t>
      </w:r>
      <w:r>
        <w:rPr>
          <w:snapToGrid w:val="0"/>
        </w:rPr>
        <w:t>.</w:t>
      </w:r>
      <w:r>
        <w:rPr>
          <w:snapToGrid w:val="0"/>
        </w:rPr>
        <w:tab/>
        <w:t>Bonus Pools Games and guaranteed prize pools</w:t>
      </w:r>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pPr>
        <w:pStyle w:val="Footnotesection"/>
        <w:ind w:left="890" w:hanging="890"/>
      </w:pPr>
      <w:r>
        <w:tab/>
        <w:t>[Rule 29 amended in Gazette 6 Jun 2008 p. 2337.]</w:t>
      </w:r>
    </w:p>
    <w:p>
      <w:pPr>
        <w:pStyle w:val="Heading5"/>
        <w:rPr>
          <w:snapToGrid w:val="0"/>
        </w:rPr>
      </w:pPr>
      <w:bookmarkStart w:id="143" w:name="_Toc379207749"/>
      <w:bookmarkStart w:id="144" w:name="_Toc463612923"/>
      <w:bookmarkStart w:id="145" w:name="_Toc421106117"/>
      <w:r>
        <w:rPr>
          <w:rStyle w:val="CharSectno"/>
        </w:rPr>
        <w:t>30</w:t>
      </w:r>
      <w:r>
        <w:rPr>
          <w:snapToGrid w:val="0"/>
        </w:rPr>
        <w:t>.</w:t>
      </w:r>
      <w:r>
        <w:rPr>
          <w:snapToGrid w:val="0"/>
        </w:rPr>
        <w:tab/>
        <w:t>Division 1 prizes</w:t>
      </w:r>
      <w:bookmarkEnd w:id="143"/>
      <w:bookmarkEnd w:id="144"/>
      <w:bookmarkEnd w:id="145"/>
      <w:r>
        <w:rPr>
          <w:snapToGrid w:val="0"/>
        </w:rPr>
        <w:t xml:space="preserve"> </w:t>
      </w:r>
    </w:p>
    <w:p>
      <w:pPr>
        <w:pStyle w:val="Subsection"/>
      </w:pPr>
      <w:r>
        <w:tab/>
        <w:t>(1A)</w:t>
      </w:r>
      <w:r>
        <w:tab/>
        <w:t xml:space="preserve">A division 1 prize in a Pools Game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pPr>
        <w:pStyle w:val="Subsection"/>
        <w:rPr>
          <w:snapToGrid w:val="0"/>
        </w:rPr>
      </w:pPr>
      <w:r>
        <w:rPr>
          <w:snapToGrid w:val="0"/>
        </w:rPr>
        <w:tab/>
        <w:t>(2)</w:t>
      </w:r>
      <w:r>
        <w:rPr>
          <w:snapToGrid w:val="0"/>
        </w:rPr>
        <w:tab/>
        <w:t xml:space="preserve">Subject to subrule (3), a division 1 prize in a Pools Game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Pools Game.</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pPr>
        <w:pStyle w:val="Footnotesection"/>
      </w:pPr>
      <w:r>
        <w:tab/>
        <w:t>[Rule 30 amended in Gazette 6 Jun 2008 p. 2338; 19 Nov 2010 p. 5736.]</w:t>
      </w:r>
    </w:p>
    <w:p>
      <w:pPr>
        <w:pStyle w:val="Heading5"/>
        <w:rPr>
          <w:snapToGrid w:val="0"/>
        </w:rPr>
      </w:pPr>
      <w:bookmarkStart w:id="146" w:name="_Toc379207750"/>
      <w:bookmarkStart w:id="147" w:name="_Toc463612924"/>
      <w:bookmarkStart w:id="148" w:name="_Toc421106118"/>
      <w:r>
        <w:rPr>
          <w:rStyle w:val="CharSectno"/>
        </w:rPr>
        <w:t>31</w:t>
      </w:r>
      <w:r>
        <w:rPr>
          <w:snapToGrid w:val="0"/>
        </w:rPr>
        <w:t>.</w:t>
      </w:r>
      <w:r>
        <w:rPr>
          <w:snapToGrid w:val="0"/>
        </w:rPr>
        <w:tab/>
        <w:t>Division 2, 3, 4 and 5 prizes</w:t>
      </w:r>
      <w:bookmarkEnd w:id="146"/>
      <w:bookmarkEnd w:id="147"/>
      <w:bookmarkEnd w:id="148"/>
      <w:r>
        <w:rPr>
          <w:snapToGrid w:val="0"/>
        </w:rPr>
        <w:t xml:space="preserve"> </w:t>
      </w:r>
    </w:p>
    <w:p>
      <w:pPr>
        <w:pStyle w:val="Subsection"/>
      </w:pPr>
      <w:r>
        <w:tab/>
        <w:t>(1A)</w:t>
      </w:r>
      <w:r>
        <w:tab/>
        <w:t xml:space="preserve">A division 2, 3, 4 or 5 prize in a Pools Game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pPr>
        <w:pStyle w:val="Subsection"/>
        <w:rPr>
          <w:snapToGrid w:val="0"/>
        </w:rPr>
      </w:pPr>
      <w:r>
        <w:rPr>
          <w:snapToGrid w:val="0"/>
        </w:rPr>
        <w:tab/>
        <w:t>(2)</w:t>
      </w:r>
      <w:r>
        <w:rPr>
          <w:snapToGrid w:val="0"/>
        </w:rPr>
        <w:tab/>
        <w:t>A division 2,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that prize;</w:t>
      </w:r>
    </w:p>
    <w:p>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31 amended in Gazette 6 Jun 2008 p. 2338; 19 Nov 2010 p. 5736.]</w:t>
      </w:r>
    </w:p>
    <w:p>
      <w:pPr>
        <w:pStyle w:val="Heading5"/>
      </w:pPr>
      <w:bookmarkStart w:id="149" w:name="_Toc379207751"/>
      <w:bookmarkStart w:id="150" w:name="_Toc463612925"/>
      <w:bookmarkStart w:id="151" w:name="_Toc421106119"/>
      <w:r>
        <w:rPr>
          <w:rStyle w:val="CharSectno"/>
        </w:rPr>
        <w:t>31A</w:t>
      </w:r>
      <w:r>
        <w:t>.</w:t>
      </w:r>
      <w:r>
        <w:tab/>
        <w:t>Claiming a syndicate share prize</w:t>
      </w:r>
      <w:bookmarkEnd w:id="149"/>
      <w:bookmarkEnd w:id="150"/>
      <w:bookmarkEnd w:id="151"/>
      <w:r>
        <w:t xml:space="preserve"> </w:t>
      </w:r>
    </w:p>
    <w:p>
      <w:pPr>
        <w:pStyle w:val="Subsection"/>
      </w:pPr>
      <w:r>
        <w:tab/>
        <w:t>(1)</w:t>
      </w:r>
      <w:r>
        <w:tab/>
        <w:t>To claim a share of a prize in a Pools Game, the holder of a winning syndicate share receipted ticket must present it to an agent within the payout period for that Pools Game.</w:t>
      </w:r>
    </w:p>
    <w:p>
      <w:pPr>
        <w:pStyle w:val="Subsection"/>
      </w:pPr>
      <w:r>
        <w:tab/>
        <w:t>(2)</w:t>
      </w:r>
      <w:r>
        <w:tab/>
        <w:t>A share of a division 1 prize in a Pools Game cannot be paid until after the validation period for that Pools Game.</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34A, 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34A,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31A inserted in Gazette 6 Jun 2008 p. 2338</w:t>
      </w:r>
      <w:r>
        <w:noBreakHyphen/>
        <w:t>9.]</w:t>
      </w:r>
    </w:p>
    <w:p>
      <w:pPr>
        <w:pStyle w:val="Heading5"/>
        <w:spacing w:before="240"/>
        <w:rPr>
          <w:snapToGrid w:val="0"/>
        </w:rPr>
      </w:pPr>
      <w:bookmarkStart w:id="152" w:name="_Toc379207752"/>
      <w:bookmarkStart w:id="153" w:name="_Toc463612926"/>
      <w:bookmarkStart w:id="154" w:name="_Toc421106120"/>
      <w:r>
        <w:rPr>
          <w:rStyle w:val="CharSectno"/>
        </w:rPr>
        <w:t>32</w:t>
      </w:r>
      <w:r>
        <w:rPr>
          <w:snapToGrid w:val="0"/>
        </w:rPr>
        <w:t>.</w:t>
      </w:r>
      <w:r>
        <w:rPr>
          <w:snapToGrid w:val="0"/>
        </w:rPr>
        <w:tab/>
        <w:t>Commission may require a statutory declaration</w:t>
      </w:r>
      <w:bookmarkEnd w:id="152"/>
      <w:bookmarkEnd w:id="153"/>
      <w:bookmarkEnd w:id="154"/>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32 amended in Gazette 6 Jun 2008 p. 2339.]</w:t>
      </w:r>
    </w:p>
    <w:p>
      <w:pPr>
        <w:pStyle w:val="Heading5"/>
        <w:spacing w:before="240"/>
        <w:rPr>
          <w:snapToGrid w:val="0"/>
        </w:rPr>
      </w:pPr>
      <w:bookmarkStart w:id="155" w:name="_Toc379207753"/>
      <w:bookmarkStart w:id="156" w:name="_Toc463612927"/>
      <w:bookmarkStart w:id="157" w:name="_Toc421106121"/>
      <w:r>
        <w:rPr>
          <w:rStyle w:val="CharSectno"/>
        </w:rPr>
        <w:t>33</w:t>
      </w:r>
      <w:r>
        <w:rPr>
          <w:snapToGrid w:val="0"/>
        </w:rPr>
        <w:t>.</w:t>
      </w:r>
      <w:r>
        <w:rPr>
          <w:snapToGrid w:val="0"/>
        </w:rPr>
        <w:tab/>
        <w:t>Publication of names and addresses of prize winners</w:t>
      </w:r>
      <w:bookmarkEnd w:id="155"/>
      <w:bookmarkEnd w:id="156"/>
      <w:bookmarkEnd w:id="157"/>
      <w:r>
        <w:rPr>
          <w:snapToGrid w:val="0"/>
        </w:rPr>
        <w:t xml:space="preserve"> </w:t>
      </w:r>
    </w:p>
    <w:p>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pPr>
        <w:pStyle w:val="Heading5"/>
        <w:spacing w:before="240"/>
        <w:rPr>
          <w:snapToGrid w:val="0"/>
        </w:rPr>
      </w:pPr>
      <w:bookmarkStart w:id="158" w:name="_Toc379207754"/>
      <w:bookmarkStart w:id="159" w:name="_Toc463612928"/>
      <w:bookmarkStart w:id="160" w:name="_Toc421106122"/>
      <w:r>
        <w:rPr>
          <w:rStyle w:val="CharSectno"/>
        </w:rPr>
        <w:t>34</w:t>
      </w:r>
      <w:r>
        <w:rPr>
          <w:snapToGrid w:val="0"/>
        </w:rPr>
        <w:t>.</w:t>
      </w:r>
      <w:r>
        <w:rPr>
          <w:snapToGrid w:val="0"/>
        </w:rPr>
        <w:tab/>
        <w:t>Player Registration Service</w:t>
      </w:r>
      <w:bookmarkEnd w:id="158"/>
      <w:bookmarkEnd w:id="159"/>
      <w:bookmarkEnd w:id="160"/>
      <w:r>
        <w:rPr>
          <w:snapToGrid w:val="0"/>
        </w:rPr>
        <w:t xml:space="preserve"> </w:t>
      </w:r>
    </w:p>
    <w:p>
      <w:pPr>
        <w:pStyle w:val="Subsection"/>
        <w:spacing w:before="180"/>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pPr>
        <w:pStyle w:val="Subsection"/>
        <w:keepNext/>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34A,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pPr>
        <w:pStyle w:val="Footnotesection"/>
      </w:pPr>
      <w:r>
        <w:tab/>
        <w:t xml:space="preserve">[Rule 34 amended in Gazette 31 Oct 1997 p. 6017; 9 Mar 2001 p. 1345; 8 Aug 2003 p. 3579; 6 Jun 2008 p. 2340.] </w:t>
      </w:r>
    </w:p>
    <w:p>
      <w:pPr>
        <w:pStyle w:val="Heading5"/>
      </w:pPr>
      <w:bookmarkStart w:id="161" w:name="_Toc379207755"/>
      <w:bookmarkStart w:id="162" w:name="_Toc463612929"/>
      <w:bookmarkStart w:id="163" w:name="_Toc421106123"/>
      <w:r>
        <w:rPr>
          <w:rStyle w:val="CharSectno"/>
        </w:rPr>
        <w:t>34A</w:t>
      </w:r>
      <w:r>
        <w:t>.</w:t>
      </w:r>
      <w:r>
        <w:tab/>
        <w:t>Player’s card holders may request direct credit of prizes</w:t>
      </w:r>
      <w:bookmarkEnd w:id="161"/>
      <w:bookmarkEnd w:id="162"/>
      <w:bookmarkEnd w:id="163"/>
    </w:p>
    <w:p>
      <w:pPr>
        <w:pStyle w:val="Subsection"/>
      </w:pPr>
      <w:r>
        <w:tab/>
      </w:r>
      <w:r>
        <w:tab/>
        <w:t>The holder of a player’s card may request that payment of a prize be in the manner of a direct credit to a participant’s nominated account at a particular financial institution.</w:t>
      </w:r>
    </w:p>
    <w:p>
      <w:pPr>
        <w:pStyle w:val="Footnotesection"/>
      </w:pPr>
      <w:r>
        <w:tab/>
        <w:t>[Rule 34A inserted in Gazette 6 Jun 2008 p. 2341.]</w:t>
      </w:r>
    </w:p>
    <w:p>
      <w:pPr>
        <w:pStyle w:val="Heading5"/>
      </w:pPr>
      <w:bookmarkStart w:id="164" w:name="_Toc379207756"/>
      <w:bookmarkStart w:id="165" w:name="_Toc463612930"/>
      <w:bookmarkStart w:id="166" w:name="_Toc421106124"/>
      <w:r>
        <w:rPr>
          <w:rStyle w:val="CharSectno"/>
        </w:rPr>
        <w:t>34B</w:t>
      </w:r>
      <w:r>
        <w:t>.</w:t>
      </w:r>
      <w:r>
        <w:tab/>
        <w:t>Registering favourite numbers</w:t>
      </w:r>
      <w:bookmarkEnd w:id="164"/>
      <w:bookmarkEnd w:id="165"/>
      <w:bookmarkEnd w:id="166"/>
      <w:r>
        <w:t xml:space="preserve"> </w:t>
      </w:r>
    </w:p>
    <w:p>
      <w:pPr>
        <w:pStyle w:val="Subsection"/>
      </w:pPr>
      <w:r>
        <w:tab/>
        <w:t>(1)</w:t>
      </w:r>
      <w:r>
        <w:tab/>
        <w:t>A participant may register one or more sets of numbers against his or her player’s card number to be the “favourite numbers” for Soccer Pools.</w:t>
      </w:r>
    </w:p>
    <w:p>
      <w:pPr>
        <w:pStyle w:val="Subsection"/>
      </w:pPr>
      <w:r>
        <w:tab/>
        <w:t>(2)</w:t>
      </w:r>
      <w:r>
        <w:tab/>
        <w:t>A participant may specify particular types of game entry and register sets of numbers for those types of game entry against his or her player’s card number to be the “favourite numbers” for Soccer Pools.</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34B inserted in Gazette 6 Jun 2008 p. 2341.]</w:t>
      </w:r>
    </w:p>
    <w:p>
      <w:pPr>
        <w:pStyle w:val="Heading2"/>
      </w:pPr>
      <w:bookmarkStart w:id="167" w:name="_Toc379207757"/>
      <w:bookmarkStart w:id="168" w:name="_Toc421106062"/>
      <w:bookmarkStart w:id="169" w:name="_Toc421106125"/>
      <w:bookmarkStart w:id="170" w:name="_Toc463612931"/>
      <w:r>
        <w:rPr>
          <w:rStyle w:val="CharPartNo"/>
        </w:rPr>
        <w:t>Part 6</w:t>
      </w:r>
      <w:r>
        <w:rPr>
          <w:rStyle w:val="CharDivNo"/>
        </w:rPr>
        <w:t> </w:t>
      </w:r>
      <w:r>
        <w:t>—</w:t>
      </w:r>
      <w:r>
        <w:rPr>
          <w:rStyle w:val="CharDivText"/>
        </w:rPr>
        <w:t> </w:t>
      </w:r>
      <w:r>
        <w:rPr>
          <w:rStyle w:val="CharPartText"/>
        </w:rPr>
        <w:t>Miscellaneous</w:t>
      </w:r>
      <w:bookmarkEnd w:id="167"/>
      <w:bookmarkEnd w:id="168"/>
      <w:bookmarkEnd w:id="169"/>
      <w:bookmarkEnd w:id="170"/>
      <w:r>
        <w:rPr>
          <w:rStyle w:val="CharPartText"/>
        </w:rPr>
        <w:t xml:space="preserve"> </w:t>
      </w:r>
    </w:p>
    <w:p>
      <w:pPr>
        <w:pStyle w:val="Heading5"/>
        <w:rPr>
          <w:snapToGrid w:val="0"/>
        </w:rPr>
      </w:pPr>
      <w:bookmarkStart w:id="171" w:name="_Toc379207758"/>
      <w:bookmarkStart w:id="172" w:name="_Toc463612932"/>
      <w:bookmarkStart w:id="173" w:name="_Toc421106126"/>
      <w:r>
        <w:rPr>
          <w:rStyle w:val="CharSectno"/>
        </w:rPr>
        <w:t>35</w:t>
      </w:r>
      <w:r>
        <w:rPr>
          <w:snapToGrid w:val="0"/>
        </w:rPr>
        <w:t>.</w:t>
      </w:r>
      <w:r>
        <w:rPr>
          <w:snapToGrid w:val="0"/>
        </w:rPr>
        <w:tab/>
        <w:t>Instructions</w:t>
      </w:r>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35 amended in Gazette 6 Jun 2008 p. 2341.]</w:t>
      </w:r>
    </w:p>
    <w:p>
      <w:pPr>
        <w:pStyle w:val="Heading5"/>
        <w:rPr>
          <w:snapToGrid w:val="0"/>
        </w:rPr>
      </w:pPr>
      <w:bookmarkStart w:id="174" w:name="_Toc379207759"/>
      <w:bookmarkStart w:id="175" w:name="_Toc463612933"/>
      <w:bookmarkStart w:id="176" w:name="_Toc421106127"/>
      <w:r>
        <w:rPr>
          <w:rStyle w:val="CharSectno"/>
        </w:rPr>
        <w:t>36</w:t>
      </w:r>
      <w:r>
        <w:rPr>
          <w:snapToGrid w:val="0"/>
        </w:rPr>
        <w:t>.</w:t>
      </w:r>
      <w:r>
        <w:rPr>
          <w:snapToGrid w:val="0"/>
        </w:rPr>
        <w:tab/>
        <w:t>Rules to be made available</w:t>
      </w:r>
      <w:bookmarkEnd w:id="174"/>
      <w:bookmarkEnd w:id="175"/>
      <w:bookmarkEnd w:id="176"/>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 rules, and any amendment to them, in any other manner it thinks fit.</w:t>
      </w:r>
    </w:p>
    <w:p>
      <w:pPr>
        <w:pStyle w:val="Heading5"/>
        <w:rPr>
          <w:snapToGrid w:val="0"/>
        </w:rPr>
      </w:pPr>
      <w:bookmarkStart w:id="177" w:name="_Toc379207760"/>
      <w:bookmarkStart w:id="178" w:name="_Toc463612934"/>
      <w:bookmarkStart w:id="179" w:name="_Toc421106128"/>
      <w:r>
        <w:rPr>
          <w:rStyle w:val="CharSectno"/>
        </w:rPr>
        <w:t>37</w:t>
      </w:r>
      <w:r>
        <w:rPr>
          <w:snapToGrid w:val="0"/>
        </w:rPr>
        <w:t>.</w:t>
      </w:r>
      <w:r>
        <w:rPr>
          <w:snapToGrid w:val="0"/>
        </w:rPr>
        <w:tab/>
        <w:t>Decisions of Commission final</w:t>
      </w:r>
      <w:bookmarkEnd w:id="177"/>
      <w:bookmarkEnd w:id="178"/>
      <w:bookmarkEnd w:id="179"/>
      <w:r>
        <w:rPr>
          <w:snapToGrid w:val="0"/>
        </w:rPr>
        <w:t xml:space="preserve"> </w:t>
      </w:r>
    </w:p>
    <w:p>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pPr>
        <w:pStyle w:val="Ednotepart"/>
      </w:pPr>
      <w:r>
        <w:t>[Part 7 omitted under the Reprints Act 1984 s. 7(4)(f) and (g).]</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80" w:name="_Toc379207761"/>
      <w:bookmarkStart w:id="181" w:name="_Toc421106066"/>
      <w:bookmarkStart w:id="182" w:name="_Toc421106129"/>
      <w:bookmarkStart w:id="183" w:name="_Toc463612935"/>
      <w:r>
        <w:rPr>
          <w:rStyle w:val="CharSchNo"/>
        </w:rPr>
        <w:t>Schedule 1</w:t>
      </w:r>
      <w:r>
        <w:t> — </w:t>
      </w:r>
      <w:r>
        <w:rPr>
          <w:rStyle w:val="CharSchText"/>
        </w:rPr>
        <w:t>Calculating the total cost of entry — Soccer Pools</w:t>
      </w:r>
      <w:bookmarkEnd w:id="180"/>
      <w:bookmarkEnd w:id="181"/>
      <w:bookmarkEnd w:id="182"/>
      <w:bookmarkEnd w:id="183"/>
    </w:p>
    <w:p>
      <w:pPr>
        <w:pStyle w:val="yShoulderClause"/>
        <w:spacing w:before="60"/>
        <w:ind w:right="8"/>
        <w:rPr>
          <w:snapToGrid w:val="0"/>
        </w:rPr>
      </w:pPr>
      <w:r>
        <w:rPr>
          <w:snapToGrid w:val="0"/>
        </w:rPr>
        <w:t>[r. 10]</w:t>
      </w:r>
    </w:p>
    <w:p>
      <w:pPr>
        <w:pStyle w:val="yFootnoteheading"/>
      </w:pPr>
      <w:r>
        <w:tab/>
        <w:t>[Heading inserted in Gazette 6 Jun 2008 p. 2342.]</w:t>
      </w:r>
    </w:p>
    <w:p>
      <w:pPr>
        <w:pStyle w:val="yMiscellaneousBody"/>
        <w:spacing w:before="120" w:after="80"/>
      </w:pPr>
      <w:r>
        <w:t>The unit cost of entering a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$0.50) x .09 —&gt; rounded) x W = T</w:t>
      </w:r>
    </w:p>
    <w:p>
      <w:pPr>
        <w:pStyle w:val="yMiscellaneousBody"/>
        <w:spacing w:before="120" w:after="80"/>
      </w:pPr>
      <w:r>
        <w:t xml:space="preserve">where — </w:t>
      </w:r>
    </w:p>
    <w:p>
      <w:pPr>
        <w:pStyle w:val="yMiscellaneousBody"/>
        <w:tabs>
          <w:tab w:val="left" w:pos="567"/>
        </w:tabs>
        <w:spacing w:before="120" w:after="80"/>
      </w:pPr>
      <w:r>
        <w:tab/>
      </w:r>
      <w:r>
        <w:rPr>
          <w:b/>
          <w:bCs/>
        </w:rPr>
        <w:t>G</w:t>
      </w:r>
      <w:r>
        <w:t xml:space="preserve"> = No. of games entered in a draw</w:t>
      </w:r>
    </w:p>
    <w:p>
      <w:pPr>
        <w:pStyle w:val="yMiscellaneousBody"/>
        <w:tabs>
          <w:tab w:val="left" w:pos="567"/>
        </w:tabs>
        <w:spacing w:before="120" w:after="80"/>
      </w:pPr>
      <w:r>
        <w:tab/>
      </w:r>
      <w:r>
        <w:rPr>
          <w:b/>
          <w:bCs/>
        </w:rPr>
        <w:t>W</w:t>
      </w:r>
      <w:r>
        <w:t xml:space="preserve"> = No. of weeks the entry spans</w:t>
      </w:r>
    </w:p>
    <w:p>
      <w:pPr>
        <w:pStyle w:val="yMiscellaneousBody"/>
        <w:tabs>
          <w:tab w:val="left" w:pos="567"/>
        </w:tabs>
        <w:spacing w:before="120" w:after="80"/>
      </w:pPr>
      <w:r>
        <w:tab/>
      </w:r>
      <w:r>
        <w:rPr>
          <w:b/>
          <w:bCs/>
        </w:rPr>
        <w:t>T</w:t>
      </w:r>
      <w:r>
        <w:t xml:space="preserve"> = Total agent’s component cost payable by the participant</w:t>
      </w:r>
    </w:p>
    <w:p>
      <w:pPr>
        <w:pStyle w:val="yMiscellaneousBody"/>
        <w:tabs>
          <w:tab w:val="left" w:pos="567"/>
        </w:tabs>
        <w:spacing w:before="120" w:after="80"/>
      </w:pPr>
    </w:p>
    <w:p>
      <w:pPr>
        <w:pStyle w:val="yMiscellaneousBody"/>
        <w:spacing w:before="120" w:after="80"/>
        <w:rPr>
          <w:b/>
          <w:bCs/>
        </w:rPr>
      </w:pPr>
      <w:r>
        <w:rPr>
          <w:b/>
          <w:bCs/>
        </w:rPr>
        <w:t>Examples:</w:t>
      </w:r>
    </w:p>
    <w:p>
      <w:pPr>
        <w:pStyle w:val="yMiscellaneousBody"/>
        <w:spacing w:before="120" w:after="80"/>
      </w:pPr>
      <w:r>
        <w:t xml:space="preserve">The total cost of entry for a Slikpik 25 entry for a single Pools Game is calculated as follows — </w:t>
      </w:r>
    </w:p>
    <w:p>
      <w:pPr>
        <w:pStyle w:val="yMiscellaneousBody"/>
        <w:tabs>
          <w:tab w:val="left" w:pos="567"/>
          <w:tab w:val="left" w:pos="4820"/>
          <w:tab w:val="decimal" w:pos="5670"/>
        </w:tabs>
        <w:spacing w:before="120" w:after="80"/>
      </w:pPr>
      <w:r>
        <w:tab/>
        <w:t xml:space="preserve">Subscription [25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pPr>
        <w:pStyle w:val="yMiscellaneousBody"/>
        <w:spacing w:before="120" w:after="80"/>
      </w:pPr>
    </w:p>
    <w:p>
      <w:pPr>
        <w:pStyle w:val="yMiscellaneousBody"/>
        <w:keepNext/>
        <w:spacing w:before="120" w:after="80"/>
      </w:pPr>
      <w:r>
        <w:t xml:space="preserve">The total cost of entry for a System 8 entry for a single Pools Game is calculated as follows — </w:t>
      </w:r>
    </w:p>
    <w:p>
      <w:pPr>
        <w:pStyle w:val="yMiscellaneousBody"/>
        <w:keepNext/>
        <w:tabs>
          <w:tab w:val="left" w:pos="567"/>
          <w:tab w:val="left" w:pos="4820"/>
          <w:tab w:val="decimal" w:pos="5670"/>
        </w:tabs>
        <w:spacing w:before="120" w:after="80"/>
      </w:pPr>
      <w:r>
        <w:tab/>
        <w:t xml:space="preserve">Subscription [28 games @ $0.50 each] </w:t>
      </w:r>
      <w:r>
        <w:tab/>
        <w:t>=</w:t>
      </w:r>
      <w:r>
        <w:tab/>
        <w:t>$14.00</w:t>
      </w:r>
    </w:p>
    <w:p>
      <w:pPr>
        <w:pStyle w:val="yMiscellaneousBody"/>
        <w:keepNext/>
        <w:tabs>
          <w:tab w:val="left" w:pos="567"/>
          <w:tab w:val="left" w:pos="4820"/>
          <w:tab w:val="decimal" w:pos="5670"/>
        </w:tabs>
        <w:spacing w:before="120" w:after="80"/>
      </w:pPr>
      <w:r>
        <w:tab/>
        <w:t>9% of subscription [.09 x $14.00]</w:t>
      </w:r>
      <w:r>
        <w:tab/>
        <w:t>=</w:t>
      </w:r>
      <w:r>
        <w:tab/>
        <w:t>$1.26</w:t>
      </w:r>
    </w:p>
    <w:p>
      <w:pPr>
        <w:pStyle w:val="yMiscellaneousBody"/>
        <w:tabs>
          <w:tab w:val="left" w:pos="567"/>
          <w:tab w:val="left" w:pos="4820"/>
          <w:tab w:val="decimal" w:pos="5670"/>
        </w:tabs>
        <w:spacing w:before="120" w:after="80"/>
      </w:pPr>
      <w:r>
        <w:tab/>
        <w:t>Rounded using “bankers rounding”</w:t>
      </w:r>
      <w:r>
        <w:tab/>
        <w:t>=</w:t>
      </w:r>
      <w:r>
        <w:tab/>
        <w:t>$1.25</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pPr>
        <w:pStyle w:val="yMiscellaneousBody"/>
        <w:spacing w:before="120" w:after="80"/>
      </w:pPr>
    </w:p>
    <w:p>
      <w:pPr>
        <w:pStyle w:val="yMiscellaneousBody"/>
        <w:spacing w:before="120" w:after="80"/>
      </w:pPr>
      <w:r>
        <w:t xml:space="preserve">The total cost of entry for a 6 game board System 9 entry for a single Pools Game is calculated as follows — </w:t>
      </w:r>
    </w:p>
    <w:p>
      <w:pPr>
        <w:pStyle w:val="yMiscellaneousBody"/>
        <w:keepNext/>
        <w:tabs>
          <w:tab w:val="left" w:pos="567"/>
          <w:tab w:val="left" w:pos="4820"/>
          <w:tab w:val="decimal" w:pos="5670"/>
        </w:tabs>
        <w:spacing w:before="120" w:after="80"/>
      </w:pPr>
      <w:r>
        <w:tab/>
        <w:t xml:space="preserve">Subscription [6 x 84 games @ $0.50 each] </w:t>
      </w:r>
      <w:r>
        <w:tab/>
        <w:t>=</w:t>
      </w:r>
      <w:r>
        <w:tab/>
        <w:t>$252.00</w:t>
      </w:r>
    </w:p>
    <w:p>
      <w:pPr>
        <w:pStyle w:val="yMiscellaneousBody"/>
        <w:keepNext/>
        <w:tabs>
          <w:tab w:val="left" w:pos="567"/>
          <w:tab w:val="left" w:pos="4820"/>
          <w:tab w:val="decimal" w:pos="5670"/>
        </w:tabs>
        <w:spacing w:before="120" w:after="80"/>
      </w:pPr>
      <w:r>
        <w:tab/>
        <w:t>9% of subscription [.09 x $252.00]</w:t>
      </w:r>
      <w:r>
        <w:tab/>
        <w:t>=</w:t>
      </w:r>
      <w:r>
        <w:tab/>
        <w:t>$22.68</w:t>
      </w:r>
    </w:p>
    <w:p>
      <w:pPr>
        <w:pStyle w:val="yMiscellaneousBody"/>
        <w:tabs>
          <w:tab w:val="left" w:pos="567"/>
          <w:tab w:val="left" w:pos="4820"/>
          <w:tab w:val="decimal" w:pos="5670"/>
        </w:tabs>
        <w:spacing w:before="120" w:after="80"/>
      </w:pPr>
      <w:r>
        <w:tab/>
        <w:t>Rounded using “bankers rounding”</w:t>
      </w:r>
      <w:r>
        <w:tab/>
        <w:t>=</w:t>
      </w:r>
      <w:r>
        <w:tab/>
        <w:t>$22.70</w:t>
      </w:r>
    </w:p>
    <w:p>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pPr>
        <w:pStyle w:val="yMiscellaneousBody"/>
        <w:spacing w:before="120" w:after="80"/>
      </w:pPr>
    </w:p>
    <w:p>
      <w:pPr>
        <w:pStyle w:val="yMiscellaneousBody"/>
        <w:spacing w:before="120" w:after="80"/>
      </w:pPr>
      <w:r>
        <w:t xml:space="preserve">The total cost of entry for a Slikpik 25 entry spanning 10 weeks of Soccer Pools is calculated as follows — </w:t>
      </w:r>
    </w:p>
    <w:p>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pPr>
        <w:pStyle w:val="yMiscellaneousBody"/>
        <w:tabs>
          <w:tab w:val="left" w:pos="567"/>
          <w:tab w:val="left" w:pos="4820"/>
          <w:tab w:val="decimal" w:pos="5670"/>
        </w:tabs>
        <w:spacing w:before="120" w:after="80"/>
      </w:pPr>
      <w:r>
        <w:tab/>
        <w:t>9% of subscription [.09 x $12.50]</w:t>
      </w:r>
      <w:r>
        <w:tab/>
        <w:t>=</w:t>
      </w:r>
      <w:r>
        <w:tab/>
        <w:t>$1.125</w:t>
      </w:r>
    </w:p>
    <w:p>
      <w:pPr>
        <w:pStyle w:val="yMiscellaneousBody"/>
        <w:tabs>
          <w:tab w:val="left" w:pos="567"/>
          <w:tab w:val="left" w:pos="4820"/>
          <w:tab w:val="decimal" w:pos="5670"/>
        </w:tabs>
        <w:spacing w:before="120" w:after="80"/>
      </w:pPr>
      <w:r>
        <w:tab/>
        <w:t>Rounded using “bankers rounding”</w:t>
      </w:r>
      <w:r>
        <w:tab/>
        <w:t>=</w:t>
      </w:r>
      <w:r>
        <w:tab/>
        <w:t>$1.10</w:t>
      </w:r>
    </w:p>
    <w:p>
      <w:pPr>
        <w:pStyle w:val="yMiscellaneousBody"/>
        <w:tabs>
          <w:tab w:val="left" w:pos="567"/>
          <w:tab w:val="left" w:pos="4820"/>
          <w:tab w:val="decimal" w:pos="5670"/>
        </w:tabs>
        <w:spacing w:before="120" w:after="80"/>
      </w:pPr>
      <w:r>
        <w:tab/>
        <w:t>Total cost of entry for one week</w:t>
      </w:r>
      <w:r>
        <w:tab/>
        <w:t>=</w:t>
      </w:r>
      <w:r>
        <w:tab/>
        <w:t>$13.60</w:t>
      </w:r>
    </w:p>
    <w:p>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6 Jun 2008 p. 2342</w:t>
      </w:r>
      <w:r>
        <w:noBreakHyphen/>
        <w:t>3.]</w:t>
      </w:r>
    </w:p>
    <w:p>
      <w:pPr>
        <w:pStyle w:val="yScheduleHeading"/>
      </w:pPr>
      <w:bookmarkStart w:id="184" w:name="_Toc379207762"/>
      <w:bookmarkStart w:id="185" w:name="_Toc421106067"/>
      <w:bookmarkStart w:id="186" w:name="_Toc421106130"/>
      <w:bookmarkStart w:id="187" w:name="_Toc463612936"/>
      <w:r>
        <w:rPr>
          <w:rStyle w:val="CharSchNo"/>
        </w:rPr>
        <w:t>Schedule 2</w:t>
      </w:r>
      <w:r>
        <w:t> — </w:t>
      </w:r>
      <w:r>
        <w:rPr>
          <w:rStyle w:val="CharSchText"/>
        </w:rPr>
        <w:t>System entries and game equivalents</w:t>
      </w:r>
      <w:bookmarkEnd w:id="184"/>
      <w:bookmarkEnd w:id="185"/>
      <w:bookmarkEnd w:id="186"/>
      <w:bookmarkEnd w:id="187"/>
    </w:p>
    <w:p>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rPr>
        <w:tc>
          <w:tcPr>
            <w:tcW w:w="3260" w:type="dxa"/>
            <w:gridSpan w:val="2"/>
          </w:tcPr>
          <w:p>
            <w:pPr>
              <w:pStyle w:val="yTable"/>
              <w:spacing w:before="40"/>
              <w:ind w:right="170"/>
              <w:jc w:val="center"/>
              <w:rPr>
                <w:b/>
                <w:bCs/>
                <w:sz w:val="20"/>
              </w:rPr>
            </w:pPr>
            <w:r>
              <w:rPr>
                <w:b/>
                <w:bCs/>
                <w:sz w:val="20"/>
              </w:rPr>
              <w:t>Soccer Pools</w:t>
            </w:r>
          </w:p>
          <w:p>
            <w:pPr>
              <w:pStyle w:val="yTable"/>
              <w:spacing w:before="40"/>
              <w:ind w:right="170"/>
              <w:jc w:val="center"/>
              <w:rPr>
                <w:b/>
                <w:bCs/>
                <w:sz w:val="20"/>
              </w:rPr>
            </w:pPr>
          </w:p>
        </w:tc>
      </w:tr>
      <w:tr>
        <w:tc>
          <w:tcPr>
            <w:tcW w:w="1276" w:type="dxa"/>
          </w:tcPr>
          <w:p>
            <w:pPr>
              <w:pStyle w:val="yTable"/>
              <w:spacing w:before="40"/>
              <w:ind w:right="170"/>
              <w:jc w:val="center"/>
              <w:rPr>
                <w:b/>
                <w:bCs/>
                <w:sz w:val="20"/>
              </w:rPr>
            </w:pPr>
            <w:r>
              <w:rPr>
                <w:b/>
                <w:bCs/>
                <w:sz w:val="20"/>
              </w:rPr>
              <w:t>System</w:t>
            </w:r>
          </w:p>
        </w:tc>
        <w:tc>
          <w:tcPr>
            <w:tcW w:w="1984" w:type="dxa"/>
          </w:tcPr>
          <w:p>
            <w:pPr>
              <w:pStyle w:val="yTable"/>
              <w:spacing w:before="40"/>
              <w:ind w:right="170"/>
              <w:jc w:val="center"/>
              <w:rPr>
                <w:b/>
                <w:bCs/>
                <w:sz w:val="20"/>
              </w:rPr>
            </w:pPr>
            <w:r>
              <w:rPr>
                <w:b/>
                <w:bCs/>
                <w:sz w:val="20"/>
              </w:rPr>
              <w:t>No. of games per game board</w:t>
            </w:r>
          </w:p>
        </w:tc>
      </w:tr>
      <w:tr>
        <w:tc>
          <w:tcPr>
            <w:tcW w:w="1276" w:type="dxa"/>
          </w:tcPr>
          <w:p>
            <w:pPr>
              <w:pStyle w:val="yTable"/>
              <w:keepLines/>
              <w:spacing w:before="40"/>
              <w:ind w:right="170"/>
              <w:jc w:val="center"/>
              <w:rPr>
                <w:sz w:val="20"/>
              </w:rPr>
            </w:pPr>
            <w:r>
              <w:rPr>
                <w:sz w:val="20"/>
              </w:rPr>
              <w:t>4</w:t>
            </w:r>
          </w:p>
        </w:tc>
        <w:tc>
          <w:tcPr>
            <w:tcW w:w="1984" w:type="dxa"/>
          </w:tcPr>
          <w:p>
            <w:pPr>
              <w:pStyle w:val="yTable"/>
              <w:keepNext/>
              <w:keepLines/>
              <w:spacing w:before="40"/>
              <w:ind w:right="170"/>
              <w:jc w:val="center"/>
              <w:rPr>
                <w:sz w:val="20"/>
              </w:rPr>
            </w:pPr>
            <w:r>
              <w:rPr>
                <w:sz w:val="20"/>
              </w:rPr>
              <w:t>561</w:t>
            </w:r>
          </w:p>
        </w:tc>
      </w:tr>
      <w:tr>
        <w:tc>
          <w:tcPr>
            <w:tcW w:w="1276" w:type="dxa"/>
          </w:tcPr>
          <w:p>
            <w:pPr>
              <w:pStyle w:val="yTable"/>
              <w:keepLines/>
              <w:spacing w:before="40"/>
              <w:ind w:right="170"/>
              <w:jc w:val="center"/>
              <w:rPr>
                <w:sz w:val="20"/>
              </w:rPr>
            </w:pPr>
            <w:r>
              <w:rPr>
                <w:sz w:val="20"/>
              </w:rPr>
              <w:t>5</w:t>
            </w:r>
          </w:p>
        </w:tc>
        <w:tc>
          <w:tcPr>
            <w:tcW w:w="1984" w:type="dxa"/>
          </w:tcPr>
          <w:p>
            <w:pPr>
              <w:pStyle w:val="yTable"/>
              <w:keepNext/>
              <w:keepLines/>
              <w:spacing w:before="40"/>
              <w:ind w:right="170"/>
              <w:jc w:val="center"/>
              <w:rPr>
                <w:sz w:val="20"/>
              </w:rPr>
            </w:pPr>
            <w:r>
              <w:rPr>
                <w:sz w:val="20"/>
              </w:rPr>
              <w:t>33</w:t>
            </w:r>
          </w:p>
        </w:tc>
      </w:tr>
      <w:tr>
        <w:tc>
          <w:tcPr>
            <w:tcW w:w="1276" w:type="dxa"/>
          </w:tcPr>
          <w:p>
            <w:pPr>
              <w:pStyle w:val="yTable"/>
              <w:spacing w:before="40"/>
              <w:ind w:right="170"/>
              <w:jc w:val="center"/>
              <w:rPr>
                <w:sz w:val="20"/>
              </w:rPr>
            </w:pPr>
            <w:r>
              <w:rPr>
                <w:sz w:val="20"/>
              </w:rPr>
              <w:t>7</w:t>
            </w:r>
          </w:p>
        </w:tc>
        <w:tc>
          <w:tcPr>
            <w:tcW w:w="1984" w:type="dxa"/>
          </w:tcPr>
          <w:p>
            <w:pPr>
              <w:pStyle w:val="yTable"/>
              <w:spacing w:before="40"/>
              <w:ind w:right="170"/>
              <w:jc w:val="center"/>
              <w:rPr>
                <w:sz w:val="20"/>
              </w:rPr>
            </w:pPr>
            <w:r>
              <w:rPr>
                <w:sz w:val="20"/>
              </w:rPr>
              <w:t>7</w:t>
            </w:r>
          </w:p>
        </w:tc>
      </w:tr>
      <w:tr>
        <w:tc>
          <w:tcPr>
            <w:tcW w:w="1276" w:type="dxa"/>
          </w:tcPr>
          <w:p>
            <w:pPr>
              <w:pStyle w:val="yTable"/>
              <w:spacing w:before="40"/>
              <w:ind w:right="170"/>
              <w:jc w:val="center"/>
              <w:rPr>
                <w:sz w:val="20"/>
              </w:rPr>
            </w:pPr>
            <w:r>
              <w:rPr>
                <w:sz w:val="20"/>
              </w:rPr>
              <w:t>8</w:t>
            </w:r>
          </w:p>
        </w:tc>
        <w:tc>
          <w:tcPr>
            <w:tcW w:w="1984" w:type="dxa"/>
          </w:tcPr>
          <w:p>
            <w:pPr>
              <w:pStyle w:val="yTable"/>
              <w:spacing w:before="40"/>
              <w:ind w:right="170"/>
              <w:jc w:val="center"/>
              <w:rPr>
                <w:sz w:val="20"/>
              </w:rPr>
            </w:pPr>
            <w:r>
              <w:rPr>
                <w:sz w:val="20"/>
              </w:rPr>
              <w:t>28</w:t>
            </w:r>
          </w:p>
        </w:tc>
      </w:tr>
      <w:tr>
        <w:tc>
          <w:tcPr>
            <w:tcW w:w="1276" w:type="dxa"/>
          </w:tcPr>
          <w:p>
            <w:pPr>
              <w:pStyle w:val="yTable"/>
              <w:spacing w:before="40"/>
              <w:ind w:right="170"/>
              <w:jc w:val="center"/>
              <w:rPr>
                <w:sz w:val="20"/>
              </w:rPr>
            </w:pPr>
            <w:r>
              <w:rPr>
                <w:sz w:val="20"/>
              </w:rPr>
              <w:t>9</w:t>
            </w:r>
          </w:p>
        </w:tc>
        <w:tc>
          <w:tcPr>
            <w:tcW w:w="1984" w:type="dxa"/>
          </w:tcPr>
          <w:p>
            <w:pPr>
              <w:pStyle w:val="yTable"/>
              <w:spacing w:before="40"/>
              <w:ind w:right="170"/>
              <w:jc w:val="center"/>
              <w:rPr>
                <w:sz w:val="20"/>
              </w:rPr>
            </w:pPr>
            <w:r>
              <w:rPr>
                <w:sz w:val="20"/>
              </w:rPr>
              <w:t>84</w:t>
            </w:r>
          </w:p>
        </w:tc>
      </w:tr>
      <w:tr>
        <w:tc>
          <w:tcPr>
            <w:tcW w:w="1276" w:type="dxa"/>
          </w:tcPr>
          <w:p>
            <w:pPr>
              <w:pStyle w:val="yTable"/>
              <w:spacing w:before="40"/>
              <w:ind w:right="170"/>
              <w:jc w:val="center"/>
              <w:rPr>
                <w:sz w:val="20"/>
              </w:rPr>
            </w:pPr>
            <w:r>
              <w:rPr>
                <w:sz w:val="20"/>
              </w:rPr>
              <w:t>10</w:t>
            </w:r>
          </w:p>
        </w:tc>
        <w:tc>
          <w:tcPr>
            <w:tcW w:w="1984" w:type="dxa"/>
          </w:tcPr>
          <w:p>
            <w:pPr>
              <w:pStyle w:val="yTable"/>
              <w:spacing w:before="40"/>
              <w:ind w:right="170"/>
              <w:jc w:val="center"/>
              <w:rPr>
                <w:sz w:val="20"/>
              </w:rPr>
            </w:pPr>
            <w:r>
              <w:rPr>
                <w:sz w:val="20"/>
              </w:rPr>
              <w:t>210</w:t>
            </w:r>
          </w:p>
        </w:tc>
      </w:tr>
      <w:tr>
        <w:tc>
          <w:tcPr>
            <w:tcW w:w="1276" w:type="dxa"/>
          </w:tcPr>
          <w:p>
            <w:pPr>
              <w:pStyle w:val="yTable"/>
              <w:spacing w:before="40"/>
              <w:ind w:right="170"/>
              <w:jc w:val="center"/>
              <w:rPr>
                <w:sz w:val="20"/>
              </w:rPr>
            </w:pPr>
            <w:r>
              <w:rPr>
                <w:sz w:val="20"/>
              </w:rPr>
              <w:t>11</w:t>
            </w:r>
          </w:p>
        </w:tc>
        <w:tc>
          <w:tcPr>
            <w:tcW w:w="1984" w:type="dxa"/>
          </w:tcPr>
          <w:p>
            <w:pPr>
              <w:pStyle w:val="yTable"/>
              <w:spacing w:before="40"/>
              <w:ind w:right="170"/>
              <w:jc w:val="center"/>
              <w:rPr>
                <w:sz w:val="20"/>
              </w:rPr>
            </w:pPr>
            <w:r>
              <w:rPr>
                <w:sz w:val="20"/>
              </w:rPr>
              <w:t>462</w:t>
            </w:r>
          </w:p>
        </w:tc>
      </w:tr>
      <w:tr>
        <w:tc>
          <w:tcPr>
            <w:tcW w:w="1276" w:type="dxa"/>
          </w:tcPr>
          <w:p>
            <w:pPr>
              <w:pStyle w:val="yTable"/>
              <w:spacing w:before="40"/>
              <w:ind w:right="170"/>
              <w:jc w:val="center"/>
              <w:rPr>
                <w:sz w:val="20"/>
              </w:rPr>
            </w:pPr>
            <w:r>
              <w:rPr>
                <w:sz w:val="20"/>
              </w:rPr>
              <w:t>12</w:t>
            </w:r>
          </w:p>
        </w:tc>
        <w:tc>
          <w:tcPr>
            <w:tcW w:w="1984" w:type="dxa"/>
          </w:tcPr>
          <w:p>
            <w:pPr>
              <w:pStyle w:val="yTable"/>
              <w:spacing w:before="40"/>
              <w:ind w:right="170"/>
              <w:jc w:val="center"/>
              <w:rPr>
                <w:sz w:val="20"/>
              </w:rPr>
            </w:pPr>
            <w:r>
              <w:rPr>
                <w:sz w:val="20"/>
              </w:rPr>
              <w:t>924</w:t>
            </w:r>
          </w:p>
        </w:tc>
      </w:tr>
      <w:tr>
        <w:tc>
          <w:tcPr>
            <w:tcW w:w="1276" w:type="dxa"/>
          </w:tcPr>
          <w:p>
            <w:pPr>
              <w:pStyle w:val="yTable"/>
              <w:spacing w:before="40"/>
              <w:ind w:right="170"/>
              <w:jc w:val="center"/>
              <w:rPr>
                <w:sz w:val="20"/>
              </w:rPr>
            </w:pPr>
            <w:r>
              <w:rPr>
                <w:sz w:val="20"/>
              </w:rPr>
              <w:t>13</w:t>
            </w:r>
          </w:p>
        </w:tc>
        <w:tc>
          <w:tcPr>
            <w:tcW w:w="1984" w:type="dxa"/>
          </w:tcPr>
          <w:p>
            <w:pPr>
              <w:pStyle w:val="yTable"/>
              <w:spacing w:before="40"/>
              <w:ind w:right="170"/>
              <w:jc w:val="center"/>
              <w:rPr>
                <w:sz w:val="20"/>
              </w:rPr>
            </w:pPr>
            <w:r>
              <w:rPr>
                <w:sz w:val="20"/>
              </w:rPr>
              <w:t>1 716</w:t>
            </w:r>
          </w:p>
        </w:tc>
      </w:tr>
      <w:tr>
        <w:tc>
          <w:tcPr>
            <w:tcW w:w="1276" w:type="dxa"/>
          </w:tcPr>
          <w:p>
            <w:pPr>
              <w:pStyle w:val="yTable"/>
              <w:spacing w:before="40"/>
              <w:ind w:right="170"/>
              <w:jc w:val="center"/>
              <w:rPr>
                <w:sz w:val="20"/>
              </w:rPr>
            </w:pPr>
            <w:r>
              <w:rPr>
                <w:sz w:val="20"/>
              </w:rPr>
              <w:t>14</w:t>
            </w:r>
          </w:p>
        </w:tc>
        <w:tc>
          <w:tcPr>
            <w:tcW w:w="1984" w:type="dxa"/>
          </w:tcPr>
          <w:p>
            <w:pPr>
              <w:pStyle w:val="yTable"/>
              <w:spacing w:before="40"/>
              <w:ind w:right="170"/>
              <w:jc w:val="center"/>
              <w:rPr>
                <w:sz w:val="20"/>
              </w:rPr>
            </w:pPr>
            <w:r>
              <w:rPr>
                <w:sz w:val="20"/>
              </w:rPr>
              <w:t>3 003</w:t>
            </w:r>
          </w:p>
        </w:tc>
      </w:tr>
      <w:tr>
        <w:tc>
          <w:tcPr>
            <w:tcW w:w="1276" w:type="dxa"/>
          </w:tcPr>
          <w:p>
            <w:pPr>
              <w:pStyle w:val="yTable"/>
              <w:spacing w:before="40"/>
              <w:ind w:right="170"/>
              <w:jc w:val="center"/>
              <w:rPr>
                <w:sz w:val="20"/>
              </w:rPr>
            </w:pPr>
            <w:r>
              <w:rPr>
                <w:sz w:val="20"/>
              </w:rPr>
              <w:t>15</w:t>
            </w:r>
          </w:p>
        </w:tc>
        <w:tc>
          <w:tcPr>
            <w:tcW w:w="1984" w:type="dxa"/>
          </w:tcPr>
          <w:p>
            <w:pPr>
              <w:pStyle w:val="yTable"/>
              <w:spacing w:before="40"/>
              <w:ind w:right="170"/>
              <w:jc w:val="center"/>
              <w:rPr>
                <w:sz w:val="20"/>
              </w:rPr>
            </w:pPr>
            <w:r>
              <w:rPr>
                <w:sz w:val="20"/>
              </w:rPr>
              <w:t>5 005</w:t>
            </w:r>
          </w:p>
        </w:tc>
      </w:tr>
      <w:tr>
        <w:tc>
          <w:tcPr>
            <w:tcW w:w="1276" w:type="dxa"/>
          </w:tcPr>
          <w:p>
            <w:pPr>
              <w:pStyle w:val="yTable"/>
              <w:spacing w:before="40"/>
              <w:ind w:right="170"/>
              <w:jc w:val="center"/>
              <w:rPr>
                <w:sz w:val="20"/>
              </w:rPr>
            </w:pPr>
            <w:r>
              <w:rPr>
                <w:sz w:val="20"/>
              </w:rPr>
              <w:t>16</w:t>
            </w:r>
          </w:p>
        </w:tc>
        <w:tc>
          <w:tcPr>
            <w:tcW w:w="1984" w:type="dxa"/>
          </w:tcPr>
          <w:p>
            <w:pPr>
              <w:pStyle w:val="yTable"/>
              <w:spacing w:before="40"/>
              <w:ind w:right="170"/>
              <w:jc w:val="center"/>
              <w:rPr>
                <w:sz w:val="20"/>
              </w:rPr>
            </w:pPr>
            <w:r>
              <w:rPr>
                <w:sz w:val="20"/>
              </w:rPr>
              <w:t>8 008</w:t>
            </w:r>
          </w:p>
        </w:tc>
      </w:tr>
      <w:tr>
        <w:tc>
          <w:tcPr>
            <w:tcW w:w="1276" w:type="dxa"/>
          </w:tcPr>
          <w:p>
            <w:pPr>
              <w:pStyle w:val="yTable"/>
              <w:spacing w:before="40"/>
              <w:ind w:right="170"/>
              <w:jc w:val="center"/>
              <w:rPr>
                <w:sz w:val="20"/>
              </w:rPr>
            </w:pPr>
            <w:r>
              <w:rPr>
                <w:sz w:val="20"/>
              </w:rPr>
              <w:t>17</w:t>
            </w:r>
          </w:p>
        </w:tc>
        <w:tc>
          <w:tcPr>
            <w:tcW w:w="1984" w:type="dxa"/>
          </w:tcPr>
          <w:p>
            <w:pPr>
              <w:pStyle w:val="yTable"/>
              <w:spacing w:before="40"/>
              <w:ind w:right="170"/>
              <w:jc w:val="center"/>
              <w:rPr>
                <w:sz w:val="20"/>
              </w:rPr>
            </w:pPr>
            <w:r>
              <w:rPr>
                <w:sz w:val="20"/>
              </w:rPr>
              <w:t>12 376</w:t>
            </w:r>
          </w:p>
        </w:tc>
      </w:tr>
      <w:tr>
        <w:tc>
          <w:tcPr>
            <w:tcW w:w="1276" w:type="dxa"/>
          </w:tcPr>
          <w:p>
            <w:pPr>
              <w:pStyle w:val="yTable"/>
              <w:spacing w:before="40"/>
              <w:ind w:right="170"/>
              <w:jc w:val="center"/>
              <w:rPr>
                <w:sz w:val="20"/>
              </w:rPr>
            </w:pPr>
            <w:r>
              <w:rPr>
                <w:sz w:val="20"/>
              </w:rPr>
              <w:t>18</w:t>
            </w:r>
          </w:p>
        </w:tc>
        <w:tc>
          <w:tcPr>
            <w:tcW w:w="1984" w:type="dxa"/>
          </w:tcPr>
          <w:p>
            <w:pPr>
              <w:pStyle w:val="yTable"/>
              <w:spacing w:before="40"/>
              <w:ind w:right="170"/>
              <w:jc w:val="center"/>
              <w:rPr>
                <w:sz w:val="20"/>
              </w:rPr>
            </w:pPr>
            <w:r>
              <w:rPr>
                <w:sz w:val="20"/>
              </w:rPr>
              <w:t>18 564</w:t>
            </w:r>
          </w:p>
        </w:tc>
      </w:tr>
      <w:tr>
        <w:tc>
          <w:tcPr>
            <w:tcW w:w="1276" w:type="dxa"/>
          </w:tcPr>
          <w:p>
            <w:pPr>
              <w:pStyle w:val="yTable"/>
              <w:keepLines/>
              <w:spacing w:before="40"/>
              <w:ind w:right="170"/>
              <w:jc w:val="center"/>
              <w:rPr>
                <w:sz w:val="20"/>
              </w:rPr>
            </w:pPr>
            <w:r>
              <w:rPr>
                <w:sz w:val="20"/>
              </w:rPr>
              <w:t>19</w:t>
            </w:r>
          </w:p>
        </w:tc>
        <w:tc>
          <w:tcPr>
            <w:tcW w:w="1984" w:type="dxa"/>
          </w:tcPr>
          <w:p>
            <w:pPr>
              <w:pStyle w:val="yTable"/>
              <w:keepNext/>
              <w:keepLines/>
              <w:spacing w:before="40"/>
              <w:ind w:right="170"/>
              <w:jc w:val="center"/>
              <w:rPr>
                <w:sz w:val="20"/>
              </w:rPr>
            </w:pPr>
            <w:r>
              <w:rPr>
                <w:sz w:val="20"/>
              </w:rPr>
              <w:t>27 132</w:t>
            </w:r>
          </w:p>
        </w:tc>
      </w:tr>
      <w:tr>
        <w:tc>
          <w:tcPr>
            <w:tcW w:w="1276" w:type="dxa"/>
          </w:tcPr>
          <w:p>
            <w:pPr>
              <w:pStyle w:val="yTable"/>
              <w:keepLines/>
              <w:spacing w:before="40"/>
              <w:ind w:right="170"/>
              <w:jc w:val="center"/>
              <w:rPr>
                <w:sz w:val="20"/>
              </w:rPr>
            </w:pPr>
            <w:r>
              <w:rPr>
                <w:sz w:val="20"/>
              </w:rPr>
              <w:t>20</w:t>
            </w:r>
          </w:p>
        </w:tc>
        <w:tc>
          <w:tcPr>
            <w:tcW w:w="1984" w:type="dxa"/>
          </w:tcPr>
          <w:p>
            <w:pPr>
              <w:pStyle w:val="yTable"/>
              <w:keepNext/>
              <w:keepLines/>
              <w:tabs>
                <w:tab w:val="left" w:pos="681"/>
              </w:tabs>
              <w:spacing w:before="40"/>
              <w:ind w:right="170"/>
              <w:jc w:val="center"/>
              <w:rPr>
                <w:sz w:val="20"/>
              </w:rPr>
            </w:pPr>
            <w:r>
              <w:rPr>
                <w:sz w:val="20"/>
              </w:rPr>
              <w:t>38 760</w:t>
            </w:r>
          </w:p>
        </w:tc>
      </w:tr>
    </w:tbl>
    <w:p>
      <w:pPr>
        <w:pStyle w:val="yFootnotesection"/>
      </w:pPr>
      <w:r>
        <w:tab/>
        <w:t>[Schedule 2 inserted in Gazette 6 Jun 2008 p. 2344.]</w:t>
      </w:r>
    </w:p>
    <w:p>
      <w:pPr>
        <w:pStyle w:val="yScheduleHeading"/>
      </w:pPr>
      <w:bookmarkStart w:id="188" w:name="_Toc379207763"/>
      <w:bookmarkStart w:id="189" w:name="_Toc421106068"/>
      <w:bookmarkStart w:id="190" w:name="_Toc421106131"/>
      <w:bookmarkStart w:id="191" w:name="_Toc463612937"/>
      <w:r>
        <w:rPr>
          <w:rStyle w:val="CharSchNo"/>
        </w:rPr>
        <w:t>Schedule 3</w:t>
      </w:r>
      <w:r>
        <w:t> — </w:t>
      </w:r>
      <w:r>
        <w:rPr>
          <w:rStyle w:val="CharSchText"/>
        </w:rPr>
        <w:t>System entry prize schedule</w:t>
      </w:r>
      <w:bookmarkEnd w:id="188"/>
      <w:bookmarkEnd w:id="189"/>
      <w:bookmarkEnd w:id="190"/>
      <w:bookmarkEnd w:id="191"/>
    </w:p>
    <w:p>
      <w:pPr>
        <w:pStyle w:val="yShoulderClause"/>
      </w:pPr>
      <w:r>
        <w:t>[Rule 25(2)]</w:t>
      </w:r>
    </w:p>
    <w:p>
      <w:pPr>
        <w:pStyle w:val="MiscellaneousHeading"/>
        <w:rPr>
          <w:b/>
          <w:sz w:val="22"/>
        </w:rPr>
      </w:pPr>
      <w:r>
        <w:rPr>
          <w:b/>
          <w:sz w:val="22"/>
        </w:rPr>
        <w:t>Soccer Pools</w:t>
      </w:r>
    </w:p>
    <w:p>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trPr>
          <w:tblHeader/>
        </w:trPr>
        <w:tc>
          <w:tcPr>
            <w:tcW w:w="993" w:type="dxa"/>
            <w:gridSpan w:val="2"/>
          </w:tcPr>
          <w:p>
            <w:pPr>
              <w:pStyle w:val="yTable"/>
              <w:spacing w:before="0"/>
              <w:rPr>
                <w:noProof/>
                <w:sz w:val="14"/>
              </w:rPr>
            </w:pPr>
            <w:r>
              <w:rPr>
                <w:sz w:val="14"/>
              </w:rPr>
              <w:t>WINNING</w:t>
            </w:r>
          </w:p>
        </w:tc>
        <w:tc>
          <w:tcPr>
            <w:tcW w:w="3118" w:type="dxa"/>
            <w:gridSpan w:val="10"/>
          </w:tcPr>
          <w:p>
            <w:pPr>
              <w:pStyle w:val="yTable"/>
              <w:spacing w:before="0"/>
              <w:rPr>
                <w:sz w:val="14"/>
              </w:rPr>
            </w:pPr>
            <w:r>
              <w:rPr>
                <w:sz w:val="14"/>
              </w:rPr>
              <w:t xml:space="preserve">PRIZE TAKE </w:t>
            </w:r>
          </w:p>
        </w:tc>
        <w:tc>
          <w:tcPr>
            <w:tcW w:w="3089" w:type="dxa"/>
            <w:gridSpan w:val="9"/>
          </w:tcPr>
          <w:p>
            <w:pPr>
              <w:pStyle w:val="yTable"/>
              <w:spacing w:before="0"/>
              <w:rPr>
                <w:sz w:val="14"/>
              </w:rPr>
            </w:pPr>
            <w:r>
              <w:rPr>
                <w:sz w:val="14"/>
              </w:rPr>
              <w:t>SYSTEMS</w:t>
            </w:r>
          </w:p>
        </w:tc>
      </w:tr>
      <w:tr>
        <w:trPr>
          <w:tblHeader/>
        </w:trPr>
        <w:tc>
          <w:tcPr>
            <w:tcW w:w="993" w:type="dxa"/>
            <w:gridSpan w:val="2"/>
          </w:tcPr>
          <w:p>
            <w:pPr>
              <w:pStyle w:val="yTable"/>
              <w:spacing w:before="0"/>
              <w:rPr>
                <w:sz w:val="14"/>
              </w:rPr>
            </w:pPr>
            <w:r>
              <w:rPr>
                <w:sz w:val="14"/>
              </w:rPr>
              <w:t>NUMBERS</w:t>
            </w:r>
          </w:p>
        </w:tc>
        <w:tc>
          <w:tcPr>
            <w:tcW w:w="3118" w:type="dxa"/>
            <w:gridSpan w:val="10"/>
          </w:tcPr>
          <w:p>
            <w:pPr>
              <w:pStyle w:val="yTable"/>
              <w:spacing w:before="0"/>
              <w:rPr>
                <w:sz w:val="14"/>
              </w:rPr>
            </w:pPr>
            <w:r>
              <w:rPr>
                <w:sz w:val="14"/>
              </w:rPr>
              <w:t>DIVISIONS</w:t>
            </w:r>
          </w:p>
        </w:tc>
        <w:tc>
          <w:tcPr>
            <w:tcW w:w="3089" w:type="dxa"/>
            <w:gridSpan w:val="9"/>
          </w:tcPr>
          <w:p>
            <w:pPr>
              <w:pStyle w:val="yTable"/>
              <w:spacing w:before="0"/>
              <w:rPr>
                <w:sz w:val="14"/>
              </w:rPr>
            </w:pPr>
          </w:p>
        </w:tc>
      </w:tr>
      <w:tr>
        <w:tblPrEx>
          <w:tblCellMar>
            <w:left w:w="0" w:type="dxa"/>
            <w:right w:w="0" w:type="dxa"/>
          </w:tblCellMar>
        </w:tblPrEx>
        <w:trPr>
          <w:gridBefore w:val="1"/>
          <w:wBefore w:w="108" w:type="dxa"/>
          <w:tblHeader/>
        </w:trPr>
        <w:tc>
          <w:tcPr>
            <w:tcW w:w="972" w:type="dxa"/>
            <w:gridSpan w:val="2"/>
          </w:tcPr>
          <w:p>
            <w:pPr>
              <w:pStyle w:val="yTable"/>
              <w:rPr>
                <w:sz w:val="14"/>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pPr>
              <w:pStyle w:val="yTable"/>
              <w:rPr>
                <w:sz w:val="14"/>
              </w:rPr>
            </w:pPr>
          </w:p>
        </w:tc>
        <w:tc>
          <w:tcPr>
            <w:tcW w:w="360" w:type="dxa"/>
            <w:tcBorders>
              <w:top w:val="single" w:sz="4" w:space="0" w:color="auto"/>
            </w:tcBorders>
          </w:tcPr>
          <w:p>
            <w:pPr>
              <w:pStyle w:val="yTable"/>
              <w:rPr>
                <w:sz w:val="14"/>
              </w:rPr>
            </w:pPr>
            <w:r>
              <w:rPr>
                <w:sz w:val="14"/>
              </w:rPr>
              <w:t>5</w:t>
            </w:r>
          </w:p>
        </w:tc>
        <w:tc>
          <w:tcPr>
            <w:tcW w:w="360" w:type="dxa"/>
            <w:tcBorders>
              <w:top w:val="single" w:sz="4" w:space="0" w:color="auto"/>
            </w:tcBorders>
          </w:tcPr>
          <w:p>
            <w:pPr>
              <w:pStyle w:val="yTable"/>
              <w:rPr>
                <w:sz w:val="14"/>
              </w:rPr>
            </w:pPr>
            <w:r>
              <w:rPr>
                <w:sz w:val="14"/>
              </w:rPr>
              <w:t>4</w:t>
            </w:r>
          </w:p>
        </w:tc>
        <w:tc>
          <w:tcPr>
            <w:tcW w:w="360" w:type="dxa"/>
            <w:tcBorders>
              <w:top w:val="single" w:sz="4" w:space="0" w:color="auto"/>
            </w:tcBorders>
          </w:tcPr>
          <w:p>
            <w:pPr>
              <w:pStyle w:val="yTable"/>
              <w:rPr>
                <w:sz w:val="14"/>
              </w:rPr>
            </w:pPr>
            <w:r>
              <w:rPr>
                <w:sz w:val="14"/>
              </w:rPr>
              <w:t>7</w:t>
            </w:r>
          </w:p>
        </w:tc>
        <w:tc>
          <w:tcPr>
            <w:tcW w:w="360" w:type="dxa"/>
            <w:tcBorders>
              <w:top w:val="single" w:sz="4" w:space="0" w:color="auto"/>
            </w:tcBorders>
          </w:tcPr>
          <w:p>
            <w:pPr>
              <w:pStyle w:val="yTable"/>
              <w:rPr>
                <w:sz w:val="14"/>
              </w:rPr>
            </w:pPr>
            <w:r>
              <w:rPr>
                <w:sz w:val="14"/>
              </w:rPr>
              <w:t>8</w:t>
            </w:r>
          </w:p>
        </w:tc>
        <w:tc>
          <w:tcPr>
            <w:tcW w:w="360" w:type="dxa"/>
            <w:tcBorders>
              <w:top w:val="single" w:sz="4" w:space="0" w:color="auto"/>
            </w:tcBorders>
          </w:tcPr>
          <w:p>
            <w:pPr>
              <w:pStyle w:val="yTable"/>
              <w:rPr>
                <w:sz w:val="14"/>
              </w:rPr>
            </w:pPr>
            <w:r>
              <w:rPr>
                <w:sz w:val="14"/>
              </w:rPr>
              <w:t>9</w:t>
            </w:r>
          </w:p>
        </w:tc>
        <w:tc>
          <w:tcPr>
            <w:tcW w:w="360" w:type="dxa"/>
            <w:tcBorders>
              <w:top w:val="single" w:sz="4" w:space="0" w:color="auto"/>
            </w:tcBorders>
          </w:tcPr>
          <w:p>
            <w:pPr>
              <w:pStyle w:val="yTable"/>
              <w:rPr>
                <w:sz w:val="14"/>
              </w:rPr>
            </w:pPr>
            <w:r>
              <w:rPr>
                <w:sz w:val="14"/>
              </w:rPr>
              <w:t>10</w:t>
            </w:r>
          </w:p>
        </w:tc>
        <w:tc>
          <w:tcPr>
            <w:tcW w:w="360" w:type="dxa"/>
            <w:tcBorders>
              <w:top w:val="single" w:sz="4" w:space="0" w:color="auto"/>
            </w:tcBorders>
          </w:tcPr>
          <w:p>
            <w:pPr>
              <w:pStyle w:val="yTable"/>
              <w:rPr>
                <w:sz w:val="14"/>
              </w:rPr>
            </w:pPr>
            <w:r>
              <w:rPr>
                <w:sz w:val="14"/>
              </w:rPr>
              <w:t>11</w:t>
            </w:r>
          </w:p>
        </w:tc>
        <w:tc>
          <w:tcPr>
            <w:tcW w:w="360" w:type="dxa"/>
            <w:gridSpan w:val="2"/>
            <w:tcBorders>
              <w:top w:val="single" w:sz="4" w:space="0" w:color="auto"/>
            </w:tcBorders>
          </w:tcPr>
          <w:p>
            <w:pPr>
              <w:pStyle w:val="yTable"/>
              <w:rPr>
                <w:sz w:val="14"/>
              </w:rPr>
            </w:pPr>
            <w:r>
              <w:rPr>
                <w:sz w:val="14"/>
              </w:rPr>
              <w:t>12</w:t>
            </w:r>
          </w:p>
        </w:tc>
        <w:tc>
          <w:tcPr>
            <w:tcW w:w="360" w:type="dxa"/>
            <w:tcBorders>
              <w:top w:val="single" w:sz="4" w:space="0" w:color="auto"/>
            </w:tcBorders>
          </w:tcPr>
          <w:p>
            <w:pPr>
              <w:pStyle w:val="yTable"/>
              <w:rPr>
                <w:sz w:val="14"/>
              </w:rPr>
            </w:pPr>
            <w:r>
              <w:rPr>
                <w:sz w:val="14"/>
              </w:rPr>
              <w:t>13</w:t>
            </w:r>
          </w:p>
        </w:tc>
        <w:tc>
          <w:tcPr>
            <w:tcW w:w="360" w:type="dxa"/>
            <w:tcBorders>
              <w:top w:val="single" w:sz="4" w:space="0" w:color="auto"/>
            </w:tcBorders>
          </w:tcPr>
          <w:p>
            <w:pPr>
              <w:pStyle w:val="yTable"/>
              <w:rPr>
                <w:sz w:val="14"/>
              </w:rPr>
            </w:pPr>
            <w:r>
              <w:rPr>
                <w:sz w:val="14"/>
              </w:rPr>
              <w:t>14</w:t>
            </w:r>
          </w:p>
        </w:tc>
        <w:tc>
          <w:tcPr>
            <w:tcW w:w="360" w:type="dxa"/>
            <w:tcBorders>
              <w:top w:val="single" w:sz="4" w:space="0" w:color="auto"/>
            </w:tcBorders>
          </w:tcPr>
          <w:p>
            <w:pPr>
              <w:pStyle w:val="yTable"/>
              <w:rPr>
                <w:sz w:val="14"/>
              </w:rPr>
            </w:pPr>
            <w:r>
              <w:rPr>
                <w:sz w:val="14"/>
              </w:rPr>
              <w:t>15</w:t>
            </w:r>
          </w:p>
        </w:tc>
        <w:tc>
          <w:tcPr>
            <w:tcW w:w="360" w:type="dxa"/>
            <w:tcBorders>
              <w:top w:val="single" w:sz="4" w:space="0" w:color="auto"/>
            </w:tcBorders>
          </w:tcPr>
          <w:p>
            <w:pPr>
              <w:pStyle w:val="yTable"/>
              <w:rPr>
                <w:sz w:val="14"/>
              </w:rPr>
            </w:pPr>
            <w:r>
              <w:rPr>
                <w:sz w:val="14"/>
              </w:rPr>
              <w:t>16</w:t>
            </w:r>
          </w:p>
        </w:tc>
        <w:tc>
          <w:tcPr>
            <w:tcW w:w="360" w:type="dxa"/>
            <w:tcBorders>
              <w:top w:val="single" w:sz="4" w:space="0" w:color="auto"/>
            </w:tcBorders>
          </w:tcPr>
          <w:p>
            <w:pPr>
              <w:pStyle w:val="yTable"/>
              <w:rPr>
                <w:sz w:val="14"/>
              </w:rPr>
            </w:pPr>
            <w:r>
              <w:rPr>
                <w:sz w:val="14"/>
              </w:rPr>
              <w:t>17</w:t>
            </w:r>
          </w:p>
        </w:tc>
        <w:tc>
          <w:tcPr>
            <w:tcW w:w="360" w:type="dxa"/>
            <w:tcBorders>
              <w:top w:val="single" w:sz="4" w:space="0" w:color="auto"/>
            </w:tcBorders>
          </w:tcPr>
          <w:p>
            <w:pPr>
              <w:pStyle w:val="yTable"/>
              <w:rPr>
                <w:sz w:val="14"/>
              </w:rPr>
            </w:pPr>
            <w:r>
              <w:rPr>
                <w:sz w:val="14"/>
              </w:rPr>
              <w:t>18</w:t>
            </w:r>
          </w:p>
        </w:tc>
        <w:tc>
          <w:tcPr>
            <w:tcW w:w="360" w:type="dxa"/>
            <w:tcBorders>
              <w:top w:val="single" w:sz="4" w:space="0" w:color="auto"/>
            </w:tcBorders>
          </w:tcPr>
          <w:p>
            <w:pPr>
              <w:pStyle w:val="yTable"/>
              <w:rPr>
                <w:sz w:val="14"/>
              </w:rPr>
            </w:pPr>
            <w:r>
              <w:rPr>
                <w:sz w:val="14"/>
              </w:rPr>
              <w:t>19</w:t>
            </w:r>
          </w:p>
        </w:tc>
        <w:tc>
          <w:tcPr>
            <w:tcW w:w="360" w:type="dxa"/>
            <w:tcBorders>
              <w:top w:val="single" w:sz="4" w:space="0" w:color="auto"/>
            </w:tcBorders>
          </w:tcPr>
          <w:p>
            <w:pPr>
              <w:pStyle w:val="yTable"/>
              <w:rPr>
                <w:sz w:val="14"/>
              </w:rPr>
            </w:pPr>
            <w:r>
              <w:rPr>
                <w:sz w:val="14"/>
              </w:rPr>
              <w:t>20</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r>
              <w:rPr>
                <w:sz w:val="14"/>
              </w:rPr>
              <w:t>Six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6</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gridSpan w:val="2"/>
          </w:tcPr>
          <w:p>
            <w:pPr>
              <w:pStyle w:val="yTable"/>
              <w:spacing w:before="0"/>
              <w:rPr>
                <w:sz w:val="14"/>
              </w:rPr>
            </w:pPr>
            <w:r>
              <w:rPr>
                <w:sz w:val="14"/>
              </w:rPr>
              <w:t>30</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120</w:t>
            </w:r>
          </w:p>
        </w:tc>
        <w:tc>
          <w:tcPr>
            <w:tcW w:w="360" w:type="dxa"/>
            <w:gridSpan w:val="2"/>
          </w:tcPr>
          <w:p>
            <w:pPr>
              <w:pStyle w:val="yTable"/>
              <w:spacing w:before="0"/>
              <w:rPr>
                <w:sz w:val="14"/>
              </w:rPr>
            </w:pPr>
            <w:r>
              <w:rPr>
                <w:sz w:val="14"/>
              </w:rPr>
              <w:t>200</w:t>
            </w:r>
          </w:p>
        </w:tc>
        <w:tc>
          <w:tcPr>
            <w:tcW w:w="360" w:type="dxa"/>
          </w:tcPr>
          <w:p>
            <w:pPr>
              <w:pStyle w:val="yTable"/>
              <w:spacing w:before="0"/>
              <w:rPr>
                <w:sz w:val="14"/>
              </w:rPr>
            </w:pPr>
            <w:r>
              <w:rPr>
                <w:sz w:val="14"/>
              </w:rPr>
              <w:t>300</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560</w:t>
            </w:r>
          </w:p>
        </w:tc>
        <w:tc>
          <w:tcPr>
            <w:tcW w:w="360" w:type="dxa"/>
          </w:tcPr>
          <w:p>
            <w:pPr>
              <w:pStyle w:val="yTable"/>
              <w:spacing w:before="0"/>
              <w:rPr>
                <w:sz w:val="14"/>
              </w:rPr>
            </w:pPr>
            <w:r>
              <w:rPr>
                <w:sz w:val="14"/>
              </w:rPr>
              <w:t>720</w:t>
            </w:r>
          </w:p>
        </w:tc>
        <w:tc>
          <w:tcPr>
            <w:tcW w:w="360" w:type="dxa"/>
          </w:tcPr>
          <w:p>
            <w:pPr>
              <w:pStyle w:val="yTable"/>
              <w:spacing w:before="0"/>
              <w:rPr>
                <w:sz w:val="14"/>
              </w:rPr>
            </w:pPr>
            <w:r>
              <w:rPr>
                <w:sz w:val="14"/>
              </w:rPr>
              <w:t>900</w:t>
            </w:r>
          </w:p>
        </w:tc>
        <w:tc>
          <w:tcPr>
            <w:tcW w:w="360" w:type="dxa"/>
          </w:tcPr>
          <w:p>
            <w:pPr>
              <w:pStyle w:val="yTable"/>
              <w:spacing w:before="0"/>
              <w:rPr>
                <w:sz w:val="14"/>
              </w:rPr>
            </w:pPr>
            <w:r>
              <w:rPr>
                <w:sz w:val="14"/>
              </w:rPr>
              <w:t>1100</w:t>
            </w:r>
          </w:p>
        </w:tc>
        <w:tc>
          <w:tcPr>
            <w:tcW w:w="360" w:type="dxa"/>
          </w:tcPr>
          <w:p>
            <w:pPr>
              <w:pStyle w:val="yTable"/>
              <w:spacing w:before="0"/>
              <w:rPr>
                <w:sz w:val="14"/>
              </w:rPr>
            </w:pPr>
            <w:r>
              <w:rPr>
                <w:sz w:val="14"/>
              </w:rPr>
              <w:t>1320</w:t>
            </w:r>
          </w:p>
        </w:tc>
        <w:tc>
          <w:tcPr>
            <w:tcW w:w="360" w:type="dxa"/>
          </w:tcPr>
          <w:p>
            <w:pPr>
              <w:pStyle w:val="yTable"/>
              <w:spacing w:before="0"/>
              <w:rPr>
                <w:sz w:val="14"/>
              </w:rPr>
            </w:pPr>
            <w:r>
              <w:rPr>
                <w:sz w:val="14"/>
              </w:rPr>
              <w:t>1560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Six</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gridSpan w:val="2"/>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18</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30</w:t>
            </w:r>
          </w:p>
        </w:tc>
        <w:tc>
          <w:tcPr>
            <w:tcW w:w="360" w:type="dxa"/>
            <w:gridSpan w:val="2"/>
          </w:tcPr>
          <w:p>
            <w:pPr>
              <w:pStyle w:val="yTable"/>
              <w:spacing w:before="0"/>
              <w:rPr>
                <w:sz w:val="14"/>
              </w:rPr>
            </w:pPr>
            <w:r>
              <w:rPr>
                <w:sz w:val="14"/>
              </w:rPr>
              <w:t>36</w:t>
            </w:r>
          </w:p>
        </w:tc>
        <w:tc>
          <w:tcPr>
            <w:tcW w:w="360" w:type="dxa"/>
          </w:tcPr>
          <w:p>
            <w:pPr>
              <w:pStyle w:val="yTable"/>
              <w:spacing w:before="0"/>
              <w:rPr>
                <w:sz w:val="14"/>
              </w:rPr>
            </w:pPr>
            <w:r>
              <w:rPr>
                <w:sz w:val="14"/>
              </w:rPr>
              <w:t>42</w:t>
            </w:r>
          </w:p>
        </w:tc>
        <w:tc>
          <w:tcPr>
            <w:tcW w:w="360" w:type="dxa"/>
          </w:tcPr>
          <w:p>
            <w:pPr>
              <w:pStyle w:val="yTable"/>
              <w:spacing w:before="0"/>
              <w:rPr>
                <w:sz w:val="14"/>
              </w:rPr>
            </w:pPr>
            <w:r>
              <w:rPr>
                <w:sz w:val="14"/>
              </w:rPr>
              <w:t>48</w:t>
            </w:r>
          </w:p>
        </w:tc>
        <w:tc>
          <w:tcPr>
            <w:tcW w:w="360" w:type="dxa"/>
          </w:tcPr>
          <w:p>
            <w:pPr>
              <w:pStyle w:val="yTable"/>
              <w:spacing w:before="0"/>
              <w:rPr>
                <w:sz w:val="14"/>
              </w:rPr>
            </w:pPr>
            <w:r>
              <w:rPr>
                <w:sz w:val="14"/>
              </w:rPr>
              <w:t>54</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72</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84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90</w:t>
            </w:r>
          </w:p>
        </w:tc>
        <w:tc>
          <w:tcPr>
            <w:tcW w:w="360" w:type="dxa"/>
          </w:tcPr>
          <w:p>
            <w:pPr>
              <w:pStyle w:val="yTable"/>
              <w:spacing w:before="0"/>
              <w:rPr>
                <w:sz w:val="14"/>
              </w:rPr>
            </w:pPr>
            <w:r>
              <w:rPr>
                <w:sz w:val="14"/>
              </w:rPr>
              <w:t>150</w:t>
            </w:r>
          </w:p>
        </w:tc>
        <w:tc>
          <w:tcPr>
            <w:tcW w:w="360" w:type="dxa"/>
            <w:gridSpan w:val="2"/>
          </w:tcPr>
          <w:p>
            <w:pPr>
              <w:pStyle w:val="yTable"/>
              <w:spacing w:before="0"/>
              <w:rPr>
                <w:sz w:val="14"/>
              </w:rPr>
            </w:pPr>
            <w:r>
              <w:rPr>
                <w:sz w:val="14"/>
              </w:rPr>
              <w:t>225</w:t>
            </w:r>
          </w:p>
        </w:tc>
        <w:tc>
          <w:tcPr>
            <w:tcW w:w="360" w:type="dxa"/>
          </w:tcPr>
          <w:p>
            <w:pPr>
              <w:pStyle w:val="yTable"/>
              <w:spacing w:before="0"/>
              <w:rPr>
                <w:sz w:val="14"/>
              </w:rPr>
            </w:pPr>
            <w:r>
              <w:rPr>
                <w:sz w:val="14"/>
              </w:rPr>
              <w:t>315</w:t>
            </w:r>
          </w:p>
        </w:tc>
        <w:tc>
          <w:tcPr>
            <w:tcW w:w="360" w:type="dxa"/>
          </w:tcPr>
          <w:p>
            <w:pPr>
              <w:pStyle w:val="yTable"/>
              <w:spacing w:before="0"/>
              <w:rPr>
                <w:sz w:val="14"/>
              </w:rPr>
            </w:pPr>
            <w:r>
              <w:rPr>
                <w:sz w:val="14"/>
              </w:rPr>
              <w:t>420</w:t>
            </w:r>
          </w:p>
        </w:tc>
        <w:tc>
          <w:tcPr>
            <w:tcW w:w="360" w:type="dxa"/>
          </w:tcPr>
          <w:p>
            <w:pPr>
              <w:pStyle w:val="yTable"/>
              <w:spacing w:before="0"/>
              <w:rPr>
                <w:sz w:val="14"/>
              </w:rPr>
            </w:pPr>
            <w:r>
              <w:rPr>
                <w:sz w:val="14"/>
              </w:rPr>
              <w:t>540</w:t>
            </w:r>
          </w:p>
        </w:tc>
        <w:tc>
          <w:tcPr>
            <w:tcW w:w="360" w:type="dxa"/>
          </w:tcPr>
          <w:p>
            <w:pPr>
              <w:pStyle w:val="yTable"/>
              <w:spacing w:before="0"/>
              <w:rPr>
                <w:sz w:val="14"/>
              </w:rPr>
            </w:pPr>
            <w:r>
              <w:rPr>
                <w:sz w:val="14"/>
              </w:rPr>
              <w:t>675</w:t>
            </w:r>
          </w:p>
        </w:tc>
        <w:tc>
          <w:tcPr>
            <w:tcW w:w="360" w:type="dxa"/>
          </w:tcPr>
          <w:p>
            <w:pPr>
              <w:pStyle w:val="yTable"/>
              <w:spacing w:before="0"/>
              <w:rPr>
                <w:sz w:val="14"/>
              </w:rPr>
            </w:pPr>
            <w:r>
              <w:rPr>
                <w:sz w:val="14"/>
              </w:rPr>
              <w:t>825</w:t>
            </w:r>
          </w:p>
        </w:tc>
        <w:tc>
          <w:tcPr>
            <w:tcW w:w="360" w:type="dxa"/>
          </w:tcPr>
          <w:p>
            <w:pPr>
              <w:pStyle w:val="yTable"/>
              <w:spacing w:before="0"/>
              <w:rPr>
                <w:sz w:val="14"/>
              </w:rPr>
            </w:pPr>
            <w:r>
              <w:rPr>
                <w:sz w:val="14"/>
              </w:rPr>
              <w:t>990</w:t>
            </w:r>
          </w:p>
        </w:tc>
        <w:tc>
          <w:tcPr>
            <w:tcW w:w="360" w:type="dxa"/>
          </w:tcPr>
          <w:p>
            <w:pPr>
              <w:pStyle w:val="yTable"/>
              <w:spacing w:before="0"/>
              <w:rPr>
                <w:sz w:val="14"/>
              </w:rPr>
            </w:pPr>
            <w:r>
              <w:rPr>
                <w:sz w:val="14"/>
              </w:rPr>
              <w:t>1170</w:t>
            </w:r>
          </w:p>
        </w:tc>
        <w:tc>
          <w:tcPr>
            <w:tcW w:w="360" w:type="dxa"/>
          </w:tcPr>
          <w:p>
            <w:pPr>
              <w:pStyle w:val="yTable"/>
              <w:spacing w:before="0"/>
              <w:rPr>
                <w:sz w:val="14"/>
              </w:rPr>
            </w:pPr>
            <w:r>
              <w:rPr>
                <w:sz w:val="14"/>
              </w:rPr>
              <w:t>1365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gridSpan w:val="2"/>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1</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5</w:t>
            </w:r>
          </w:p>
        </w:tc>
        <w:tc>
          <w:tcPr>
            <w:tcW w:w="360" w:type="dxa"/>
            <w:gridSpan w:val="2"/>
          </w:tcPr>
          <w:p>
            <w:pPr>
              <w:pStyle w:val="yTable"/>
              <w:spacing w:before="0"/>
              <w:rPr>
                <w:sz w:val="14"/>
              </w:rPr>
            </w:pPr>
            <w:r>
              <w:rPr>
                <w:sz w:val="14"/>
              </w:rPr>
              <w:t>6</w:t>
            </w:r>
          </w:p>
        </w:tc>
        <w:tc>
          <w:tcPr>
            <w:tcW w:w="360" w:type="dxa"/>
          </w:tcPr>
          <w:p>
            <w:pPr>
              <w:pStyle w:val="yTable"/>
              <w:spacing w:before="0"/>
              <w:rPr>
                <w:sz w:val="14"/>
              </w:rPr>
            </w:pPr>
            <w:r>
              <w:rPr>
                <w:sz w:val="14"/>
              </w:rPr>
              <w:t>7</w:t>
            </w:r>
          </w:p>
        </w:tc>
        <w:tc>
          <w:tcPr>
            <w:tcW w:w="360" w:type="dxa"/>
          </w:tcPr>
          <w:p>
            <w:pPr>
              <w:pStyle w:val="yTable"/>
              <w:spacing w:before="0"/>
              <w:rPr>
                <w:sz w:val="14"/>
              </w:rPr>
            </w:pPr>
            <w:r>
              <w:rPr>
                <w:sz w:val="14"/>
              </w:rPr>
              <w:t>8</w:t>
            </w:r>
          </w:p>
        </w:tc>
        <w:tc>
          <w:tcPr>
            <w:tcW w:w="360" w:type="dxa"/>
          </w:tcPr>
          <w:p>
            <w:pPr>
              <w:pStyle w:val="yTable"/>
              <w:spacing w:before="0"/>
              <w:rPr>
                <w:sz w:val="14"/>
              </w:rPr>
            </w:pPr>
            <w:r>
              <w:rPr>
                <w:sz w:val="14"/>
              </w:rPr>
              <w:t>9</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11</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13</w:t>
            </w:r>
          </w:p>
        </w:tc>
        <w:tc>
          <w:tcPr>
            <w:tcW w:w="360" w:type="dxa"/>
          </w:tcPr>
          <w:p>
            <w:pPr>
              <w:pStyle w:val="yTable"/>
              <w:spacing w:before="0"/>
              <w:rPr>
                <w:sz w:val="14"/>
              </w:rPr>
            </w:pPr>
            <w:r>
              <w:rPr>
                <w:sz w:val="14"/>
              </w:rPr>
              <w:t>14</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50</w:t>
            </w:r>
          </w:p>
        </w:tc>
        <w:tc>
          <w:tcPr>
            <w:tcW w:w="360" w:type="dxa"/>
          </w:tcPr>
          <w:p>
            <w:pPr>
              <w:pStyle w:val="yTable"/>
              <w:spacing w:before="0"/>
              <w:rPr>
                <w:sz w:val="14"/>
              </w:rPr>
            </w:pPr>
            <w:r>
              <w:rPr>
                <w:sz w:val="14"/>
              </w:rPr>
              <w:t>75</w:t>
            </w:r>
          </w:p>
        </w:tc>
        <w:tc>
          <w:tcPr>
            <w:tcW w:w="360" w:type="dxa"/>
            <w:gridSpan w:val="2"/>
          </w:tcPr>
          <w:p>
            <w:pPr>
              <w:pStyle w:val="yTable"/>
              <w:spacing w:before="0"/>
              <w:rPr>
                <w:sz w:val="14"/>
              </w:rPr>
            </w:pPr>
            <w:r>
              <w:rPr>
                <w:sz w:val="14"/>
              </w:rPr>
              <w:t>105</w:t>
            </w:r>
          </w:p>
        </w:tc>
        <w:tc>
          <w:tcPr>
            <w:tcW w:w="360" w:type="dxa"/>
          </w:tcPr>
          <w:p>
            <w:pPr>
              <w:pStyle w:val="yTable"/>
              <w:spacing w:before="0"/>
              <w:rPr>
                <w:sz w:val="14"/>
              </w:rPr>
            </w:pPr>
            <w:r>
              <w:rPr>
                <w:sz w:val="14"/>
              </w:rPr>
              <w:t>140</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225</w:t>
            </w:r>
          </w:p>
        </w:tc>
        <w:tc>
          <w:tcPr>
            <w:tcW w:w="360" w:type="dxa"/>
          </w:tcPr>
          <w:p>
            <w:pPr>
              <w:pStyle w:val="yTable"/>
              <w:spacing w:before="0"/>
              <w:rPr>
                <w:sz w:val="14"/>
              </w:rPr>
            </w:pPr>
            <w:r>
              <w:rPr>
                <w:sz w:val="14"/>
              </w:rPr>
              <w:t>275</w:t>
            </w:r>
          </w:p>
        </w:tc>
        <w:tc>
          <w:tcPr>
            <w:tcW w:w="360" w:type="dxa"/>
          </w:tcPr>
          <w:p>
            <w:pPr>
              <w:pStyle w:val="yTable"/>
              <w:spacing w:before="0"/>
              <w:rPr>
                <w:sz w:val="14"/>
              </w:rPr>
            </w:pPr>
            <w:r>
              <w:rPr>
                <w:sz w:val="14"/>
              </w:rPr>
              <w:t>330</w:t>
            </w:r>
          </w:p>
        </w:tc>
        <w:tc>
          <w:tcPr>
            <w:tcW w:w="360" w:type="dxa"/>
          </w:tcPr>
          <w:p>
            <w:pPr>
              <w:pStyle w:val="yTable"/>
              <w:spacing w:before="0"/>
              <w:rPr>
                <w:sz w:val="14"/>
              </w:rPr>
            </w:pPr>
            <w:r>
              <w:rPr>
                <w:sz w:val="14"/>
              </w:rPr>
              <w:t>390</w:t>
            </w:r>
          </w:p>
        </w:tc>
        <w:tc>
          <w:tcPr>
            <w:tcW w:w="360" w:type="dxa"/>
          </w:tcPr>
          <w:p>
            <w:pPr>
              <w:pStyle w:val="yTable"/>
              <w:spacing w:before="0"/>
              <w:rPr>
                <w:sz w:val="14"/>
              </w:rPr>
            </w:pPr>
            <w:r>
              <w:rPr>
                <w:sz w:val="14"/>
              </w:rPr>
              <w:t>455</w:t>
            </w:r>
          </w:p>
        </w:tc>
        <w:tc>
          <w:tcPr>
            <w:tcW w:w="360" w:type="dxa"/>
          </w:tcPr>
          <w:p>
            <w:pPr>
              <w:pStyle w:val="yTable"/>
              <w:spacing w:before="0"/>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60</w:t>
            </w:r>
          </w:p>
        </w:tc>
        <w:tc>
          <w:tcPr>
            <w:tcW w:w="360" w:type="dxa"/>
          </w:tcPr>
          <w:p>
            <w:pPr>
              <w:pStyle w:val="yTable"/>
              <w:spacing w:before="0"/>
              <w:rPr>
                <w:sz w:val="14"/>
              </w:rPr>
            </w:pPr>
            <w:r>
              <w:rPr>
                <w:sz w:val="14"/>
              </w:rPr>
              <w:t>100</w:t>
            </w:r>
          </w:p>
        </w:tc>
        <w:tc>
          <w:tcPr>
            <w:tcW w:w="360" w:type="dxa"/>
            <w:gridSpan w:val="2"/>
          </w:tcPr>
          <w:p>
            <w:pPr>
              <w:pStyle w:val="yTable"/>
              <w:spacing w:before="0"/>
              <w:rPr>
                <w:sz w:val="14"/>
              </w:rPr>
            </w:pPr>
            <w:r>
              <w:rPr>
                <w:sz w:val="14"/>
              </w:rPr>
              <w:t>150</w:t>
            </w:r>
          </w:p>
        </w:tc>
        <w:tc>
          <w:tcPr>
            <w:tcW w:w="360" w:type="dxa"/>
          </w:tcPr>
          <w:p>
            <w:pPr>
              <w:pStyle w:val="yTable"/>
              <w:spacing w:before="0"/>
              <w:rPr>
                <w:sz w:val="14"/>
              </w:rPr>
            </w:pPr>
            <w:r>
              <w:rPr>
                <w:sz w:val="14"/>
              </w:rPr>
              <w:t>210</w:t>
            </w:r>
          </w:p>
        </w:tc>
        <w:tc>
          <w:tcPr>
            <w:tcW w:w="360" w:type="dxa"/>
          </w:tcPr>
          <w:p>
            <w:pPr>
              <w:pStyle w:val="yTable"/>
              <w:spacing w:before="0"/>
              <w:rPr>
                <w:sz w:val="14"/>
              </w:rPr>
            </w:pPr>
            <w:r>
              <w:rPr>
                <w:sz w:val="14"/>
              </w:rPr>
              <w:t>280</w:t>
            </w:r>
          </w:p>
        </w:tc>
        <w:tc>
          <w:tcPr>
            <w:tcW w:w="360" w:type="dxa"/>
          </w:tcPr>
          <w:p>
            <w:pPr>
              <w:pStyle w:val="yTable"/>
              <w:spacing w:before="0"/>
              <w:rPr>
                <w:sz w:val="14"/>
              </w:rPr>
            </w:pPr>
            <w:r>
              <w:rPr>
                <w:sz w:val="14"/>
              </w:rPr>
              <w:t>360</w:t>
            </w:r>
          </w:p>
        </w:tc>
        <w:tc>
          <w:tcPr>
            <w:tcW w:w="360" w:type="dxa"/>
          </w:tcPr>
          <w:p>
            <w:pPr>
              <w:pStyle w:val="yTable"/>
              <w:spacing w:before="0"/>
              <w:rPr>
                <w:sz w:val="14"/>
              </w:rPr>
            </w:pPr>
            <w:r>
              <w:rPr>
                <w:sz w:val="14"/>
              </w:rPr>
              <w:t>450</w:t>
            </w:r>
          </w:p>
        </w:tc>
        <w:tc>
          <w:tcPr>
            <w:tcW w:w="360" w:type="dxa"/>
          </w:tcPr>
          <w:p>
            <w:pPr>
              <w:pStyle w:val="yTable"/>
              <w:spacing w:before="0"/>
              <w:rPr>
                <w:sz w:val="14"/>
              </w:rPr>
            </w:pPr>
            <w:r>
              <w:rPr>
                <w:sz w:val="14"/>
              </w:rPr>
              <w:t>550</w:t>
            </w:r>
          </w:p>
        </w:tc>
        <w:tc>
          <w:tcPr>
            <w:tcW w:w="360" w:type="dxa"/>
          </w:tcPr>
          <w:p>
            <w:pPr>
              <w:pStyle w:val="yTable"/>
              <w:spacing w:before="0"/>
              <w:rPr>
                <w:sz w:val="14"/>
              </w:rPr>
            </w:pPr>
            <w:r>
              <w:rPr>
                <w:sz w:val="14"/>
              </w:rPr>
              <w:t>660</w:t>
            </w:r>
          </w:p>
        </w:tc>
        <w:tc>
          <w:tcPr>
            <w:tcW w:w="360" w:type="dxa"/>
          </w:tcPr>
          <w:p>
            <w:pPr>
              <w:pStyle w:val="yTable"/>
              <w:spacing w:before="0"/>
              <w:rPr>
                <w:sz w:val="14"/>
              </w:rPr>
            </w:pPr>
            <w:r>
              <w:rPr>
                <w:sz w:val="14"/>
              </w:rPr>
              <w:t>780</w:t>
            </w:r>
          </w:p>
        </w:tc>
        <w:tc>
          <w:tcPr>
            <w:tcW w:w="360" w:type="dxa"/>
          </w:tcPr>
          <w:p>
            <w:pPr>
              <w:pStyle w:val="yTable"/>
              <w:spacing w:before="0"/>
              <w:rPr>
                <w:sz w:val="14"/>
              </w:rPr>
            </w:pPr>
            <w:r>
              <w:rPr>
                <w:sz w:val="14"/>
              </w:rPr>
              <w:t>910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Five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t>31</w:t>
            </w:r>
          </w:p>
        </w:tc>
        <w:tc>
          <w:tcPr>
            <w:tcW w:w="360" w:type="dxa"/>
          </w:tcPr>
          <w:p>
            <w:pPr>
              <w:pStyle w:val="yTable"/>
              <w:rPr>
                <w:sz w:val="14"/>
              </w:rPr>
            </w:pPr>
            <w:r>
              <w:rPr>
                <w:sz w:val="14"/>
              </w:rPr>
              <w:noBreakHyphen/>
            </w:r>
          </w:p>
        </w:tc>
        <w:tc>
          <w:tcPr>
            <w:tcW w:w="360" w:type="dxa"/>
          </w:tcPr>
          <w:p>
            <w:pPr>
              <w:pStyle w:val="yTable"/>
              <w:rPr>
                <w:sz w:val="14"/>
              </w:rPr>
            </w:pPr>
            <w:r>
              <w:rPr>
                <w:sz w:val="14"/>
              </w:rPr>
              <w:t>2</w:t>
            </w:r>
          </w:p>
        </w:tc>
        <w:tc>
          <w:tcPr>
            <w:tcW w:w="360" w:type="dxa"/>
          </w:tcPr>
          <w:p>
            <w:pPr>
              <w:pStyle w:val="yTable"/>
              <w:rPr>
                <w:sz w:val="14"/>
              </w:rPr>
            </w:pPr>
            <w:r>
              <w:rPr>
                <w:sz w:val="14"/>
              </w:rPr>
              <w:t>3</w:t>
            </w:r>
          </w:p>
        </w:tc>
        <w:tc>
          <w:tcPr>
            <w:tcW w:w="360" w:type="dxa"/>
          </w:tcPr>
          <w:p>
            <w:pPr>
              <w:pStyle w:val="yTable"/>
              <w:rPr>
                <w:sz w:val="14"/>
              </w:rPr>
            </w:pPr>
            <w:r>
              <w:rPr>
                <w:sz w:val="14"/>
              </w:rPr>
              <w:t>4</w:t>
            </w:r>
          </w:p>
        </w:tc>
        <w:tc>
          <w:tcPr>
            <w:tcW w:w="360" w:type="dxa"/>
          </w:tcPr>
          <w:p>
            <w:pPr>
              <w:pStyle w:val="yTable"/>
              <w:rPr>
                <w:sz w:val="14"/>
              </w:rPr>
            </w:pPr>
            <w:r>
              <w:rPr>
                <w:sz w:val="14"/>
              </w:rPr>
              <w:t>5</w:t>
            </w:r>
          </w:p>
        </w:tc>
        <w:tc>
          <w:tcPr>
            <w:tcW w:w="360" w:type="dxa"/>
          </w:tcPr>
          <w:p>
            <w:pPr>
              <w:pStyle w:val="yTable"/>
              <w:rPr>
                <w:sz w:val="14"/>
              </w:rPr>
            </w:pPr>
            <w:r>
              <w:rPr>
                <w:sz w:val="14"/>
              </w:rPr>
              <w:t>6</w:t>
            </w:r>
          </w:p>
        </w:tc>
        <w:tc>
          <w:tcPr>
            <w:tcW w:w="360" w:type="dxa"/>
            <w:gridSpan w:val="2"/>
          </w:tcPr>
          <w:p>
            <w:pPr>
              <w:pStyle w:val="yTable"/>
              <w:rPr>
                <w:sz w:val="14"/>
              </w:rPr>
            </w:pPr>
            <w:r>
              <w:rPr>
                <w:sz w:val="14"/>
              </w:rPr>
              <w:t>7</w:t>
            </w:r>
          </w:p>
        </w:tc>
        <w:tc>
          <w:tcPr>
            <w:tcW w:w="360" w:type="dxa"/>
          </w:tcPr>
          <w:p>
            <w:pPr>
              <w:pStyle w:val="yTable"/>
              <w:rPr>
                <w:sz w:val="14"/>
              </w:rPr>
            </w:pPr>
            <w:r>
              <w:rPr>
                <w:sz w:val="14"/>
              </w:rPr>
              <w:t>8</w:t>
            </w:r>
          </w:p>
        </w:tc>
        <w:tc>
          <w:tcPr>
            <w:tcW w:w="360" w:type="dxa"/>
          </w:tcPr>
          <w:p>
            <w:pPr>
              <w:pStyle w:val="yTable"/>
              <w:rPr>
                <w:sz w:val="14"/>
              </w:rPr>
            </w:pPr>
            <w:r>
              <w:rPr>
                <w:sz w:val="14"/>
              </w:rPr>
              <w:t>9</w:t>
            </w:r>
          </w:p>
        </w:tc>
        <w:tc>
          <w:tcPr>
            <w:tcW w:w="360" w:type="dxa"/>
          </w:tcPr>
          <w:p>
            <w:pPr>
              <w:pStyle w:val="yTable"/>
              <w:rPr>
                <w:sz w:val="14"/>
              </w:rPr>
            </w:pPr>
            <w:r>
              <w:rPr>
                <w:sz w:val="14"/>
              </w:rPr>
              <w:t>10</w:t>
            </w:r>
          </w:p>
        </w:tc>
        <w:tc>
          <w:tcPr>
            <w:tcW w:w="360" w:type="dxa"/>
          </w:tcPr>
          <w:p>
            <w:pPr>
              <w:pStyle w:val="yTable"/>
              <w:rPr>
                <w:sz w:val="14"/>
              </w:rPr>
            </w:pPr>
            <w:r>
              <w:rPr>
                <w:sz w:val="14"/>
              </w:rPr>
              <w:t>11</w:t>
            </w:r>
          </w:p>
        </w:tc>
        <w:tc>
          <w:tcPr>
            <w:tcW w:w="360" w:type="dxa"/>
          </w:tcPr>
          <w:p>
            <w:pPr>
              <w:pStyle w:val="yTable"/>
              <w:rPr>
                <w:sz w:val="14"/>
              </w:rPr>
            </w:pPr>
            <w:r>
              <w:rPr>
                <w:sz w:val="14"/>
              </w:rPr>
              <w:t>12</w:t>
            </w:r>
          </w:p>
        </w:tc>
        <w:tc>
          <w:tcPr>
            <w:tcW w:w="360" w:type="dxa"/>
          </w:tcPr>
          <w:p>
            <w:pPr>
              <w:pStyle w:val="yTable"/>
              <w:rPr>
                <w:sz w:val="14"/>
              </w:rPr>
            </w:pPr>
            <w:r>
              <w:rPr>
                <w:sz w:val="14"/>
              </w:rPr>
              <w:t>13</w:t>
            </w:r>
          </w:p>
        </w:tc>
        <w:tc>
          <w:tcPr>
            <w:tcW w:w="360" w:type="dxa"/>
          </w:tcPr>
          <w:p>
            <w:pPr>
              <w:pStyle w:val="yTable"/>
              <w:rPr>
                <w:sz w:val="14"/>
              </w:rPr>
            </w:pPr>
            <w:r>
              <w:rPr>
                <w:sz w:val="14"/>
              </w:rPr>
              <w:t>14</w:t>
            </w:r>
          </w:p>
        </w:tc>
        <w:tc>
          <w:tcPr>
            <w:tcW w:w="360" w:type="dxa"/>
          </w:tcPr>
          <w:p>
            <w:pPr>
              <w:pStyle w:val="yTable"/>
              <w:rPr>
                <w:sz w:val="14"/>
              </w:rPr>
            </w:pPr>
            <w:r>
              <w:rPr>
                <w:sz w:val="14"/>
              </w:rPr>
              <w:t>15</w:t>
            </w: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t>5</w:t>
            </w:r>
          </w:p>
        </w:tc>
        <w:tc>
          <w:tcPr>
            <w:tcW w:w="360" w:type="dxa"/>
          </w:tcPr>
          <w:p>
            <w:pPr>
              <w:pStyle w:val="yTable"/>
              <w:rPr>
                <w:sz w:val="14"/>
              </w:rPr>
            </w:pPr>
            <w:r>
              <w:rPr>
                <w:sz w:val="14"/>
              </w:rPr>
              <w:t>15</w:t>
            </w:r>
          </w:p>
        </w:tc>
        <w:tc>
          <w:tcPr>
            <w:tcW w:w="360" w:type="dxa"/>
          </w:tcPr>
          <w:p>
            <w:pPr>
              <w:pStyle w:val="yTable"/>
              <w:rPr>
                <w:sz w:val="14"/>
              </w:rPr>
            </w:pPr>
            <w:r>
              <w:rPr>
                <w:sz w:val="14"/>
              </w:rPr>
              <w:t>30</w:t>
            </w:r>
          </w:p>
        </w:tc>
        <w:tc>
          <w:tcPr>
            <w:tcW w:w="360" w:type="dxa"/>
          </w:tcPr>
          <w:p>
            <w:pPr>
              <w:pStyle w:val="yTable"/>
              <w:rPr>
                <w:sz w:val="14"/>
              </w:rPr>
            </w:pPr>
            <w:r>
              <w:rPr>
                <w:sz w:val="14"/>
              </w:rPr>
              <w:t>50</w:t>
            </w:r>
          </w:p>
        </w:tc>
        <w:tc>
          <w:tcPr>
            <w:tcW w:w="360" w:type="dxa"/>
          </w:tcPr>
          <w:p>
            <w:pPr>
              <w:pStyle w:val="yTable"/>
              <w:rPr>
                <w:sz w:val="14"/>
              </w:rPr>
            </w:pPr>
            <w:r>
              <w:rPr>
                <w:sz w:val="14"/>
              </w:rPr>
              <w:t>75</w:t>
            </w:r>
          </w:p>
        </w:tc>
        <w:tc>
          <w:tcPr>
            <w:tcW w:w="360" w:type="dxa"/>
            <w:gridSpan w:val="2"/>
          </w:tcPr>
          <w:p>
            <w:pPr>
              <w:pStyle w:val="yTable"/>
              <w:rPr>
                <w:sz w:val="14"/>
              </w:rPr>
            </w:pPr>
            <w:r>
              <w:rPr>
                <w:sz w:val="14"/>
              </w:rPr>
              <w:t>105</w:t>
            </w:r>
          </w:p>
        </w:tc>
        <w:tc>
          <w:tcPr>
            <w:tcW w:w="360" w:type="dxa"/>
          </w:tcPr>
          <w:p>
            <w:pPr>
              <w:pStyle w:val="yTable"/>
              <w:rPr>
                <w:sz w:val="14"/>
              </w:rPr>
            </w:pPr>
            <w:r>
              <w:rPr>
                <w:sz w:val="14"/>
              </w:rPr>
              <w:t>140</w:t>
            </w:r>
          </w:p>
        </w:tc>
        <w:tc>
          <w:tcPr>
            <w:tcW w:w="360" w:type="dxa"/>
          </w:tcPr>
          <w:p>
            <w:pPr>
              <w:pStyle w:val="yTable"/>
              <w:rPr>
                <w:sz w:val="14"/>
              </w:rPr>
            </w:pPr>
            <w:r>
              <w:rPr>
                <w:sz w:val="14"/>
              </w:rPr>
              <w:t>180</w:t>
            </w:r>
          </w:p>
        </w:tc>
        <w:tc>
          <w:tcPr>
            <w:tcW w:w="360" w:type="dxa"/>
          </w:tcPr>
          <w:p>
            <w:pPr>
              <w:pStyle w:val="yTable"/>
              <w:rPr>
                <w:sz w:val="14"/>
              </w:rPr>
            </w:pPr>
            <w:r>
              <w:rPr>
                <w:sz w:val="14"/>
              </w:rPr>
              <w:t>225</w:t>
            </w:r>
          </w:p>
        </w:tc>
        <w:tc>
          <w:tcPr>
            <w:tcW w:w="360" w:type="dxa"/>
          </w:tcPr>
          <w:p>
            <w:pPr>
              <w:pStyle w:val="yTable"/>
              <w:rPr>
                <w:sz w:val="14"/>
              </w:rPr>
            </w:pPr>
            <w:r>
              <w:rPr>
                <w:sz w:val="14"/>
              </w:rPr>
              <w:t>275</w:t>
            </w:r>
          </w:p>
        </w:tc>
        <w:tc>
          <w:tcPr>
            <w:tcW w:w="360" w:type="dxa"/>
          </w:tcPr>
          <w:p>
            <w:pPr>
              <w:pStyle w:val="yTable"/>
              <w:rPr>
                <w:sz w:val="14"/>
              </w:rPr>
            </w:pPr>
            <w:r>
              <w:rPr>
                <w:sz w:val="14"/>
              </w:rPr>
              <w:t>330</w:t>
            </w:r>
          </w:p>
        </w:tc>
        <w:tc>
          <w:tcPr>
            <w:tcW w:w="360" w:type="dxa"/>
          </w:tcPr>
          <w:p>
            <w:pPr>
              <w:pStyle w:val="yTable"/>
              <w:rPr>
                <w:sz w:val="14"/>
              </w:rPr>
            </w:pPr>
            <w:r>
              <w:rPr>
                <w:sz w:val="14"/>
              </w:rPr>
              <w:t>390</w:t>
            </w:r>
          </w:p>
        </w:tc>
        <w:tc>
          <w:tcPr>
            <w:tcW w:w="360" w:type="dxa"/>
          </w:tcPr>
          <w:p>
            <w:pPr>
              <w:pStyle w:val="yTable"/>
              <w:rPr>
                <w:sz w:val="14"/>
              </w:rPr>
            </w:pPr>
            <w:r>
              <w:rPr>
                <w:sz w:val="14"/>
              </w:rPr>
              <w:t>455</w:t>
            </w:r>
          </w:p>
        </w:tc>
        <w:tc>
          <w:tcPr>
            <w:tcW w:w="360" w:type="dxa"/>
          </w:tcPr>
          <w:p>
            <w:pPr>
              <w:pStyle w:val="yTable"/>
              <w:rPr>
                <w:sz w:val="14"/>
              </w:rPr>
            </w:pPr>
            <w:r>
              <w:rPr>
                <w:sz w:val="14"/>
              </w:rPr>
              <w:t>525</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12</w:t>
            </w:r>
          </w:p>
        </w:tc>
        <w:tc>
          <w:tcPr>
            <w:tcW w:w="360" w:type="dxa"/>
          </w:tcPr>
          <w:p>
            <w:pPr>
              <w:pStyle w:val="yTable"/>
              <w:spacing w:before="0"/>
              <w:rPr>
                <w:sz w:val="14"/>
              </w:rPr>
            </w:pPr>
            <w:r>
              <w:rPr>
                <w:sz w:val="14"/>
              </w:rPr>
              <w:t>24</w:t>
            </w:r>
          </w:p>
        </w:tc>
        <w:tc>
          <w:tcPr>
            <w:tcW w:w="360" w:type="dxa"/>
          </w:tcPr>
          <w:p>
            <w:pPr>
              <w:pStyle w:val="yTable"/>
              <w:spacing w:before="0"/>
              <w:rPr>
                <w:sz w:val="14"/>
              </w:rPr>
            </w:pPr>
            <w:r>
              <w:rPr>
                <w:sz w:val="14"/>
              </w:rPr>
              <w:t>40</w:t>
            </w:r>
          </w:p>
        </w:tc>
        <w:tc>
          <w:tcPr>
            <w:tcW w:w="360" w:type="dxa"/>
          </w:tcPr>
          <w:p>
            <w:pPr>
              <w:pStyle w:val="yTable"/>
              <w:spacing w:before="0"/>
              <w:rPr>
                <w:sz w:val="14"/>
              </w:rPr>
            </w:pPr>
            <w:r>
              <w:rPr>
                <w:sz w:val="14"/>
              </w:rPr>
              <w:t>60</w:t>
            </w:r>
          </w:p>
        </w:tc>
        <w:tc>
          <w:tcPr>
            <w:tcW w:w="360" w:type="dxa"/>
            <w:gridSpan w:val="2"/>
          </w:tcPr>
          <w:p>
            <w:pPr>
              <w:pStyle w:val="yTable"/>
              <w:spacing w:before="0"/>
              <w:rPr>
                <w:sz w:val="14"/>
              </w:rPr>
            </w:pPr>
            <w:r>
              <w:rPr>
                <w:sz w:val="14"/>
              </w:rPr>
              <w:t>84</w:t>
            </w:r>
          </w:p>
        </w:tc>
        <w:tc>
          <w:tcPr>
            <w:tcW w:w="360" w:type="dxa"/>
          </w:tcPr>
          <w:p>
            <w:pPr>
              <w:pStyle w:val="yTable"/>
              <w:spacing w:before="0"/>
              <w:rPr>
                <w:sz w:val="14"/>
              </w:rPr>
            </w:pPr>
            <w:r>
              <w:rPr>
                <w:sz w:val="14"/>
              </w:rPr>
              <w:t>112</w:t>
            </w:r>
          </w:p>
        </w:tc>
        <w:tc>
          <w:tcPr>
            <w:tcW w:w="360" w:type="dxa"/>
          </w:tcPr>
          <w:p>
            <w:pPr>
              <w:pStyle w:val="yTable"/>
              <w:spacing w:before="0"/>
              <w:rPr>
                <w:sz w:val="14"/>
              </w:rPr>
            </w:pPr>
            <w:r>
              <w:rPr>
                <w:sz w:val="14"/>
              </w:rPr>
              <w:t>144</w:t>
            </w:r>
          </w:p>
        </w:tc>
        <w:tc>
          <w:tcPr>
            <w:tcW w:w="360" w:type="dxa"/>
          </w:tcPr>
          <w:p>
            <w:pPr>
              <w:pStyle w:val="yTable"/>
              <w:spacing w:before="0"/>
              <w:rPr>
                <w:sz w:val="14"/>
              </w:rPr>
            </w:pPr>
            <w:r>
              <w:rPr>
                <w:sz w:val="14"/>
              </w:rPr>
              <w:t>180</w:t>
            </w:r>
          </w:p>
        </w:tc>
        <w:tc>
          <w:tcPr>
            <w:tcW w:w="360" w:type="dxa"/>
          </w:tcPr>
          <w:p>
            <w:pPr>
              <w:pStyle w:val="yTable"/>
              <w:spacing w:before="0"/>
              <w:rPr>
                <w:sz w:val="14"/>
              </w:rPr>
            </w:pPr>
            <w:r>
              <w:rPr>
                <w:sz w:val="14"/>
              </w:rPr>
              <w:t>220</w:t>
            </w:r>
          </w:p>
        </w:tc>
        <w:tc>
          <w:tcPr>
            <w:tcW w:w="360" w:type="dxa"/>
          </w:tcPr>
          <w:p>
            <w:pPr>
              <w:pStyle w:val="yTable"/>
              <w:spacing w:before="0"/>
              <w:rPr>
                <w:sz w:val="14"/>
              </w:rPr>
            </w:pPr>
            <w:r>
              <w:rPr>
                <w:sz w:val="14"/>
              </w:rPr>
              <w:t>264</w:t>
            </w:r>
          </w:p>
        </w:tc>
        <w:tc>
          <w:tcPr>
            <w:tcW w:w="360" w:type="dxa"/>
          </w:tcPr>
          <w:p>
            <w:pPr>
              <w:pStyle w:val="yTable"/>
              <w:spacing w:before="0"/>
              <w:rPr>
                <w:sz w:val="14"/>
              </w:rPr>
            </w:pPr>
            <w:r>
              <w:rPr>
                <w:sz w:val="14"/>
              </w:rPr>
              <w:t>312</w:t>
            </w:r>
          </w:p>
        </w:tc>
        <w:tc>
          <w:tcPr>
            <w:tcW w:w="360" w:type="dxa"/>
          </w:tcPr>
          <w:p>
            <w:pPr>
              <w:pStyle w:val="yTable"/>
              <w:spacing w:before="0"/>
              <w:rPr>
                <w:sz w:val="14"/>
              </w:rPr>
            </w:pPr>
            <w:r>
              <w:rPr>
                <w:sz w:val="14"/>
              </w:rPr>
              <w:t>364</w:t>
            </w:r>
          </w:p>
        </w:tc>
        <w:tc>
          <w:tcPr>
            <w:tcW w:w="360" w:type="dxa"/>
          </w:tcPr>
          <w:p>
            <w:pPr>
              <w:pStyle w:val="yTable"/>
              <w:spacing w:before="0"/>
              <w:rPr>
                <w:sz w:val="14"/>
              </w:rPr>
            </w:pPr>
            <w:r>
              <w:rPr>
                <w:sz w:val="14"/>
              </w:rPr>
              <w:t>420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Four</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t>1</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2</w:t>
            </w:r>
          </w:p>
        </w:tc>
        <w:tc>
          <w:tcPr>
            <w:tcW w:w="360" w:type="dxa"/>
          </w:tcPr>
          <w:p>
            <w:pPr>
              <w:pStyle w:val="yTable"/>
              <w:spacing w:before="0"/>
              <w:rPr>
                <w:sz w:val="14"/>
              </w:rPr>
            </w:pPr>
            <w:r>
              <w:rPr>
                <w:sz w:val="14"/>
              </w:rPr>
              <w:t>62</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31</w:t>
            </w:r>
          </w:p>
        </w:tc>
        <w:tc>
          <w:tcPr>
            <w:tcW w:w="360" w:type="dxa"/>
          </w:tcPr>
          <w:p>
            <w:pPr>
              <w:pStyle w:val="yTable"/>
              <w:spacing w:before="0"/>
              <w:rPr>
                <w:sz w:val="14"/>
              </w:rPr>
            </w:pPr>
            <w:r>
              <w:rPr>
                <w:sz w:val="14"/>
              </w:rPr>
              <w:t>496</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keepNext/>
              <w:rPr>
                <w:sz w:val="14"/>
              </w:rPr>
            </w:pPr>
            <w:r>
              <w:rPr>
                <w:sz w:val="14"/>
              </w:rPr>
              <w:t>Three and One</w:t>
            </w:r>
          </w:p>
          <w:p>
            <w:pPr>
              <w:pStyle w:val="yTable"/>
              <w:keepNext/>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2</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t>465</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6</w:t>
            </w:r>
          </w:p>
        </w:tc>
        <w:tc>
          <w:tcPr>
            <w:tcW w:w="360" w:type="dxa"/>
          </w:tcPr>
          <w:p>
            <w:pPr>
              <w:pStyle w:val="yTable"/>
              <w:spacing w:before="0"/>
              <w:rPr>
                <w:sz w:val="14"/>
              </w:rPr>
            </w:pPr>
            <w:r>
              <w:rPr>
                <w:sz w:val="14"/>
              </w:rPr>
              <w:t>10</w:t>
            </w:r>
          </w:p>
        </w:tc>
        <w:tc>
          <w:tcPr>
            <w:tcW w:w="360" w:type="dxa"/>
          </w:tcPr>
          <w:p>
            <w:pPr>
              <w:pStyle w:val="yTable"/>
              <w:spacing w:before="0"/>
              <w:rPr>
                <w:sz w:val="14"/>
              </w:rPr>
            </w:pPr>
            <w:r>
              <w:rPr>
                <w:sz w:val="14"/>
              </w:rPr>
              <w:t>15</w:t>
            </w:r>
          </w:p>
        </w:tc>
        <w:tc>
          <w:tcPr>
            <w:tcW w:w="360" w:type="dxa"/>
          </w:tcPr>
          <w:p>
            <w:pPr>
              <w:pStyle w:val="yTable"/>
              <w:spacing w:before="0"/>
              <w:rPr>
                <w:sz w:val="14"/>
              </w:rPr>
            </w:pPr>
            <w:r>
              <w:rPr>
                <w:sz w:val="14"/>
              </w:rPr>
              <w:t>21</w:t>
            </w:r>
          </w:p>
        </w:tc>
        <w:tc>
          <w:tcPr>
            <w:tcW w:w="360" w:type="dxa"/>
            <w:gridSpan w:val="2"/>
          </w:tcPr>
          <w:p>
            <w:pPr>
              <w:pStyle w:val="yTable"/>
              <w:spacing w:before="0"/>
              <w:rPr>
                <w:sz w:val="14"/>
              </w:rPr>
            </w:pPr>
            <w:r>
              <w:rPr>
                <w:sz w:val="14"/>
              </w:rPr>
              <w:t>28</w:t>
            </w:r>
          </w:p>
        </w:tc>
        <w:tc>
          <w:tcPr>
            <w:tcW w:w="360" w:type="dxa"/>
          </w:tcPr>
          <w:p>
            <w:pPr>
              <w:pStyle w:val="yTable"/>
              <w:spacing w:before="0"/>
              <w:rPr>
                <w:sz w:val="14"/>
              </w:rPr>
            </w:pPr>
            <w:r>
              <w:rPr>
                <w:sz w:val="14"/>
              </w:rPr>
              <w:t>36</w:t>
            </w:r>
          </w:p>
        </w:tc>
        <w:tc>
          <w:tcPr>
            <w:tcW w:w="360" w:type="dxa"/>
          </w:tcPr>
          <w:p>
            <w:pPr>
              <w:pStyle w:val="yTable"/>
              <w:spacing w:before="0"/>
              <w:rPr>
                <w:sz w:val="14"/>
              </w:rPr>
            </w:pPr>
            <w:r>
              <w:rPr>
                <w:sz w:val="14"/>
              </w:rPr>
              <w:t>45</w:t>
            </w:r>
          </w:p>
        </w:tc>
        <w:tc>
          <w:tcPr>
            <w:tcW w:w="360" w:type="dxa"/>
          </w:tcPr>
          <w:p>
            <w:pPr>
              <w:pStyle w:val="yTable"/>
              <w:spacing w:before="0"/>
              <w:rPr>
                <w:sz w:val="14"/>
              </w:rPr>
            </w:pPr>
            <w:r>
              <w:rPr>
                <w:sz w:val="14"/>
              </w:rPr>
              <w:t>55</w:t>
            </w:r>
          </w:p>
        </w:tc>
        <w:tc>
          <w:tcPr>
            <w:tcW w:w="360" w:type="dxa"/>
          </w:tcPr>
          <w:p>
            <w:pPr>
              <w:pStyle w:val="yTable"/>
              <w:spacing w:before="0"/>
              <w:rPr>
                <w:sz w:val="14"/>
              </w:rPr>
            </w:pPr>
            <w:r>
              <w:rPr>
                <w:sz w:val="14"/>
              </w:rPr>
              <w:t>66</w:t>
            </w:r>
          </w:p>
        </w:tc>
        <w:tc>
          <w:tcPr>
            <w:tcW w:w="360" w:type="dxa"/>
          </w:tcPr>
          <w:p>
            <w:pPr>
              <w:pStyle w:val="yTable"/>
              <w:spacing w:before="0"/>
              <w:rPr>
                <w:sz w:val="14"/>
              </w:rPr>
            </w:pPr>
            <w:r>
              <w:rPr>
                <w:sz w:val="14"/>
              </w:rPr>
              <w:t>78</w:t>
            </w:r>
          </w:p>
        </w:tc>
        <w:tc>
          <w:tcPr>
            <w:tcW w:w="360" w:type="dxa"/>
          </w:tcPr>
          <w:p>
            <w:pPr>
              <w:pStyle w:val="yTable"/>
              <w:spacing w:before="0"/>
              <w:rPr>
                <w:sz w:val="14"/>
              </w:rPr>
            </w:pPr>
            <w:r>
              <w:rPr>
                <w:sz w:val="14"/>
              </w:rPr>
              <w:t>91</w:t>
            </w:r>
          </w:p>
        </w:tc>
        <w:tc>
          <w:tcPr>
            <w:tcW w:w="360" w:type="dxa"/>
          </w:tcPr>
          <w:p>
            <w:pPr>
              <w:pStyle w:val="yTable"/>
              <w:spacing w:before="0"/>
              <w:rPr>
                <w:sz w:val="14"/>
              </w:rPr>
            </w:pPr>
            <w:r>
              <w:rPr>
                <w:sz w:val="14"/>
              </w:rPr>
              <w:t>105</w:t>
            </w:r>
          </w:p>
        </w:tc>
        <w:tc>
          <w:tcPr>
            <w:tcW w:w="360" w:type="dxa"/>
          </w:tcPr>
          <w:p>
            <w:pPr>
              <w:pStyle w:val="yTable"/>
              <w:spacing w:before="0"/>
              <w:rPr>
                <w:sz w:val="14"/>
              </w:rPr>
            </w:pPr>
            <w:r>
              <w:rPr>
                <w:sz w:val="14"/>
              </w:rPr>
              <w:t>120</w:t>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Three</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t>3</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t>3</w:t>
            </w:r>
          </w:p>
        </w:tc>
        <w:tc>
          <w:tcPr>
            <w:tcW w:w="360" w:type="dxa"/>
          </w:tcPr>
          <w:p>
            <w:pPr>
              <w:pStyle w:val="yTable"/>
              <w:spacing w:before="0"/>
              <w:rPr>
                <w:sz w:val="14"/>
              </w:rPr>
            </w:pPr>
            <w:r>
              <w:rPr>
                <w:sz w:val="14"/>
              </w:rPr>
              <w:t>93</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t>1</w:t>
            </w:r>
          </w:p>
        </w:tc>
        <w:tc>
          <w:tcPr>
            <w:tcW w:w="360" w:type="dxa"/>
          </w:tcPr>
          <w:p>
            <w:pPr>
              <w:pStyle w:val="yTable"/>
              <w:spacing w:before="0"/>
              <w:rPr>
                <w:sz w:val="14"/>
              </w:rPr>
            </w:pPr>
            <w:r>
              <w:rPr>
                <w:sz w:val="14"/>
              </w:rPr>
              <w:t>30</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rPr>
                <w:sz w:val="14"/>
              </w:rPr>
            </w:pPr>
            <w:r>
              <w:rPr>
                <w:sz w:val="14"/>
              </w:rPr>
              <w:t>Two and One</w:t>
            </w:r>
          </w:p>
          <w:p>
            <w:pPr>
              <w:pStyle w:val="yTable"/>
              <w:keepNext/>
              <w:keepLines/>
              <w:spacing w:before="0"/>
              <w:rPr>
                <w:sz w:val="14"/>
              </w:rPr>
            </w:pPr>
            <w:r>
              <w:rPr>
                <w:sz w:val="14"/>
              </w:rPr>
              <w:t>Supplementary</w:t>
            </w: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gridSpan w:val="2"/>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c>
          <w:tcPr>
            <w:tcW w:w="360" w:type="dxa"/>
          </w:tcPr>
          <w:p>
            <w:pPr>
              <w:pStyle w:val="yTable"/>
              <w:keepNext/>
              <w:keepLines/>
              <w:rPr>
                <w:sz w:val="14"/>
              </w:rPr>
            </w:pPr>
          </w:p>
        </w:tc>
      </w:tr>
      <w:tr>
        <w:tblPrEx>
          <w:tblCellMar>
            <w:left w:w="0" w:type="dxa"/>
            <w:right w:w="0" w:type="dxa"/>
          </w:tblCellMar>
        </w:tblPrEx>
        <w:trPr>
          <w:gridBefore w:val="1"/>
          <w:wBefore w:w="108" w:type="dxa"/>
        </w:trPr>
        <w:tc>
          <w:tcPr>
            <w:tcW w:w="972" w:type="dxa"/>
            <w:gridSpan w:val="2"/>
          </w:tcPr>
          <w:p>
            <w:pPr>
              <w:pStyle w:val="yTable"/>
              <w:keepNext/>
              <w:keepLines/>
              <w:rPr>
                <w:sz w:val="14"/>
              </w:rPr>
            </w:pPr>
          </w:p>
        </w:tc>
        <w:tc>
          <w:tcPr>
            <w:tcW w:w="360" w:type="dxa"/>
          </w:tcPr>
          <w:p>
            <w:pPr>
              <w:pStyle w:val="yTable"/>
              <w:keepNext/>
              <w:keepLines/>
              <w:rPr>
                <w:sz w:val="14"/>
              </w:rPr>
            </w:pPr>
            <w:r>
              <w:rPr>
                <w:sz w:val="14"/>
              </w:rPr>
              <w:t>4</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t>6</w:t>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gridSpan w:val="2"/>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c>
          <w:tcPr>
            <w:tcW w:w="360" w:type="dxa"/>
          </w:tcPr>
          <w:p>
            <w:pPr>
              <w:pStyle w:val="yTable"/>
              <w:keepNext/>
              <w:keepLines/>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keepNext/>
              <w:keepLines/>
              <w:spacing w:before="0"/>
              <w:rPr>
                <w:sz w:val="14"/>
              </w:rPr>
            </w:pPr>
          </w:p>
        </w:tc>
        <w:tc>
          <w:tcPr>
            <w:tcW w:w="360" w:type="dxa"/>
          </w:tcPr>
          <w:p>
            <w:pPr>
              <w:pStyle w:val="yTable"/>
              <w:keepNext/>
              <w:keepLines/>
              <w:spacing w:before="0"/>
              <w:rPr>
                <w:sz w:val="14"/>
              </w:rPr>
            </w:pPr>
            <w:r>
              <w:rPr>
                <w:sz w:val="14"/>
              </w:rPr>
              <w:t>5</w:t>
            </w:r>
          </w:p>
        </w:tc>
        <w:tc>
          <w:tcPr>
            <w:tcW w:w="360" w:type="dxa"/>
          </w:tcPr>
          <w:p>
            <w:pPr>
              <w:pStyle w:val="yTable"/>
              <w:keepNext/>
              <w:keepLines/>
              <w:spacing w:before="0"/>
              <w:rPr>
                <w:sz w:val="14"/>
              </w:rPr>
            </w:pPr>
            <w:r>
              <w:rPr>
                <w:sz w:val="14"/>
              </w:rPr>
              <w:t>4</w:t>
            </w:r>
          </w:p>
        </w:tc>
        <w:tc>
          <w:tcPr>
            <w:tcW w:w="360" w:type="dxa"/>
          </w:tcPr>
          <w:p>
            <w:pPr>
              <w:pStyle w:val="yTable"/>
              <w:keepNext/>
              <w:keepLines/>
              <w:spacing w:before="0"/>
              <w:rPr>
                <w:sz w:val="14"/>
              </w:rPr>
            </w:pPr>
            <w:r>
              <w:rPr>
                <w:sz w:val="14"/>
              </w:rPr>
              <w:t>120</w:t>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gridSpan w:val="2"/>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c>
          <w:tcPr>
            <w:tcW w:w="360" w:type="dxa"/>
          </w:tcPr>
          <w:p>
            <w:pPr>
              <w:pStyle w:val="yTable"/>
              <w:keepNext/>
              <w:keepLines/>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Two</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4</w:t>
            </w:r>
          </w:p>
        </w:tc>
        <w:tc>
          <w:tcPr>
            <w:tcW w:w="360" w:type="dxa"/>
          </w:tcPr>
          <w:p>
            <w:pPr>
              <w:pStyle w:val="yTable"/>
              <w:rPr>
                <w:sz w:val="14"/>
              </w:rPr>
            </w:pPr>
            <w:r>
              <w:rPr>
                <w:sz w:val="14"/>
              </w:rPr>
              <w:noBreakHyphen/>
            </w:r>
          </w:p>
        </w:tc>
        <w:tc>
          <w:tcPr>
            <w:tcW w:w="360" w:type="dxa"/>
          </w:tcPr>
          <w:p>
            <w:pPr>
              <w:pStyle w:val="yTable"/>
              <w:rPr>
                <w:sz w:val="14"/>
              </w:rPr>
            </w:pPr>
            <w:r>
              <w:rPr>
                <w:sz w:val="14"/>
              </w:rPr>
              <w:t>6</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spacing w:before="0"/>
              <w:rPr>
                <w:sz w:val="14"/>
              </w:rPr>
            </w:pPr>
          </w:p>
        </w:tc>
        <w:tc>
          <w:tcPr>
            <w:tcW w:w="360" w:type="dxa"/>
          </w:tcPr>
          <w:p>
            <w:pPr>
              <w:pStyle w:val="yTable"/>
              <w:spacing w:before="0"/>
              <w:rPr>
                <w:sz w:val="14"/>
              </w:rPr>
            </w:pPr>
            <w:r>
              <w:rPr>
                <w:sz w:val="14"/>
              </w:rPr>
              <w:t>5</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t>4</w:t>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gridSpan w:val="2"/>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c>
          <w:tcPr>
            <w:tcW w:w="360" w:type="dxa"/>
          </w:tcPr>
          <w:p>
            <w:pPr>
              <w:pStyle w:val="yTable"/>
              <w:spacing w:before="0"/>
              <w:rPr>
                <w:sz w:val="14"/>
              </w:rPr>
            </w:pPr>
            <w:r>
              <w:rPr>
                <w:sz w:val="14"/>
              </w:rPr>
              <w:noBreakHyphen/>
            </w:r>
          </w:p>
        </w:tc>
      </w:tr>
      <w:tr>
        <w:tblPrEx>
          <w:tblCellMar>
            <w:left w:w="0" w:type="dxa"/>
            <w:right w:w="0" w:type="dxa"/>
          </w:tblCellMar>
        </w:tblPrEx>
        <w:trPr>
          <w:gridBefore w:val="1"/>
          <w:wBefore w:w="108" w:type="dxa"/>
        </w:trPr>
        <w:tc>
          <w:tcPr>
            <w:tcW w:w="972" w:type="dxa"/>
            <w:gridSpan w:val="2"/>
          </w:tcPr>
          <w:p>
            <w:pPr>
              <w:pStyle w:val="yTable"/>
              <w:rPr>
                <w:sz w:val="14"/>
              </w:rPr>
            </w:pPr>
            <w:r>
              <w:rPr>
                <w:sz w:val="14"/>
              </w:rPr>
              <w:t>One and One</w:t>
            </w:r>
          </w:p>
          <w:p>
            <w:pPr>
              <w:pStyle w:val="yTable"/>
              <w:spacing w:before="0"/>
              <w:rPr>
                <w:sz w:val="14"/>
              </w:rPr>
            </w:pPr>
            <w:r>
              <w:rPr>
                <w:sz w:val="14"/>
              </w:rPr>
              <w:t>Supplementary</w:t>
            </w: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gridSpan w:val="2"/>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c>
          <w:tcPr>
            <w:tcW w:w="360" w:type="dxa"/>
          </w:tcPr>
          <w:p>
            <w:pPr>
              <w:pStyle w:val="yTable"/>
              <w:rPr>
                <w:sz w:val="14"/>
              </w:rPr>
            </w:pPr>
          </w:p>
        </w:tc>
      </w:tr>
      <w:tr>
        <w:tblPrEx>
          <w:tblCellMar>
            <w:left w:w="0" w:type="dxa"/>
            <w:right w:w="0" w:type="dxa"/>
          </w:tblCellMar>
        </w:tblPrEx>
        <w:trPr>
          <w:gridBefore w:val="1"/>
          <w:wBefore w:w="108" w:type="dxa"/>
        </w:trPr>
        <w:tc>
          <w:tcPr>
            <w:tcW w:w="972" w:type="dxa"/>
            <w:gridSpan w:val="2"/>
          </w:tcPr>
          <w:p>
            <w:pPr>
              <w:pStyle w:val="yTable"/>
              <w:rPr>
                <w:sz w:val="14"/>
              </w:rPr>
            </w:pPr>
          </w:p>
        </w:tc>
        <w:tc>
          <w:tcPr>
            <w:tcW w:w="360" w:type="dxa"/>
          </w:tcPr>
          <w:p>
            <w:pPr>
              <w:pStyle w:val="yTable"/>
              <w:rPr>
                <w:sz w:val="14"/>
              </w:rPr>
            </w:pPr>
            <w:r>
              <w:rPr>
                <w:sz w:val="14"/>
              </w:rPr>
              <w:t>5</w:t>
            </w:r>
          </w:p>
        </w:tc>
        <w:tc>
          <w:tcPr>
            <w:tcW w:w="360" w:type="dxa"/>
          </w:tcPr>
          <w:p>
            <w:pPr>
              <w:pStyle w:val="yTable"/>
              <w:rPr>
                <w:sz w:val="14"/>
              </w:rPr>
            </w:pPr>
            <w:r>
              <w:rPr>
                <w:sz w:val="14"/>
              </w:rPr>
              <w:noBreakHyphen/>
            </w:r>
          </w:p>
        </w:tc>
        <w:tc>
          <w:tcPr>
            <w:tcW w:w="360" w:type="dxa"/>
          </w:tcPr>
          <w:p>
            <w:pPr>
              <w:pStyle w:val="yTable"/>
              <w:rPr>
                <w:sz w:val="14"/>
              </w:rPr>
            </w:pPr>
            <w:r>
              <w:rPr>
                <w:sz w:val="14"/>
              </w:rPr>
              <w:t>10</w:t>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gridSpan w:val="2"/>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c>
          <w:tcPr>
            <w:tcW w:w="360" w:type="dxa"/>
          </w:tcPr>
          <w:p>
            <w:pPr>
              <w:pStyle w:val="yTable"/>
              <w:rPr>
                <w:sz w:val="14"/>
              </w:rPr>
            </w:pPr>
            <w:r>
              <w:rPr>
                <w:sz w:val="14"/>
              </w:rPr>
              <w:noBreakHyphen/>
            </w:r>
          </w:p>
        </w:tc>
      </w:tr>
    </w:tbl>
    <w:p>
      <w:pPr>
        <w:pStyle w:val="yScheduleHeading"/>
      </w:pPr>
      <w:bookmarkStart w:id="192" w:name="_Toc379207764"/>
      <w:bookmarkStart w:id="193" w:name="_Toc421106069"/>
      <w:bookmarkStart w:id="194" w:name="_Toc421106132"/>
      <w:bookmarkStart w:id="195" w:name="_Toc463612938"/>
      <w:r>
        <w:rPr>
          <w:rStyle w:val="CharSchNo"/>
        </w:rPr>
        <w:t>Schedule 4</w:t>
      </w:r>
      <w:r>
        <w:t> — </w:t>
      </w:r>
      <w:r>
        <w:rPr>
          <w:rStyle w:val="CharSchText"/>
        </w:rPr>
        <w:t>Summary of parameters within which Soccer Pools is conducted</w:t>
      </w:r>
      <w:bookmarkEnd w:id="192"/>
      <w:bookmarkEnd w:id="193"/>
      <w:bookmarkEnd w:id="194"/>
      <w:bookmarkEnd w:id="195"/>
    </w:p>
    <w:p>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tc>
          <w:tcPr>
            <w:tcW w:w="4962" w:type="dxa"/>
            <w:gridSpan w:val="2"/>
          </w:tcPr>
          <w:p>
            <w:pPr>
              <w:pStyle w:val="yTable"/>
              <w:keepNext/>
              <w:spacing w:before="0"/>
              <w:ind w:left="142" w:right="142"/>
              <w:rPr>
                <w:sz w:val="20"/>
              </w:rPr>
            </w:pPr>
            <w:r>
              <w:rPr>
                <w:sz w:val="20"/>
              </w:rPr>
              <w:t>Unit cost</w:t>
            </w:r>
          </w:p>
        </w:tc>
        <w:tc>
          <w:tcPr>
            <w:tcW w:w="2126" w:type="dxa"/>
          </w:tcPr>
          <w:p>
            <w:pPr>
              <w:pStyle w:val="yTable"/>
              <w:keepNext/>
              <w:spacing w:before="0"/>
              <w:ind w:left="141" w:right="142"/>
              <w:rPr>
                <w:sz w:val="20"/>
              </w:rPr>
            </w:pPr>
            <w:r>
              <w:rPr>
                <w:sz w:val="20"/>
              </w:rPr>
              <w:t>$0.50 + a 9% agent’s component</w:t>
            </w:r>
          </w:p>
        </w:tc>
      </w:tr>
      <w:tr>
        <w:tc>
          <w:tcPr>
            <w:tcW w:w="4962" w:type="dxa"/>
            <w:gridSpan w:val="2"/>
          </w:tcPr>
          <w:p>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pPr>
              <w:pStyle w:val="yTable"/>
              <w:keepNext/>
              <w:spacing w:before="0"/>
              <w:ind w:left="141" w:right="142"/>
              <w:rPr>
                <w:sz w:val="20"/>
              </w:rPr>
            </w:pPr>
            <w:r>
              <w:rPr>
                <w:sz w:val="20"/>
              </w:rPr>
              <w:t>50.0%</w:t>
            </w:r>
          </w:p>
        </w:tc>
      </w:tr>
      <w:tr>
        <w:tc>
          <w:tcPr>
            <w:tcW w:w="4962" w:type="dxa"/>
            <w:gridSpan w:val="2"/>
          </w:tcPr>
          <w:p>
            <w:pPr>
              <w:pStyle w:val="yTable"/>
              <w:keepNext/>
              <w:spacing w:before="0"/>
              <w:ind w:left="142" w:right="142"/>
              <w:rPr>
                <w:sz w:val="20"/>
              </w:rPr>
            </w:pPr>
            <w:r>
              <w:rPr>
                <w:sz w:val="20"/>
              </w:rPr>
              <w:t>Prize pool — % of base costs</w:t>
            </w:r>
          </w:p>
        </w:tc>
        <w:tc>
          <w:tcPr>
            <w:tcW w:w="2126" w:type="dxa"/>
          </w:tcPr>
          <w:p>
            <w:pPr>
              <w:pStyle w:val="yTable"/>
              <w:keepNext/>
              <w:spacing w:before="0"/>
              <w:ind w:left="141" w:right="142"/>
              <w:rPr>
                <w:sz w:val="20"/>
              </w:rPr>
            </w:pPr>
            <w:r>
              <w:rPr>
                <w:sz w:val="20"/>
              </w:rPr>
              <w:t>no less than 45.0%</w:t>
            </w:r>
          </w:p>
        </w:tc>
      </w:tr>
      <w:tr>
        <w:tc>
          <w:tcPr>
            <w:tcW w:w="4962" w:type="dxa"/>
            <w:gridSpan w:val="2"/>
          </w:tcPr>
          <w:p>
            <w:pPr>
              <w:pStyle w:val="yTable"/>
              <w:spacing w:before="0"/>
              <w:ind w:left="142" w:right="142"/>
              <w:rPr>
                <w:sz w:val="20"/>
              </w:rPr>
            </w:pPr>
            <w:r>
              <w:rPr>
                <w:sz w:val="20"/>
              </w:rPr>
              <w:t>Prize reserve fund — % of subscriptions</w:t>
            </w:r>
          </w:p>
        </w:tc>
        <w:tc>
          <w:tcPr>
            <w:tcW w:w="2126" w:type="dxa"/>
          </w:tcPr>
          <w:p>
            <w:pPr>
              <w:pStyle w:val="yTable"/>
              <w:spacing w:before="0"/>
              <w:ind w:left="141" w:right="142"/>
              <w:rPr>
                <w:sz w:val="20"/>
              </w:rPr>
            </w:pPr>
            <w:r>
              <w:rPr>
                <w:sz w:val="20"/>
              </w:rPr>
              <w:t>balance of prize fund after prize pool</w:t>
            </w:r>
            <w:r>
              <w:rPr>
                <w:sz w:val="20"/>
              </w:rPr>
              <w:br/>
              <w:t>(up to 5.0%)</w:t>
            </w:r>
          </w:p>
        </w:tc>
      </w:tr>
      <w:tr>
        <w:tc>
          <w:tcPr>
            <w:tcW w:w="4962" w:type="dxa"/>
            <w:gridSpan w:val="2"/>
          </w:tcPr>
          <w:p>
            <w:pPr>
              <w:pStyle w:val="yTable"/>
              <w:ind w:left="142" w:right="142"/>
              <w:rPr>
                <w:sz w:val="20"/>
              </w:rPr>
            </w:pPr>
            <w:r>
              <w:rPr>
                <w:sz w:val="20"/>
              </w:rPr>
              <w:t>Number of Divisions</w:t>
            </w:r>
          </w:p>
        </w:tc>
        <w:tc>
          <w:tcPr>
            <w:tcW w:w="2126" w:type="dxa"/>
          </w:tcPr>
          <w:p>
            <w:pPr>
              <w:pStyle w:val="yTable"/>
              <w:ind w:left="141" w:right="142"/>
              <w:rPr>
                <w:sz w:val="20"/>
              </w:rPr>
            </w:pPr>
            <w:r>
              <w:rPr>
                <w:sz w:val="20"/>
              </w:rPr>
              <w:t>5</w:t>
            </w:r>
          </w:p>
        </w:tc>
      </w:tr>
      <w:tr>
        <w:tc>
          <w:tcPr>
            <w:tcW w:w="4962" w:type="dxa"/>
            <w:gridSpan w:val="2"/>
          </w:tcPr>
          <w:p>
            <w:pPr>
              <w:pStyle w:val="yTable"/>
              <w:ind w:left="142" w:right="142"/>
              <w:rPr>
                <w:sz w:val="20"/>
              </w:rPr>
            </w:pPr>
            <w:r>
              <w:rPr>
                <w:sz w:val="20"/>
              </w:rPr>
              <w:t>Winning numbers</w:t>
            </w:r>
          </w:p>
        </w:tc>
        <w:tc>
          <w:tcPr>
            <w:tcW w:w="2126" w:type="dxa"/>
          </w:tcPr>
          <w:p>
            <w:pPr>
              <w:pStyle w:val="yTable"/>
              <w:ind w:left="141" w:right="142"/>
              <w:rPr>
                <w:sz w:val="20"/>
              </w:rPr>
            </w:pPr>
            <w:r>
              <w:rPr>
                <w:sz w:val="20"/>
              </w:rPr>
              <w:t>6</w:t>
            </w:r>
          </w:p>
        </w:tc>
      </w:tr>
      <w:tr>
        <w:tc>
          <w:tcPr>
            <w:tcW w:w="4962" w:type="dxa"/>
            <w:gridSpan w:val="2"/>
          </w:tcPr>
          <w:p>
            <w:pPr>
              <w:pStyle w:val="yTable"/>
              <w:spacing w:before="0"/>
              <w:ind w:left="142" w:right="142"/>
              <w:rPr>
                <w:sz w:val="20"/>
              </w:rPr>
            </w:pPr>
            <w:r>
              <w:rPr>
                <w:sz w:val="20"/>
              </w:rPr>
              <w:t>Supplementary numbers</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Forecast range</w:t>
            </w:r>
          </w:p>
        </w:tc>
        <w:tc>
          <w:tcPr>
            <w:tcW w:w="2126" w:type="dxa"/>
          </w:tcPr>
          <w:p>
            <w:pPr>
              <w:pStyle w:val="yTable"/>
              <w:ind w:left="141" w:right="142"/>
              <w:rPr>
                <w:sz w:val="20"/>
              </w:rPr>
            </w:pPr>
            <w:r>
              <w:rPr>
                <w:sz w:val="20"/>
              </w:rPr>
              <w:t>1 to 38 inclusive</w:t>
            </w:r>
          </w:p>
        </w:tc>
      </w:tr>
      <w:tr>
        <w:tblPrEx>
          <w:tblCellMar>
            <w:left w:w="141" w:type="dxa"/>
            <w:right w:w="141" w:type="dxa"/>
          </w:tblCellMar>
        </w:tblPrEx>
        <w:tc>
          <w:tcPr>
            <w:tcW w:w="4962" w:type="dxa"/>
            <w:gridSpan w:val="2"/>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126" w:type="dxa"/>
          </w:tcPr>
          <w:p>
            <w:pPr>
              <w:pStyle w:val="yTable"/>
              <w:spacing w:before="0" w:line="220" w:lineRule="exact"/>
              <w:rPr>
                <w:sz w:val="20"/>
              </w:rPr>
            </w:pPr>
          </w:p>
          <w:p>
            <w:pPr>
              <w:pStyle w:val="yTable"/>
              <w:spacing w:before="0" w:line="220" w:lineRule="exact"/>
              <w:rPr>
                <w:sz w:val="20"/>
              </w:rPr>
            </w:pPr>
            <w:r>
              <w:rPr>
                <w:sz w:val="20"/>
              </w:rPr>
              <w:t>1 in 2 760 681</w:t>
            </w:r>
          </w:p>
          <w:p>
            <w:pPr>
              <w:pStyle w:val="yTable"/>
              <w:spacing w:before="0" w:line="220" w:lineRule="exact"/>
              <w:rPr>
                <w:sz w:val="20"/>
              </w:rPr>
            </w:pPr>
            <w:r>
              <w:rPr>
                <w:sz w:val="20"/>
              </w:rPr>
              <w:t>1 in 460 114</w:t>
            </w:r>
          </w:p>
          <w:p>
            <w:pPr>
              <w:pStyle w:val="yTable"/>
              <w:spacing w:before="0" w:line="220" w:lineRule="exact"/>
              <w:rPr>
                <w:sz w:val="20"/>
              </w:rPr>
            </w:pPr>
            <w:r>
              <w:rPr>
                <w:sz w:val="20"/>
              </w:rPr>
              <w:t>1 in 14 842</w:t>
            </w:r>
          </w:p>
          <w:p>
            <w:pPr>
              <w:pStyle w:val="yTable"/>
              <w:spacing w:before="0" w:line="220" w:lineRule="exact"/>
              <w:rPr>
                <w:sz w:val="20"/>
              </w:rPr>
            </w:pPr>
            <w:r>
              <w:rPr>
                <w:sz w:val="20"/>
              </w:rPr>
              <w:t>1 in 371</w:t>
            </w:r>
          </w:p>
          <w:p>
            <w:pPr>
              <w:pStyle w:val="yTable"/>
              <w:spacing w:before="0" w:line="220" w:lineRule="exact"/>
              <w:rPr>
                <w:sz w:val="20"/>
              </w:rPr>
            </w:pPr>
            <w:r>
              <w:rPr>
                <w:sz w:val="20"/>
              </w:rPr>
              <w:t>1 in 297</w:t>
            </w:r>
          </w:p>
        </w:tc>
      </w:tr>
      <w:tr>
        <w:tc>
          <w:tcPr>
            <w:tcW w:w="4962" w:type="dxa"/>
            <w:gridSpan w:val="2"/>
          </w:tcPr>
          <w:p>
            <w:pPr>
              <w:pStyle w:val="yTable"/>
              <w:spacing w:before="0"/>
              <w:ind w:left="142" w:right="142"/>
              <w:rPr>
                <w:sz w:val="20"/>
              </w:rPr>
            </w:pPr>
            <w:r>
              <w:rPr>
                <w:sz w:val="20"/>
              </w:rPr>
              <w:t>System range</w:t>
            </w:r>
          </w:p>
        </w:tc>
        <w:tc>
          <w:tcPr>
            <w:tcW w:w="2126" w:type="dxa"/>
          </w:tcPr>
          <w:p>
            <w:pPr>
              <w:pStyle w:val="yTable"/>
              <w:spacing w:before="0"/>
              <w:ind w:left="141" w:right="142"/>
              <w:rPr>
                <w:sz w:val="20"/>
              </w:rPr>
            </w:pPr>
            <w:r>
              <w:rPr>
                <w:sz w:val="20"/>
              </w:rPr>
              <w:t>4</w:t>
            </w:r>
            <w:r>
              <w:rPr>
                <w:sz w:val="20"/>
              </w:rPr>
              <w:noBreakHyphen/>
              <w:t>5/7</w:t>
            </w:r>
            <w:r>
              <w:rPr>
                <w:sz w:val="20"/>
              </w:rPr>
              <w:noBreakHyphen/>
              <w:t>20 inclusive</w:t>
            </w:r>
          </w:p>
        </w:tc>
      </w:tr>
      <w:tr>
        <w:tc>
          <w:tcPr>
            <w:tcW w:w="4962" w:type="dxa"/>
            <w:gridSpan w:val="2"/>
          </w:tcPr>
          <w:p>
            <w:pPr>
              <w:pStyle w:val="yTable"/>
              <w:ind w:left="142" w:right="142"/>
              <w:rPr>
                <w:sz w:val="20"/>
              </w:rPr>
            </w:pPr>
            <w:r>
              <w:rPr>
                <w:sz w:val="20"/>
              </w:rPr>
              <w:t>Multiweek options</w:t>
            </w:r>
          </w:p>
        </w:tc>
        <w:tc>
          <w:tcPr>
            <w:tcW w:w="2126" w:type="dxa"/>
          </w:tcPr>
          <w:p>
            <w:pPr>
              <w:pStyle w:val="yTable"/>
              <w:ind w:left="141" w:right="142"/>
              <w:rPr>
                <w:sz w:val="20"/>
              </w:rPr>
            </w:pPr>
            <w:r>
              <w:rPr>
                <w:sz w:val="20"/>
              </w:rPr>
              <w:t>2, 5 or 10 weeks</w:t>
            </w:r>
          </w:p>
        </w:tc>
      </w:tr>
      <w:tr>
        <w:tc>
          <w:tcPr>
            <w:tcW w:w="4962" w:type="dxa"/>
            <w:gridSpan w:val="2"/>
          </w:tcPr>
          <w:p>
            <w:pPr>
              <w:pStyle w:val="yTable"/>
              <w:spacing w:before="0"/>
              <w:ind w:left="142" w:right="142"/>
              <w:rPr>
                <w:sz w:val="20"/>
              </w:rPr>
            </w:pPr>
            <w:r>
              <w:rPr>
                <w:sz w:val="20"/>
              </w:rPr>
              <w:t>Advance sales (maximum)</w:t>
            </w:r>
          </w:p>
        </w:tc>
        <w:tc>
          <w:tcPr>
            <w:tcW w:w="2126" w:type="dxa"/>
          </w:tcPr>
          <w:p>
            <w:pPr>
              <w:pStyle w:val="yTable"/>
              <w:spacing w:before="0"/>
              <w:ind w:left="141" w:right="142"/>
              <w:rPr>
                <w:sz w:val="20"/>
              </w:rPr>
            </w:pPr>
            <w:r>
              <w:rPr>
                <w:sz w:val="20"/>
              </w:rPr>
              <w:t>10 weeks</w:t>
            </w:r>
          </w:p>
        </w:tc>
      </w:tr>
      <w:tr>
        <w:tc>
          <w:tcPr>
            <w:tcW w:w="4962" w:type="dxa"/>
            <w:gridSpan w:val="2"/>
          </w:tcPr>
          <w:p>
            <w:pPr>
              <w:pStyle w:val="yTable"/>
              <w:ind w:left="142" w:right="142"/>
              <w:rPr>
                <w:sz w:val="20"/>
              </w:rPr>
            </w:pPr>
            <w:r>
              <w:rPr>
                <w:sz w:val="20"/>
              </w:rPr>
              <w:t>Games per playslip (minimum)</w:t>
            </w:r>
          </w:p>
        </w:tc>
        <w:tc>
          <w:tcPr>
            <w:tcW w:w="2126" w:type="dxa"/>
          </w:tcPr>
          <w:p>
            <w:pPr>
              <w:pStyle w:val="yTable"/>
              <w:ind w:left="141" w:right="142"/>
              <w:rPr>
                <w:sz w:val="20"/>
              </w:rPr>
            </w:pPr>
            <w:r>
              <w:rPr>
                <w:sz w:val="20"/>
              </w:rPr>
              <w:t>2</w:t>
            </w:r>
          </w:p>
        </w:tc>
      </w:tr>
      <w:tr>
        <w:tc>
          <w:tcPr>
            <w:tcW w:w="4962" w:type="dxa"/>
            <w:gridSpan w:val="2"/>
          </w:tcPr>
          <w:p>
            <w:pPr>
              <w:pStyle w:val="yTable"/>
              <w:spacing w:before="0"/>
              <w:ind w:left="142" w:right="142"/>
              <w:rPr>
                <w:sz w:val="20"/>
              </w:rPr>
            </w:pPr>
            <w:r>
              <w:rPr>
                <w:sz w:val="20"/>
              </w:rPr>
              <w:t>Systems entries per playslip (minimum)</w:t>
            </w:r>
          </w:p>
        </w:tc>
        <w:tc>
          <w:tcPr>
            <w:tcW w:w="2126" w:type="dxa"/>
          </w:tcPr>
          <w:p>
            <w:pPr>
              <w:pStyle w:val="yTable"/>
              <w:spacing w:before="0"/>
              <w:ind w:left="141" w:right="142"/>
              <w:rPr>
                <w:sz w:val="20"/>
              </w:rPr>
            </w:pPr>
            <w:r>
              <w:rPr>
                <w:sz w:val="20"/>
              </w:rPr>
              <w:t>1</w:t>
            </w:r>
          </w:p>
        </w:tc>
      </w:tr>
      <w:tr>
        <w:tc>
          <w:tcPr>
            <w:tcW w:w="4962" w:type="dxa"/>
            <w:gridSpan w:val="2"/>
          </w:tcPr>
          <w:p>
            <w:pPr>
              <w:pStyle w:val="yTable"/>
              <w:spacing w:before="0"/>
              <w:ind w:left="142" w:right="142"/>
              <w:rPr>
                <w:sz w:val="20"/>
              </w:rPr>
            </w:pPr>
            <w:r>
              <w:rPr>
                <w:sz w:val="20"/>
              </w:rPr>
              <w:t>Games per playslip (maximum)</w:t>
            </w:r>
          </w:p>
        </w:tc>
        <w:tc>
          <w:tcPr>
            <w:tcW w:w="2126" w:type="dxa"/>
          </w:tcPr>
          <w:p>
            <w:pPr>
              <w:pStyle w:val="yTable"/>
              <w:spacing w:before="0"/>
              <w:ind w:left="141" w:right="142"/>
              <w:rPr>
                <w:sz w:val="20"/>
              </w:rPr>
            </w:pPr>
            <w:r>
              <w:rPr>
                <w:sz w:val="20"/>
              </w:rPr>
              <w:t>18</w:t>
            </w:r>
          </w:p>
        </w:tc>
      </w:tr>
      <w:tr>
        <w:tc>
          <w:tcPr>
            <w:tcW w:w="4962" w:type="dxa"/>
            <w:gridSpan w:val="2"/>
          </w:tcPr>
          <w:p>
            <w:pPr>
              <w:pStyle w:val="yTable"/>
              <w:spacing w:before="0"/>
              <w:ind w:left="142" w:right="142"/>
              <w:rPr>
                <w:strike/>
                <w:sz w:val="20"/>
              </w:rPr>
            </w:pPr>
            <w:r>
              <w:rPr>
                <w:sz w:val="20"/>
              </w:rPr>
              <w:t>Systems entries per playslip (maximum)</w:t>
            </w:r>
          </w:p>
        </w:tc>
        <w:tc>
          <w:tcPr>
            <w:tcW w:w="2126" w:type="dxa"/>
          </w:tcPr>
          <w:p>
            <w:pPr>
              <w:pStyle w:val="yTable"/>
              <w:spacing w:before="0"/>
              <w:ind w:left="141" w:right="142"/>
              <w:rPr>
                <w:sz w:val="20"/>
              </w:rPr>
            </w:pPr>
            <w:r>
              <w:rPr>
                <w:sz w:val="20"/>
              </w:rPr>
              <w:t>18</w:t>
            </w:r>
          </w:p>
          <w:p>
            <w:pPr>
              <w:pStyle w:val="yTable"/>
              <w:spacing w:before="0"/>
              <w:ind w:left="141" w:right="142"/>
              <w:rPr>
                <w:sz w:val="20"/>
              </w:rPr>
            </w:pPr>
            <w:r>
              <w:rPr>
                <w:sz w:val="20"/>
              </w:rPr>
              <w:t>(</w:t>
            </w:r>
            <w:r>
              <w:rPr>
                <w:i/>
                <w:sz w:val="20"/>
              </w:rPr>
              <w:t>subject to the maximum aggregate entry cost</w:t>
            </w:r>
            <w:r>
              <w:rPr>
                <w:sz w:val="20"/>
              </w:rPr>
              <w:t>)</w:t>
            </w:r>
          </w:p>
        </w:tc>
      </w:tr>
      <w:tr>
        <w:tc>
          <w:tcPr>
            <w:tcW w:w="4962" w:type="dxa"/>
            <w:gridSpan w:val="2"/>
          </w:tcPr>
          <w:p>
            <w:pPr>
              <w:pStyle w:val="yTable"/>
              <w:ind w:left="142" w:right="142"/>
              <w:rPr>
                <w:sz w:val="20"/>
              </w:rPr>
            </w:pPr>
            <w:r>
              <w:rPr>
                <w:sz w:val="20"/>
              </w:rPr>
              <w:t>Games per oral request (default)</w:t>
            </w:r>
          </w:p>
        </w:tc>
        <w:tc>
          <w:tcPr>
            <w:tcW w:w="2126" w:type="dxa"/>
          </w:tcPr>
          <w:p>
            <w:pPr>
              <w:pStyle w:val="yTable"/>
              <w:ind w:left="141" w:right="142"/>
              <w:rPr>
                <w:sz w:val="20"/>
              </w:rPr>
            </w:pPr>
            <w:r>
              <w:rPr>
                <w:sz w:val="20"/>
              </w:rPr>
              <w:t>12, 18, 25, 30 or 50</w:t>
            </w:r>
          </w:p>
        </w:tc>
      </w:tr>
      <w:tr>
        <w:tc>
          <w:tcPr>
            <w:tcW w:w="4962" w:type="dxa"/>
            <w:gridSpan w:val="2"/>
          </w:tcPr>
          <w:p>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pPr>
              <w:pStyle w:val="yTable"/>
              <w:spacing w:before="0"/>
              <w:ind w:left="141" w:right="142"/>
              <w:rPr>
                <w:sz w:val="20"/>
              </w:rPr>
            </w:pPr>
            <w:r>
              <w:rPr>
                <w:sz w:val="20"/>
              </w:rPr>
              <w:t>2 to 50</w:t>
            </w:r>
          </w:p>
        </w:tc>
      </w:tr>
      <w:tr>
        <w:tblPrEx>
          <w:tblCellMar>
            <w:left w:w="141" w:type="dxa"/>
            <w:right w:w="141" w:type="dxa"/>
          </w:tblCellMar>
        </w:tblPrEx>
        <w:tc>
          <w:tcPr>
            <w:tcW w:w="492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pPr>
              <w:pStyle w:val="yTable"/>
              <w:spacing w:before="0" w:line="220" w:lineRule="exact"/>
              <w:rPr>
                <w:sz w:val="20"/>
              </w:rPr>
            </w:pPr>
            <w:r>
              <w:rPr>
                <w:sz w:val="20"/>
              </w:rPr>
              <w:t xml:space="preserve"> (see Part 3A)</w:t>
            </w:r>
          </w:p>
        </w:tc>
      </w:tr>
      <w:tr>
        <w:tc>
          <w:tcPr>
            <w:tcW w:w="4962" w:type="dxa"/>
            <w:gridSpan w:val="2"/>
          </w:tcPr>
          <w:p>
            <w:pPr>
              <w:pStyle w:val="yTable"/>
              <w:spacing w:before="0"/>
              <w:ind w:left="142" w:right="142"/>
              <w:rPr>
                <w:sz w:val="20"/>
              </w:rPr>
            </w:pPr>
            <w:r>
              <w:rPr>
                <w:sz w:val="20"/>
              </w:rPr>
              <w:t xml:space="preserve">Systems entries per oral request </w:t>
            </w:r>
          </w:p>
        </w:tc>
        <w:tc>
          <w:tcPr>
            <w:tcW w:w="2126" w:type="dxa"/>
          </w:tcPr>
          <w:p>
            <w:pPr>
              <w:pStyle w:val="yTable"/>
              <w:spacing w:before="0"/>
              <w:ind w:left="141" w:right="142"/>
              <w:rPr>
                <w:sz w:val="20"/>
              </w:rPr>
            </w:pPr>
            <w:r>
              <w:rPr>
                <w:sz w:val="20"/>
              </w:rPr>
              <w:t>1</w:t>
            </w:r>
          </w:p>
        </w:tc>
      </w:tr>
      <w:tr>
        <w:tc>
          <w:tcPr>
            <w:tcW w:w="4962" w:type="dxa"/>
            <w:gridSpan w:val="2"/>
          </w:tcPr>
          <w:p>
            <w:pPr>
              <w:pStyle w:val="yTable"/>
              <w:ind w:left="142" w:right="142"/>
              <w:rPr>
                <w:sz w:val="20"/>
              </w:rPr>
            </w:pPr>
            <w:r>
              <w:rPr>
                <w:sz w:val="20"/>
              </w:rPr>
              <w:t>Prize payout period</w:t>
            </w:r>
          </w:p>
        </w:tc>
        <w:tc>
          <w:tcPr>
            <w:tcW w:w="2126" w:type="dxa"/>
          </w:tcPr>
          <w:p>
            <w:pPr>
              <w:pStyle w:val="yTable"/>
              <w:ind w:left="141" w:right="142"/>
              <w:rPr>
                <w:sz w:val="20"/>
              </w:rPr>
            </w:pPr>
            <w:r>
              <w:rPr>
                <w:sz w:val="20"/>
              </w:rPr>
              <w:t>12 months</w:t>
            </w:r>
          </w:p>
        </w:tc>
      </w:tr>
      <w:tr>
        <w:tc>
          <w:tcPr>
            <w:tcW w:w="4962" w:type="dxa"/>
            <w:gridSpan w:val="2"/>
          </w:tcPr>
          <w:p>
            <w:pPr>
              <w:pStyle w:val="yTable"/>
              <w:spacing w:before="0"/>
              <w:ind w:left="142" w:right="142"/>
              <w:rPr>
                <w:sz w:val="20"/>
              </w:rPr>
            </w:pPr>
            <w:r>
              <w:rPr>
                <w:sz w:val="20"/>
              </w:rPr>
              <w:t>Maximum aggregate entry cost</w:t>
            </w:r>
          </w:p>
        </w:tc>
        <w:tc>
          <w:tcPr>
            <w:tcW w:w="2126" w:type="dxa"/>
          </w:tcPr>
          <w:p>
            <w:pPr>
              <w:pStyle w:val="yTable"/>
              <w:spacing w:before="0"/>
              <w:ind w:left="141" w:right="142"/>
              <w:rPr>
                <w:sz w:val="20"/>
              </w:rPr>
            </w:pPr>
            <w:r>
              <w:rPr>
                <w:sz w:val="20"/>
              </w:rPr>
              <w:t>$100 000</w:t>
            </w:r>
          </w:p>
        </w:tc>
      </w:tr>
    </w:tbl>
    <w:p>
      <w:pPr>
        <w:pStyle w:val="yFootnotesection"/>
      </w:pPr>
      <w:r>
        <w:tab/>
        <w:t>[Schedule 4 inserted in Gazette 6 Jun 2008 p. 2345</w:t>
      </w:r>
      <w:r>
        <w:noBreakHyphen/>
        <w:t>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97" w:name="_Toc379207765"/>
      <w:bookmarkStart w:id="198" w:name="_Toc421106070"/>
      <w:bookmarkStart w:id="199" w:name="_Toc421106133"/>
      <w:bookmarkStart w:id="200" w:name="_Toc463612939"/>
      <w:r>
        <w:t>Notes</w:t>
      </w:r>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pPr>
        <w:pStyle w:val="nHeading3"/>
      </w:pPr>
      <w:bookmarkStart w:id="201" w:name="_Toc379207766"/>
      <w:bookmarkStart w:id="202" w:name="_Toc463612940"/>
      <w:bookmarkStart w:id="203" w:name="_Toc421106134"/>
      <w:r>
        <w:t>Compilation table</w:t>
      </w:r>
      <w:bookmarkEnd w:id="201"/>
      <w:bookmarkEnd w:id="202"/>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(Soccer Pools) Rules 1996</w:t>
            </w:r>
          </w:p>
        </w:tc>
        <w:tc>
          <w:tcPr>
            <w:tcW w:w="1276" w:type="dxa"/>
            <w:tcBorders>
              <w:top w:val="single" w:sz="8" w:space="0" w:color="auto"/>
            </w:tcBorders>
          </w:tcPr>
          <w:p>
            <w:pPr>
              <w:pStyle w:val="nTable"/>
              <w:spacing w:after="40"/>
            </w:pPr>
            <w:r>
              <w:t>13 Sep 1996 p. 4615</w:t>
            </w:r>
            <w:r>
              <w:noBreakHyphen/>
              <w:t>46</w:t>
            </w:r>
          </w:p>
        </w:tc>
        <w:tc>
          <w:tcPr>
            <w:tcW w:w="2693" w:type="dxa"/>
            <w:tcBorders>
              <w:top w:val="single" w:sz="8" w:space="0" w:color="auto"/>
            </w:tcBorders>
          </w:tcPr>
          <w:p>
            <w:pPr>
              <w:pStyle w:val="nTable"/>
              <w:spacing w:after="40"/>
            </w:pPr>
            <w:r>
              <w:t>13 Sep 1996</w:t>
            </w:r>
          </w:p>
        </w:tc>
      </w:tr>
      <w:tr>
        <w:trPr>
          <w:cantSplit/>
        </w:trPr>
        <w:tc>
          <w:tcPr>
            <w:tcW w:w="3119" w:type="dxa"/>
          </w:tcPr>
          <w:p>
            <w:pPr>
              <w:pStyle w:val="nTable"/>
              <w:spacing w:after="40"/>
              <w:ind w:right="113"/>
            </w:pPr>
            <w:r>
              <w:rPr>
                <w:i/>
              </w:rPr>
              <w:t xml:space="preserve">Lotteries Commission (Super 66) Rules 1996 </w:t>
            </w:r>
            <w:r>
              <w:t>r. 29</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(Soccer Pools) Amendment Rules 1997</w:t>
            </w:r>
          </w:p>
        </w:tc>
        <w:tc>
          <w:tcPr>
            <w:tcW w:w="1276" w:type="dxa"/>
          </w:tcPr>
          <w:p>
            <w:pPr>
              <w:pStyle w:val="nTable"/>
              <w:spacing w:after="40"/>
            </w:pPr>
            <w:r>
              <w:t>29 Apr 1997 p. 2148</w:t>
            </w:r>
            <w:r>
              <w:noBreakHyphen/>
              <w:t>9</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(Soccer Pools) Amendment Rules 2001</w:t>
            </w:r>
          </w:p>
        </w:tc>
        <w:tc>
          <w:tcPr>
            <w:tcW w:w="1276" w:type="dxa"/>
          </w:tcPr>
          <w:p>
            <w:pPr>
              <w:pStyle w:val="nTable"/>
              <w:spacing w:after="40"/>
            </w:pPr>
            <w:r>
              <w:t>9 Mar 2001 p. 1344</w:t>
            </w:r>
            <w:r>
              <w:noBreakHyphen/>
              <w:t>7</w:t>
            </w:r>
          </w:p>
        </w:tc>
        <w:tc>
          <w:tcPr>
            <w:tcW w:w="2693" w:type="dxa"/>
          </w:tcPr>
          <w:p>
            <w:pPr>
              <w:pStyle w:val="nTable"/>
              <w:spacing w:after="40"/>
            </w:pPr>
            <w:r>
              <w:t>11 Mar 2001 (see r. 2)</w:t>
            </w:r>
          </w:p>
        </w:tc>
      </w:tr>
      <w:tr>
        <w:trPr>
          <w:cantSplit/>
        </w:trPr>
        <w:tc>
          <w:tcPr>
            <w:tcW w:w="7088" w:type="dxa"/>
            <w:gridSpan w:val="3"/>
          </w:tcPr>
          <w:p>
            <w:pPr>
              <w:pStyle w:val="nTable"/>
              <w:spacing w:after="40"/>
              <w:rPr>
                <w:b/>
              </w:rPr>
            </w:pPr>
            <w:r>
              <w:rPr>
                <w:b/>
              </w:rPr>
              <w:t xml:space="preserve">Reprint of the </w:t>
            </w:r>
            <w:r>
              <w:rPr>
                <w:b/>
                <w:i/>
              </w:rPr>
              <w:t xml:space="preserve">Lotteries Commission (Soccer Pools) Rules 1996 </w:t>
            </w:r>
            <w:r>
              <w:rPr>
                <w:b/>
              </w:rPr>
              <w:t>as at 17 May 2002</w:t>
            </w:r>
            <w:r>
              <w:rPr>
                <w:b/>
              </w:rPr>
              <w:br/>
            </w:r>
            <w:r>
              <w:rPr>
                <w:bCs/>
              </w:rPr>
              <w:t>(</w:t>
            </w:r>
            <w:r>
              <w:t>includes amendments listed above)</w:t>
            </w:r>
          </w:p>
        </w:tc>
      </w:tr>
      <w:tr>
        <w:trPr>
          <w:cantSplit/>
        </w:trPr>
        <w:tc>
          <w:tcPr>
            <w:tcW w:w="3119" w:type="dxa"/>
          </w:tcPr>
          <w:p>
            <w:pPr>
              <w:pStyle w:val="nTable"/>
              <w:spacing w:after="40"/>
              <w:ind w:right="113"/>
              <w:rPr>
                <w:i/>
              </w:rPr>
            </w:pPr>
            <w:r>
              <w:rPr>
                <w:i/>
              </w:rPr>
              <w:t>Lotteries Commission (Soccer Pools) Amendment Rules 2003</w:t>
            </w:r>
          </w:p>
        </w:tc>
        <w:tc>
          <w:tcPr>
            <w:tcW w:w="1276" w:type="dxa"/>
          </w:tcPr>
          <w:p>
            <w:pPr>
              <w:pStyle w:val="nTable"/>
              <w:spacing w:after="40"/>
            </w:pPr>
            <w:r>
              <w:t>8 Aug 2003 p. 3578</w:t>
            </w:r>
            <w:r>
              <w:noBreakHyphen/>
              <w:t>9</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(Soccer Pools) Amendment Rules 2005</w:t>
            </w:r>
          </w:p>
        </w:tc>
        <w:tc>
          <w:tcPr>
            <w:tcW w:w="1276" w:type="dxa"/>
          </w:tcPr>
          <w:p>
            <w:pPr>
              <w:pStyle w:val="nTable"/>
              <w:spacing w:after="40"/>
            </w:pPr>
            <w:r>
              <w:t>5 Aug 2005 p. 3599</w:t>
            </w:r>
            <w:r>
              <w:noBreakHyphen/>
              <w:t>601</w:t>
            </w:r>
          </w:p>
        </w:tc>
        <w:tc>
          <w:tcPr>
            <w:tcW w:w="2693" w:type="dxa"/>
          </w:tcPr>
          <w:p>
            <w:pPr>
              <w:pStyle w:val="nTable"/>
              <w:spacing w:after="40"/>
            </w:pPr>
            <w:r>
              <w:t>28 Aug 2005 (see r. 2)</w:t>
            </w:r>
          </w:p>
        </w:tc>
      </w:tr>
      <w:tr>
        <w:trPr>
          <w:cantSplit/>
        </w:trPr>
        <w:tc>
          <w:tcPr>
            <w:tcW w:w="3119" w:type="dxa"/>
          </w:tcPr>
          <w:p>
            <w:pPr>
              <w:pStyle w:val="nTable"/>
              <w:spacing w:after="40"/>
              <w:ind w:right="113"/>
              <w:rPr>
                <w:i/>
              </w:rPr>
            </w:pPr>
            <w:r>
              <w:rPr>
                <w:i/>
              </w:rPr>
              <w:t>Lotteries Commission (Soccer Pools) Amendment Rules 2006</w:t>
            </w:r>
          </w:p>
        </w:tc>
        <w:tc>
          <w:tcPr>
            <w:tcW w:w="1276" w:type="dxa"/>
          </w:tcPr>
          <w:p>
            <w:pPr>
              <w:pStyle w:val="nTable"/>
              <w:spacing w:after="40"/>
            </w:pPr>
            <w:r>
              <w:t>29 Sep 2006 p. 4274</w:t>
            </w:r>
            <w:r>
              <w:noBreakHyphen/>
              <w:t>5</w:t>
            </w:r>
          </w:p>
        </w:tc>
        <w:tc>
          <w:tcPr>
            <w:tcW w:w="2693" w:type="dxa"/>
          </w:tcPr>
          <w:p>
            <w:pPr>
              <w:pStyle w:val="nTable"/>
              <w:spacing w:after="40"/>
            </w:pPr>
            <w:r>
              <w:t xml:space="preserve">29 Sep 2006 </w:t>
            </w:r>
          </w:p>
        </w:tc>
      </w:tr>
      <w:tr>
        <w:trPr>
          <w:cantSplit/>
        </w:trPr>
        <w:tc>
          <w:tcPr>
            <w:tcW w:w="3119" w:type="dxa"/>
          </w:tcPr>
          <w:p>
            <w:pPr>
              <w:pStyle w:val="nTable"/>
              <w:spacing w:after="40"/>
              <w:ind w:right="113"/>
              <w:rPr>
                <w:i/>
              </w:rPr>
            </w:pPr>
            <w:r>
              <w:rPr>
                <w:i/>
              </w:rPr>
              <w:t>Lotteries Commission (Soccer Pools) Amendment Rules 2007</w:t>
            </w:r>
          </w:p>
        </w:tc>
        <w:tc>
          <w:tcPr>
            <w:tcW w:w="1276" w:type="dxa"/>
          </w:tcPr>
          <w:p>
            <w:pPr>
              <w:pStyle w:val="nTable"/>
              <w:spacing w:after="40"/>
            </w:pPr>
            <w:r>
              <w:t>26 Jun 2007 p. 3057</w:t>
            </w:r>
            <w:r>
              <w:noBreakHyphen/>
              <w:t>8</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(Soccer Pools) Amendment Rules 2008</w:t>
            </w:r>
          </w:p>
        </w:tc>
        <w:tc>
          <w:tcPr>
            <w:tcW w:w="1276" w:type="dxa"/>
          </w:tcPr>
          <w:p>
            <w:pPr>
              <w:pStyle w:val="nTable"/>
              <w:spacing w:after="40"/>
            </w:pPr>
            <w:r>
              <w:t>6 Jun 2008 p. 2323</w:t>
            </w:r>
            <w:r>
              <w:noBreakHyphen/>
              <w:t>46</w:t>
            </w:r>
          </w:p>
        </w:tc>
        <w:tc>
          <w:tcPr>
            <w:tcW w:w="2693" w:type="dxa"/>
          </w:tcPr>
          <w:p>
            <w:pPr>
              <w:pStyle w:val="nTable"/>
              <w:spacing w:after="40"/>
              <w:rPr>
                <w:snapToGrid w:val="0"/>
              </w:rPr>
            </w:pPr>
            <w:r>
              <w:t>r. 1 and 2: 6 Jun 2008 (see r. 2(a));</w:t>
            </w:r>
            <w:r>
              <w:br/>
              <w:t>Rules other than r. 1 and 2: 8 Jun 2008 (see r. 2(b))</w:t>
            </w:r>
          </w:p>
        </w:tc>
      </w:tr>
      <w:tr>
        <w:trPr>
          <w:cantSplit/>
        </w:trPr>
        <w:tc>
          <w:tcPr>
            <w:tcW w:w="7088" w:type="dxa"/>
            <w:gridSpan w:val="3"/>
          </w:tcPr>
          <w:p>
            <w:pPr>
              <w:pStyle w:val="nTable"/>
              <w:spacing w:after="40"/>
            </w:pPr>
            <w:r>
              <w:rPr>
                <w:b/>
              </w:rPr>
              <w:t xml:space="preserve">Reprint 2:  The </w:t>
            </w:r>
            <w:r>
              <w:rPr>
                <w:b/>
                <w:i/>
              </w:rPr>
              <w:t xml:space="preserve">Lotteries Commission (Soccer Pools) Rules 1996 </w:t>
            </w:r>
            <w:r>
              <w:rPr>
                <w:b/>
              </w:rPr>
              <w:t>as at 22 Aug 2008</w:t>
            </w:r>
            <w:r>
              <w:rPr>
                <w:b/>
              </w:rPr>
              <w:br/>
            </w:r>
            <w:r>
              <w:rPr>
                <w:bCs/>
              </w:rPr>
              <w:t>(</w:t>
            </w:r>
            <w:r>
              <w:t>includes amendments listed above)</w:t>
            </w:r>
          </w:p>
        </w:tc>
      </w:tr>
      <w:tr>
        <w:tc>
          <w:tcPr>
            <w:tcW w:w="3119" w:type="dxa"/>
          </w:tcPr>
          <w:p>
            <w:pPr>
              <w:pStyle w:val="nTable"/>
              <w:keepNext/>
              <w:spacing w:after="40"/>
              <w:rPr>
                <w:iCs/>
              </w:rPr>
            </w:pPr>
            <w:r>
              <w:rPr>
                <w:i/>
              </w:rPr>
              <w:t>Lotteries Commission Amendment Rules 2009</w:t>
            </w:r>
            <w:r>
              <w:rPr>
                <w:iCs/>
              </w:rPr>
              <w:t xml:space="preserve"> Pt. 3</w:t>
            </w:r>
          </w:p>
        </w:tc>
        <w:tc>
          <w:tcPr>
            <w:tcW w:w="1276" w:type="dxa"/>
          </w:tcPr>
          <w:p>
            <w:pPr>
              <w:pStyle w:val="nTable"/>
              <w:keepNext/>
              <w:spacing w:after="40"/>
            </w:pPr>
            <w:r>
              <w:t>15 May 2009 p. 1632-5</w:t>
            </w:r>
          </w:p>
        </w:tc>
        <w:tc>
          <w:tcPr>
            <w:tcW w:w="2693" w:type="dxa"/>
          </w:tcPr>
          <w:p>
            <w:pPr>
              <w:pStyle w:val="nTable"/>
              <w:keepNext/>
              <w:spacing w:after="40"/>
            </w:pPr>
            <w:r>
              <w:t>17 May 2009 (see r. 2(b))</w:t>
            </w:r>
          </w:p>
        </w:tc>
      </w:tr>
      <w:tr>
        <w:tc>
          <w:tcPr>
            <w:tcW w:w="3119" w:type="dxa"/>
          </w:tcPr>
          <w:p>
            <w:pPr>
              <w:pStyle w:val="nTable"/>
              <w:keepNext/>
              <w:spacing w:after="40"/>
              <w:rPr>
                <w:i/>
              </w:rPr>
            </w:pPr>
            <w:r>
              <w:rPr>
                <w:i/>
              </w:rPr>
              <w:t>Lotteries Commission (Soccer Pools) Amendment Rules 2010</w:t>
            </w:r>
          </w:p>
        </w:tc>
        <w:tc>
          <w:tcPr>
            <w:tcW w:w="1276" w:type="dxa"/>
          </w:tcPr>
          <w:p>
            <w:pPr>
              <w:pStyle w:val="nTable"/>
              <w:keepNext/>
              <w:spacing w:after="40"/>
            </w:pPr>
            <w:r>
              <w:t>12 Mar 2010 p. 950</w:t>
            </w:r>
            <w:r>
              <w:noBreakHyphen/>
              <w:t>2</w:t>
            </w:r>
          </w:p>
        </w:tc>
        <w:tc>
          <w:tcPr>
            <w:tcW w:w="2693" w:type="dxa"/>
          </w:tcPr>
          <w:p>
            <w:pPr>
              <w:pStyle w:val="nTable"/>
              <w:keepNext/>
              <w:spacing w:after="40"/>
            </w:pPr>
            <w:r>
              <w:rPr>
                <w:snapToGrid w:val="0"/>
                <w:spacing w:val="-2"/>
              </w:rPr>
              <w:t>r. 1 and 2: 12 Mar 2010 (see r. 2(a));</w:t>
            </w:r>
            <w:r>
              <w:rPr>
                <w:snapToGrid w:val="0"/>
                <w:spacing w:val="-2"/>
              </w:rPr>
              <w:br/>
              <w:t>Rules other than r. 1 and 2: 14 Mar 2010 (see r. 2(b))</w:t>
            </w:r>
          </w:p>
        </w:tc>
      </w:tr>
      <w:tr>
        <w:tc>
          <w:tcPr>
            <w:tcW w:w="3119" w:type="dxa"/>
          </w:tcPr>
          <w:p>
            <w:pPr>
              <w:pStyle w:val="nTable"/>
              <w:keepNext/>
              <w:spacing w:after="40"/>
              <w:rPr>
                <w:i/>
              </w:rPr>
            </w:pPr>
            <w:r>
              <w:rPr>
                <w:i/>
              </w:rPr>
              <w:t>Lotteries Commission (Soccer Pools) Amendment Rules (No. 2) 2010</w:t>
            </w:r>
          </w:p>
        </w:tc>
        <w:tc>
          <w:tcPr>
            <w:tcW w:w="1276" w:type="dxa"/>
          </w:tcPr>
          <w:p>
            <w:pPr>
              <w:pStyle w:val="nTable"/>
              <w:keepNext/>
              <w:spacing w:after="40"/>
            </w:pPr>
            <w:r>
              <w:t>19 Nov 2010 p. 5734</w:t>
            </w:r>
            <w:r>
              <w:noBreakHyphen/>
              <w:t>6</w:t>
            </w:r>
          </w:p>
        </w:tc>
        <w:tc>
          <w:tcPr>
            <w:tcW w:w="2693" w:type="dxa"/>
          </w:tcPr>
          <w:p>
            <w:pPr>
              <w:pStyle w:val="nTable"/>
              <w:keepNext/>
              <w:spacing w:after="40"/>
              <w:rPr>
                <w:snapToGrid w:val="0"/>
                <w:spacing w:val="-2"/>
              </w:rPr>
            </w:pPr>
            <w:r>
              <w:rPr>
                <w:snapToGrid w:val="0"/>
                <w:spacing w:val="-2"/>
              </w:rPr>
              <w:t>r. 1 and 2: 19 Nov 2010 (see r. 2(a));</w:t>
            </w:r>
            <w:r>
              <w:rPr>
                <w:snapToGrid w:val="0"/>
                <w:spacing w:val="-2"/>
              </w:rPr>
              <w:br/>
              <w:t>Rules other than r. 1 and 2: 20 Nov 2010 (see r. 2(b))</w:t>
            </w:r>
          </w:p>
        </w:tc>
      </w:tr>
      <w:tr>
        <w:trPr>
          <w:ins w:id="204" w:author="Master Repository Process" w:date="2021-08-29T02:52:00Z"/>
        </w:trPr>
        <w:tc>
          <w:tcPr>
            <w:tcW w:w="7088" w:type="dxa"/>
            <w:gridSpan w:val="3"/>
            <w:tcBorders>
              <w:bottom w:val="single" w:sz="4" w:space="0" w:color="auto"/>
            </w:tcBorders>
          </w:tcPr>
          <w:p>
            <w:pPr>
              <w:pStyle w:val="nTable"/>
              <w:keepNext/>
              <w:spacing w:after="40"/>
              <w:rPr>
                <w:ins w:id="205" w:author="Master Repository Process" w:date="2021-08-29T02:52:00Z"/>
                <w:snapToGrid w:val="0"/>
                <w:spacing w:val="-2"/>
              </w:rPr>
            </w:pPr>
            <w:ins w:id="206" w:author="Master Repository Process" w:date="2021-08-29T02:52:00Z">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146(h) as at 8 Oct 2016 (see r. 2(b))</w:t>
              </w:r>
            </w:ins>
          </w:p>
        </w:tc>
      </w:tr>
    </w:tbl>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(Soccer Pools)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6AEA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B98016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99229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8217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4469D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2AB4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14AC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0A89CA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ACE2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B5E4F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73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908"/>
    <w:docVar w:name="WAFER_20140203160944" w:val="RemoveTocBookmarks,RemoveUnusedBookmarks,RemoveLanguageTags,UsedStyles,ResetPageSize,UpdateArrangement"/>
    <w:docVar w:name="WAFER_20140203160944_GUID" w:val="c81ad0b7-011e-49be-99c6-7f8e96c3c516"/>
    <w:docVar w:name="WAFER_20140203161557" w:val="RemoveTocBookmarks,RunningHeaders"/>
    <w:docVar w:name="WAFER_20140203161557_GUID" w:val="15edd7b5-d3c1-4bb9-852c-8350cb3faf51"/>
    <w:docVar w:name="WAFER_20150603143458" w:val="ResetPageSize,UpdateArrangement,UpdateNTable"/>
    <w:docVar w:name="WAFER_20150603143458_GUID" w:val="fd66603e-67c4-43a8-a861-140740766a70"/>
    <w:docVar w:name="WAFER_20151106100648" w:val="UpdateStyles,UsedStyles"/>
    <w:docVar w:name="WAFER_20151106100648_GUID" w:val="02fae60e-e38b-4b70-8f36-5aff31675267"/>
    <w:docVar w:name="WAFER_20151130164908" w:val="RemoveTrackChanges"/>
    <w:docVar w:name="WAFER_20151130164908_GUID" w:val="5dd9f54b-24d3-4252-9294-e58b0b9c2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1D6830-95CE-4A2F-A531-979F49E93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right" w:pos="6804"/>
      </w:tabs>
      <w:ind w:left="1418" w:right="1134" w:hanging="567"/>
    </w:pPr>
    <w:rPr>
      <w:noProof/>
      <w:sz w:val="22"/>
    </w:rPr>
  </w:style>
  <w:style w:type="paragraph" w:styleId="TOC9">
    <w:name w:val="toc 9"/>
    <w:next w:val="Normal"/>
    <w:semiHidden/>
    <w:pPr>
      <w:tabs>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9495</Words>
  <Characters>41118</Characters>
  <Application>Microsoft Office Word</Application>
  <DocSecurity>0</DocSecurity>
  <Lines>2055</Lines>
  <Paragraphs>1488</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Manager/>
  <Company/>
  <LinksUpToDate>false</LinksUpToDate>
  <CharactersWithSpaces>49125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02-d0-06 - 02-e0-00</dc:title>
  <dc:subject/>
  <dc:creator/>
  <cp:keywords/>
  <dc:description/>
  <cp:lastModifiedBy>Master Repository Process</cp:lastModifiedBy>
  <cp:revision>2</cp:revision>
  <cp:lastPrinted>2010-03-11T06:25:00Z</cp:lastPrinted>
  <dcterms:created xsi:type="dcterms:W3CDTF">2021-08-28T18:52:00Z</dcterms:created>
  <dcterms:modified xsi:type="dcterms:W3CDTF">2021-08-28T18:52:00Z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DocumentType">
    <vt:lpwstr>Reg</vt:lpwstr>
  </property>
  <property fmtid="{D5CDD505-2E9C-101B-9397-08002B2CF9AE}" pid="4" name="OwlsUID">
    <vt:i4>4608</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20161008</vt:lpwstr>
  </property>
  <property fmtid="{D5CDD505-2E9C-101B-9397-08002B2CF9AE}" pid="8" name="FromSuffix">
    <vt:lpwstr>02-d0-06</vt:lpwstr>
  </property>
  <property fmtid="{D5CDD505-2E9C-101B-9397-08002B2CF9AE}" pid="9" name="FromAsAtDate">
    <vt:lpwstr>20 Nov 2010</vt:lpwstr>
  </property>
  <property fmtid="{D5CDD505-2E9C-101B-9397-08002B2CF9AE}" pid="10" name="ToSuffix">
    <vt:lpwstr>02-e0-00</vt:lpwstr>
  </property>
  <property fmtid="{D5CDD505-2E9C-101B-9397-08002B2CF9AE}" pid="11" name="ToAsAtDate">
    <vt:lpwstr>08 Oct 2016</vt:lpwstr>
  </property>
</Properties>
</file>