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22 Oct 2016</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1" w:name="_GoBack"/>
      <w:bookmarkEnd w:id="1"/>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2" w:name="_Toc377544288"/>
      <w:bookmarkStart w:id="3" w:name="_Toc415654256"/>
      <w:bookmarkStart w:id="4" w:name="_Toc415654322"/>
      <w:bookmarkStart w:id="5" w:name="_Toc417652361"/>
      <w:bookmarkStart w:id="6" w:name="_Toc47388146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77544289"/>
      <w:bookmarkStart w:id="8" w:name="_Toc473881463"/>
      <w:bookmarkStart w:id="9" w:name="_Toc417652362"/>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0" w:name="_Toc377544290"/>
      <w:bookmarkStart w:id="11" w:name="_Toc473881464"/>
      <w:bookmarkStart w:id="12" w:name="_Toc417652363"/>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13" w:name="_Toc377544291"/>
      <w:bookmarkStart w:id="14" w:name="_Toc473881465"/>
      <w:bookmarkStart w:id="15" w:name="_Toc417652364"/>
      <w:r>
        <w:rPr>
          <w:rStyle w:val="CharSectno"/>
        </w:rPr>
        <w:t>2A</w:t>
      </w:r>
      <w:r>
        <w:t>.</w:t>
      </w:r>
      <w:r>
        <w:tab/>
        <w:t>Application of Act limited</w:t>
      </w:r>
      <w:bookmarkEnd w:id="13"/>
      <w:bookmarkEnd w:id="14"/>
      <w:bookmarkEnd w:id="15"/>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16" w:name="_Toc377544292"/>
      <w:bookmarkStart w:id="17" w:name="_Toc473881466"/>
      <w:bookmarkStart w:id="18" w:name="_Toc417652365"/>
      <w:r>
        <w:rPr>
          <w:rStyle w:val="CharSectno"/>
        </w:rPr>
        <w:t>2B</w:t>
      </w:r>
      <w:r>
        <w:t>.</w:t>
      </w:r>
      <w:r>
        <w:tab/>
        <w:t>Expiry of Act</w:t>
      </w:r>
      <w:bookmarkEnd w:id="16"/>
      <w:bookmarkEnd w:id="17"/>
      <w:bookmarkEnd w:id="18"/>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19" w:name="_Toc377544293"/>
      <w:bookmarkStart w:id="20" w:name="_Toc473881467"/>
      <w:bookmarkStart w:id="21" w:name="_Toc417652366"/>
      <w:r>
        <w:rPr>
          <w:rStyle w:val="CharSectno"/>
        </w:rPr>
        <w:t>2C</w:t>
      </w:r>
      <w:r>
        <w:t>.</w:t>
      </w:r>
      <w:r>
        <w:tab/>
        <w:t>Act continues to apply for certain purposes</w:t>
      </w:r>
      <w:bookmarkEnd w:id="19"/>
      <w:bookmarkEnd w:id="20"/>
      <w:bookmarkEnd w:id="2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1</w:t>
      </w:r>
      <w:r>
        <w:t>.</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r>
        <w:tab/>
        <w:t>[Section 2C inserted by No. 57 of 2010 s. 123.]</w:t>
      </w:r>
    </w:p>
    <w:p>
      <w:pPr>
        <w:pStyle w:val="Heading5"/>
      </w:pPr>
      <w:bookmarkStart w:id="22" w:name="_Toc377544294"/>
      <w:bookmarkStart w:id="23" w:name="_Toc473881468"/>
      <w:bookmarkStart w:id="24" w:name="_Toc417652367"/>
      <w:r>
        <w:rPr>
          <w:rStyle w:val="CharSectno"/>
        </w:rPr>
        <w:t>2D</w:t>
      </w:r>
      <w:r>
        <w:t>.</w:t>
      </w:r>
      <w:r>
        <w:tab/>
        <w:t>Acts or omissions that occurred before commencement day</w:t>
      </w:r>
      <w:bookmarkEnd w:id="22"/>
      <w:bookmarkEnd w:id="23"/>
      <w:bookmarkEnd w:id="24"/>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25" w:name="_Toc377544295"/>
      <w:bookmarkStart w:id="26" w:name="_Toc473881469"/>
      <w:bookmarkStart w:id="27" w:name="_Toc417652368"/>
      <w:r>
        <w:rPr>
          <w:rStyle w:val="CharSectno"/>
        </w:rPr>
        <w:t>4</w:t>
      </w:r>
      <w:r>
        <w:rPr>
          <w:snapToGrid w:val="0"/>
        </w:rPr>
        <w:t>.</w:t>
      </w:r>
      <w:r>
        <w:rPr>
          <w:snapToGrid w:val="0"/>
        </w:rPr>
        <w:tab/>
        <w:t>Terms used</w:t>
      </w:r>
      <w:bookmarkEnd w:id="25"/>
      <w:bookmarkEnd w:id="26"/>
      <w:bookmarkEnd w:id="2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spacing w:before="60"/>
      </w:pPr>
      <w:r>
        <w:tab/>
        <w:t>(a)</w:t>
      </w:r>
      <w:r>
        <w:tab/>
        <w:t>a person who purchases or takes on hire or lease, or is a potential purchaser or hirer or lessee of, or borrows money for the purpose of purchasing, goods otherwise than for resale or letting on hire or leasing; or</w:t>
      </w:r>
    </w:p>
    <w:p>
      <w:pPr>
        <w:pStyle w:val="Defpara"/>
        <w:spacing w:before="60"/>
      </w:pPr>
      <w:r>
        <w:tab/>
        <w:t>(b)</w:t>
      </w:r>
      <w:r>
        <w:tab/>
        <w:t>a person who uses or is a potential user of, or borrows money for the purpose of using, any service rendered for fee or reward; or</w:t>
      </w:r>
    </w:p>
    <w:p>
      <w:pPr>
        <w:pStyle w:val="Defpara"/>
        <w:spacing w:before="100"/>
      </w:pPr>
      <w:r>
        <w:tab/>
        <w:t>(c)</w:t>
      </w:r>
      <w:r>
        <w:tab/>
        <w:t>a person who purchases or is a potential purchaser of, or borrows money for the purpose of purchasing, an estate or interest in any land or building otherwise than for resale letting or leasing; or</w:t>
      </w:r>
    </w:p>
    <w:p>
      <w:pPr>
        <w:pStyle w:val="Defpara"/>
        <w:spacing w:before="100"/>
      </w:pPr>
      <w:r>
        <w:tab/>
        <w:t>(d)</w:t>
      </w:r>
      <w:r>
        <w:tab/>
        <w:t>a person who becomes a tenant or lessee of, or is a potential tenant or lessee of, any land or building or part of a building otherwise than for assignment or underletting;</w:t>
      </w:r>
    </w:p>
    <w:p>
      <w:pPr>
        <w:pStyle w:val="Defstart"/>
        <w:spacing w:before="12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120"/>
      </w:pPr>
      <w:r>
        <w:rPr>
          <w:b/>
        </w:rPr>
        <w:tab/>
      </w:r>
      <w:r>
        <w:rPr>
          <w:rStyle w:val="CharDefText"/>
        </w:rPr>
        <w:t>documents</w:t>
      </w:r>
      <w:r>
        <w:t xml:space="preserve"> includes books, papers, and accounts, and any written records;</w:t>
      </w:r>
    </w:p>
    <w:p>
      <w:pPr>
        <w:pStyle w:val="Defstart"/>
        <w:spacing w:before="120"/>
      </w:pPr>
      <w:r>
        <w:rPr>
          <w:b/>
        </w:rPr>
        <w:tab/>
      </w:r>
      <w:r>
        <w:rPr>
          <w:rStyle w:val="CharDefText"/>
        </w:rPr>
        <w:t>goods</w:t>
      </w:r>
      <w:r>
        <w:t xml:space="preserve"> includes anything that is the subject of trade, manufacture or merchandise;</w:t>
      </w:r>
    </w:p>
    <w:p>
      <w:pPr>
        <w:pStyle w:val="Defstart"/>
        <w:spacing w:before="120"/>
      </w:pPr>
      <w:r>
        <w:rPr>
          <w:b/>
        </w:rPr>
        <w:tab/>
      </w:r>
      <w:r>
        <w:rPr>
          <w:rStyle w:val="CharDefText"/>
        </w:rPr>
        <w:t>section</w:t>
      </w:r>
      <w:r>
        <w:t xml:space="preserve"> means a section of this Act;</w:t>
      </w:r>
    </w:p>
    <w:p>
      <w:pPr>
        <w:pStyle w:val="Defstart"/>
        <w:spacing w:before="120"/>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spacing w:before="100"/>
      </w:pPr>
      <w:r>
        <w:tab/>
        <w:t>(a)</w:t>
      </w:r>
      <w:r>
        <w:tab/>
        <w:t>the provision for reward of lodging or accommodation; and</w:t>
      </w:r>
    </w:p>
    <w:p>
      <w:pPr>
        <w:pStyle w:val="Defpara"/>
        <w:spacing w:before="100"/>
      </w:pPr>
      <w:r>
        <w:tab/>
        <w:t>(b)</w:t>
      </w:r>
      <w:r>
        <w:tab/>
        <w:t>the entering into by an insurer of, and the provision of rights and benefits under, any contract of insurance, other than a contract of insurance — </w:t>
      </w:r>
    </w:p>
    <w:p>
      <w:pPr>
        <w:pStyle w:val="Defsubpara"/>
        <w:spacing w:before="100"/>
      </w:pPr>
      <w:r>
        <w:tab/>
        <w:t>(i)</w:t>
      </w:r>
      <w:r>
        <w:tab/>
        <w:t xml:space="preserve">required by the </w:t>
      </w:r>
      <w:r>
        <w:rPr>
          <w:i/>
        </w:rPr>
        <w:t>Workers’ Compensation and Injury Management Act 1981</w:t>
      </w:r>
      <w:r>
        <w:t>; or</w:t>
      </w:r>
    </w:p>
    <w:p>
      <w:pPr>
        <w:pStyle w:val="Defsubpara"/>
        <w:spacing w:before="100"/>
      </w:pPr>
      <w:r>
        <w:tab/>
        <w:t>(ii)</w:t>
      </w:r>
      <w:r>
        <w:tab/>
        <w:t xml:space="preserve">within the meaning of the </w:t>
      </w:r>
      <w:r>
        <w:rPr>
          <w:i/>
        </w:rPr>
        <w:t>Motor Vehicle (Third Party Insurance) Act 1943</w:t>
      </w:r>
      <w:r>
        <w:t>.</w:t>
      </w:r>
    </w:p>
    <w:p>
      <w:pPr>
        <w:pStyle w:val="Subsection"/>
        <w:spacing w:before="200"/>
        <w:rPr>
          <w:snapToGrid w:val="0"/>
        </w:rPr>
      </w:pPr>
      <w:r>
        <w:rPr>
          <w:snapToGrid w:val="0"/>
        </w:rPr>
        <w:tab/>
        <w:t>(2)</w:t>
      </w:r>
      <w:r>
        <w:rPr>
          <w:snapToGrid w:val="0"/>
        </w:rPr>
        <w:tab/>
        <w:t xml:space="preserve">Notwithstanding the definition </w:t>
      </w:r>
      <w:r>
        <w:rPr>
          <w:b/>
          <w:i/>
          <w:snapToGrid w:val="0"/>
        </w:rPr>
        <w:t>consumer</w:t>
      </w:r>
      <w:r>
        <w:rPr>
          <w:snapToGrid w:val="0"/>
        </w:rPr>
        <w:t xml:space="preserve">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 or</w:t>
      </w:r>
    </w:p>
    <w:p>
      <w:pPr>
        <w:pStyle w:val="Indenta"/>
        <w:rPr>
          <w:snapToGrid w:val="0"/>
        </w:rPr>
      </w:pPr>
      <w:r>
        <w:rPr>
          <w:snapToGrid w:val="0"/>
        </w:rPr>
        <w:tab/>
        <w:t>(b)</w:t>
      </w:r>
      <w:r>
        <w:rPr>
          <w:snapToGrid w:val="0"/>
        </w:rPr>
        <w:tab/>
        <w:t>a service used by him, or of which he is a potential user; or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28" w:name="_Toc377544296"/>
      <w:bookmarkStart w:id="29" w:name="_Toc473881470"/>
      <w:bookmarkStart w:id="30" w:name="_Toc417652369"/>
      <w:r>
        <w:rPr>
          <w:rStyle w:val="CharSectno"/>
        </w:rPr>
        <w:t>5</w:t>
      </w:r>
      <w:r>
        <w:rPr>
          <w:snapToGrid w:val="0"/>
        </w:rPr>
        <w:t>.</w:t>
      </w:r>
      <w:r>
        <w:rPr>
          <w:snapToGrid w:val="0"/>
        </w:rPr>
        <w:tab/>
        <w:t>Construction of Act</w:t>
      </w:r>
      <w:bookmarkEnd w:id="28"/>
      <w:bookmarkEnd w:id="29"/>
      <w:bookmarkEnd w:id="30"/>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31" w:name="_Toc377544297"/>
      <w:bookmarkStart w:id="32" w:name="_Toc415654265"/>
      <w:bookmarkStart w:id="33" w:name="_Toc415654331"/>
      <w:bookmarkStart w:id="34" w:name="_Toc417652370"/>
      <w:bookmarkStart w:id="35" w:name="_Toc473881471"/>
      <w:r>
        <w:rPr>
          <w:rStyle w:val="CharPartNo"/>
        </w:rPr>
        <w:t>Part III</w:t>
      </w:r>
      <w:r>
        <w:rPr>
          <w:rStyle w:val="CharDivNo"/>
        </w:rPr>
        <w:t> </w:t>
      </w:r>
      <w:r>
        <w:t>—</w:t>
      </w:r>
      <w:r>
        <w:rPr>
          <w:rStyle w:val="CharDivText"/>
        </w:rPr>
        <w:t> </w:t>
      </w:r>
      <w:r>
        <w:rPr>
          <w:rStyle w:val="CharPartText"/>
        </w:rPr>
        <w:t>Administrative provisions</w:t>
      </w:r>
      <w:bookmarkEnd w:id="31"/>
      <w:bookmarkEnd w:id="32"/>
      <w:bookmarkEnd w:id="33"/>
      <w:bookmarkEnd w:id="34"/>
      <w:bookmarkEnd w:id="35"/>
    </w:p>
    <w:p>
      <w:pPr>
        <w:pStyle w:val="Footnoteheading"/>
      </w:pPr>
      <w:r>
        <w:tab/>
        <w:t>[Heading inserted by No. 28 of 2006 s. 74.]</w:t>
      </w:r>
    </w:p>
    <w:p>
      <w:pPr>
        <w:pStyle w:val="Heading5"/>
      </w:pPr>
      <w:bookmarkStart w:id="36" w:name="_Toc377544298"/>
      <w:bookmarkStart w:id="37" w:name="_Toc473881472"/>
      <w:bookmarkStart w:id="38" w:name="_Toc417652371"/>
      <w:r>
        <w:rPr>
          <w:rStyle w:val="CharSectno"/>
        </w:rPr>
        <w:t>15</w:t>
      </w:r>
      <w:r>
        <w:t>.</w:t>
      </w:r>
      <w:r>
        <w:tab/>
        <w:t>Commissioner</w:t>
      </w:r>
      <w:bookmarkEnd w:id="36"/>
      <w:bookmarkEnd w:id="37"/>
      <w:bookmarkEnd w:id="3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spacing w:before="240"/>
      </w:pPr>
      <w:r>
        <w:t>[</w:t>
      </w:r>
      <w:r>
        <w:rPr>
          <w:b/>
          <w:bCs/>
        </w:rPr>
        <w:t>15A.</w:t>
      </w:r>
      <w:r>
        <w:tab/>
        <w:t>Deleted by No. 28 of 2006 s. 75.]</w:t>
      </w:r>
    </w:p>
    <w:p>
      <w:pPr>
        <w:pStyle w:val="Heading5"/>
        <w:spacing w:before="240"/>
      </w:pPr>
      <w:bookmarkStart w:id="39" w:name="_Toc377544299"/>
      <w:bookmarkStart w:id="40" w:name="_Toc473881473"/>
      <w:bookmarkStart w:id="41" w:name="_Toc417652372"/>
      <w:r>
        <w:rPr>
          <w:rStyle w:val="CharSectno"/>
        </w:rPr>
        <w:t>16</w:t>
      </w:r>
      <w:r>
        <w:t>.</w:t>
      </w:r>
      <w:r>
        <w:tab/>
        <w:t>Functions of Commissioner</w:t>
      </w:r>
      <w:bookmarkEnd w:id="39"/>
      <w:bookmarkEnd w:id="40"/>
      <w:bookmarkEnd w:id="41"/>
    </w:p>
    <w:p>
      <w:pPr>
        <w:pStyle w:val="Subsection"/>
        <w:rPr>
          <w:snapToGrid w:val="0"/>
        </w:rPr>
      </w:pPr>
      <w:r>
        <w:rPr>
          <w:snapToGrid w:val="0"/>
        </w:rPr>
        <w:tab/>
        <w:t>(1)</w:t>
      </w:r>
      <w:r>
        <w:rPr>
          <w:snapToGrid w:val="0"/>
        </w:rPr>
        <w:tab/>
        <w:t>The functions of the Commissioner include — </w:t>
      </w:r>
    </w:p>
    <w:p>
      <w:pPr>
        <w:pStyle w:val="Indenta"/>
        <w:spacing w:before="100"/>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spacing w:before="100"/>
        <w:rPr>
          <w:snapToGrid w:val="0"/>
        </w:rPr>
      </w:pPr>
      <w:r>
        <w:rPr>
          <w:snapToGrid w:val="0"/>
        </w:rPr>
        <w:tab/>
        <w:t>(b)</w:t>
      </w:r>
      <w:r>
        <w:rPr>
          <w:snapToGrid w:val="0"/>
        </w:rPr>
        <w:tab/>
        <w:t>to collect, collate and disseminate information in respect of matters affecting the interests of consumers;</w:t>
      </w:r>
    </w:p>
    <w:p>
      <w:pPr>
        <w:pStyle w:val="Indenta"/>
        <w:spacing w:before="100"/>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spacing w:before="100"/>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42" w:name="_Toc377544300"/>
      <w:bookmarkStart w:id="43" w:name="_Toc473881474"/>
      <w:bookmarkStart w:id="44" w:name="_Toc417652373"/>
      <w:r>
        <w:rPr>
          <w:rStyle w:val="CharSectno"/>
        </w:rPr>
        <w:t>17</w:t>
      </w:r>
      <w:r>
        <w:t>.</w:t>
      </w:r>
      <w:r>
        <w:tab/>
        <w:t>Power of Commissioner to publish warnings about unsatisfactory or dangerous goods and services etc.</w:t>
      </w:r>
      <w:bookmarkEnd w:id="42"/>
      <w:bookmarkEnd w:id="43"/>
      <w:bookmarkEnd w:id="44"/>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45" w:name="_Toc377544301"/>
      <w:bookmarkStart w:id="46" w:name="_Toc473881475"/>
      <w:bookmarkStart w:id="47" w:name="_Toc417652374"/>
      <w:r>
        <w:rPr>
          <w:rStyle w:val="CharSectno"/>
        </w:rPr>
        <w:t>18</w:t>
      </w:r>
      <w:r>
        <w:rPr>
          <w:snapToGrid w:val="0"/>
        </w:rPr>
        <w:t>.</w:t>
      </w:r>
      <w:r>
        <w:rPr>
          <w:snapToGrid w:val="0"/>
        </w:rPr>
        <w:tab/>
        <w:t>Power of Commissioner to institute or defend legal proceedings on behalf of consumers</w:t>
      </w:r>
      <w:bookmarkEnd w:id="45"/>
      <w:bookmarkEnd w:id="46"/>
      <w:bookmarkEnd w:id="47"/>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 and</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 and</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48" w:name="_Toc377544302"/>
      <w:bookmarkStart w:id="49" w:name="_Toc473881476"/>
      <w:bookmarkStart w:id="50" w:name="_Toc417652375"/>
      <w:r>
        <w:rPr>
          <w:rStyle w:val="CharSectno"/>
        </w:rPr>
        <w:t>19</w:t>
      </w:r>
      <w:r>
        <w:rPr>
          <w:snapToGrid w:val="0"/>
        </w:rPr>
        <w:t>.</w:t>
      </w:r>
      <w:r>
        <w:rPr>
          <w:snapToGrid w:val="0"/>
        </w:rPr>
        <w:tab/>
        <w:t>Power of Commissioner to investigate, inquire and obtain information</w:t>
      </w:r>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51" w:name="_Toc377544303"/>
      <w:bookmarkStart w:id="52" w:name="_Toc473881477"/>
      <w:bookmarkStart w:id="53" w:name="_Toc417652376"/>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51"/>
      <w:bookmarkEnd w:id="52"/>
      <w:bookmarkEnd w:id="53"/>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ind w:left="890" w:hanging="890"/>
      </w:pPr>
      <w:r>
        <w:tab/>
        <w:t xml:space="preserve">[Section 20 amended by No. 21 of 1975 s. 13; No. 17 of 1988 s. 5; No. 55 of 2004 s. 141.] </w:t>
      </w:r>
    </w:p>
    <w:p>
      <w:pPr>
        <w:pStyle w:val="Heading5"/>
        <w:rPr>
          <w:snapToGrid w:val="0"/>
        </w:rPr>
      </w:pPr>
      <w:bookmarkStart w:id="54" w:name="_Toc377544304"/>
      <w:bookmarkStart w:id="55" w:name="_Toc473881478"/>
      <w:bookmarkStart w:id="56" w:name="_Toc417652377"/>
      <w:r>
        <w:rPr>
          <w:rStyle w:val="CharSectno"/>
        </w:rPr>
        <w:t>21</w:t>
      </w:r>
      <w:r>
        <w:rPr>
          <w:snapToGrid w:val="0"/>
        </w:rPr>
        <w:t>.</w:t>
      </w:r>
      <w:r>
        <w:rPr>
          <w:snapToGrid w:val="0"/>
        </w:rPr>
        <w:tab/>
        <w:t>Failure to supply information</w:t>
      </w:r>
      <w:bookmarkEnd w:id="54"/>
      <w:bookmarkEnd w:id="55"/>
      <w:bookmarkEnd w:id="56"/>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rPr>
          <w:snapToGrid w:val="0"/>
        </w:rPr>
      </w:pPr>
      <w:r>
        <w:rPr>
          <w:snapToGrid w:val="0"/>
        </w:rPr>
        <w:tab/>
        <w:t>(a)</w:t>
      </w:r>
      <w:r>
        <w:rPr>
          <w:snapToGrid w:val="0"/>
        </w:rPr>
        <w:tab/>
        <w:t>fails to give that information or answer that question at or within the time specified in that requirement; or</w:t>
      </w:r>
    </w:p>
    <w:p>
      <w:pPr>
        <w:pStyle w:val="Indenta"/>
        <w:rPr>
          <w:snapToGrid w:val="0"/>
        </w:rPr>
      </w:pPr>
      <w:r>
        <w:rPr>
          <w:snapToGrid w:val="0"/>
        </w:rPr>
        <w:tab/>
        <w:t>(b)</w:t>
      </w:r>
      <w:r>
        <w:rPr>
          <w:snapToGrid w:val="0"/>
        </w:rPr>
        <w:tab/>
        <w:t>gives any information or answer that is false in any particular; or</w:t>
      </w:r>
    </w:p>
    <w:p>
      <w:pPr>
        <w:pStyle w:val="Indenta"/>
        <w:keepNext/>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57" w:name="_Toc377544305"/>
      <w:bookmarkStart w:id="58" w:name="_Toc473881479"/>
      <w:bookmarkStart w:id="59" w:name="_Toc417652378"/>
      <w:r>
        <w:rPr>
          <w:rStyle w:val="CharSectno"/>
        </w:rPr>
        <w:t>22</w:t>
      </w:r>
      <w:r>
        <w:rPr>
          <w:snapToGrid w:val="0"/>
        </w:rPr>
        <w:t>.</w:t>
      </w:r>
      <w:r>
        <w:rPr>
          <w:snapToGrid w:val="0"/>
        </w:rPr>
        <w:tab/>
        <w:t>Obstructing Commissioner</w:t>
      </w:r>
      <w:bookmarkEnd w:id="57"/>
      <w:bookmarkEnd w:id="58"/>
      <w:bookmarkEnd w:id="59"/>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60" w:name="_Toc377544306"/>
      <w:bookmarkStart w:id="61" w:name="_Toc473881480"/>
      <w:bookmarkStart w:id="62" w:name="_Toc417652379"/>
      <w:r>
        <w:rPr>
          <w:rStyle w:val="CharSectno"/>
        </w:rPr>
        <w:t>23</w:t>
      </w:r>
      <w:r>
        <w:t>.</w:t>
      </w:r>
      <w:r>
        <w:tab/>
        <w:t>Delegation by Commissioner</w:t>
      </w:r>
      <w:bookmarkEnd w:id="60"/>
      <w:bookmarkEnd w:id="61"/>
      <w:bookmarkEnd w:id="62"/>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63" w:name="_Toc377544307"/>
      <w:bookmarkStart w:id="64" w:name="_Toc473881481"/>
      <w:bookmarkStart w:id="65" w:name="_Toc417652380"/>
      <w:r>
        <w:rPr>
          <w:rStyle w:val="CharSectno"/>
        </w:rPr>
        <w:t>23A</w:t>
      </w:r>
      <w:r>
        <w:rPr>
          <w:snapToGrid w:val="0"/>
        </w:rPr>
        <w:t>.</w:t>
      </w:r>
      <w:r>
        <w:rPr>
          <w:snapToGrid w:val="0"/>
        </w:rPr>
        <w:tab/>
        <w:t>Judicial notice</w:t>
      </w:r>
      <w:bookmarkEnd w:id="63"/>
      <w:bookmarkEnd w:id="64"/>
      <w:bookmarkEnd w:id="6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66" w:name="_Toc377544308"/>
      <w:bookmarkStart w:id="67" w:name="_Toc415654276"/>
      <w:bookmarkStart w:id="68" w:name="_Toc415654342"/>
      <w:bookmarkStart w:id="69" w:name="_Toc417652381"/>
      <w:bookmarkStart w:id="70" w:name="_Toc473881482"/>
      <w:r>
        <w:rPr>
          <w:rStyle w:val="CharPartNo"/>
        </w:rPr>
        <w:t>Part IIIA</w:t>
      </w:r>
      <w:r>
        <w:t> — </w:t>
      </w:r>
      <w:r>
        <w:rPr>
          <w:rStyle w:val="CharPartText"/>
        </w:rPr>
        <w:t>Consumer Products Safety Committee</w:t>
      </w:r>
      <w:bookmarkEnd w:id="66"/>
      <w:bookmarkEnd w:id="67"/>
      <w:bookmarkEnd w:id="68"/>
      <w:bookmarkEnd w:id="69"/>
      <w:bookmarkEnd w:id="70"/>
    </w:p>
    <w:p>
      <w:pPr>
        <w:pStyle w:val="Footnoteheading"/>
        <w:ind w:left="890"/>
        <w:rPr>
          <w:snapToGrid w:val="0"/>
        </w:rPr>
      </w:pPr>
      <w:r>
        <w:rPr>
          <w:snapToGrid w:val="0"/>
        </w:rPr>
        <w:tab/>
        <w:t xml:space="preserve">[Heading inserted by No. 90 of 1978 s. 7.] </w:t>
      </w:r>
    </w:p>
    <w:p>
      <w:pPr>
        <w:pStyle w:val="Heading3"/>
        <w:rPr>
          <w:snapToGrid w:val="0"/>
        </w:rPr>
      </w:pPr>
      <w:bookmarkStart w:id="71" w:name="_Toc377544309"/>
      <w:bookmarkStart w:id="72" w:name="_Toc415654277"/>
      <w:bookmarkStart w:id="73" w:name="_Toc415654343"/>
      <w:bookmarkStart w:id="74" w:name="_Toc417652382"/>
      <w:bookmarkStart w:id="75" w:name="_Toc473881483"/>
      <w:r>
        <w:rPr>
          <w:rStyle w:val="CharDivNo"/>
        </w:rPr>
        <w:t>Division 1</w:t>
      </w:r>
      <w:r>
        <w:rPr>
          <w:snapToGrid w:val="0"/>
        </w:rPr>
        <w:t> — </w:t>
      </w:r>
      <w:r>
        <w:rPr>
          <w:rStyle w:val="CharDivText"/>
        </w:rPr>
        <w:t>Preliminary</w:t>
      </w:r>
      <w:bookmarkEnd w:id="71"/>
      <w:bookmarkEnd w:id="72"/>
      <w:bookmarkEnd w:id="73"/>
      <w:bookmarkEnd w:id="74"/>
      <w:bookmarkEnd w:id="75"/>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76" w:name="_Toc377544310"/>
      <w:bookmarkStart w:id="77" w:name="_Toc473881484"/>
      <w:bookmarkStart w:id="78" w:name="_Toc417652383"/>
      <w:r>
        <w:rPr>
          <w:rStyle w:val="CharSectno"/>
        </w:rPr>
        <w:t>23B</w:t>
      </w:r>
      <w:r>
        <w:rPr>
          <w:snapToGrid w:val="0"/>
        </w:rPr>
        <w:t>.</w:t>
      </w:r>
      <w:r>
        <w:rPr>
          <w:snapToGrid w:val="0"/>
        </w:rPr>
        <w:tab/>
        <w:t>Terms used</w:t>
      </w:r>
      <w:bookmarkEnd w:id="76"/>
      <w:bookmarkEnd w:id="77"/>
      <w:bookmarkEnd w:id="78"/>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79" w:name="_Toc377544311"/>
      <w:bookmarkStart w:id="80" w:name="_Toc473881485"/>
      <w:bookmarkStart w:id="81" w:name="_Toc417652384"/>
      <w:r>
        <w:rPr>
          <w:rStyle w:val="CharSectno"/>
        </w:rPr>
        <w:t>23C</w:t>
      </w:r>
      <w:r>
        <w:rPr>
          <w:snapToGrid w:val="0"/>
        </w:rPr>
        <w:t>.</w:t>
      </w:r>
      <w:r>
        <w:rPr>
          <w:snapToGrid w:val="0"/>
        </w:rPr>
        <w:tab/>
        <w:t>Application</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82" w:name="_Toc377544312"/>
      <w:bookmarkStart w:id="83" w:name="_Toc473881486"/>
      <w:bookmarkStart w:id="84" w:name="_Toc417652385"/>
      <w:r>
        <w:rPr>
          <w:rStyle w:val="CharSectno"/>
        </w:rPr>
        <w:t>23D</w:t>
      </w:r>
      <w:r>
        <w:rPr>
          <w:snapToGrid w:val="0"/>
        </w:rPr>
        <w:t>.</w:t>
      </w:r>
      <w:r>
        <w:rPr>
          <w:snapToGrid w:val="0"/>
        </w:rPr>
        <w:tab/>
        <w:t>Schedule may be amended by regulations</w:t>
      </w:r>
      <w:bookmarkEnd w:id="82"/>
      <w:bookmarkEnd w:id="83"/>
      <w:bookmarkEnd w:id="84"/>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85" w:name="_Toc377544313"/>
      <w:bookmarkStart w:id="86" w:name="_Toc415654281"/>
      <w:bookmarkStart w:id="87" w:name="_Toc415654347"/>
      <w:bookmarkStart w:id="88" w:name="_Toc417652386"/>
      <w:bookmarkStart w:id="89" w:name="_Toc473881487"/>
      <w:r>
        <w:rPr>
          <w:rStyle w:val="CharDivNo"/>
        </w:rPr>
        <w:t>Division 2</w:t>
      </w:r>
      <w:r>
        <w:rPr>
          <w:snapToGrid w:val="0"/>
        </w:rPr>
        <w:t> — </w:t>
      </w:r>
      <w:r>
        <w:rPr>
          <w:rStyle w:val="CharDivText"/>
        </w:rPr>
        <w:t>Prohibition or restriction on supply of dangerous goods to consumers</w:t>
      </w:r>
      <w:bookmarkEnd w:id="85"/>
      <w:bookmarkEnd w:id="86"/>
      <w:bookmarkEnd w:id="87"/>
      <w:bookmarkEnd w:id="88"/>
      <w:bookmarkEnd w:id="89"/>
    </w:p>
    <w:p>
      <w:pPr>
        <w:pStyle w:val="Footnoteheading"/>
        <w:ind w:left="890"/>
      </w:pPr>
      <w:r>
        <w:rPr>
          <w:snapToGrid w:val="0"/>
        </w:rPr>
        <w:tab/>
        <w:t>[Heading inserted by No. 90 of 1978 s. 7.]</w:t>
      </w:r>
    </w:p>
    <w:p>
      <w:pPr>
        <w:pStyle w:val="Heading5"/>
        <w:rPr>
          <w:snapToGrid w:val="0"/>
        </w:rPr>
      </w:pPr>
      <w:bookmarkStart w:id="90" w:name="_Toc377544314"/>
      <w:bookmarkStart w:id="91" w:name="_Toc473881488"/>
      <w:bookmarkStart w:id="92" w:name="_Toc417652387"/>
      <w:r>
        <w:rPr>
          <w:rStyle w:val="CharSectno"/>
        </w:rPr>
        <w:t>23E</w:t>
      </w:r>
      <w:r>
        <w:rPr>
          <w:snapToGrid w:val="0"/>
        </w:rPr>
        <w:t>.</w:t>
      </w:r>
      <w:r>
        <w:rPr>
          <w:snapToGrid w:val="0"/>
        </w:rPr>
        <w:tab/>
        <w:t>Consumer Products Safety Committee</w:t>
      </w:r>
      <w:bookmarkEnd w:id="90"/>
      <w:bookmarkEnd w:id="91"/>
      <w:bookmarkEnd w:id="92"/>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93" w:name="_Toc377544315"/>
      <w:bookmarkStart w:id="94" w:name="_Toc473881489"/>
      <w:bookmarkStart w:id="95" w:name="_Toc417652388"/>
      <w:r>
        <w:rPr>
          <w:rStyle w:val="CharSectno"/>
        </w:rPr>
        <w:t>23F</w:t>
      </w:r>
      <w:r>
        <w:rPr>
          <w:snapToGrid w:val="0"/>
        </w:rPr>
        <w:t>.</w:t>
      </w:r>
      <w:r>
        <w:rPr>
          <w:snapToGrid w:val="0"/>
        </w:rPr>
        <w:tab/>
        <w:t>Committee may seek advice</w:t>
      </w:r>
      <w:bookmarkEnd w:id="93"/>
      <w:bookmarkEnd w:id="94"/>
      <w:bookmarkEnd w:id="9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96" w:name="_Toc377544316"/>
      <w:bookmarkStart w:id="97" w:name="_Toc473881490"/>
      <w:bookmarkStart w:id="98" w:name="_Toc417652389"/>
      <w:r>
        <w:rPr>
          <w:rStyle w:val="CharSectno"/>
        </w:rPr>
        <w:t>23G</w:t>
      </w:r>
      <w:r>
        <w:rPr>
          <w:snapToGrid w:val="0"/>
        </w:rPr>
        <w:t>.</w:t>
      </w:r>
      <w:r>
        <w:rPr>
          <w:snapToGrid w:val="0"/>
        </w:rPr>
        <w:tab/>
        <w:t>Appointment and term of office of members</w:t>
      </w:r>
      <w:bookmarkEnd w:id="96"/>
      <w:bookmarkEnd w:id="97"/>
      <w:bookmarkEnd w:id="98"/>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99" w:name="_Toc377544317"/>
      <w:bookmarkStart w:id="100" w:name="_Toc473881491"/>
      <w:bookmarkStart w:id="101" w:name="_Toc417652390"/>
      <w:r>
        <w:rPr>
          <w:rStyle w:val="CharSectno"/>
        </w:rPr>
        <w:t>23H</w:t>
      </w:r>
      <w:r>
        <w:rPr>
          <w:snapToGrid w:val="0"/>
        </w:rPr>
        <w:t>.</w:t>
      </w:r>
      <w:r>
        <w:rPr>
          <w:snapToGrid w:val="0"/>
        </w:rPr>
        <w:tab/>
        <w:t>Minister may remove members</w:t>
      </w:r>
      <w:bookmarkEnd w:id="99"/>
      <w:bookmarkEnd w:id="100"/>
      <w:bookmarkEnd w:id="101"/>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02" w:name="_Toc377544318"/>
      <w:bookmarkStart w:id="103" w:name="_Toc473881492"/>
      <w:bookmarkStart w:id="104" w:name="_Toc417652391"/>
      <w:r>
        <w:rPr>
          <w:rStyle w:val="CharSectno"/>
        </w:rPr>
        <w:t>23I</w:t>
      </w:r>
      <w:r>
        <w:rPr>
          <w:snapToGrid w:val="0"/>
        </w:rPr>
        <w:t>.</w:t>
      </w:r>
      <w:r>
        <w:rPr>
          <w:snapToGrid w:val="0"/>
        </w:rPr>
        <w:tab/>
        <w:t>Deputies</w:t>
      </w:r>
      <w:bookmarkEnd w:id="102"/>
      <w:bookmarkEnd w:id="103"/>
      <w:bookmarkEnd w:id="104"/>
      <w:r>
        <w:rPr>
          <w:snapToGrid w:val="0"/>
        </w:rPr>
        <w:t xml:space="preserve"> </w:t>
      </w:r>
    </w:p>
    <w:p>
      <w:pPr>
        <w:pStyle w:val="Subsection"/>
        <w:spacing w:before="140"/>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spacing w:before="140"/>
        <w:rPr>
          <w:snapToGrid w:val="0"/>
        </w:rPr>
      </w:pPr>
      <w:r>
        <w:rPr>
          <w:snapToGrid w:val="0"/>
        </w:rPr>
        <w:tab/>
        <w:t>(2)</w:t>
      </w:r>
      <w:r>
        <w:rPr>
          <w:snapToGrid w:val="0"/>
        </w:rPr>
        <w:tab/>
        <w:t>The Minister may appoint a person to be a deputy of a member of the Committee.</w:t>
      </w:r>
    </w:p>
    <w:p>
      <w:pPr>
        <w:pStyle w:val="Subsection"/>
        <w:spacing w:before="140"/>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spacing w:before="80"/>
      </w:pPr>
      <w:r>
        <w:tab/>
        <w:t xml:space="preserve">[Section 23I inserted by No. 90 of 1978 s. 7; amended by No. 1 of 1985 s. 16.] </w:t>
      </w:r>
    </w:p>
    <w:p>
      <w:pPr>
        <w:pStyle w:val="Heading5"/>
        <w:spacing w:before="200"/>
        <w:rPr>
          <w:snapToGrid w:val="0"/>
        </w:rPr>
      </w:pPr>
      <w:bookmarkStart w:id="105" w:name="_Toc377544319"/>
      <w:bookmarkStart w:id="106" w:name="_Toc473881493"/>
      <w:bookmarkStart w:id="107" w:name="_Toc417652392"/>
      <w:r>
        <w:rPr>
          <w:rStyle w:val="CharSectno"/>
        </w:rPr>
        <w:t>23J</w:t>
      </w:r>
      <w:r>
        <w:rPr>
          <w:snapToGrid w:val="0"/>
        </w:rPr>
        <w:t>.</w:t>
      </w:r>
      <w:r>
        <w:rPr>
          <w:snapToGrid w:val="0"/>
        </w:rPr>
        <w:tab/>
        <w:t>Decisions of Committee</w:t>
      </w:r>
      <w:bookmarkEnd w:id="105"/>
      <w:bookmarkEnd w:id="106"/>
      <w:bookmarkEnd w:id="107"/>
      <w:r>
        <w:rPr>
          <w:snapToGrid w:val="0"/>
        </w:rPr>
        <w:t xml:space="preserve"> </w:t>
      </w:r>
    </w:p>
    <w:p>
      <w:pPr>
        <w:pStyle w:val="Subsection"/>
        <w:spacing w:before="14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spacing w:before="100"/>
      </w:pPr>
      <w:r>
        <w:tab/>
        <w:t xml:space="preserve">[Section 23J inserted by No. 90 of 1978 s. 7.] </w:t>
      </w:r>
    </w:p>
    <w:p>
      <w:pPr>
        <w:pStyle w:val="Heading5"/>
        <w:spacing w:before="200"/>
        <w:rPr>
          <w:snapToGrid w:val="0"/>
        </w:rPr>
      </w:pPr>
      <w:bookmarkStart w:id="108" w:name="_Toc377544320"/>
      <w:bookmarkStart w:id="109" w:name="_Toc473881494"/>
      <w:bookmarkStart w:id="110" w:name="_Toc417652393"/>
      <w:r>
        <w:rPr>
          <w:rStyle w:val="CharSectno"/>
        </w:rPr>
        <w:t>23K</w:t>
      </w:r>
      <w:r>
        <w:rPr>
          <w:snapToGrid w:val="0"/>
        </w:rPr>
        <w:t>.</w:t>
      </w:r>
      <w:r>
        <w:rPr>
          <w:snapToGrid w:val="0"/>
        </w:rPr>
        <w:tab/>
        <w:t>Remuneration</w:t>
      </w:r>
      <w:bookmarkEnd w:id="108"/>
      <w:bookmarkEnd w:id="109"/>
      <w:bookmarkEnd w:id="110"/>
      <w:r>
        <w:rPr>
          <w:snapToGrid w:val="0"/>
        </w:rPr>
        <w:t xml:space="preserve"> </w:t>
      </w:r>
    </w:p>
    <w:p>
      <w:pPr>
        <w:pStyle w:val="Subsection"/>
        <w:spacing w:before="13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30"/>
        <w:rPr>
          <w:snapToGrid w:val="0"/>
        </w:rPr>
      </w:pPr>
      <w:r>
        <w:rPr>
          <w:snapToGrid w:val="0"/>
        </w:rPr>
        <w:tab/>
        <w:t>(2)</w:t>
      </w:r>
      <w:r>
        <w:rPr>
          <w:snapToGrid w:val="0"/>
        </w:rPr>
        <w:tab/>
        <w:t>Subsection (1) shall not apply to the Chairman or Deputy of the Chairman of the Committee.</w:t>
      </w:r>
    </w:p>
    <w:p>
      <w:pPr>
        <w:pStyle w:val="Footnotesection"/>
        <w:spacing w:before="80"/>
      </w:pPr>
      <w:r>
        <w:tab/>
        <w:t xml:space="preserve">[Section 23K inserted by No. 90 of 1978 s. 7.] </w:t>
      </w:r>
    </w:p>
    <w:p>
      <w:pPr>
        <w:pStyle w:val="Heading5"/>
        <w:keepNext w:val="0"/>
        <w:keepLines w:val="0"/>
        <w:spacing w:before="200"/>
        <w:rPr>
          <w:snapToGrid w:val="0"/>
        </w:rPr>
      </w:pPr>
      <w:bookmarkStart w:id="111" w:name="_Toc377544321"/>
      <w:bookmarkStart w:id="112" w:name="_Toc473881495"/>
      <w:bookmarkStart w:id="113" w:name="_Toc417652394"/>
      <w:r>
        <w:rPr>
          <w:rStyle w:val="CharSectno"/>
        </w:rPr>
        <w:t>23L</w:t>
      </w:r>
      <w:r>
        <w:rPr>
          <w:snapToGrid w:val="0"/>
        </w:rPr>
        <w:t>.</w:t>
      </w:r>
      <w:r>
        <w:rPr>
          <w:snapToGrid w:val="0"/>
        </w:rPr>
        <w:tab/>
        <w:t>References of questions to Committee</w:t>
      </w:r>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spacing w:before="100"/>
      </w:pPr>
      <w:r>
        <w:tab/>
        <w:t xml:space="preserve">[Section 23L inserted by No. 90 of 1978 s. 7.] </w:t>
      </w:r>
    </w:p>
    <w:p>
      <w:pPr>
        <w:pStyle w:val="Heading5"/>
        <w:rPr>
          <w:snapToGrid w:val="0"/>
        </w:rPr>
      </w:pPr>
      <w:bookmarkStart w:id="114" w:name="_Toc377544322"/>
      <w:bookmarkStart w:id="115" w:name="_Toc473881496"/>
      <w:bookmarkStart w:id="116" w:name="_Toc417652395"/>
      <w:r>
        <w:rPr>
          <w:rStyle w:val="CharSectno"/>
        </w:rPr>
        <w:t>23M</w:t>
      </w:r>
      <w:r>
        <w:rPr>
          <w:snapToGrid w:val="0"/>
        </w:rPr>
        <w:t>.</w:t>
      </w:r>
      <w:r>
        <w:rPr>
          <w:snapToGrid w:val="0"/>
        </w:rPr>
        <w:tab/>
        <w:t>Committee to report to Commissioner</w:t>
      </w:r>
      <w:bookmarkEnd w:id="114"/>
      <w:bookmarkEnd w:id="115"/>
      <w:bookmarkEnd w:id="116"/>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spacing w:before="60"/>
        <w:rPr>
          <w:snapToGrid w:val="0"/>
        </w:rPr>
      </w:pPr>
      <w:r>
        <w:rPr>
          <w:snapToGrid w:val="0"/>
        </w:rPr>
        <w:tab/>
        <w:t>(a)</w:t>
      </w:r>
      <w:r>
        <w:rPr>
          <w:snapToGrid w:val="0"/>
        </w:rPr>
        <w:tab/>
        <w:t>make investigations with respect to the question; and</w:t>
      </w:r>
    </w:p>
    <w:p>
      <w:pPr>
        <w:pStyle w:val="Indenta"/>
        <w:spacing w:before="60"/>
        <w:rPr>
          <w:snapToGrid w:val="0"/>
        </w:rPr>
      </w:pPr>
      <w:r>
        <w:rPr>
          <w:snapToGrid w:val="0"/>
        </w:rPr>
        <w:tab/>
        <w:t>(b)</w:t>
      </w:r>
      <w:r>
        <w:rPr>
          <w:snapToGrid w:val="0"/>
        </w:rPr>
        <w:tab/>
        <w:t>determine what recommendations it should make; and</w:t>
      </w:r>
    </w:p>
    <w:p>
      <w:pPr>
        <w:pStyle w:val="Indenta"/>
        <w:spacing w:before="60"/>
        <w:rPr>
          <w:snapToGrid w:val="0"/>
        </w:rPr>
      </w:pPr>
      <w:r>
        <w:rPr>
          <w:snapToGrid w:val="0"/>
        </w:rPr>
        <w:tab/>
        <w:t>(c)</w:t>
      </w:r>
      <w:r>
        <w:rPr>
          <w:snapToGrid w:val="0"/>
        </w:rPr>
        <w:tab/>
        <w:t>submit a report of the recommendations referred to in paragraph (b) to the Commissioner.</w:t>
      </w:r>
    </w:p>
    <w:p>
      <w:pPr>
        <w:pStyle w:val="Subsection"/>
        <w:spacing w:before="140"/>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spacing w:before="100"/>
      </w:pPr>
      <w:r>
        <w:tab/>
        <w:t xml:space="preserve">[Section 23M inserted by No. 90 of 1978 s. 7.] </w:t>
      </w:r>
    </w:p>
    <w:p>
      <w:pPr>
        <w:pStyle w:val="Heading5"/>
        <w:rPr>
          <w:snapToGrid w:val="0"/>
        </w:rPr>
      </w:pPr>
      <w:bookmarkStart w:id="117" w:name="_Toc377544323"/>
      <w:bookmarkStart w:id="118" w:name="_Toc473881497"/>
      <w:bookmarkStart w:id="119" w:name="_Toc417652396"/>
      <w:r>
        <w:rPr>
          <w:rStyle w:val="CharSectno"/>
        </w:rPr>
        <w:t>23N</w:t>
      </w:r>
      <w:r>
        <w:rPr>
          <w:snapToGrid w:val="0"/>
        </w:rPr>
        <w:t>.</w:t>
      </w:r>
      <w:r>
        <w:rPr>
          <w:snapToGrid w:val="0"/>
        </w:rPr>
        <w:tab/>
        <w:t>Commissioner to assist investigations</w:t>
      </w:r>
      <w:bookmarkEnd w:id="117"/>
      <w:bookmarkEnd w:id="118"/>
      <w:bookmarkEnd w:id="119"/>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spacing w:before="60"/>
        <w:rPr>
          <w:snapToGrid w:val="0"/>
        </w:rPr>
      </w:pPr>
      <w:r>
        <w:rPr>
          <w:snapToGrid w:val="0"/>
        </w:rPr>
        <w:tab/>
        <w:t>(a)</w:t>
      </w:r>
      <w:r>
        <w:rPr>
          <w:snapToGrid w:val="0"/>
        </w:rPr>
        <w:tab/>
        <w:t>any information in his possession which relates to the question; and</w:t>
      </w:r>
    </w:p>
    <w:p>
      <w:pPr>
        <w:pStyle w:val="Indenta"/>
        <w:spacing w:before="60"/>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spacing w:before="100"/>
        <w:ind w:left="890" w:hanging="890"/>
      </w:pPr>
      <w:r>
        <w:tab/>
        <w:t xml:space="preserve">[Section 23N inserted by No. 90 of 1978 s. 7.] </w:t>
      </w:r>
    </w:p>
    <w:p>
      <w:pPr>
        <w:pStyle w:val="Heading5"/>
        <w:rPr>
          <w:snapToGrid w:val="0"/>
        </w:rPr>
      </w:pPr>
      <w:bookmarkStart w:id="120" w:name="_Toc377544324"/>
      <w:bookmarkStart w:id="121" w:name="_Toc473881498"/>
      <w:bookmarkStart w:id="122" w:name="_Toc417652397"/>
      <w:r>
        <w:rPr>
          <w:rStyle w:val="CharSectno"/>
        </w:rPr>
        <w:t>23O</w:t>
      </w:r>
      <w:r>
        <w:rPr>
          <w:snapToGrid w:val="0"/>
        </w:rPr>
        <w:t>.</w:t>
      </w:r>
      <w:r>
        <w:rPr>
          <w:snapToGrid w:val="0"/>
        </w:rPr>
        <w:tab/>
        <w:t>Powers of Committee in investigating referred questions</w:t>
      </w:r>
      <w:bookmarkEnd w:id="120"/>
      <w:bookmarkEnd w:id="121"/>
      <w:bookmarkEnd w:id="122"/>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 and</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ind w:left="890" w:hanging="890"/>
      </w:pPr>
      <w:r>
        <w:tab/>
        <w:t xml:space="preserve">[Section 23O inserted by No. 90 of 1978 s. 7.] </w:t>
      </w:r>
    </w:p>
    <w:p>
      <w:pPr>
        <w:pStyle w:val="Heading5"/>
        <w:keepLines w:val="0"/>
        <w:rPr>
          <w:snapToGrid w:val="0"/>
        </w:rPr>
      </w:pPr>
      <w:bookmarkStart w:id="123" w:name="_Toc377544325"/>
      <w:bookmarkStart w:id="124" w:name="_Toc473881499"/>
      <w:bookmarkStart w:id="125" w:name="_Toc417652398"/>
      <w:r>
        <w:rPr>
          <w:rStyle w:val="CharSectno"/>
        </w:rPr>
        <w:t>23P</w:t>
      </w:r>
      <w:r>
        <w:rPr>
          <w:snapToGrid w:val="0"/>
        </w:rPr>
        <w:t>.</w:t>
      </w:r>
      <w:r>
        <w:rPr>
          <w:snapToGrid w:val="0"/>
        </w:rPr>
        <w:tab/>
        <w:t>Attendance of witnesses and production of documents</w:t>
      </w:r>
      <w:bookmarkEnd w:id="123"/>
      <w:bookmarkEnd w:id="124"/>
      <w:bookmarkEnd w:id="12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rPr>
      </w:pPr>
      <w:r>
        <w:rPr>
          <w:snapToGrid w:val="0"/>
          <w:spacing w:val="-4"/>
        </w:rPr>
        <w:tab/>
        <w:t>(a)</w:t>
      </w:r>
      <w:r>
        <w:rPr>
          <w:snapToGrid w:val="0"/>
          <w:spacing w:val="-4"/>
        </w:rPr>
        <w:tab/>
      </w:r>
      <w:r>
        <w:rPr>
          <w:snapToGrid w:val="0"/>
        </w:rPr>
        <w:t>require any person to attend at a time and place specified in the notice and to give evidence to the Committee or to a member of the Committee nominated by it for the purpose; and</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26" w:name="_Toc377544326"/>
      <w:bookmarkStart w:id="127" w:name="_Toc473881500"/>
      <w:bookmarkStart w:id="128" w:name="_Toc417652399"/>
      <w:r>
        <w:rPr>
          <w:rStyle w:val="CharSectno"/>
        </w:rPr>
        <w:t>23Q</w:t>
      </w:r>
      <w:r>
        <w:rPr>
          <w:snapToGrid w:val="0"/>
        </w:rPr>
        <w:t>.</w:t>
      </w:r>
      <w:r>
        <w:rPr>
          <w:snapToGrid w:val="0"/>
        </w:rPr>
        <w:tab/>
        <w:t>Interim orders</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29" w:name="_Toc377544327"/>
      <w:bookmarkStart w:id="130" w:name="_Toc473881501"/>
      <w:bookmarkStart w:id="131" w:name="_Toc417652400"/>
      <w:r>
        <w:rPr>
          <w:rStyle w:val="CharSectno"/>
        </w:rPr>
        <w:t>23R</w:t>
      </w:r>
      <w:r>
        <w:rPr>
          <w:snapToGrid w:val="0"/>
        </w:rPr>
        <w:t>.</w:t>
      </w:r>
      <w:r>
        <w:rPr>
          <w:snapToGrid w:val="0"/>
        </w:rPr>
        <w:tab/>
        <w:t>Commissioner may make orders prohibiting or restricting supply of goods</w:t>
      </w:r>
      <w:bookmarkEnd w:id="129"/>
      <w:bookmarkEnd w:id="130"/>
      <w:bookmarkEnd w:id="131"/>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spacing w:before="140"/>
        <w:rPr>
          <w:snapToGrid w:val="0"/>
        </w:rPr>
      </w:pPr>
      <w:r>
        <w:rPr>
          <w:snapToGrid w:val="0"/>
        </w:rPr>
        <w:tab/>
        <w:t>(8)</w:t>
      </w:r>
      <w:r>
        <w:rPr>
          <w:snapToGrid w:val="0"/>
        </w:rPr>
        <w:tab/>
        <w:t>Any objection — </w:t>
      </w:r>
    </w:p>
    <w:p>
      <w:pPr>
        <w:pStyle w:val="Indenta"/>
        <w:spacing w:before="60"/>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spacing w:before="60"/>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spacing w:before="130"/>
        <w:rPr>
          <w:snapToGrid w:val="0"/>
        </w:rPr>
      </w:pPr>
      <w:r>
        <w:rPr>
          <w:snapToGrid w:val="0"/>
        </w:rPr>
        <w:tab/>
        <w:t>(9)</w:t>
      </w:r>
      <w:r>
        <w:rPr>
          <w:snapToGrid w:val="0"/>
        </w:rPr>
        <w:tab/>
        <w:t>The Minister may, after considering the objection, — </w:t>
      </w:r>
    </w:p>
    <w:p>
      <w:pPr>
        <w:pStyle w:val="Indenta"/>
        <w:spacing w:before="60"/>
        <w:rPr>
          <w:snapToGrid w:val="0"/>
        </w:rPr>
      </w:pPr>
      <w:r>
        <w:rPr>
          <w:snapToGrid w:val="0"/>
        </w:rPr>
        <w:tab/>
        <w:t>(a)</w:t>
      </w:r>
      <w:r>
        <w:rPr>
          <w:snapToGrid w:val="0"/>
        </w:rPr>
        <w:tab/>
        <w:t>dismiss the objection; or</w:t>
      </w:r>
    </w:p>
    <w:p>
      <w:pPr>
        <w:pStyle w:val="Indenta"/>
        <w:spacing w:before="60"/>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spacing w:before="90"/>
      </w:pPr>
      <w:r>
        <w:tab/>
        <w:t xml:space="preserve">[Section 23R inserted by No. 90 of 1978 s. 7; amended by No. 1 of 1985 s. 13 and 16; No. 69 of 2006 s. 8.] </w:t>
      </w:r>
    </w:p>
    <w:p>
      <w:pPr>
        <w:pStyle w:val="Heading5"/>
        <w:spacing w:before="200"/>
        <w:rPr>
          <w:snapToGrid w:val="0"/>
        </w:rPr>
      </w:pPr>
      <w:bookmarkStart w:id="132" w:name="_Toc377544328"/>
      <w:bookmarkStart w:id="133" w:name="_Toc473881502"/>
      <w:bookmarkStart w:id="134" w:name="_Toc417652401"/>
      <w:r>
        <w:rPr>
          <w:rStyle w:val="CharSectno"/>
        </w:rPr>
        <w:t>23S</w:t>
      </w:r>
      <w:r>
        <w:rPr>
          <w:snapToGrid w:val="0"/>
        </w:rPr>
        <w:t>.</w:t>
      </w:r>
      <w:r>
        <w:rPr>
          <w:snapToGrid w:val="0"/>
        </w:rPr>
        <w:tab/>
        <w:t>Offences</w:t>
      </w:r>
      <w:bookmarkEnd w:id="132"/>
      <w:bookmarkEnd w:id="133"/>
      <w:bookmarkEnd w:id="134"/>
      <w:r>
        <w:rPr>
          <w:snapToGrid w:val="0"/>
        </w:rPr>
        <w:t xml:space="preserve"> </w:t>
      </w:r>
    </w:p>
    <w:p>
      <w:pPr>
        <w:pStyle w:val="Subsection"/>
        <w:spacing w:before="130"/>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spacing w:before="100"/>
      </w:pPr>
      <w:r>
        <w:tab/>
        <w:t xml:space="preserve">[Section 23S inserted by No. 90 of 1978 s. 7.] </w:t>
      </w:r>
    </w:p>
    <w:p>
      <w:pPr>
        <w:pStyle w:val="Heading5"/>
        <w:spacing w:before="200"/>
        <w:rPr>
          <w:snapToGrid w:val="0"/>
        </w:rPr>
      </w:pPr>
      <w:bookmarkStart w:id="135" w:name="_Toc377544329"/>
      <w:bookmarkStart w:id="136" w:name="_Toc473881503"/>
      <w:bookmarkStart w:id="137" w:name="_Toc417652402"/>
      <w:r>
        <w:rPr>
          <w:rStyle w:val="CharSectno"/>
        </w:rPr>
        <w:t>23T</w:t>
      </w:r>
      <w:r>
        <w:rPr>
          <w:snapToGrid w:val="0"/>
        </w:rPr>
        <w:t>.</w:t>
      </w:r>
      <w:r>
        <w:rPr>
          <w:snapToGrid w:val="0"/>
        </w:rPr>
        <w:tab/>
        <w:t>Breach of duty actionable</w:t>
      </w:r>
      <w:bookmarkEnd w:id="135"/>
      <w:bookmarkEnd w:id="136"/>
      <w:bookmarkEnd w:id="137"/>
    </w:p>
    <w:p>
      <w:pPr>
        <w:pStyle w:val="Subsection"/>
        <w:spacing w:before="130"/>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spacing w:before="100"/>
      </w:pPr>
      <w:r>
        <w:tab/>
        <w:t xml:space="preserve">[Section 23T inserted by No. 90 of 1978 s. 7.] </w:t>
      </w:r>
    </w:p>
    <w:p>
      <w:pPr>
        <w:pStyle w:val="Heading3"/>
        <w:rPr>
          <w:snapToGrid w:val="0"/>
        </w:rPr>
      </w:pPr>
      <w:bookmarkStart w:id="138" w:name="_Toc377544330"/>
      <w:bookmarkStart w:id="139" w:name="_Toc415654298"/>
      <w:bookmarkStart w:id="140" w:name="_Toc415654364"/>
      <w:bookmarkStart w:id="141" w:name="_Toc417652403"/>
      <w:bookmarkStart w:id="142" w:name="_Toc473881504"/>
      <w:r>
        <w:rPr>
          <w:rStyle w:val="CharDivNo"/>
        </w:rPr>
        <w:t>Division 3</w:t>
      </w:r>
      <w:r>
        <w:rPr>
          <w:snapToGrid w:val="0"/>
        </w:rPr>
        <w:t> — </w:t>
      </w:r>
      <w:r>
        <w:rPr>
          <w:rStyle w:val="CharDivText"/>
        </w:rPr>
        <w:t>Imposition of safety requirements by regulation</w:t>
      </w:r>
      <w:bookmarkEnd w:id="138"/>
      <w:bookmarkEnd w:id="139"/>
      <w:bookmarkEnd w:id="140"/>
      <w:bookmarkEnd w:id="141"/>
      <w:bookmarkEnd w:id="14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3" w:name="_Toc377544331"/>
      <w:bookmarkStart w:id="144" w:name="_Toc473881505"/>
      <w:bookmarkStart w:id="145" w:name="_Toc417652404"/>
      <w:r>
        <w:rPr>
          <w:rStyle w:val="CharSectno"/>
        </w:rPr>
        <w:t>23U</w:t>
      </w:r>
      <w:r>
        <w:rPr>
          <w:snapToGrid w:val="0"/>
        </w:rPr>
        <w:t>.</w:t>
      </w:r>
      <w:r>
        <w:rPr>
          <w:snapToGrid w:val="0"/>
        </w:rPr>
        <w:tab/>
        <w:t>Regulations for safety requirements</w:t>
      </w:r>
      <w:bookmarkEnd w:id="143"/>
      <w:bookmarkEnd w:id="144"/>
      <w:bookmarkEnd w:id="145"/>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46" w:name="_Toc377544332"/>
      <w:bookmarkStart w:id="147" w:name="_Toc473881506"/>
      <w:bookmarkStart w:id="148" w:name="_Toc417652405"/>
      <w:r>
        <w:rPr>
          <w:rStyle w:val="CharSectno"/>
        </w:rPr>
        <w:t>23V</w:t>
      </w:r>
      <w:r>
        <w:rPr>
          <w:snapToGrid w:val="0"/>
        </w:rPr>
        <w:t>.</w:t>
      </w:r>
      <w:r>
        <w:rPr>
          <w:snapToGrid w:val="0"/>
        </w:rPr>
        <w:tab/>
        <w:t>Prohibition on supply of goods not complying with regulations</w:t>
      </w:r>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49" w:name="_Toc377544333"/>
      <w:bookmarkStart w:id="150" w:name="_Toc473881507"/>
      <w:bookmarkStart w:id="151" w:name="_Toc417652406"/>
      <w:r>
        <w:rPr>
          <w:rStyle w:val="CharSectno"/>
        </w:rPr>
        <w:t>23W</w:t>
      </w:r>
      <w:r>
        <w:rPr>
          <w:snapToGrid w:val="0"/>
        </w:rPr>
        <w:t>.</w:t>
      </w:r>
      <w:r>
        <w:rPr>
          <w:snapToGrid w:val="0"/>
        </w:rPr>
        <w:tab/>
        <w:t>Breach of duty actionable</w:t>
      </w:r>
      <w:bookmarkEnd w:id="149"/>
      <w:bookmarkEnd w:id="150"/>
      <w:bookmarkEnd w:id="151"/>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52" w:name="_Toc377544334"/>
      <w:bookmarkStart w:id="153" w:name="_Toc415654302"/>
      <w:bookmarkStart w:id="154" w:name="_Toc415654368"/>
      <w:bookmarkStart w:id="155" w:name="_Toc417652407"/>
      <w:bookmarkStart w:id="156" w:name="_Toc473881508"/>
      <w:r>
        <w:rPr>
          <w:rStyle w:val="CharDivNo"/>
        </w:rPr>
        <w:t>Division 4</w:t>
      </w:r>
      <w:r>
        <w:rPr>
          <w:snapToGrid w:val="0"/>
        </w:rPr>
        <w:t> — </w:t>
      </w:r>
      <w:r>
        <w:rPr>
          <w:rStyle w:val="CharDivText"/>
        </w:rPr>
        <w:t>General</w:t>
      </w:r>
      <w:bookmarkEnd w:id="152"/>
      <w:bookmarkEnd w:id="153"/>
      <w:bookmarkEnd w:id="154"/>
      <w:bookmarkEnd w:id="155"/>
      <w:bookmarkEnd w:id="156"/>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57" w:name="_Toc377544335"/>
      <w:bookmarkStart w:id="158" w:name="_Toc473881509"/>
      <w:bookmarkStart w:id="159" w:name="_Toc417652408"/>
      <w:r>
        <w:rPr>
          <w:rStyle w:val="CharSectno"/>
        </w:rPr>
        <w:t>23X</w:t>
      </w:r>
      <w:r>
        <w:rPr>
          <w:snapToGrid w:val="0"/>
        </w:rPr>
        <w:t>.</w:t>
      </w:r>
      <w:r>
        <w:rPr>
          <w:snapToGrid w:val="0"/>
        </w:rPr>
        <w:tab/>
        <w:t>Authorised persons</w:t>
      </w:r>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inspect any such goods or component parts in that place; and</w:t>
      </w:r>
    </w:p>
    <w:p>
      <w:pPr>
        <w:pStyle w:val="Indenta"/>
        <w:rPr>
          <w:snapToGrid w:val="0"/>
        </w:rPr>
      </w:pPr>
      <w:r>
        <w:rPr>
          <w:snapToGrid w:val="0"/>
        </w:rPr>
        <w:tab/>
        <w:t>(c)</w:t>
      </w:r>
      <w:r>
        <w:rPr>
          <w:snapToGrid w:val="0"/>
        </w:rPr>
        <w:tab/>
        <w:t>take any such goods, or any component part apparently intended for, but not embodied in, any such goods, found in any such place; and</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60" w:name="_Toc377544336"/>
      <w:bookmarkStart w:id="161" w:name="_Toc473881510"/>
      <w:bookmarkStart w:id="162" w:name="_Toc417652409"/>
      <w:r>
        <w:rPr>
          <w:rStyle w:val="CharSectno"/>
        </w:rPr>
        <w:t>23Y</w:t>
      </w:r>
      <w:r>
        <w:rPr>
          <w:snapToGrid w:val="0"/>
        </w:rPr>
        <w:t>.</w:t>
      </w:r>
      <w:r>
        <w:rPr>
          <w:snapToGrid w:val="0"/>
        </w:rPr>
        <w:tab/>
        <w:t>Offences</w:t>
      </w:r>
      <w:bookmarkEnd w:id="160"/>
      <w:bookmarkEnd w:id="161"/>
      <w:bookmarkEnd w:id="162"/>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63" w:name="_Toc377544337"/>
      <w:bookmarkStart w:id="164" w:name="_Toc415654305"/>
      <w:bookmarkStart w:id="165" w:name="_Toc415654371"/>
      <w:bookmarkStart w:id="166" w:name="_Toc417652410"/>
      <w:bookmarkStart w:id="167" w:name="_Toc473881511"/>
      <w:r>
        <w:rPr>
          <w:rStyle w:val="CharPartNo"/>
        </w:rPr>
        <w:t>Part IV</w:t>
      </w:r>
      <w:r>
        <w:rPr>
          <w:rStyle w:val="CharDivNo"/>
        </w:rPr>
        <w:t> </w:t>
      </w:r>
      <w:r>
        <w:t>—</w:t>
      </w:r>
      <w:r>
        <w:rPr>
          <w:rStyle w:val="CharDivText"/>
        </w:rPr>
        <w:t> </w:t>
      </w:r>
      <w:r>
        <w:rPr>
          <w:rStyle w:val="CharPartText"/>
        </w:rPr>
        <w:t>Miscellaneous</w:t>
      </w:r>
      <w:bookmarkEnd w:id="163"/>
      <w:bookmarkEnd w:id="164"/>
      <w:bookmarkEnd w:id="165"/>
      <w:bookmarkEnd w:id="166"/>
      <w:bookmarkEnd w:id="167"/>
      <w:r>
        <w:rPr>
          <w:rStyle w:val="CharPartText"/>
        </w:rPr>
        <w:t xml:space="preserve"> </w:t>
      </w:r>
    </w:p>
    <w:p>
      <w:pPr>
        <w:pStyle w:val="Heading5"/>
      </w:pPr>
      <w:bookmarkStart w:id="168" w:name="_Toc377544338"/>
      <w:bookmarkStart w:id="169" w:name="_Toc473881512"/>
      <w:bookmarkStart w:id="170" w:name="_Toc417652411"/>
      <w:r>
        <w:rPr>
          <w:rStyle w:val="CharSectno"/>
        </w:rPr>
        <w:t>24</w:t>
      </w:r>
      <w:r>
        <w:t>.</w:t>
      </w:r>
      <w:r>
        <w:tab/>
        <w:t>Information officially obtained to be confidential</w:t>
      </w:r>
      <w:bookmarkEnd w:id="168"/>
      <w:bookmarkEnd w:id="169"/>
      <w:bookmarkEnd w:id="170"/>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 xml:space="preserve">under this Act or </w:t>
      </w:r>
      <w:r>
        <w:rPr>
          <w:snapToGrid w:val="0"/>
        </w:rPr>
        <w:t>any other Act</w:t>
      </w:r>
      <w:r>
        <w: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71" w:name="_Toc377544339"/>
      <w:bookmarkStart w:id="172" w:name="_Toc473881513"/>
      <w:bookmarkStart w:id="173" w:name="_Toc417652412"/>
      <w:r>
        <w:rPr>
          <w:rStyle w:val="CharSectno"/>
        </w:rPr>
        <w:t>25</w:t>
      </w:r>
      <w:r>
        <w:rPr>
          <w:snapToGrid w:val="0"/>
        </w:rPr>
        <w:t>.</w:t>
      </w:r>
      <w:r>
        <w:rPr>
          <w:snapToGrid w:val="0"/>
        </w:rPr>
        <w:tab/>
        <w:t>Liability of members, officers and Crown</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74" w:name="_Toc377544340"/>
      <w:bookmarkStart w:id="175" w:name="_Toc473881514"/>
      <w:bookmarkStart w:id="176" w:name="_Toc417652413"/>
      <w:r>
        <w:rPr>
          <w:rStyle w:val="CharSectno"/>
        </w:rPr>
        <w:t>25A</w:t>
      </w:r>
      <w:r>
        <w:rPr>
          <w:snapToGrid w:val="0"/>
        </w:rPr>
        <w:t>.</w:t>
      </w:r>
      <w:r>
        <w:rPr>
          <w:snapToGrid w:val="0"/>
        </w:rPr>
        <w:tab/>
        <w:t>Advertisements not to imply approval by Committee, Department or other authority</w:t>
      </w:r>
      <w:bookmarkEnd w:id="174"/>
      <w:bookmarkEnd w:id="175"/>
      <w:bookmarkEnd w:id="176"/>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spacing w:before="100"/>
      </w:pPr>
      <w:r>
        <w:rPr>
          <w:b/>
        </w:rPr>
        <w:tab/>
      </w:r>
      <w:r>
        <w:rPr>
          <w:rStyle w:val="CharDefText"/>
        </w:rPr>
        <w:t>consumer affairs authority</w:t>
      </w:r>
      <w:r>
        <w:t xml:space="preserve"> means — </w:t>
      </w:r>
    </w:p>
    <w:p>
      <w:pPr>
        <w:pStyle w:val="Defpara"/>
        <w:spacing w:before="100"/>
      </w:pPr>
      <w:r>
        <w:tab/>
        <w:t>(a)</w:t>
      </w:r>
      <w:r>
        <w:tab/>
        <w:t>the Committee, the Department or the Commissioner; or</w:t>
      </w:r>
    </w:p>
    <w:p>
      <w:pPr>
        <w:pStyle w:val="Defpara"/>
        <w:spacing w:before="100"/>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spacing w:before="100"/>
      </w:pPr>
      <w:r>
        <w:tab/>
        <w:t>and includes — </w:t>
      </w:r>
    </w:p>
    <w:p>
      <w:pPr>
        <w:pStyle w:val="Defpara"/>
        <w:spacing w:before="100"/>
      </w:pPr>
      <w:r>
        <w:tab/>
        <w:t>(c)</w:t>
      </w:r>
      <w:r>
        <w:tab/>
        <w:t>the Chairman of the Committee or any other member of the Committee;</w:t>
      </w:r>
    </w:p>
    <w:p>
      <w:pPr>
        <w:pStyle w:val="Defpara"/>
        <w:spacing w:before="100"/>
      </w:pPr>
      <w:r>
        <w:tab/>
        <w:t>(d)</w:t>
      </w:r>
      <w:r>
        <w:tab/>
        <w:t>any officer of the Department;</w:t>
      </w:r>
    </w:p>
    <w:p>
      <w:pPr>
        <w:pStyle w:val="Defpara"/>
        <w:spacing w:before="100"/>
      </w:pPr>
      <w:r>
        <w:tab/>
        <w:t>(e)</w:t>
      </w:r>
      <w:r>
        <w:tab/>
        <w:t>any officer or employee of a statutory body or authority referred to in paragraph (b) of this definition;</w:t>
      </w:r>
    </w:p>
    <w:p>
      <w:pPr>
        <w:pStyle w:val="Defstart"/>
        <w:spacing w:before="100"/>
      </w:pPr>
      <w:r>
        <w:rPr>
          <w:b/>
        </w:rPr>
        <w:tab/>
      </w:r>
      <w:r>
        <w:rPr>
          <w:rStyle w:val="CharDefText"/>
        </w:rPr>
        <w:t>published</w:t>
      </w:r>
      <w:r>
        <w:t xml:space="preserve"> includes — </w:t>
      </w:r>
    </w:p>
    <w:p>
      <w:pPr>
        <w:pStyle w:val="Defpara"/>
        <w:spacing w:before="100"/>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or</w:t>
      </w:r>
    </w:p>
    <w:p>
      <w:pPr>
        <w:pStyle w:val="Defpara"/>
        <w:spacing w:before="100"/>
      </w:pPr>
      <w:r>
        <w:tab/>
        <w:t>(b)</w:t>
      </w:r>
      <w:r>
        <w:tab/>
        <w:t>publicly exhibited — </w:t>
      </w:r>
    </w:p>
    <w:p>
      <w:pPr>
        <w:pStyle w:val="Defsubpara"/>
        <w:spacing w:before="100"/>
      </w:pPr>
      <w:r>
        <w:tab/>
        <w:t>(i)</w:t>
      </w:r>
      <w:r>
        <w:tab/>
        <w:t>in, on, over or under any building, vehicle, or place (whether a public place or private place, and whether on land or water); or</w:t>
      </w:r>
    </w:p>
    <w:p>
      <w:pPr>
        <w:pStyle w:val="Defsubpara"/>
        <w:spacing w:before="100"/>
      </w:pPr>
      <w:r>
        <w:tab/>
        <w:t>(ii)</w:t>
      </w:r>
      <w:r>
        <w:tab/>
        <w:t>in the air,</w:t>
      </w:r>
    </w:p>
    <w:p>
      <w:pPr>
        <w:pStyle w:val="Defpara"/>
        <w:spacing w:before="100"/>
      </w:pPr>
      <w:r>
        <w:tab/>
      </w:r>
      <w:r>
        <w:tab/>
        <w:t>in view of persons being or passing in or on any public place; or</w:t>
      </w:r>
    </w:p>
    <w:p>
      <w:pPr>
        <w:pStyle w:val="Defpara"/>
        <w:spacing w:before="100"/>
      </w:pPr>
      <w:r>
        <w:tab/>
        <w:t>(c)</w:t>
      </w:r>
      <w:r>
        <w:tab/>
        <w:t>contained in any document gratuitously sent or delivered to any person or thrown or left upon premises in the occupation of any person; or</w:t>
      </w:r>
    </w:p>
    <w:p>
      <w:pPr>
        <w:pStyle w:val="Defpara"/>
        <w:spacing w:before="100"/>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77" w:name="_Toc377544341"/>
      <w:bookmarkStart w:id="178" w:name="_Toc473881515"/>
      <w:bookmarkStart w:id="179" w:name="_Toc417652414"/>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7"/>
      <w:bookmarkEnd w:id="178"/>
      <w:bookmarkEnd w:id="179"/>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Sch. 1 cl. 32.] </w:t>
      </w:r>
    </w:p>
    <w:p>
      <w:pPr>
        <w:pStyle w:val="Heading5"/>
        <w:rPr>
          <w:snapToGrid w:val="0"/>
        </w:rPr>
      </w:pPr>
      <w:bookmarkStart w:id="180" w:name="_Toc377544342"/>
      <w:bookmarkStart w:id="181" w:name="_Toc473881516"/>
      <w:bookmarkStart w:id="182" w:name="_Toc417652415"/>
      <w:r>
        <w:rPr>
          <w:rStyle w:val="CharSectno"/>
        </w:rPr>
        <w:t>27</w:t>
      </w:r>
      <w:r>
        <w:rPr>
          <w:snapToGrid w:val="0"/>
        </w:rPr>
        <w:t>.</w:t>
      </w:r>
      <w:r>
        <w:rPr>
          <w:snapToGrid w:val="0"/>
        </w:rPr>
        <w:tab/>
        <w:t>Regulations</w:t>
      </w:r>
      <w:bookmarkEnd w:id="180"/>
      <w:bookmarkEnd w:id="181"/>
      <w:bookmarkEnd w:id="182"/>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3" w:name="_Toc473881517"/>
      <w:bookmarkStart w:id="184" w:name="_Toc377544343"/>
      <w:bookmarkStart w:id="185" w:name="_Toc415654311"/>
      <w:bookmarkStart w:id="186" w:name="_Toc415654377"/>
      <w:bookmarkStart w:id="187" w:name="_Toc417652416"/>
      <w:bookmarkStart w:id="188" w:name="_Toc377544344"/>
      <w:bookmarkStart w:id="189" w:name="_Toc415654312"/>
      <w:bookmarkStart w:id="190" w:name="_Toc415654378"/>
      <w:bookmarkStart w:id="191" w:name="_Toc417652417"/>
      <w:r>
        <w:rPr>
          <w:rStyle w:val="CharSchNo"/>
        </w:rPr>
        <w:t>Schedule</w:t>
      </w:r>
      <w:r>
        <w:t> — </w:t>
      </w:r>
      <w:r>
        <w:rPr>
          <w:rStyle w:val="CharSchText"/>
        </w:rPr>
        <w:t>Acts prohibiting or regulating the supply of goods</w:t>
      </w:r>
      <w:bookmarkEnd w:id="183"/>
      <w:bookmarkEnd w:id="184"/>
      <w:bookmarkEnd w:id="185"/>
      <w:bookmarkEnd w:id="186"/>
      <w:bookmarkEnd w:id="187"/>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snapToGrid w:val="0"/>
        </w:rPr>
      </w:pPr>
      <w:r>
        <w:rPr>
          <w:i/>
          <w:snapToGrid w:val="0"/>
        </w:rPr>
        <w:t xml:space="preserve">Agricultural Products Act 1929 </w:t>
      </w:r>
      <w:r>
        <w:rPr>
          <w:snapToGrid w:val="0"/>
          <w:vertAlign w:val="superscript"/>
        </w:rPr>
        <w:t>2</w:t>
      </w:r>
      <w:r>
        <w:rPr>
          <w:snapToGrid w:val="0"/>
        </w:rPr>
        <w:t>.</w:t>
      </w:r>
    </w:p>
    <w:p>
      <w:pPr>
        <w:pStyle w:val="yMiscellaneousBody"/>
        <w:spacing w:before="60"/>
        <w:rPr>
          <w:snapToGrid w:val="0"/>
        </w:rPr>
      </w:pPr>
      <w:r>
        <w:rPr>
          <w:i/>
          <w:snapToGrid w:val="0"/>
        </w:rPr>
        <w:t>Agriculture and Related Resources Protection Act 1976</w:t>
      </w:r>
      <w:r>
        <w:rPr>
          <w:snapToGrid w:val="0"/>
        </w:rPr>
        <w:t>.</w:t>
      </w:r>
    </w:p>
    <w:p>
      <w:pPr>
        <w:pStyle w:val="yMiscellaneousBody"/>
        <w:spacing w:before="60"/>
        <w:rPr>
          <w:snapToGrid w:val="0"/>
        </w:rPr>
      </w:pPr>
      <w:r>
        <w:rPr>
          <w:i/>
          <w:snapToGrid w:val="0"/>
        </w:rPr>
        <w:t xml:space="preserve">Clothes and Fabrics (Labelling and Sales) Act 1973 </w:t>
      </w:r>
      <w:r>
        <w:rPr>
          <w:snapToGrid w:val="0"/>
          <w:vertAlign w:val="superscript"/>
        </w:rPr>
        <w:t>3</w:t>
      </w:r>
      <w:r>
        <w:rPr>
          <w:snapToGrid w:val="0"/>
        </w:rPr>
        <w:t>.</w:t>
      </w:r>
    </w:p>
    <w:p>
      <w:pPr>
        <w:pStyle w:val="yMiscellaneousBody"/>
        <w:spacing w:before="60"/>
        <w:rPr>
          <w:snapToGrid w:val="0"/>
        </w:rPr>
      </w:pPr>
      <w:r>
        <w:rPr>
          <w:i/>
          <w:snapToGrid w:val="0"/>
        </w:rPr>
        <w:t xml:space="preserve">Construction Safety Act 1972 </w:t>
      </w:r>
      <w:r>
        <w:rPr>
          <w:snapToGrid w:val="0"/>
          <w:vertAlign w:val="superscript"/>
        </w:rPr>
        <w:t>4</w:t>
      </w:r>
      <w:r>
        <w:rPr>
          <w:snapToGrid w:val="0"/>
        </w:rPr>
        <w:t>.</w:t>
      </w:r>
    </w:p>
    <w:p>
      <w:pPr>
        <w:pStyle w:val="yMiscellaneousBody"/>
        <w:spacing w:before="60"/>
        <w:rPr>
          <w:snapToGrid w:val="0"/>
        </w:rPr>
      </w:pPr>
      <w:r>
        <w:rPr>
          <w:i/>
          <w:snapToGrid w:val="0"/>
        </w:rPr>
        <w:t>Dangerous Goods Safety Act 2004</w:t>
      </w:r>
      <w:r>
        <w:rPr>
          <w:snapToGrid w:val="0"/>
        </w:rPr>
        <w:t>.</w:t>
      </w:r>
    </w:p>
    <w:p>
      <w:pPr>
        <w:pStyle w:val="yMiscellaneousBody"/>
        <w:spacing w:before="60"/>
        <w:rPr>
          <w:snapToGrid w:val="0"/>
        </w:rPr>
      </w:pPr>
      <w:r>
        <w:rPr>
          <w:i/>
          <w:snapToGrid w:val="0"/>
        </w:rPr>
        <w:t xml:space="preserve">Fertilizers Act 1977 </w:t>
      </w:r>
      <w:r>
        <w:rPr>
          <w:snapToGrid w:val="0"/>
          <w:vertAlign w:val="superscript"/>
        </w:rPr>
        <w:t>2</w:t>
      </w:r>
      <w:r>
        <w:rPr>
          <w:snapToGrid w:val="0"/>
        </w:rPr>
        <w:t>.</w:t>
      </w:r>
    </w:p>
    <w:p>
      <w:pPr>
        <w:pStyle w:val="yMiscellaneousBody"/>
        <w:spacing w:before="60"/>
        <w:rPr>
          <w:snapToGrid w:val="0"/>
        </w:rPr>
      </w:pPr>
      <w:r>
        <w:rPr>
          <w:i/>
          <w:snapToGrid w:val="0"/>
        </w:rPr>
        <w:t xml:space="preserve">Filled Milk Act 1959 </w:t>
      </w:r>
      <w:r>
        <w:rPr>
          <w:snapToGrid w:val="0"/>
          <w:vertAlign w:val="superscript"/>
        </w:rPr>
        <w:t>5</w:t>
      </w:r>
      <w:r>
        <w:rPr>
          <w:snapToGrid w:val="0"/>
        </w:rPr>
        <w:t>.</w:t>
      </w:r>
    </w:p>
    <w:p>
      <w:pPr>
        <w:pStyle w:val="yMiscellaneousBody"/>
        <w:spacing w:before="60"/>
        <w:rPr>
          <w:snapToGrid w:val="0"/>
        </w:rPr>
      </w:pPr>
      <w:r>
        <w:rPr>
          <w:i/>
          <w:snapToGrid w:val="0"/>
        </w:rPr>
        <w:t>Firearms Act 1973</w:t>
      </w:r>
      <w:r>
        <w:rPr>
          <w:snapToGrid w:val="0"/>
        </w:rPr>
        <w:t>.</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snapToGrid w:val="0"/>
        </w:rPr>
      </w:pPr>
      <w:r>
        <w:rPr>
          <w:i/>
          <w:snapToGrid w:val="0"/>
        </w:rPr>
        <w:t>Health Act 1911</w:t>
      </w:r>
      <w:r>
        <w:rPr>
          <w:snapToGrid w:val="0"/>
        </w:rPr>
        <w:t>.</w:t>
      </w:r>
    </w:p>
    <w:p>
      <w:pPr>
        <w:pStyle w:val="yMiscellaneousBody"/>
        <w:spacing w:before="60"/>
        <w:rPr>
          <w:snapToGrid w:val="0"/>
        </w:rPr>
      </w:pPr>
      <w:r>
        <w:rPr>
          <w:i/>
          <w:snapToGrid w:val="0"/>
        </w:rPr>
        <w:t xml:space="preserve">Margarine Act 1940 </w:t>
      </w:r>
      <w:r>
        <w:rPr>
          <w:snapToGrid w:val="0"/>
          <w:vertAlign w:val="superscript"/>
        </w:rPr>
        <w:t>7</w:t>
      </w:r>
      <w:r>
        <w:rPr>
          <w:snapToGrid w:val="0"/>
        </w:rPr>
        <w:t>.</w:t>
      </w:r>
    </w:p>
    <w:p>
      <w:pPr>
        <w:pStyle w:val="yMiscellaneousBody"/>
        <w:spacing w:before="60"/>
        <w:rPr>
          <w:i/>
          <w:snapToGrid w:val="0"/>
        </w:rPr>
      </w:pPr>
      <w:r>
        <w:rPr>
          <w:i/>
          <w:snapToGrid w:val="0"/>
        </w:rPr>
        <w:t>Mines Safety and Inspection Act 1994.</w:t>
      </w:r>
    </w:p>
    <w:p>
      <w:pPr>
        <w:pStyle w:val="yMiscellaneousBody"/>
        <w:spacing w:before="60"/>
        <w:rPr>
          <w:snapToGrid w:val="0"/>
        </w:rPr>
      </w:pPr>
      <w:r>
        <w:rPr>
          <w:i/>
          <w:snapToGrid w:val="0"/>
        </w:rPr>
        <w:t>Motor Vehicle Dealers Act 1973</w:t>
      </w:r>
      <w:r>
        <w:rPr>
          <w:snapToGrid w:val="0"/>
        </w:rPr>
        <w:t>.</w:t>
      </w:r>
    </w:p>
    <w:p>
      <w:pPr>
        <w:pStyle w:val="yMiscellaneousBody"/>
        <w:spacing w:before="60"/>
        <w:rPr>
          <w:i/>
          <w:snapToGrid w:val="0"/>
        </w:rPr>
      </w:pPr>
      <w:r>
        <w:rPr>
          <w:i/>
          <w:snapToGrid w:val="0"/>
        </w:rPr>
        <w:t xml:space="preserve">Plant Diseases Act 1914 </w:t>
      </w:r>
      <w:r>
        <w:rPr>
          <w:snapToGrid w:val="0"/>
          <w:vertAlign w:val="superscript"/>
        </w:rPr>
        <w:t>2</w:t>
      </w:r>
      <w:r>
        <w:rPr>
          <w:i/>
          <w:snapToGrid w:val="0"/>
        </w:rPr>
        <w:t>.</w:t>
      </w:r>
    </w:p>
    <w:p>
      <w:pPr>
        <w:pStyle w:val="yMiscellaneousBody"/>
        <w:spacing w:before="60"/>
        <w:rPr>
          <w:snapToGrid w:val="0"/>
        </w:rPr>
      </w:pPr>
      <w:r>
        <w:rPr>
          <w:i/>
          <w:snapToGrid w:val="0"/>
        </w:rPr>
        <w:t>Poisons Act 1964</w:t>
      </w:r>
      <w:r>
        <w:rPr>
          <w:snapToGrid w:val="0"/>
        </w:rPr>
        <w:t>.</w:t>
      </w:r>
    </w:p>
    <w:p>
      <w:pPr>
        <w:pStyle w:val="yMiscellaneousBody"/>
        <w:spacing w:before="60"/>
        <w:rPr>
          <w:snapToGrid w:val="0"/>
        </w:rPr>
      </w:pPr>
      <w:r>
        <w:rPr>
          <w:i/>
          <w:snapToGrid w:val="0"/>
        </w:rPr>
        <w:t>Radiation Safety Act 1975</w:t>
      </w:r>
      <w:r>
        <w:rPr>
          <w:snapToGrid w:val="0"/>
        </w:rPr>
        <w:t>.</w:t>
      </w:r>
    </w:p>
    <w:p>
      <w:pPr>
        <w:pStyle w:val="yMiscellaneousBody"/>
        <w:spacing w:before="60"/>
        <w:rPr>
          <w:i/>
          <w:snapToGrid w:val="0"/>
        </w:rPr>
      </w:pPr>
      <w:r>
        <w:rPr>
          <w:i/>
          <w:snapToGrid w:val="0"/>
        </w:rPr>
        <w:t>Road Traffic (Administration) Act 2008.</w:t>
      </w:r>
    </w:p>
    <w:p>
      <w:pPr>
        <w:pStyle w:val="yMiscellaneousBody"/>
        <w:spacing w:before="60"/>
        <w:rPr>
          <w:i/>
          <w:snapToGrid w:val="0"/>
        </w:rPr>
      </w:pPr>
      <w:r>
        <w:rPr>
          <w:i/>
          <w:snapToGrid w:val="0"/>
        </w:rPr>
        <w:t>Road Traffic (Authorisation to Drive) Act 2008.</w:t>
      </w:r>
    </w:p>
    <w:p>
      <w:pPr>
        <w:pStyle w:val="yMiscellaneousBody"/>
        <w:spacing w:before="60"/>
        <w:rPr>
          <w:i/>
          <w:snapToGrid w:val="0"/>
        </w:rPr>
      </w:pPr>
      <w:r>
        <w:rPr>
          <w:i/>
          <w:snapToGrid w:val="0"/>
        </w:rPr>
        <w:t>Road Traffic (Vehicles) Act 2012.</w:t>
      </w:r>
    </w:p>
    <w:p>
      <w:pPr>
        <w:pStyle w:val="yMiscellaneousBody"/>
        <w:spacing w:before="60"/>
        <w:rPr>
          <w:snapToGrid w:val="0"/>
        </w:rPr>
      </w:pPr>
      <w:r>
        <w:rPr>
          <w:i/>
          <w:snapToGrid w:val="0"/>
        </w:rPr>
        <w:t>Road Traffic Act 1974</w:t>
      </w:r>
      <w:r>
        <w:rPr>
          <w:snapToGrid w:val="0"/>
        </w:rPr>
        <w:t>.</w:t>
      </w:r>
    </w:p>
    <w:p>
      <w:pPr>
        <w:pStyle w:val="yMiscellaneousBody"/>
        <w:spacing w:before="60"/>
        <w:rPr>
          <w:i/>
          <w:snapToGrid w:val="0"/>
        </w:rPr>
      </w:pPr>
      <w:r>
        <w:rPr>
          <w:i/>
          <w:snapToGrid w:val="0"/>
        </w:rPr>
        <w:t xml:space="preserve">Seeds Act 1981 </w:t>
      </w:r>
      <w:r>
        <w:rPr>
          <w:snapToGrid w:val="0"/>
          <w:vertAlign w:val="superscript"/>
        </w:rPr>
        <w:t>2</w:t>
      </w:r>
      <w:r>
        <w:rPr>
          <w:i/>
          <w:snapToGrid w:val="0"/>
        </w:rPr>
        <w:t>.</w:t>
      </w:r>
    </w:p>
    <w:p>
      <w:pPr>
        <w:pStyle w:val="yMiscellaneousBody"/>
        <w:spacing w:before="60"/>
        <w:rPr>
          <w:snapToGrid w:val="0"/>
        </w:rPr>
      </w:pPr>
      <w:r>
        <w:rPr>
          <w:i/>
          <w:snapToGrid w:val="0"/>
        </w:rPr>
        <w:t>Spear</w:t>
      </w:r>
      <w:r>
        <w:rPr>
          <w:i/>
          <w:snapToGrid w:val="0"/>
        </w:rPr>
        <w:noBreakHyphen/>
        <w:t>guns Control Act 1955</w:t>
      </w:r>
      <w:r>
        <w:rPr>
          <w:snapToGrid w:val="0"/>
        </w:rPr>
        <w:t>.</w:t>
      </w:r>
    </w:p>
    <w:p>
      <w:pPr>
        <w:pStyle w:val="yMiscellaneousBody"/>
        <w:spacing w:before="60"/>
        <w:rPr>
          <w:snapToGrid w:val="0"/>
        </w:rPr>
      </w:pPr>
      <w:r>
        <w:rPr>
          <w:i/>
          <w:snapToGrid w:val="0"/>
        </w:rPr>
        <w:t>Veterinary Chemical Control and Animal Feeding Stuffs Act 1976</w:t>
      </w:r>
      <w:r>
        <w:rPr>
          <w:snapToGrid w:val="0"/>
        </w:rPr>
        <w:t>.</w:t>
      </w:r>
    </w:p>
    <w:p>
      <w:pPr>
        <w:pStyle w:val="yFootnotesection"/>
      </w:pPr>
      <w:r>
        <w:tab/>
        <w:t xml:space="preserve">[Schedule inserted by No. 90 of 1978 s. 9; amended by No. 62 of 1994 s. 109; No. 24 of 2000 s. 3(7); No. 70 of 2003 s. 3(2); No. 7 of 2004 s. 70; No. 76 of 2004 s. 4(2); No. 12 of 2006 s. 37; No. 54 of 2010 s. 9; No. 8 of 2012 s. 61.]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3" w:name="_Toc473881518"/>
      <w:r>
        <w:t>Notes</w:t>
      </w:r>
      <w:bookmarkEnd w:id="188"/>
      <w:bookmarkEnd w:id="189"/>
      <w:bookmarkEnd w:id="190"/>
      <w:bookmarkEnd w:id="191"/>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xml:space="preserve"> </w:t>
      </w:r>
      <w:r>
        <w:rPr>
          <w:iCs/>
          <w:snapToGrid w:val="0"/>
          <w:sz w:val="19"/>
          <w:vertAlign w:val="superscript"/>
        </w:rPr>
        <w:t>8</w:t>
      </w:r>
      <w:r>
        <w:rPr>
          <w:snapToGrid w:val="0"/>
        </w:rPr>
        <w:t>.  The table also contains information about any reprint.</w:t>
      </w:r>
    </w:p>
    <w:p>
      <w:pPr>
        <w:pStyle w:val="nHeading3"/>
        <w:rPr>
          <w:snapToGrid w:val="0"/>
        </w:rPr>
      </w:pPr>
      <w:bookmarkStart w:id="194" w:name="_Toc377544345"/>
      <w:bookmarkStart w:id="195" w:name="_Toc473881519"/>
      <w:bookmarkStart w:id="196" w:name="_Toc417652418"/>
      <w:r>
        <w:rPr>
          <w:snapToGrid w:val="0"/>
        </w:rPr>
        <w:t>Compilation table</w:t>
      </w:r>
      <w:bookmarkEnd w:id="194"/>
      <w:bookmarkEnd w:id="195"/>
      <w:bookmarkEnd w:id="19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Consumer Protection Act 1971 </w:t>
            </w:r>
            <w:r>
              <w:rPr>
                <w:vertAlign w:val="superscript"/>
              </w:rPr>
              <w:t>9</w:t>
            </w:r>
          </w:p>
        </w:tc>
        <w:tc>
          <w:tcPr>
            <w:tcW w:w="1134" w:type="dxa"/>
            <w:tcBorders>
              <w:top w:val="single" w:sz="8" w:space="0" w:color="auto"/>
            </w:tcBorders>
          </w:tcPr>
          <w:p>
            <w:pPr>
              <w:pStyle w:val="nTable"/>
              <w:spacing w:after="40"/>
            </w:pPr>
            <w:r>
              <w:t>68 of 1971</w:t>
            </w:r>
          </w:p>
        </w:tc>
        <w:tc>
          <w:tcPr>
            <w:tcW w:w="1134" w:type="dxa"/>
            <w:tcBorders>
              <w:top w:val="single" w:sz="8" w:space="0" w:color="auto"/>
            </w:tcBorders>
          </w:tcPr>
          <w:p>
            <w:pPr>
              <w:pStyle w:val="nTable"/>
              <w:spacing w:after="40"/>
            </w:pPr>
            <w:r>
              <w:t>22 Dec 1971</w:t>
            </w:r>
          </w:p>
        </w:tc>
        <w:tc>
          <w:tcPr>
            <w:tcW w:w="2551" w:type="dxa"/>
            <w:tcBorders>
              <w:top w:val="single" w:sz="8" w:space="0" w:color="auto"/>
            </w:tcBorders>
          </w:tcPr>
          <w:p>
            <w:pPr>
              <w:pStyle w:val="nTable"/>
              <w:spacing w:after="40"/>
            </w:pPr>
            <w:r>
              <w:t xml:space="preserve">11 Aug 1972 (see s. 2 and </w:t>
            </w:r>
            <w:r>
              <w:rPr>
                <w:i/>
              </w:rPr>
              <w:t>Gazette</w:t>
            </w:r>
            <w:r>
              <w:t xml:space="preserve"> 11 Aug 1972 p. 3102)</w:t>
            </w:r>
          </w:p>
        </w:tc>
      </w:tr>
      <w:tr>
        <w:trPr>
          <w:cantSplit/>
        </w:trPr>
        <w:tc>
          <w:tcPr>
            <w:tcW w:w="2268" w:type="dxa"/>
          </w:tcPr>
          <w:p>
            <w:pPr>
              <w:pStyle w:val="nTable"/>
              <w:spacing w:after="40"/>
              <w:rPr>
                <w:i/>
              </w:rPr>
            </w:pPr>
            <w:r>
              <w:rPr>
                <w:i/>
              </w:rPr>
              <w:t>Consumer Protection Act Amendment Act 1975</w:t>
            </w:r>
          </w:p>
        </w:tc>
        <w:tc>
          <w:tcPr>
            <w:tcW w:w="1134" w:type="dxa"/>
          </w:tcPr>
          <w:p>
            <w:pPr>
              <w:pStyle w:val="nTable"/>
              <w:spacing w:after="40"/>
            </w:pPr>
            <w:r>
              <w:t>21 of 1975</w:t>
            </w:r>
          </w:p>
        </w:tc>
        <w:tc>
          <w:tcPr>
            <w:tcW w:w="1134" w:type="dxa"/>
          </w:tcPr>
          <w:p>
            <w:pPr>
              <w:pStyle w:val="nTable"/>
              <w:spacing w:after="40"/>
            </w:pPr>
            <w:r>
              <w:t>13 May 1975</w:t>
            </w:r>
          </w:p>
        </w:tc>
        <w:tc>
          <w:tcPr>
            <w:tcW w:w="2551" w:type="dxa"/>
          </w:tcPr>
          <w:p>
            <w:pPr>
              <w:pStyle w:val="nTable"/>
              <w:spacing w:after="40"/>
            </w:pPr>
            <w:r>
              <w:t xml:space="preserve">23 May 1975 (see s. 2 and </w:t>
            </w:r>
            <w:r>
              <w:rPr>
                <w:i/>
              </w:rPr>
              <w:t>Gazette</w:t>
            </w:r>
            <w:r>
              <w:t xml:space="preserve"> 23 May 1975 p. 1395)</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12 Jul 1977</w:t>
            </w:r>
            <w:r>
              <w:t xml:space="preserve"> (includes amendments listed above)</w:t>
            </w:r>
          </w:p>
        </w:tc>
      </w:tr>
      <w:tr>
        <w:trPr>
          <w:cantSplit/>
        </w:trPr>
        <w:tc>
          <w:tcPr>
            <w:tcW w:w="2268" w:type="dxa"/>
          </w:tcPr>
          <w:p>
            <w:pPr>
              <w:pStyle w:val="nTable"/>
              <w:spacing w:after="40"/>
              <w:rPr>
                <w:i/>
              </w:rPr>
            </w:pPr>
            <w:r>
              <w:rPr>
                <w:i/>
              </w:rPr>
              <w:t>Consumer Affairs Act Amendment Act 1978</w:t>
            </w:r>
          </w:p>
        </w:tc>
        <w:tc>
          <w:tcPr>
            <w:tcW w:w="1134" w:type="dxa"/>
          </w:tcPr>
          <w:p>
            <w:pPr>
              <w:pStyle w:val="nTable"/>
              <w:spacing w:after="40"/>
            </w:pPr>
            <w:r>
              <w:t>90 of 1978</w:t>
            </w:r>
          </w:p>
        </w:tc>
        <w:tc>
          <w:tcPr>
            <w:tcW w:w="1134" w:type="dxa"/>
          </w:tcPr>
          <w:p>
            <w:pPr>
              <w:pStyle w:val="nTable"/>
              <w:spacing w:after="40"/>
            </w:pPr>
            <w:r>
              <w:t>8 Nov 1978</w:t>
            </w:r>
          </w:p>
        </w:tc>
        <w:tc>
          <w:tcPr>
            <w:tcW w:w="2551" w:type="dxa"/>
          </w:tcPr>
          <w:p>
            <w:pPr>
              <w:pStyle w:val="nTable"/>
              <w:spacing w:after="40"/>
            </w:pPr>
            <w:r>
              <w:t>8 Nov 1978</w:t>
            </w:r>
          </w:p>
        </w:tc>
      </w:tr>
      <w:tr>
        <w:trPr>
          <w:cantSplit/>
        </w:trPr>
        <w:tc>
          <w:tcPr>
            <w:tcW w:w="2268" w:type="dxa"/>
          </w:tcPr>
          <w:p>
            <w:pPr>
              <w:pStyle w:val="nTable"/>
              <w:spacing w:after="40"/>
              <w:rPr>
                <w:i/>
              </w:rPr>
            </w:pPr>
            <w:r>
              <w:rPr>
                <w:i/>
              </w:rPr>
              <w:t>Consumer Affairs Amendment Act 1980</w:t>
            </w:r>
          </w:p>
        </w:tc>
        <w:tc>
          <w:tcPr>
            <w:tcW w:w="1134" w:type="dxa"/>
          </w:tcPr>
          <w:p>
            <w:pPr>
              <w:pStyle w:val="nTable"/>
              <w:spacing w:after="40"/>
            </w:pPr>
            <w:r>
              <w:t>66 of 1980</w:t>
            </w:r>
          </w:p>
        </w:tc>
        <w:tc>
          <w:tcPr>
            <w:tcW w:w="1134" w:type="dxa"/>
          </w:tcPr>
          <w:p>
            <w:pPr>
              <w:pStyle w:val="nTable"/>
              <w:spacing w:after="40"/>
            </w:pPr>
            <w:r>
              <w:t>26 Nov 1980</w:t>
            </w:r>
          </w:p>
        </w:tc>
        <w:tc>
          <w:tcPr>
            <w:tcW w:w="2551" w:type="dxa"/>
          </w:tcPr>
          <w:p>
            <w:pPr>
              <w:pStyle w:val="nTable"/>
              <w:spacing w:after="40"/>
            </w:pPr>
            <w:r>
              <w:t>26 Nov 1980</w:t>
            </w:r>
          </w:p>
        </w:tc>
      </w:tr>
      <w:tr>
        <w:trPr>
          <w:cantSplit/>
        </w:trPr>
        <w:tc>
          <w:tcPr>
            <w:tcW w:w="2268" w:type="dxa"/>
          </w:tcPr>
          <w:p>
            <w:pPr>
              <w:pStyle w:val="nTable"/>
              <w:spacing w:after="40"/>
              <w:rPr>
                <w:i/>
              </w:rPr>
            </w:pPr>
            <w:r>
              <w:rPr>
                <w:i/>
              </w:rPr>
              <w:t>Consumer Affairs Amendment Act 1981</w:t>
            </w:r>
          </w:p>
        </w:tc>
        <w:tc>
          <w:tcPr>
            <w:tcW w:w="1134" w:type="dxa"/>
          </w:tcPr>
          <w:p>
            <w:pPr>
              <w:pStyle w:val="nTable"/>
              <w:spacing w:after="40"/>
            </w:pPr>
            <w:r>
              <w:t>110 of 1981</w:t>
            </w:r>
          </w:p>
        </w:tc>
        <w:tc>
          <w:tcPr>
            <w:tcW w:w="1134" w:type="dxa"/>
          </w:tcPr>
          <w:p>
            <w:pPr>
              <w:pStyle w:val="nTable"/>
              <w:spacing w:after="40"/>
            </w:pPr>
            <w:r>
              <w:t>4 Dec 1981</w:t>
            </w:r>
          </w:p>
        </w:tc>
        <w:tc>
          <w:tcPr>
            <w:tcW w:w="2551" w:type="dxa"/>
          </w:tcPr>
          <w:p>
            <w:pPr>
              <w:pStyle w:val="nTable"/>
              <w:spacing w:after="40"/>
            </w:pPr>
            <w:r>
              <w:t xml:space="preserve">11 Dec 1981 (see s. 2 and </w:t>
            </w:r>
            <w:r>
              <w:rPr>
                <w:i/>
              </w:rPr>
              <w:t>Gazette</w:t>
            </w:r>
            <w:r>
              <w:t xml:space="preserve"> 11 Dec 1981 p. 5053)</w:t>
            </w:r>
          </w:p>
        </w:tc>
      </w:tr>
      <w:tr>
        <w:trPr>
          <w:cantSplit/>
        </w:trPr>
        <w:tc>
          <w:tcPr>
            <w:tcW w:w="2268" w:type="dxa"/>
          </w:tcPr>
          <w:p>
            <w:pPr>
              <w:pStyle w:val="nTable"/>
              <w:spacing w:after="40"/>
              <w:rPr>
                <w:i/>
              </w:rPr>
            </w:pPr>
            <w:r>
              <w:rPr>
                <w:i/>
              </w:rPr>
              <w:t>Consumer Affairs Amendment Act (No. 2) 1982</w:t>
            </w:r>
          </w:p>
        </w:tc>
        <w:tc>
          <w:tcPr>
            <w:tcW w:w="1134" w:type="dxa"/>
          </w:tcPr>
          <w:p>
            <w:pPr>
              <w:pStyle w:val="nTable"/>
              <w:spacing w:after="40"/>
            </w:pPr>
            <w:r>
              <w:t>52 of 1982</w:t>
            </w:r>
          </w:p>
        </w:tc>
        <w:tc>
          <w:tcPr>
            <w:tcW w:w="1134" w:type="dxa"/>
          </w:tcPr>
          <w:p>
            <w:pPr>
              <w:pStyle w:val="nTable"/>
              <w:spacing w:after="40"/>
            </w:pPr>
            <w:r>
              <w:t>6 Sep 1982</w:t>
            </w:r>
          </w:p>
        </w:tc>
        <w:tc>
          <w:tcPr>
            <w:tcW w:w="2551" w:type="dxa"/>
          </w:tcPr>
          <w:p>
            <w:pPr>
              <w:pStyle w:val="nTable"/>
              <w:spacing w:after="40"/>
            </w:pPr>
            <w:r>
              <w:t>6 Sep 1982</w:t>
            </w:r>
          </w:p>
        </w:tc>
      </w:tr>
      <w:tr>
        <w:trPr>
          <w:cantSplit/>
        </w:trPr>
        <w:tc>
          <w:tcPr>
            <w:tcW w:w="2268" w:type="dxa"/>
          </w:tcPr>
          <w:p>
            <w:pPr>
              <w:pStyle w:val="nTable"/>
              <w:spacing w:after="40"/>
            </w:pPr>
            <w:r>
              <w:rPr>
                <w:i/>
              </w:rPr>
              <w:t>Acts Amendment (Prevention of Excessive Prices) Act 1983</w:t>
            </w:r>
            <w:r>
              <w:t xml:space="preserve"> Pt. II</w:t>
            </w:r>
          </w:p>
        </w:tc>
        <w:tc>
          <w:tcPr>
            <w:tcW w:w="1134" w:type="dxa"/>
          </w:tcPr>
          <w:p>
            <w:pPr>
              <w:pStyle w:val="nTable"/>
              <w:spacing w:after="40"/>
            </w:pPr>
            <w:r>
              <w:t>2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cantSplit/>
        </w:trPr>
        <w:tc>
          <w:tcPr>
            <w:tcW w:w="2268" w:type="dxa"/>
          </w:tcPr>
          <w:p>
            <w:pPr>
              <w:pStyle w:val="nTable"/>
              <w:spacing w:after="40"/>
              <w:rPr>
                <w:i/>
              </w:rPr>
            </w:pPr>
            <w:r>
              <w:rPr>
                <w:i/>
              </w:rPr>
              <w:t>Consumer Affairs Amendment Act 1983</w:t>
            </w:r>
          </w:p>
        </w:tc>
        <w:tc>
          <w:tcPr>
            <w:tcW w:w="1134" w:type="dxa"/>
          </w:tcPr>
          <w:p>
            <w:pPr>
              <w:pStyle w:val="nTable"/>
              <w:spacing w:after="40"/>
            </w:pPr>
            <w:r>
              <w:t>24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pPr>
            <w:r>
              <w:rPr>
                <w:i/>
              </w:rPr>
              <w:t>Acts Amendment (Prevention of Excessive Prices) Act (No. 2) 1983</w:t>
            </w:r>
            <w:r>
              <w:t xml:space="preserve"> Pt. 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22 May 1984</w:t>
            </w:r>
            <w:r>
              <w:t xml:space="preserve"> (includes amendments listed above)</w:t>
            </w:r>
          </w:p>
        </w:tc>
      </w:tr>
      <w:tr>
        <w:trPr>
          <w:cantSplit/>
        </w:trPr>
        <w:tc>
          <w:tcPr>
            <w:tcW w:w="2268" w:type="dxa"/>
          </w:tcPr>
          <w:p>
            <w:pPr>
              <w:pStyle w:val="nTable"/>
              <w:spacing w:after="40"/>
            </w:pPr>
            <w:r>
              <w:rPr>
                <w:i/>
              </w:rPr>
              <w:t>Acts Amendment (Consumer Affairs) Act 1985</w:t>
            </w:r>
            <w:r>
              <w:t xml:space="preserve"> Pt. II</w:t>
            </w:r>
          </w:p>
        </w:tc>
        <w:tc>
          <w:tcPr>
            <w:tcW w:w="1134" w:type="dxa"/>
          </w:tcPr>
          <w:p>
            <w:pPr>
              <w:pStyle w:val="nTable"/>
              <w:keepLines/>
              <w:spacing w:after="40"/>
            </w:pPr>
            <w:r>
              <w:t>1 of 1985</w:t>
            </w:r>
          </w:p>
        </w:tc>
        <w:tc>
          <w:tcPr>
            <w:tcW w:w="1134" w:type="dxa"/>
          </w:tcPr>
          <w:p>
            <w:pPr>
              <w:pStyle w:val="nTable"/>
              <w:keepLines/>
              <w:spacing w:after="40"/>
            </w:pPr>
            <w:r>
              <w:t>8 Mar 1985</w:t>
            </w:r>
          </w:p>
        </w:tc>
        <w:tc>
          <w:tcPr>
            <w:tcW w:w="2551" w:type="dxa"/>
          </w:tcPr>
          <w:p>
            <w:pPr>
              <w:pStyle w:val="nTable"/>
              <w:keepLines/>
              <w:spacing w:after="40"/>
            </w:pPr>
            <w:r>
              <w:t>s. 3</w:t>
            </w:r>
            <w:r>
              <w:noBreakHyphen/>
              <w:t>9, 13, 14 and 16: 6 Apr 1983 (see s. 2(1));</w:t>
            </w:r>
            <w:r>
              <w:br/>
              <w:t>s. 10, 12 and 15: 8 Mar 1985 (see s. 2(3));</w:t>
            </w:r>
            <w:r>
              <w:br/>
              <w:t>s. 11: 5 Apr 1985 (see s. 2(2))</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2268" w:type="dxa"/>
          </w:tcPr>
          <w:p>
            <w:pPr>
              <w:pStyle w:val="nTable"/>
              <w:spacing w:after="40"/>
            </w:pPr>
            <w:r>
              <w:rPr>
                <w:i/>
              </w:rPr>
              <w:t>Chattel Securities Act 1987</w:t>
            </w:r>
            <w:r>
              <w:t xml:space="preserve"> s. 32</w:t>
            </w:r>
          </w:p>
        </w:tc>
        <w:tc>
          <w:tcPr>
            <w:tcW w:w="1134" w:type="dxa"/>
          </w:tcPr>
          <w:p>
            <w:pPr>
              <w:pStyle w:val="nTable"/>
              <w:spacing w:after="40"/>
            </w:pPr>
            <w:r>
              <w:t>101 of 1987</w:t>
            </w:r>
          </w:p>
        </w:tc>
        <w:tc>
          <w:tcPr>
            <w:tcW w:w="1134" w:type="dxa"/>
          </w:tcPr>
          <w:p>
            <w:pPr>
              <w:pStyle w:val="nTable"/>
              <w:spacing w:after="40"/>
            </w:pPr>
            <w:r>
              <w:t>18 Dec 1987</w:t>
            </w:r>
          </w:p>
        </w:tc>
        <w:tc>
          <w:tcPr>
            <w:tcW w:w="2551" w:type="dxa"/>
          </w:tcPr>
          <w:p>
            <w:pPr>
              <w:pStyle w:val="nTable"/>
              <w:spacing w:after="40"/>
            </w:pPr>
            <w:r>
              <w:t xml:space="preserve">29 Aug 1988 (see s. 2 and </w:t>
            </w:r>
            <w:r>
              <w:rPr>
                <w:i/>
              </w:rPr>
              <w:t>Gazette</w:t>
            </w:r>
            <w:r>
              <w:t xml:space="preserve"> 5 Aug 1988 p. 2583)</w:t>
            </w:r>
          </w:p>
        </w:tc>
      </w:tr>
      <w:tr>
        <w:trPr>
          <w:cantSplit/>
        </w:trPr>
        <w:tc>
          <w:tcPr>
            <w:tcW w:w="2268" w:type="dxa"/>
          </w:tcPr>
          <w:p>
            <w:pPr>
              <w:pStyle w:val="nTable"/>
              <w:spacing w:after="40"/>
            </w:pPr>
            <w:r>
              <w:rPr>
                <w:i/>
              </w:rPr>
              <w:t>Acts Amendment and Repeal (Fair Trading) Act 1988</w:t>
            </w:r>
            <w:r>
              <w:t xml:space="preserve"> Pt. 2</w:t>
            </w:r>
          </w:p>
        </w:tc>
        <w:tc>
          <w:tcPr>
            <w:tcW w:w="1134" w:type="dxa"/>
          </w:tcPr>
          <w:p>
            <w:pPr>
              <w:pStyle w:val="nTable"/>
              <w:spacing w:after="40"/>
            </w:pPr>
            <w:r>
              <w:t>17 of 1988</w:t>
            </w:r>
          </w:p>
        </w:tc>
        <w:tc>
          <w:tcPr>
            <w:tcW w:w="1134" w:type="dxa"/>
          </w:tcPr>
          <w:p>
            <w:pPr>
              <w:pStyle w:val="nTable"/>
              <w:spacing w:after="40"/>
            </w:pPr>
            <w:r>
              <w:t>6 Sep 1988</w:t>
            </w:r>
          </w:p>
        </w:tc>
        <w:tc>
          <w:tcPr>
            <w:tcW w:w="2551" w:type="dxa"/>
          </w:tcPr>
          <w:p>
            <w:pPr>
              <w:pStyle w:val="nTable"/>
              <w:spacing w:after="40"/>
            </w:pPr>
            <w:r>
              <w:t xml:space="preserve">9 Sep 1988 (see s. 2 and </w:t>
            </w:r>
            <w:r>
              <w:rPr>
                <w:i/>
              </w:rPr>
              <w:t>Gazette</w:t>
            </w:r>
            <w:r>
              <w:t xml:space="preserve"> 9 Sep 1988 p. 3518)</w:t>
            </w:r>
          </w:p>
        </w:tc>
      </w:tr>
      <w:tr>
        <w:trPr>
          <w:cantSplit/>
        </w:trPr>
        <w:tc>
          <w:tcPr>
            <w:tcW w:w="2268" w:type="dxa"/>
          </w:tcPr>
          <w:p>
            <w:pPr>
              <w:pStyle w:val="nTable"/>
              <w:spacing w:after="40"/>
            </w:pPr>
            <w:r>
              <w:rPr>
                <w:i/>
              </w:rPr>
              <w:t>Legal Practitioners Amendment (Disciplinary and Miscellaneous Provisions) Act 1992</w:t>
            </w:r>
            <w:r>
              <w:t xml:space="preserve"> Pt. 6</w:t>
            </w:r>
          </w:p>
        </w:tc>
        <w:tc>
          <w:tcPr>
            <w:tcW w:w="1134" w:type="dxa"/>
          </w:tcPr>
          <w:p>
            <w:pPr>
              <w:pStyle w:val="nTable"/>
              <w:spacing w:after="40"/>
            </w:pPr>
            <w:r>
              <w:t>48 of 1992</w:t>
            </w:r>
          </w:p>
        </w:tc>
        <w:tc>
          <w:tcPr>
            <w:tcW w:w="1134" w:type="dxa"/>
          </w:tcPr>
          <w:p>
            <w:pPr>
              <w:pStyle w:val="nTable"/>
              <w:spacing w:after="40"/>
            </w:pPr>
            <w:r>
              <w:t>10 Dec 1992</w:t>
            </w:r>
          </w:p>
        </w:tc>
        <w:tc>
          <w:tcPr>
            <w:tcW w:w="2551" w:type="dxa"/>
          </w:tcPr>
          <w:p>
            <w:pPr>
              <w:pStyle w:val="nTable"/>
              <w:spacing w:after="40"/>
            </w:pPr>
            <w:r>
              <w:t xml:space="preserve">1 Feb 1993 (see s. 3 and </w:t>
            </w:r>
            <w:r>
              <w:rPr>
                <w:i/>
              </w:rPr>
              <w:t>Gazette</w:t>
            </w:r>
            <w:r>
              <w:t xml:space="preserve"> 26 Jan 1993 p. 823)</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Mines Safety and Inspection Act 1994</w:t>
            </w:r>
            <w: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keepNext/>
              <w:keepLines/>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rPr>
                <w:rFonts w:ascii="Times" w:hAnsi="Times"/>
                <w:vertAlign w:val="superscript"/>
              </w:rPr>
            </w:pPr>
            <w:r>
              <w:rPr>
                <w:i/>
              </w:rPr>
              <w:t xml:space="preserve">Statutes (Repeals and Minor Amendments) Act 1997 </w:t>
            </w:r>
            <w:r>
              <w:t xml:space="preserve">s. 39 </w:t>
            </w:r>
            <w:r>
              <w:rPr>
                <w:vertAlign w:val="superscript"/>
              </w:rPr>
              <w:t>10</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as at 25 Mar 1999</w:t>
            </w:r>
            <w:r>
              <w:t xml:space="preserve"> (includes amendments listed above)</w:t>
            </w:r>
          </w:p>
        </w:tc>
      </w:tr>
      <w:tr>
        <w:trPr>
          <w:cantSplit/>
        </w:trPr>
        <w:tc>
          <w:tcPr>
            <w:tcW w:w="2268" w:type="dxa"/>
          </w:tcPr>
          <w:p>
            <w:pPr>
              <w:pStyle w:val="nTable"/>
              <w:spacing w:after="40"/>
              <w:rPr>
                <w:i/>
              </w:rPr>
            </w:pPr>
            <w:r>
              <w:rPr>
                <w:i/>
              </w:rPr>
              <w:t>Statutes (Repeals and Minor Amendments) Act 2000</w:t>
            </w:r>
            <w:r>
              <w:t xml:space="preserve"> s. 3(7)</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pPr>
            <w:r>
              <w:rPr>
                <w:i/>
              </w:rPr>
              <w:t xml:space="preserve">Acts Amendment and Repeal (Courts and Legal Practice) Act 2003 </w:t>
            </w:r>
            <w:r>
              <w:t>s. 24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Acts Amendment and Repeal (Competition Policy) Act 2003 </w:t>
            </w:r>
            <w:r>
              <w:t>s. 3(2)</w:t>
            </w:r>
          </w:p>
        </w:tc>
        <w:tc>
          <w:tcPr>
            <w:tcW w:w="1134" w:type="dxa"/>
          </w:tcPr>
          <w:p>
            <w:pPr>
              <w:pStyle w:val="nTable"/>
              <w:spacing w:after="40"/>
            </w:pPr>
            <w:r>
              <w:t>70 of 2003</w:t>
            </w:r>
          </w:p>
        </w:tc>
        <w:tc>
          <w:tcPr>
            <w:tcW w:w="1134" w:type="dxa"/>
          </w:tcPr>
          <w:p>
            <w:pPr>
              <w:pStyle w:val="nTable"/>
              <w:spacing w:after="40"/>
            </w:pPr>
            <w:r>
              <w:t>15 Dec 2003</w:t>
            </w:r>
          </w:p>
        </w:tc>
        <w:tc>
          <w:tcPr>
            <w:tcW w:w="255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cantSplit/>
        </w:trPr>
        <w:tc>
          <w:tcPr>
            <w:tcW w:w="2268" w:type="dxa"/>
          </w:tcPr>
          <w:p>
            <w:pPr>
              <w:pStyle w:val="nTable"/>
              <w:spacing w:after="40"/>
            </w:pPr>
            <w:r>
              <w:rPr>
                <w:i/>
              </w:rPr>
              <w:t>Statutes (Repeals and Minor Amendments) Act 2003</w:t>
            </w:r>
            <w:r>
              <w:t xml:space="preserve"> s. 40(1)</w:t>
            </w:r>
            <w:r>
              <w:noBreakHyphen/>
              <w:t>(3)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bCs/>
                <w:i/>
                <w:iCs/>
              </w:rPr>
              <w:t>Dangerous Goods Safety Act 2004</w:t>
            </w:r>
            <w:r>
              <w:rPr>
                <w:bCs/>
              </w:rPr>
              <w:t xml:space="preserve"> 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1" w:type="dxa"/>
          </w:tcPr>
          <w:p>
            <w:pPr>
              <w:pStyle w:val="nTable"/>
              <w:spacing w:after="40"/>
              <w:rPr>
                <w:spacing w:val="-2"/>
              </w:rPr>
            </w:pPr>
            <w:r>
              <w:rPr>
                <w:bCs/>
              </w:rPr>
              <w:t xml:space="preserve">1 Mar 2008 (see s. 2 and </w:t>
            </w:r>
            <w:r>
              <w:rPr>
                <w:bCs/>
                <w:i/>
                <w:iCs/>
              </w:rPr>
              <w:t>Gazette</w:t>
            </w:r>
            <w:r>
              <w:rPr>
                <w:bCs/>
              </w:rPr>
              <w:t xml:space="preserve"> 29 Feb 2008 p. 669)</w:t>
            </w:r>
          </w:p>
        </w:tc>
      </w:tr>
      <w:tr>
        <w:trPr>
          <w:cantSplit/>
        </w:trPr>
        <w:tc>
          <w:tcPr>
            <w:tcW w:w="7087" w:type="dxa"/>
            <w:gridSpan w:val="4"/>
          </w:tcPr>
          <w:p>
            <w:pPr>
              <w:pStyle w:val="nTable"/>
              <w:spacing w:after="40"/>
              <w:rPr>
                <w:spacing w:val="-2"/>
              </w:rPr>
            </w:pPr>
            <w:r>
              <w:rPr>
                <w:b/>
              </w:rPr>
              <w:t xml:space="preserve">Reprint 4: The </w:t>
            </w:r>
            <w:r>
              <w:rPr>
                <w:b/>
                <w:i/>
              </w:rPr>
              <w:t>Consumer Affairs Act 1971</w:t>
            </w:r>
            <w:r>
              <w:rPr>
                <w:b/>
              </w:rPr>
              <w:t xml:space="preserve"> as at 9 Jul 2004</w:t>
            </w:r>
            <w:r>
              <w:t xml:space="preserve"> (includes amendments listed above except the </w:t>
            </w:r>
            <w:r>
              <w:rPr>
                <w:i/>
                <w:iCs/>
              </w:rPr>
              <w:t>Dangerous Goods Safety Act 2004</w:t>
            </w:r>
            <w:r>
              <w:t>)</w:t>
            </w:r>
          </w:p>
        </w:tc>
      </w:tr>
      <w:tr>
        <w:trPr>
          <w:cantSplit/>
        </w:trPr>
        <w:tc>
          <w:tcPr>
            <w:tcW w:w="2268" w:type="dxa"/>
          </w:tcPr>
          <w:p>
            <w:pPr>
              <w:pStyle w:val="nTable"/>
              <w:spacing w:after="40"/>
              <w:rPr>
                <w:bCs/>
                <w:i/>
                <w:snapToGrid w:val="0"/>
              </w:rPr>
            </w:pPr>
            <w:r>
              <w:rPr>
                <w:i/>
                <w:iCs/>
                <w:snapToGrid w:val="0"/>
              </w:rPr>
              <w:t>Workers’ Compensation Reform Act 2004</w:t>
            </w:r>
            <w:r>
              <w:rPr>
                <w:snapToGrid w:val="0"/>
              </w:rPr>
              <w:t xml:space="preserve"> s. 175</w:t>
            </w:r>
          </w:p>
        </w:tc>
        <w:tc>
          <w:tcPr>
            <w:tcW w:w="1134" w:type="dxa"/>
          </w:tcPr>
          <w:p>
            <w:pPr>
              <w:pStyle w:val="nTable"/>
              <w:spacing w:after="40"/>
              <w:rPr>
                <w:bCs/>
              </w:rPr>
            </w:pPr>
            <w:r>
              <w:rPr>
                <w:snapToGrid w:val="0"/>
              </w:rPr>
              <w:t>42 of 2004</w:t>
            </w:r>
          </w:p>
        </w:tc>
        <w:tc>
          <w:tcPr>
            <w:tcW w:w="1134" w:type="dxa"/>
          </w:tcPr>
          <w:p>
            <w:pPr>
              <w:pStyle w:val="nTable"/>
              <w:spacing w:after="40"/>
              <w:rPr>
                <w:bCs/>
              </w:rPr>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8" w:type="dxa"/>
          </w:tcPr>
          <w:p>
            <w:pPr>
              <w:pStyle w:val="nTable"/>
              <w:spacing w:after="40"/>
            </w:pPr>
            <w:r>
              <w:rPr>
                <w:bCs/>
                <w:i/>
                <w:snapToGrid w:val="0"/>
              </w:rPr>
              <w:t>State Administrative Tribunal (Conferral of Jurisdiction) Amendment and Repeal Act 2004</w:t>
            </w:r>
            <w:r>
              <w:rPr>
                <w:bCs/>
                <w:iCs/>
                <w:snapToGrid w:val="0"/>
              </w:rPr>
              <w:t xml:space="preserve"> Pt. 2 Div. 24</w:t>
            </w:r>
            <w:r>
              <w:rPr>
                <w:bCs/>
                <w:iCs/>
                <w:snapToGrid w:val="0"/>
                <w:vertAlign w:val="superscript"/>
              </w:rPr>
              <w:t> 11</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Cs/>
                <w:snapToGrid w:val="0"/>
              </w:rPr>
            </w:pPr>
            <w:r>
              <w:rPr>
                <w:bCs/>
                <w:i/>
                <w:snapToGrid w:val="0"/>
              </w:rPr>
              <w:t>Veterinary Preparations and Animal Feeding Stuffs Amendment Act 2004</w:t>
            </w:r>
            <w:r>
              <w:rPr>
                <w:bCs/>
                <w:iCs/>
                <w:snapToGrid w:val="0"/>
              </w:rPr>
              <w:t xml:space="preserve"> s. 4(2)</w:t>
            </w:r>
          </w:p>
        </w:tc>
        <w:tc>
          <w:tcPr>
            <w:tcW w:w="1134" w:type="dxa"/>
          </w:tcPr>
          <w:p>
            <w:pPr>
              <w:pStyle w:val="nTable"/>
              <w:spacing w:after="40"/>
              <w:rPr>
                <w:bCs/>
              </w:rPr>
            </w:pPr>
            <w:r>
              <w:rPr>
                <w:bCs/>
              </w:rPr>
              <w:t>76 of 2004</w:t>
            </w:r>
          </w:p>
        </w:tc>
        <w:tc>
          <w:tcPr>
            <w:tcW w:w="1134" w:type="dxa"/>
          </w:tcPr>
          <w:p>
            <w:pPr>
              <w:pStyle w:val="nTable"/>
              <w:spacing w:after="40"/>
              <w:rPr>
                <w:bCs/>
              </w:rPr>
            </w:pPr>
            <w:r>
              <w:rPr>
                <w:bCs/>
              </w:rPr>
              <w:t>8 Dec 2004</w:t>
            </w:r>
          </w:p>
        </w:tc>
        <w:tc>
          <w:tcPr>
            <w:tcW w:w="2551" w:type="dxa"/>
          </w:tcPr>
          <w:p>
            <w:pPr>
              <w:pStyle w:val="nTable"/>
              <w:spacing w:after="40"/>
            </w:pPr>
            <w:r>
              <w:t>5 Jan 2005</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bCs/>
              </w:rPr>
            </w:pPr>
            <w:r>
              <w:rPr>
                <w:snapToGrid w:val="0"/>
              </w:rPr>
              <w:t>84 of 2004</w:t>
            </w:r>
          </w:p>
        </w:tc>
        <w:tc>
          <w:tcPr>
            <w:tcW w:w="1134"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iCs/>
              </w:rPr>
              <w:t>Gazette</w:t>
            </w:r>
            <w:r>
              <w:t xml:space="preserve"> 23 Dec 2005 p. 6244)</w:t>
            </w:r>
          </w:p>
        </w:tc>
      </w:tr>
      <w:tr>
        <w:trPr>
          <w:cantSplit/>
        </w:trPr>
        <w:tc>
          <w:tcPr>
            <w:tcW w:w="2268" w:type="dxa"/>
          </w:tcPr>
          <w:p>
            <w:pPr>
              <w:pStyle w:val="nTable"/>
              <w:spacing w:after="40"/>
              <w:rPr>
                <w:i/>
                <w:snapToGrid w:val="0"/>
              </w:rPr>
            </w:pPr>
            <w:r>
              <w:rPr>
                <w:i/>
              </w:rPr>
              <w:t>Trade Measurement Administration Act 2006</w:t>
            </w:r>
            <w:r>
              <w:rPr>
                <w:iCs/>
              </w:rPr>
              <w:t xml:space="preserve"> s. 37</w:t>
            </w:r>
          </w:p>
        </w:tc>
        <w:tc>
          <w:tcPr>
            <w:tcW w:w="1134" w:type="dxa"/>
          </w:tcPr>
          <w:p>
            <w:pPr>
              <w:pStyle w:val="nTable"/>
              <w:spacing w:after="40"/>
              <w:rPr>
                <w:snapToGrid w:val="0"/>
              </w:rPr>
            </w:pPr>
            <w:r>
              <w:t>12 of 2006</w:t>
            </w:r>
          </w:p>
        </w:tc>
        <w:tc>
          <w:tcPr>
            <w:tcW w:w="1134" w:type="dxa"/>
          </w:tcPr>
          <w:p>
            <w:pPr>
              <w:pStyle w:val="nTable"/>
              <w:spacing w:after="40"/>
            </w:pPr>
            <w:r>
              <w:t>11 May 2006</w:t>
            </w:r>
          </w:p>
        </w:tc>
        <w:tc>
          <w:tcPr>
            <w:tcW w:w="2551" w:type="dxa"/>
          </w:tcPr>
          <w:p>
            <w:pPr>
              <w:pStyle w:val="nTable"/>
              <w:spacing w:after="40"/>
            </w:pPr>
            <w:r>
              <w:t xml:space="preserve">1 Jun 2007 (see s. 2(2) and (3) and </w:t>
            </w:r>
            <w:r>
              <w:rPr>
                <w:i/>
                <w:iCs/>
              </w:rPr>
              <w:t>Gazette</w:t>
            </w:r>
            <w:r>
              <w:t xml:space="preserve"> 29 May 2007 p. 2485)</w:t>
            </w:r>
          </w:p>
        </w:tc>
      </w:tr>
      <w:tr>
        <w:trPr>
          <w:cantSplit/>
        </w:trPr>
        <w:tc>
          <w:tcPr>
            <w:tcW w:w="7087" w:type="dxa"/>
            <w:gridSpan w:val="4"/>
          </w:tcPr>
          <w:p>
            <w:pPr>
              <w:pStyle w:val="nTable"/>
              <w:spacing w:after="40"/>
            </w:pPr>
            <w:r>
              <w:rPr>
                <w:b/>
              </w:rPr>
              <w:t xml:space="preserve">Reprint 5: The </w:t>
            </w:r>
            <w:r>
              <w:rPr>
                <w:b/>
                <w:i/>
              </w:rPr>
              <w:t>Consumer Affairs Act 1971</w:t>
            </w:r>
            <w:r>
              <w:rPr>
                <w:b/>
              </w:rPr>
              <w:t xml:space="preserve"> as at 16 Jun 2006</w:t>
            </w:r>
            <w:r>
              <w:t xml:space="preserve"> (includes amendments listed above, except those in the</w:t>
            </w:r>
            <w:r>
              <w:rPr>
                <w:i/>
                <w:iCs/>
              </w:rPr>
              <w:t xml:space="preserve"> Dangerous Goods Safety Act 2004 </w:t>
            </w:r>
            <w:r>
              <w:t xml:space="preserve">and the </w:t>
            </w:r>
            <w:r>
              <w:rPr>
                <w:i/>
                <w:iCs/>
              </w:rPr>
              <w:t>Trade Measurement Administration Act 2006</w:t>
            </w:r>
            <w:r>
              <w:t>)</w:t>
            </w:r>
          </w:p>
        </w:tc>
      </w:tr>
      <w:tr>
        <w:trPr>
          <w:cantSplit/>
        </w:trPr>
        <w:tc>
          <w:tcPr>
            <w:tcW w:w="2268" w:type="dxa"/>
          </w:tcPr>
          <w:p>
            <w:pPr>
              <w:pStyle w:val="nTable"/>
              <w:spacing w:after="40"/>
              <w:rPr>
                <w:i/>
                <w:iCs/>
                <w:snapToGrid w:val="0"/>
                <w:vertAlign w:val="superscript"/>
              </w:rPr>
            </w:pPr>
            <w:r>
              <w:rPr>
                <w:i/>
                <w:snapToGrid w:val="0"/>
              </w:rPr>
              <w:t>Machinery of Government (Miscellaneous Amendments) Act 2006</w:t>
            </w:r>
            <w:r>
              <w:rPr>
                <w:i/>
                <w:iCs/>
                <w:snapToGrid w:val="0"/>
              </w:rPr>
              <w:t xml:space="preserve"> </w:t>
            </w:r>
            <w:r>
              <w:rPr>
                <w:snapToGrid w:val="0"/>
              </w:rPr>
              <w:t>Pt. 4 Div. 7</w:t>
            </w:r>
            <w:r>
              <w:rPr>
                <w:snapToGrid w:val="0"/>
                <w:vertAlign w:val="superscript"/>
              </w:rPr>
              <w:t> 12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iCs/>
              </w:rPr>
              <w:t>Gazette</w:t>
            </w:r>
            <w:r>
              <w:t xml:space="preserve"> 27 Jun 2006 p. 2347)</w:t>
            </w:r>
          </w:p>
        </w:tc>
      </w:tr>
      <w:tr>
        <w:trPr>
          <w:cantSplit/>
        </w:trPr>
        <w:tc>
          <w:tcPr>
            <w:tcW w:w="2268" w:type="dxa"/>
          </w:tcPr>
          <w:p>
            <w:pPr>
              <w:pStyle w:val="nTable"/>
              <w:spacing w:after="40"/>
              <w:rPr>
                <w:iCs/>
                <w:snapToGrid w:val="0"/>
              </w:rPr>
            </w:pPr>
            <w:r>
              <w:rPr>
                <w:i/>
                <w:snapToGrid w:val="0"/>
              </w:rPr>
              <w:t>Consumer Protection Legislation Amendment and Repeal Act 2006</w:t>
            </w:r>
            <w:r>
              <w:rPr>
                <w:iCs/>
                <w:snapToGrid w:val="0"/>
              </w:rPr>
              <w:t xml:space="preserve"> Pt. 3</w:t>
            </w:r>
          </w:p>
        </w:tc>
        <w:tc>
          <w:tcPr>
            <w:tcW w:w="1134" w:type="dxa"/>
          </w:tcPr>
          <w:p>
            <w:pPr>
              <w:pStyle w:val="nTable"/>
              <w:spacing w:after="40"/>
              <w:rPr>
                <w:snapToGrid w:val="0"/>
              </w:rPr>
            </w:pPr>
            <w:r>
              <w:rPr>
                <w:snapToGrid w:val="0"/>
              </w:rPr>
              <w:t>69 of 2006</w:t>
            </w:r>
          </w:p>
        </w:tc>
        <w:tc>
          <w:tcPr>
            <w:tcW w:w="1134"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s. 4 and Sch. 1 cl. 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651 </w:t>
            </w:r>
          </w:p>
        </w:tc>
        <w:tc>
          <w:tcPr>
            <w:tcW w:w="1134" w:type="dxa"/>
          </w:tcPr>
          <w:p>
            <w:pPr>
              <w:pStyle w:val="nTable"/>
              <w:keepNext/>
              <w:keepLines/>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rPr>
            </w:pPr>
            <w:r>
              <w:rPr>
                <w:b/>
              </w:rPr>
              <w:t xml:space="preserve">Reprint 6: The </w:t>
            </w:r>
            <w:r>
              <w:rPr>
                <w:b/>
                <w:i/>
              </w:rPr>
              <w:t>Consumer Affairs Act 1971</w:t>
            </w:r>
            <w:r>
              <w:rPr>
                <w:b/>
              </w:rPr>
              <w:t xml:space="preserve"> as at 24 Oct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snapToGrid w:val="0"/>
              </w:rPr>
              <w:t>Trade Measurement Legislation (Amendment and Expiry) Act 2010</w:t>
            </w:r>
            <w:r>
              <w:rPr>
                <w:iCs/>
                <w:snapToGrid w:val="0"/>
              </w:rPr>
              <w:t xml:space="preserve"> s. 9</w:t>
            </w:r>
          </w:p>
        </w:tc>
        <w:tc>
          <w:tcPr>
            <w:tcW w:w="1134" w:type="dxa"/>
          </w:tcPr>
          <w:p>
            <w:pPr>
              <w:pStyle w:val="nTable"/>
              <w:spacing w:after="40"/>
              <w:rPr>
                <w:snapToGrid w:val="0"/>
              </w:rPr>
            </w:pPr>
            <w:r>
              <w:rPr>
                <w:snapToGrid w:val="0"/>
              </w:rPr>
              <w:t>54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8 Dec 2010 (see s. 2(b)(ii))</w:t>
            </w:r>
          </w:p>
        </w:tc>
      </w:tr>
      <w:tr>
        <w:trPr>
          <w:cantSplit/>
        </w:trPr>
        <w:tc>
          <w:tcPr>
            <w:tcW w:w="2268" w:type="dxa"/>
            <w:shd w:val="clear" w:color="auto" w:fill="auto"/>
          </w:tcPr>
          <w:p>
            <w:pPr>
              <w:pStyle w:val="nTable"/>
              <w:spacing w:after="40"/>
              <w:ind w:right="113"/>
              <w:rPr>
                <w:i/>
                <w:snapToGrid w:val="0"/>
              </w:rPr>
            </w:pPr>
            <w:r>
              <w:rPr>
                <w:i/>
                <w:noProof/>
                <w:snapToGrid w:val="0"/>
              </w:rPr>
              <w:t>Fair Trading Act 2010</w:t>
            </w:r>
            <w:r>
              <w:rPr>
                <w:iCs/>
                <w:noProof/>
                <w:snapToGrid w:val="0"/>
              </w:rPr>
              <w:t xml:space="preserve"> Pt. 10 Div. 1</w:t>
            </w:r>
          </w:p>
        </w:tc>
        <w:tc>
          <w:tcPr>
            <w:tcW w:w="1134" w:type="dxa"/>
            <w:shd w:val="clear" w:color="auto" w:fill="auto"/>
          </w:tcPr>
          <w:p>
            <w:pPr>
              <w:pStyle w:val="nTable"/>
              <w:spacing w:after="40"/>
              <w:rPr>
                <w:snapToGrid w:val="0"/>
              </w:rPr>
            </w:pPr>
            <w:r>
              <w:rPr>
                <w:snapToGrid w:val="0"/>
              </w:rPr>
              <w:t>57 of 2010</w:t>
            </w:r>
          </w:p>
        </w:tc>
        <w:tc>
          <w:tcPr>
            <w:tcW w:w="1134"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Jan 2011 (see s. 2(b) and </w:t>
            </w:r>
            <w:r>
              <w:rPr>
                <w:i/>
                <w:iCs/>
                <w:snapToGrid w:val="0"/>
              </w:rPr>
              <w:t>Gazette</w:t>
            </w:r>
            <w:r>
              <w:rPr>
                <w:snapToGrid w:val="0"/>
              </w:rPr>
              <w:t xml:space="preserve"> 24 Dec 2010 p. 6805)</w:t>
            </w:r>
          </w:p>
        </w:tc>
      </w:tr>
      <w:tr>
        <w:trPr>
          <w:cantSplit/>
        </w:trPr>
        <w:tc>
          <w:tcPr>
            <w:tcW w:w="2268" w:type="dxa"/>
            <w:shd w:val="clear" w:color="auto" w:fill="auto"/>
          </w:tcPr>
          <w:p>
            <w:pPr>
              <w:pStyle w:val="nTable"/>
              <w:spacing w:after="40"/>
              <w:ind w:right="113"/>
              <w:rPr>
                <w:i/>
                <w:noProof/>
                <w:snapToGrid w:val="0"/>
              </w:rPr>
            </w:pPr>
            <w:r>
              <w:rPr>
                <w:i/>
                <w:snapToGrid w:val="0"/>
              </w:rPr>
              <w:t xml:space="preserve">Road Traffic Legislation Amendment Act 2012 </w:t>
            </w:r>
            <w:r>
              <w:rPr>
                <w:snapToGrid w:val="0"/>
              </w:rPr>
              <w:t>Pt. 4 Div. 9</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7: The </w:t>
            </w:r>
            <w:r>
              <w:rPr>
                <w:b/>
                <w:i/>
              </w:rPr>
              <w:t>Consumer Affairs Act 1971</w:t>
            </w:r>
            <w:r>
              <w:rPr>
                <w:b/>
              </w:rPr>
              <w:t xml:space="preserve"> as at 7 Jun 2013</w:t>
            </w:r>
            <w:r>
              <w:t xml:space="preserve"> (includes amendments listed above except those in the </w:t>
            </w:r>
            <w:r>
              <w:rPr>
                <w:i/>
                <w:snapToGrid w:val="0"/>
              </w:rPr>
              <w:t xml:space="preserve">Road Traffic Legislation Amendment Act 2012 </w:t>
            </w:r>
            <w:r>
              <w:rPr>
                <w:snapToGrid w:val="0"/>
              </w:rPr>
              <w:t>Pt. 4 Div. </w:t>
            </w:r>
            <w:r>
              <w:t>9)</w:t>
            </w:r>
          </w:p>
        </w:tc>
      </w:tr>
      <w:tr>
        <w:trPr>
          <w:cantSplit/>
          <w:ins w:id="197" w:author="svcMRProcess" w:date="2018-08-22T09:11:00Z"/>
        </w:trPr>
        <w:tc>
          <w:tcPr>
            <w:tcW w:w="7087" w:type="dxa"/>
            <w:gridSpan w:val="4"/>
            <w:tcBorders>
              <w:bottom w:val="single" w:sz="8" w:space="0" w:color="auto"/>
            </w:tcBorders>
            <w:shd w:val="clear" w:color="auto" w:fill="auto"/>
          </w:tcPr>
          <w:p>
            <w:pPr>
              <w:pStyle w:val="nTable"/>
              <w:spacing w:after="40"/>
              <w:rPr>
                <w:ins w:id="198" w:author="svcMRProcess" w:date="2018-08-22T09:11:00Z"/>
                <w:b/>
                <w:color w:val="FF0000"/>
              </w:rPr>
            </w:pPr>
            <w:ins w:id="199" w:author="svcMRProcess" w:date="2018-08-22T09:11:00Z">
              <w:r>
                <w:rPr>
                  <w:b/>
                  <w:color w:val="FF0000"/>
                </w:rPr>
                <w:t xml:space="preserve">This Act expired on 22 Oct 2016 (see s. 2B(2) and </w:t>
              </w:r>
              <w:r>
                <w:rPr>
                  <w:b/>
                  <w:i/>
                  <w:color w:val="FF0000"/>
                </w:rPr>
                <w:t xml:space="preserve">Gazette </w:t>
              </w:r>
              <w:r>
                <w:rPr>
                  <w:b/>
                  <w:color w:val="FF0000"/>
                </w:rPr>
                <w:t>21 Oct 2016 p. 4781)</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sz w:val="19"/>
        </w:rPr>
        <w:t>Biosecurity and Agriculture Management (Repeal and Consequential Provisions) Act 2007</w:t>
      </w:r>
      <w:r>
        <w:rPr>
          <w:snapToGrid w:val="0"/>
        </w:rPr>
        <w:t>.</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rPr>
          <w:snapToGrid w:val="0"/>
        </w:rPr>
      </w:pPr>
      <w:r>
        <w:rPr>
          <w:snapToGrid w:val="0"/>
          <w:vertAlign w:val="superscript"/>
        </w:rPr>
        <w:t>6</w:t>
      </w:r>
      <w:r>
        <w:rPr>
          <w:snapToGrid w:val="0"/>
        </w:rPr>
        <w:tab/>
      </w:r>
      <w:r>
        <w:t>Repealed</w:t>
      </w:r>
      <w:r>
        <w:rPr>
          <w:snapToGrid w:val="0"/>
        </w:rPr>
        <w:t xml:space="preserve">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keepNext/>
        <w:keepLines/>
      </w:pPr>
      <w:r>
        <w:rPr>
          <w:snapToGrid w:val="0"/>
          <w:vertAlign w:val="superscript"/>
        </w:rPr>
        <w:t>8</w:t>
      </w:r>
      <w:r>
        <w:rPr>
          <w:snapToGrid w:val="0"/>
        </w:rPr>
        <w:tab/>
      </w:r>
      <w:r>
        <w:t>T</w:t>
      </w:r>
      <w:r>
        <w:rPr>
          <w:snapToGrid w:val="0"/>
        </w:rPr>
        <w:t xml:space="preserve">he </w:t>
      </w:r>
      <w:r>
        <w:rPr>
          <w:i/>
          <w:snapToGrid w:val="0"/>
          <w:sz w:val="19"/>
        </w:rPr>
        <w:t>Biosecurity and Agriculture Management (Repeal and Consequential Provisions) Act 2007</w:t>
      </w:r>
      <w:r>
        <w:rPr>
          <w:iCs/>
          <w:snapToGrid w:val="0"/>
          <w:sz w:val="19"/>
        </w:rPr>
        <w:t xml:space="preserve"> s. 23, 29, 61, 64, 75, 83 and 86 (as enacted) proposed to amend this Act.  However those sections were </w:t>
      </w:r>
      <w:r>
        <w:t xml:space="preserve">deleted </w:t>
      </w:r>
      <w:r>
        <w:rPr>
          <w:iCs/>
          <w:snapToGrid w:val="0"/>
          <w:sz w:val="19"/>
        </w:rPr>
        <w:t xml:space="preserve">by the </w:t>
      </w:r>
      <w:r>
        <w:rPr>
          <w:i/>
          <w:iCs/>
          <w:snapToGrid w:val="0"/>
          <w:sz w:val="19"/>
        </w:rPr>
        <w:t>Acts Amendment (Fair Trading) Act 2010</w:t>
      </w:r>
      <w:r>
        <w:rPr>
          <w:iCs/>
          <w:snapToGrid w:val="0"/>
          <w:sz w:val="19"/>
        </w:rPr>
        <w:t xml:space="preserve"> s. 192 </w:t>
      </w:r>
      <w:r>
        <w:t>before they came into operation.</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BlankOpen"/>
        <w:rPr>
          <w:snapToGrid w:val="0"/>
        </w:rPr>
      </w:pP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BlankClose"/>
        <w:rPr>
          <w:snapToGrid w:val="0"/>
        </w:rPr>
      </w:pP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12</w:t>
      </w:r>
      <w:r>
        <w:tab/>
        <w:t xml:space="preserve">The </w:t>
      </w:r>
      <w:r>
        <w:rPr>
          <w:i/>
          <w:iCs/>
        </w:rPr>
        <w:t>Machinery of Government (Miscellaneous Amendments) Act 2006</w:t>
      </w:r>
      <w:r>
        <w:t xml:space="preserve"> Pt. 4 Div. 23 </w:t>
      </w:r>
      <w:r>
        <w:rPr>
          <w:color w:val="000000"/>
        </w:rPr>
        <w:t>has transitional provisions some of which may be relevant to this Act.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12" w:type="dxa"/>
        </w:tcPr>
        <w:p>
          <w:pPr>
            <w:pStyle w:val="Header"/>
            <w:spacing w:before="40"/>
          </w:pPr>
          <w:r>
            <w:rPr>
              <w:b/>
            </w:rPr>
            <w:fldChar w:fldCharType="begin"/>
          </w:r>
          <w:r>
            <w:rPr>
              <w:b/>
            </w:rPr>
            <w:instrText xml:space="preserve"> STYLEREF CharPartNo </w:instrText>
          </w:r>
          <w:r>
            <w:rPr>
              <w:b/>
            </w:rPr>
            <w:fldChar w:fldCharType="end"/>
          </w:r>
        </w:p>
      </w:tc>
      <w:tc>
        <w:tcPr>
          <w:tcW w:w="5751" w:type="dxa"/>
          <w:vAlign w:val="bottom"/>
        </w:tcPr>
        <w:p>
          <w:pPr>
            <w:pStyle w:val="Header"/>
            <w:spacing w:before="40"/>
          </w:pPr>
          <w:r>
            <w:fldChar w:fldCharType="begin"/>
          </w:r>
          <w:r>
            <w:instrText>STYLEREF CharPartText</w:instrText>
          </w:r>
          <w:r>
            <w:fldChar w:fldCharType="end"/>
          </w:r>
        </w:p>
      </w:tc>
    </w:tr>
    <w:tr>
      <w:tc>
        <w:tcPr>
          <w:tcW w:w="1512" w:type="dxa"/>
        </w:tcPr>
        <w:p>
          <w:pPr>
            <w:pStyle w:val="Header"/>
            <w:spacing w:before="40"/>
          </w:pPr>
          <w:r>
            <w:rPr>
              <w:b/>
            </w:rPr>
            <w:fldChar w:fldCharType="begin"/>
          </w:r>
          <w:r>
            <w:rPr>
              <w:b/>
            </w:rPr>
            <w:instrText xml:space="preserve"> STYLEREF CharDivNo </w:instrText>
          </w:r>
          <w:r>
            <w:rPr>
              <w:b/>
            </w:rPr>
            <w:fldChar w:fldCharType="end"/>
          </w:r>
        </w:p>
      </w:tc>
      <w:tc>
        <w:tcPr>
          <w:tcW w:w="575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92" w:name="Schedule"/>
    <w:bookmarkEnd w:id="1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1" w:name="Coversheet"/>
    <w:bookmarkEnd w:id="2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lvlText w:val="%1."/>
      <w:lvlJc w:val="left"/>
      <w:pPr>
        <w:tabs>
          <w:tab w:val="num" w:pos="1492"/>
        </w:tabs>
        <w:ind w:left="1492" w:hanging="360"/>
      </w:pPr>
    </w:lvl>
  </w:abstractNum>
  <w:abstractNum w:abstractNumId="1">
    <w:nsid w:val="FFFFFF7D"/>
    <w:multiLevelType w:val="singleLevel"/>
    <w:tmpl w:val="05585C0C"/>
    <w:lvl w:ilvl="0">
      <w:start w:val="1"/>
      <w:numFmt w:val="decimal"/>
      <w:lvlText w:val="%1."/>
      <w:lvlJc w:val="left"/>
      <w:pPr>
        <w:tabs>
          <w:tab w:val="num" w:pos="1209"/>
        </w:tabs>
        <w:ind w:left="1209" w:hanging="360"/>
      </w:pPr>
    </w:lvl>
  </w:abstractNum>
  <w:abstractNum w:abstractNumId="2">
    <w:nsid w:val="FFFFFF7E"/>
    <w:multiLevelType w:val="singleLevel"/>
    <w:tmpl w:val="421237EE"/>
    <w:lvl w:ilvl="0">
      <w:start w:val="1"/>
      <w:numFmt w:val="decimal"/>
      <w:lvlText w:val="%1."/>
      <w:lvlJc w:val="left"/>
      <w:pPr>
        <w:tabs>
          <w:tab w:val="num" w:pos="926"/>
        </w:tabs>
        <w:ind w:left="926" w:hanging="360"/>
      </w:pPr>
    </w:lvl>
  </w:abstractNum>
  <w:abstractNum w:abstractNumId="3">
    <w:nsid w:val="FFFFFF7F"/>
    <w:multiLevelType w:val="singleLevel"/>
    <w:tmpl w:val="58AAF748"/>
    <w:lvl w:ilvl="0">
      <w:start w:val="1"/>
      <w:numFmt w:val="decimal"/>
      <w:lvlText w:val="%1."/>
      <w:lvlJc w:val="left"/>
      <w:pPr>
        <w:tabs>
          <w:tab w:val="num" w:pos="643"/>
        </w:tabs>
        <w:ind w:left="643" w:hanging="360"/>
      </w:pPr>
    </w:lvl>
  </w:abstractNum>
  <w:abstractNum w:abstractNumId="4">
    <w:nsid w:val="FFFFFF80"/>
    <w:multiLevelType w:val="singleLevel"/>
    <w:tmpl w:val="A8369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lvlText w:val="%1."/>
      <w:lvlJc w:val="left"/>
      <w:pPr>
        <w:tabs>
          <w:tab w:val="num" w:pos="360"/>
        </w:tabs>
        <w:ind w:left="360" w:hanging="360"/>
      </w:pPr>
    </w:lvl>
  </w:abstractNum>
  <w:abstractNum w:abstractNumId="9">
    <w:nsid w:val="FFFFFF89"/>
    <w:multiLevelType w:val="singleLevel"/>
    <w:tmpl w:val="758AC28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49B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04"/>
    <w:docVar w:name="WAFER_20140115095004" w:val="RemoveTocBookmarks,RemoveUnusedBookmarks,RemoveLanguageTags,UsedStyles,ResetPageSize,UpdateArrangement"/>
    <w:docVar w:name="WAFER_20140115095004_GUID" w:val="f63c2b4c-d4da-45f3-8396-a679c948ffc8"/>
    <w:docVar w:name="WAFER_20140115095010" w:val="RemoveTocBookmarks,RunningHeaders"/>
    <w:docVar w:name="WAFER_20140115095010_GUID" w:val="1be4e876-99bd-443e-9c45-161329c73307"/>
    <w:docVar w:name="WAFER_20150401121955" w:val="ResetPageSize,UpdateArrangement,UpdateNTable"/>
    <w:docVar w:name="WAFER_20150401121955_GUID" w:val="e2bf1582-242f-4478-8584-ec65445aa9d6"/>
    <w:docVar w:name="WAFER_20151102161904" w:val="UpdateStyles,UsedStyles"/>
    <w:docVar w:name="WAFER_20151102161904_GUID" w:val="a09747be-085f-430c-825a-351104aef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10822</Words>
  <Characters>50216</Characters>
  <Application>Microsoft Office Word</Application>
  <DocSecurity>0</DocSecurity>
  <Lines>1434</Lines>
  <Paragraphs>772</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07-b0-01 - 07-c0-01</dc:title>
  <dc:subject/>
  <dc:creator/>
  <cp:keywords/>
  <dc:description/>
  <cp:lastModifiedBy>svcMRProcess</cp:lastModifiedBy>
  <cp:revision>2</cp:revision>
  <cp:lastPrinted>2013-06-21T00:07:00Z</cp:lastPrinted>
  <dcterms:created xsi:type="dcterms:W3CDTF">2018-08-22T01:11:00Z</dcterms:created>
  <dcterms:modified xsi:type="dcterms:W3CDTF">2018-08-22T01:11:00Z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20161022</vt:lpwstr>
  </property>
  <property fmtid="{D5CDD505-2E9C-101B-9397-08002B2CF9AE}" pid="4" name="DocumentType">
    <vt:lpwstr>Act</vt:lpwstr>
  </property>
  <property fmtid="{D5CDD505-2E9C-101B-9397-08002B2CF9AE}" pid="5" name="OwlsUID">
    <vt:i4>176</vt:i4>
  </property>
  <property fmtid="{D5CDD505-2E9C-101B-9397-08002B2CF9AE}" pid="6" name="ThisVersion">
    <vt:lpwstr>06-f0-00</vt:lpwstr>
  </property>
  <property fmtid="{D5CDD505-2E9C-101B-9397-08002B2CF9AE}" pid="7" name="ReprintNo">
    <vt:lpwstr>7</vt:lpwstr>
  </property>
  <property fmtid="{D5CDD505-2E9C-101B-9397-08002B2CF9AE}" pid="8" name="ReprintedAsAt">
    <vt:filetime>2013-06-06T16:00:00Z</vt:filetime>
  </property>
  <property fmtid="{D5CDD505-2E9C-101B-9397-08002B2CF9AE}" pid="9" name="Status">
    <vt:lpwstr>NIF</vt:lpwstr>
  </property>
  <property fmtid="{D5CDD505-2E9C-101B-9397-08002B2CF9AE}" pid="10" name="FromSuffix">
    <vt:lpwstr>07-b0-01</vt:lpwstr>
  </property>
  <property fmtid="{D5CDD505-2E9C-101B-9397-08002B2CF9AE}" pid="11" name="FromAsAtDate">
    <vt:lpwstr>27 Apr 2015</vt:lpwstr>
  </property>
  <property fmtid="{D5CDD505-2E9C-101B-9397-08002B2CF9AE}" pid="12" name="ToSuffix">
    <vt:lpwstr>07-c0-01</vt:lpwstr>
  </property>
  <property fmtid="{D5CDD505-2E9C-101B-9397-08002B2CF9AE}" pid="13" name="ToAsAtDate">
    <vt:lpwstr>22 Oct 2016</vt:lpwstr>
  </property>
</Properties>
</file>