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Jan 2016</w:t>
      </w:r>
      <w:r>
        <w:fldChar w:fldCharType="end"/>
      </w:r>
      <w:r>
        <w:t xml:space="preserve">, </w:t>
      </w:r>
      <w:r>
        <w:fldChar w:fldCharType="begin"/>
      </w:r>
      <w:r>
        <w:instrText xml:space="preserve"> DocProperty FromSuffix </w:instrText>
      </w:r>
      <w:r>
        <w:fldChar w:fldCharType="separate"/>
      </w:r>
      <w:r>
        <w:t>06-d0-00</w:t>
      </w:r>
      <w:r>
        <w:fldChar w:fldCharType="end"/>
      </w:r>
      <w:r>
        <w:t>] and [</w:t>
      </w:r>
      <w:r>
        <w:fldChar w:fldCharType="begin"/>
      </w:r>
      <w:r>
        <w:instrText xml:space="preserve"> DocProperty ToAsAtDate</w:instrText>
      </w:r>
      <w:r>
        <w:fldChar w:fldCharType="separate"/>
      </w:r>
      <w:r>
        <w:t>21 Oct 2016</w:t>
      </w:r>
      <w:r>
        <w:fldChar w:fldCharType="end"/>
      </w:r>
      <w:r>
        <w:t xml:space="preserve">, </w:t>
      </w:r>
      <w:r>
        <w:fldChar w:fldCharType="begin"/>
      </w:r>
      <w:r>
        <w:instrText xml:space="preserve"> DocProperty ToSuffix</w:instrText>
      </w:r>
      <w:r>
        <w:fldChar w:fldCharType="separate"/>
      </w:r>
      <w:r>
        <w:t>07-a0-01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4:07:00Z"/>
        </w:trPr>
        <w:tc>
          <w:tcPr>
            <w:tcW w:w="2434" w:type="dxa"/>
            <w:vMerge w:val="restart"/>
          </w:tcPr>
          <w:p>
            <w:pPr>
              <w:rPr>
                <w:ins w:id="2" w:author="Master Repository Process" w:date="2021-08-01T14:07:00Z"/>
              </w:rPr>
            </w:pPr>
          </w:p>
        </w:tc>
        <w:tc>
          <w:tcPr>
            <w:tcW w:w="2434" w:type="dxa"/>
            <w:vMerge w:val="restart"/>
          </w:tcPr>
          <w:p>
            <w:pPr>
              <w:jc w:val="center"/>
              <w:rPr>
                <w:ins w:id="3" w:author="Master Repository Process" w:date="2021-08-01T14:07:00Z"/>
              </w:rPr>
            </w:pPr>
            <w:ins w:id="4" w:author="Master Repository Process" w:date="2021-08-01T14:0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4:07:00Z"/>
              </w:rPr>
            </w:pPr>
            <w:ins w:id="6" w:author="Master Repository Process" w:date="2021-08-01T14:07: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4:07:00Z"/>
        </w:trPr>
        <w:tc>
          <w:tcPr>
            <w:tcW w:w="2434" w:type="dxa"/>
            <w:vMerge/>
          </w:tcPr>
          <w:p>
            <w:pPr>
              <w:rPr>
                <w:ins w:id="8" w:author="Master Repository Process" w:date="2021-08-01T14:07:00Z"/>
              </w:rPr>
            </w:pPr>
          </w:p>
        </w:tc>
        <w:tc>
          <w:tcPr>
            <w:tcW w:w="2434" w:type="dxa"/>
            <w:vMerge/>
          </w:tcPr>
          <w:p>
            <w:pPr>
              <w:jc w:val="center"/>
              <w:rPr>
                <w:ins w:id="9" w:author="Master Repository Process" w:date="2021-08-01T14:07:00Z"/>
              </w:rPr>
            </w:pPr>
          </w:p>
        </w:tc>
        <w:tc>
          <w:tcPr>
            <w:tcW w:w="2434" w:type="dxa"/>
          </w:tcPr>
          <w:p>
            <w:pPr>
              <w:keepNext/>
              <w:rPr>
                <w:ins w:id="10" w:author="Master Repository Process" w:date="2021-08-01T14:07:00Z"/>
                <w:b/>
                <w:sz w:val="22"/>
              </w:rPr>
            </w:pPr>
            <w:ins w:id="11" w:author="Master Repository Process" w:date="2021-08-01T14:07:00Z">
              <w:r>
                <w:rPr>
                  <w:b/>
                  <w:sz w:val="22"/>
                </w:rPr>
                <w:t>at 21 October 2016</w:t>
              </w:r>
            </w:ins>
          </w:p>
        </w:tc>
      </w:tr>
    </w:tbl>
    <w:p>
      <w:pPr>
        <w:pStyle w:val="WA"/>
        <w:spacing w:before="12"/>
      </w:pPr>
      <w:r>
        <w:t>Western Australia</w:t>
      </w:r>
    </w:p>
    <w:p>
      <w:pPr>
        <w:pStyle w:val="PrincipalActReg"/>
        <w:spacing w:before="120" w:after="600"/>
        <w:rPr>
          <w:snapToGrid w:val="0"/>
        </w:rPr>
      </w:pPr>
      <w:r>
        <w:rPr>
          <w:snapToGrid w:val="0"/>
        </w:rPr>
        <w:t>Electricity Act 1945</w:t>
      </w:r>
    </w:p>
    <w:p>
      <w:pPr>
        <w:pStyle w:val="NameofActReg"/>
        <w:spacing w:before="720" w:after="720"/>
      </w:pPr>
      <w:r>
        <w:t>Electricity Regulations 1947</w:t>
      </w:r>
    </w:p>
    <w:p>
      <w:pPr>
        <w:pStyle w:val="Heading2"/>
        <w:keepNext w:val="0"/>
        <w:pageBreakBefore w:val="0"/>
        <w:spacing w:before="280"/>
      </w:pPr>
      <w:bookmarkStart w:id="12" w:name="_Toc473125140"/>
      <w:bookmarkStart w:id="13" w:name="_Toc426541971"/>
      <w:r>
        <w:rPr>
          <w:rStyle w:val="CharPartNo"/>
        </w:rPr>
        <w:t>P</w:t>
      </w:r>
      <w:bookmarkStart w:id="14" w:name="_GoBack"/>
      <w:bookmarkEnd w:id="14"/>
      <w:r>
        <w:rPr>
          <w:rStyle w:val="CharPartNo"/>
        </w:rPr>
        <w:t>art I</w:t>
      </w:r>
      <w:r>
        <w:t xml:space="preserve"> — </w:t>
      </w:r>
      <w:r>
        <w:rPr>
          <w:rStyle w:val="CharPartText"/>
        </w:rPr>
        <w:t>Preliminary</w:t>
      </w:r>
      <w:bookmarkEnd w:id="12"/>
      <w:bookmarkEnd w:id="13"/>
    </w:p>
    <w:p>
      <w:pPr>
        <w:pStyle w:val="Footnoteheading"/>
      </w:pPr>
      <w:r>
        <w:tab/>
        <w:t>[Heading inserted in Gazette 30 May 2000 p. 2567.]</w:t>
      </w:r>
    </w:p>
    <w:p>
      <w:pPr>
        <w:pStyle w:val="Heading5"/>
        <w:spacing w:before="300"/>
      </w:pPr>
      <w:bookmarkStart w:id="15" w:name="_Toc473125141"/>
      <w:bookmarkStart w:id="16" w:name="_Toc426541972"/>
      <w:r>
        <w:rPr>
          <w:rStyle w:val="CharSectno"/>
        </w:rPr>
        <w:t>1</w:t>
      </w:r>
      <w:r>
        <w:t>.</w:t>
      </w:r>
      <w:r>
        <w:tab/>
        <w:t>Citation</w:t>
      </w:r>
      <w:bookmarkEnd w:id="15"/>
      <w:bookmarkEnd w:id="16"/>
    </w:p>
    <w:p>
      <w:pPr>
        <w:pStyle w:val="Subsection"/>
        <w:spacing w:before="220"/>
      </w:pPr>
      <w:r>
        <w:tab/>
      </w:r>
      <w:r>
        <w:tab/>
        <w:t xml:space="preserve">These regulations may be cited as the </w:t>
      </w:r>
      <w:r>
        <w:rPr>
          <w:i/>
        </w:rPr>
        <w:t xml:space="preserve">Electricity Regulations 1947 </w:t>
      </w:r>
      <w:r>
        <w:rPr>
          <w:vertAlign w:val="superscript"/>
        </w:rPr>
        <w:t>1</w:t>
      </w:r>
      <w:r>
        <w:t>.</w:t>
      </w:r>
    </w:p>
    <w:p>
      <w:pPr>
        <w:pStyle w:val="Footnotesection"/>
        <w:spacing w:before="160"/>
        <w:ind w:left="890" w:hanging="890"/>
      </w:pPr>
      <w:r>
        <w:tab/>
        <w:t>[Regulation 1 inserted in Gazette 30 May 2000 p. 2567.]</w:t>
      </w:r>
    </w:p>
    <w:p>
      <w:pPr>
        <w:pStyle w:val="Heading5"/>
        <w:spacing w:before="300"/>
      </w:pPr>
      <w:bookmarkStart w:id="17" w:name="_Toc473125142"/>
      <w:bookmarkStart w:id="18" w:name="_Toc426541973"/>
      <w:r>
        <w:rPr>
          <w:rStyle w:val="CharSectno"/>
        </w:rPr>
        <w:t>2</w:t>
      </w:r>
      <w:r>
        <w:t>.</w:t>
      </w:r>
      <w:r>
        <w:tab/>
        <w:t>Term used: Australian/New Zealand Wiring Rules</w:t>
      </w:r>
      <w:bookmarkEnd w:id="17"/>
      <w:bookmarkEnd w:id="18"/>
    </w:p>
    <w:p>
      <w:pPr>
        <w:pStyle w:val="Subsection"/>
        <w:spacing w:before="220"/>
      </w:pPr>
      <w:r>
        <w:tab/>
        <w:t>(1)</w:t>
      </w:r>
      <w:r>
        <w:tab/>
        <w:t>In these regulations —</w:t>
      </w:r>
    </w:p>
    <w:p>
      <w:pPr>
        <w:pStyle w:val="Defstart"/>
        <w:spacing w:before="160"/>
      </w:pPr>
      <w:r>
        <w:tab/>
      </w:r>
      <w:r>
        <w:rPr>
          <w:rStyle w:val="CharDefText"/>
        </w:rPr>
        <w:t>Australian/New Zealand Wiring Rules</w:t>
      </w:r>
      <w:r>
        <w:t xml:space="preserve"> means AS/NZS 3000:2007 Electrical installations (known as the Australian/New Zealand Wiring Rules), published jointly by Standards Australia and Standards New Zealand, as amended from time to time.</w:t>
      </w:r>
    </w:p>
    <w:p>
      <w:pPr>
        <w:pStyle w:val="Subsection"/>
        <w:keepNext/>
        <w:spacing w:before="200"/>
      </w:pPr>
      <w:r>
        <w:lastRenderedPageBreak/>
        <w:tab/>
        <w:t>(2)</w:t>
      </w:r>
      <w:r>
        <w:tab/>
        <w:t>Unless the contrary intention appears, words defined in the Australian/New Zealand Wiring Rules have the same respective meanings when used in these regulations.</w:t>
      </w:r>
    </w:p>
    <w:p>
      <w:pPr>
        <w:pStyle w:val="Footnotesection"/>
        <w:keepNext/>
        <w:spacing w:before="80"/>
        <w:ind w:left="890" w:hanging="890"/>
      </w:pPr>
      <w:r>
        <w:tab/>
        <w:t>[Regulation 2 inserted in Gazette 30 May 2000 p. 2567; amended in Gazette 8 May 2009 p. 1492</w:t>
      </w:r>
      <w:r>
        <w:noBreakHyphen/>
        <w:t>3; 5 Mar 2010 p. 841.]</w:t>
      </w:r>
    </w:p>
    <w:p>
      <w:pPr>
        <w:pStyle w:val="Ednotepart"/>
      </w:pPr>
      <w:r>
        <w:t>[Pts. II and III (r. 3</w:t>
      </w:r>
      <w:r>
        <w:noBreakHyphen/>
        <w:t>11) deleted in Gazette 14 Apr 2015 p. 1324.]</w:t>
      </w:r>
    </w:p>
    <w:p>
      <w:pPr>
        <w:pStyle w:val="Heading2"/>
      </w:pPr>
      <w:bookmarkStart w:id="19" w:name="_Toc473125143"/>
      <w:bookmarkStart w:id="20" w:name="_Toc426541974"/>
      <w:r>
        <w:rPr>
          <w:rStyle w:val="CharPartNo"/>
        </w:rPr>
        <w:t>Part IV</w:t>
      </w:r>
      <w:r>
        <w:rPr>
          <w:rStyle w:val="CharDivNo"/>
        </w:rPr>
        <w:t> </w:t>
      </w:r>
      <w:r>
        <w:t>—</w:t>
      </w:r>
      <w:r>
        <w:rPr>
          <w:rStyle w:val="CharDivText"/>
        </w:rPr>
        <w:t> </w:t>
      </w:r>
      <w:r>
        <w:rPr>
          <w:rStyle w:val="CharPartText"/>
        </w:rPr>
        <w:t>Residual current devices</w:t>
      </w:r>
      <w:bookmarkEnd w:id="19"/>
      <w:bookmarkEnd w:id="20"/>
    </w:p>
    <w:p>
      <w:pPr>
        <w:pStyle w:val="Footnoteheading"/>
      </w:pPr>
      <w:r>
        <w:tab/>
        <w:t>[Heading inserted in Gazette 8 May 2009 p. 1493.]</w:t>
      </w:r>
    </w:p>
    <w:p>
      <w:pPr>
        <w:pStyle w:val="Heading5"/>
      </w:pPr>
      <w:bookmarkStart w:id="21" w:name="_Toc473125144"/>
      <w:bookmarkStart w:id="22" w:name="_Toc426541975"/>
      <w:r>
        <w:rPr>
          <w:rStyle w:val="CharSectno"/>
        </w:rPr>
        <w:t>12</w:t>
      </w:r>
      <w:r>
        <w:t>.</w:t>
      </w:r>
      <w:r>
        <w:tab/>
        <w:t>Terms used</w:t>
      </w:r>
      <w:bookmarkEnd w:id="21"/>
      <w:bookmarkEnd w:id="22"/>
    </w:p>
    <w:p>
      <w:pPr>
        <w:pStyle w:val="Subsection"/>
      </w:pPr>
      <w:r>
        <w:tab/>
      </w:r>
      <w:r>
        <w:tab/>
        <w:t>In this Part —</w:t>
      </w:r>
    </w:p>
    <w:p>
      <w:pPr>
        <w:pStyle w:val="Defstart"/>
      </w:pPr>
      <w:r>
        <w:tab/>
      </w:r>
      <w:r>
        <w:rPr>
          <w:rStyle w:val="CharDefText"/>
        </w:rPr>
        <w:t>commencement day</w:t>
      </w:r>
      <w:r>
        <w:t xml:space="preserve"> means the day on which this Part comes into operation</w:t>
      </w:r>
      <w:r>
        <w:rPr>
          <w:vertAlign w:val="superscript"/>
        </w:rPr>
        <w:t> 1</w:t>
      </w:r>
      <w:r>
        <w:t>;</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residential premises</w:t>
      </w:r>
      <w:r>
        <w:t xml:space="preserve"> means premises that constitute or are intended to constitute a place of residence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in Gazette 8 May 2009 p. 1493</w:t>
      </w:r>
      <w:r>
        <w:noBreakHyphen/>
        <w:t>4; amended in Gazette 5 Mar 2010 p. 842; 10 May 2011 p. 1663.]</w:t>
      </w:r>
    </w:p>
    <w:p>
      <w:pPr>
        <w:pStyle w:val="Heading5"/>
      </w:pPr>
      <w:bookmarkStart w:id="23" w:name="_Toc473125145"/>
      <w:bookmarkStart w:id="24" w:name="_Toc426541976"/>
      <w:r>
        <w:rPr>
          <w:rStyle w:val="CharSectno"/>
        </w:rPr>
        <w:t>13</w:t>
      </w:r>
      <w:r>
        <w:t>.</w:t>
      </w:r>
      <w:r>
        <w:tab/>
        <w:t>Residential premises occupied by owner</w:t>
      </w:r>
      <w:bookmarkEnd w:id="23"/>
      <w:bookmarkEnd w:id="24"/>
    </w:p>
    <w:p>
      <w:pPr>
        <w:pStyle w:val="Subsection"/>
      </w:pPr>
      <w:r>
        <w:tab/>
      </w:r>
      <w:r>
        <w:tab/>
        <w:t>Subject to any exemption under regulation 18,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(c)</w:t>
      </w:r>
      <w:r>
        <w:tab/>
        <w:t>before the owner makes some or all of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 amended in Gazette 10 May 2011 p. 1663; 13 Apr 2012 p. 1647.]</w:t>
      </w:r>
    </w:p>
    <w:p>
      <w:pPr>
        <w:pStyle w:val="Heading5"/>
      </w:pPr>
      <w:bookmarkStart w:id="25" w:name="_Toc473125146"/>
      <w:bookmarkStart w:id="26" w:name="_Toc426541977"/>
      <w:r>
        <w:rPr>
          <w:rStyle w:val="CharSectno"/>
        </w:rPr>
        <w:t>14</w:t>
      </w:r>
      <w:r>
        <w:t>.</w:t>
      </w:r>
      <w:r>
        <w:tab/>
        <w:t>Residential premises not occupied by owner</w:t>
      </w:r>
      <w:bookmarkEnd w:id="25"/>
      <w:bookmarkEnd w:id="26"/>
    </w:p>
    <w:p>
      <w:pPr>
        <w:pStyle w:val="Subsection"/>
      </w:pPr>
      <w:r>
        <w:tab/>
      </w:r>
      <w:r>
        <w:tab/>
        <w:t>Subject to any exemption under regulation 18,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in Gazette 8 May 2009 p. 1494; amended in Gazette 10 May 2011 p. 1663.]</w:t>
      </w:r>
    </w:p>
    <w:p>
      <w:pPr>
        <w:pStyle w:val="Heading5"/>
      </w:pPr>
      <w:bookmarkStart w:id="27" w:name="_Toc473125147"/>
      <w:bookmarkStart w:id="28" w:name="_Toc426541978"/>
      <w:r>
        <w:rPr>
          <w:rStyle w:val="CharSectno"/>
        </w:rPr>
        <w:t>15A</w:t>
      </w:r>
      <w:r>
        <w:t>.</w:t>
      </w:r>
      <w:r>
        <w:tab/>
        <w:t>New owner’s obligation to install residual current devices and right to recover costs</w:t>
      </w:r>
      <w:bookmarkEnd w:id="27"/>
      <w:bookmarkEnd w:id="28"/>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at least 2 residual current devices are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in Gazette 10 May 2011 p. 1664.]</w:t>
      </w:r>
    </w:p>
    <w:p>
      <w:pPr>
        <w:pStyle w:val="Heading5"/>
      </w:pPr>
      <w:bookmarkStart w:id="29" w:name="_Toc473125148"/>
      <w:bookmarkStart w:id="30" w:name="_Toc426541979"/>
      <w:r>
        <w:rPr>
          <w:rStyle w:val="CharSectno"/>
        </w:rPr>
        <w:t>15</w:t>
      </w:r>
      <w:r>
        <w:t>.</w:t>
      </w:r>
      <w:r>
        <w:tab/>
        <w:t>Common property relating to residential premises</w:t>
      </w:r>
      <w:bookmarkEnd w:id="29"/>
      <w:bookmarkEnd w:id="30"/>
    </w:p>
    <w:p>
      <w:pPr>
        <w:pStyle w:val="Subsection"/>
      </w:pPr>
      <w:r>
        <w:tab/>
      </w:r>
      <w:r>
        <w:tab/>
        <w:t>Subject to any exemption under regulation 18, an owner of common property relating to residential premises must ensure that at least one residual current device per switchboard, designed to protect all the sub</w:t>
      </w:r>
      <w:r>
        <w:noBreakHyphen/>
        <w:t>circuits supplied from that switchboard, is installed in relation to the common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w:t>
      </w:r>
      <w:r>
        <w:noBreakHyphen/>
        <w:t>5; amended in Gazette 5 Mar 2010 p. 842; 10 May 2011 p. 1664.]</w:t>
      </w:r>
    </w:p>
    <w:p>
      <w:pPr>
        <w:pStyle w:val="Heading5"/>
      </w:pPr>
      <w:bookmarkStart w:id="31" w:name="_Toc473125149"/>
      <w:bookmarkStart w:id="32" w:name="_Toc426541980"/>
      <w:r>
        <w:rPr>
          <w:rStyle w:val="CharSectno"/>
        </w:rPr>
        <w:t>16</w:t>
      </w:r>
      <w:r>
        <w:t>.</w:t>
      </w:r>
      <w:r>
        <w:tab/>
        <w:t>Defences in case of demolition</w:t>
      </w:r>
      <w:bookmarkEnd w:id="31"/>
      <w:bookmarkEnd w:id="32"/>
    </w:p>
    <w:p>
      <w:pPr>
        <w:pStyle w:val="Subsection"/>
      </w:pPr>
      <w:r>
        <w:tab/>
        <w:t>(1)</w:t>
      </w:r>
      <w:r>
        <w:tab/>
        <w:t>It is a defence to a charge of an offence under regulation 13(a) or 14(a) for the person charged to prove that the new owner gave a notice of intended demolition.</w:t>
      </w:r>
    </w:p>
    <w:p>
      <w:pPr>
        <w:pStyle w:val="Subsection"/>
      </w:pPr>
      <w:r>
        <w:tab/>
        <w:t>(2)</w:t>
      </w:r>
      <w:r>
        <w:tab/>
        <w:t>It is a defence to a charge of an offence under regulation 14(d) or 15 for the person charged to prove that the person had, before the charge was laid, arranged for the demolition of the premises on or before a date that is not more than 6 months after the second anniversary of the commencement day.</w:t>
      </w:r>
    </w:p>
    <w:p>
      <w:pPr>
        <w:pStyle w:val="Footnotesection"/>
      </w:pPr>
      <w:r>
        <w:tab/>
        <w:t>[Regulation 16 inserted in Gazette 10 May 2011 p. 1665.]</w:t>
      </w:r>
    </w:p>
    <w:p>
      <w:pPr>
        <w:pStyle w:val="Ednotesection"/>
      </w:pPr>
      <w:r>
        <w:t>[</w:t>
      </w:r>
      <w:r>
        <w:rPr>
          <w:b/>
        </w:rPr>
        <w:t>17.</w:t>
      </w:r>
      <w:r>
        <w:tab/>
        <w:t>Deleted in Gazette 10 May 2011 p. 1665.]</w:t>
      </w:r>
    </w:p>
    <w:p>
      <w:pPr>
        <w:pStyle w:val="Heading5"/>
      </w:pPr>
      <w:bookmarkStart w:id="33" w:name="_Toc473125150"/>
      <w:bookmarkStart w:id="34" w:name="_Toc426541981"/>
      <w:r>
        <w:rPr>
          <w:rStyle w:val="CharSectno"/>
        </w:rPr>
        <w:t>18</w:t>
      </w:r>
      <w:r>
        <w:t>.</w:t>
      </w:r>
      <w:r>
        <w:tab/>
        <w:t>Director may grant temporary exemptions</w:t>
      </w:r>
      <w:bookmarkEnd w:id="33"/>
      <w:bookmarkEnd w:id="34"/>
    </w:p>
    <w:p>
      <w:pPr>
        <w:pStyle w:val="Subsection"/>
      </w:pPr>
      <w:r>
        <w:tab/>
        <w:t>(1)</w:t>
      </w:r>
      <w:r>
        <w:tab/>
        <w:t>The Director may, by notice in writing, exempt an owner of residential premises from the requirements of regulation 13, 14 or 15,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or 15,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in Gazette 5 Mar 2010 p. 842.]</w:t>
      </w:r>
    </w:p>
    <w:p>
      <w:pPr>
        <w:pStyle w:val="Heading2"/>
      </w:pPr>
      <w:bookmarkStart w:id="35" w:name="_Toc473125151"/>
      <w:bookmarkStart w:id="36" w:name="_Toc426541982"/>
      <w:r>
        <w:rPr>
          <w:rStyle w:val="CharPartNo"/>
        </w:rPr>
        <w:t>Part V</w:t>
      </w:r>
      <w:r>
        <w:t xml:space="preserve"> — </w:t>
      </w:r>
      <w:r>
        <w:rPr>
          <w:rStyle w:val="CharPartText"/>
        </w:rPr>
        <w:t>Interfering with electrical installations</w:t>
      </w:r>
      <w:bookmarkEnd w:id="35"/>
      <w:bookmarkEnd w:id="36"/>
    </w:p>
    <w:p>
      <w:pPr>
        <w:pStyle w:val="Footnoteheading"/>
      </w:pPr>
      <w:r>
        <w:tab/>
        <w:t>[Heading inserted in Gazette 13 Apr 2012 p. 1648.]</w:t>
      </w:r>
    </w:p>
    <w:p>
      <w:pPr>
        <w:pStyle w:val="Heading5"/>
      </w:pPr>
      <w:bookmarkStart w:id="37" w:name="_Toc473125152"/>
      <w:bookmarkStart w:id="38" w:name="_Toc426541983"/>
      <w:r>
        <w:rPr>
          <w:rStyle w:val="CharSectno"/>
        </w:rPr>
        <w:t>19</w:t>
      </w:r>
      <w:r>
        <w:t>.</w:t>
      </w:r>
      <w:r>
        <w:tab/>
        <w:t>Interfering with electrical installations</w:t>
      </w:r>
      <w:bookmarkEnd w:id="37"/>
      <w:bookmarkEnd w:id="38"/>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vertAlign w:val="superscript"/>
        </w:rPr>
        <w:t> 2</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in Gazette 13 Apr 2012 p. 1648.]</w:t>
      </w:r>
    </w:p>
    <w:p>
      <w:pPr>
        <w:pStyle w:val="Ednotesection"/>
      </w:pPr>
      <w:r>
        <w:t>[</w:t>
      </w:r>
      <w:r>
        <w:rPr>
          <w:b/>
          <w:bCs/>
        </w:rPr>
        <w:t>20</w:t>
      </w:r>
      <w:r>
        <w:rPr>
          <w:b/>
          <w:bCs/>
        </w:rPr>
        <w:noBreakHyphen/>
        <w:t>70.</w:t>
      </w:r>
      <w:r>
        <w:tab/>
        <w:t>Deleted in Gazette 14 Oct 1991 p. 5294.]</w:t>
      </w:r>
    </w:p>
    <w:p>
      <w:pPr>
        <w:pStyle w:val="Ednotesection"/>
      </w:pPr>
      <w:r>
        <w:t>[</w:t>
      </w:r>
      <w:r>
        <w:rPr>
          <w:b/>
          <w:bCs/>
        </w:rPr>
        <w:t>71</w:t>
      </w:r>
      <w:r>
        <w:rPr>
          <w:b/>
          <w:bCs/>
        </w:rPr>
        <w:noBreakHyphen/>
        <w:t>107.</w:t>
      </w:r>
      <w:r>
        <w:tab/>
        <w:t>Deleted in Gazette 20 Dec 1985 p. 4881.]</w:t>
      </w:r>
    </w:p>
    <w:p>
      <w:pPr>
        <w:pStyle w:val="Ednotesection"/>
      </w:pPr>
      <w:r>
        <w:t>[</w:t>
      </w:r>
      <w:r>
        <w:rPr>
          <w:b/>
          <w:bCs/>
        </w:rPr>
        <w:t>108</w:t>
      </w:r>
      <w:r>
        <w:rPr>
          <w:b/>
          <w:bCs/>
        </w:rPr>
        <w:noBreakHyphen/>
        <w:t xml:space="preserve">142. </w:t>
      </w:r>
      <w:r>
        <w:t>Deleted in Gazette 12 Sep 1956 p. 2294.]</w:t>
      </w:r>
    </w:p>
    <w:p>
      <w:pPr>
        <w:pStyle w:val="Ednotepart"/>
      </w:pPr>
      <w:r>
        <w:t>[Parts V1 and VII (r. 143</w:t>
      </w:r>
      <w:r>
        <w:noBreakHyphen/>
        <w:t>236) deleted in Gazette 14 Oct 1991 p. 5294.]</w:t>
      </w:r>
    </w:p>
    <w:p>
      <w:pPr>
        <w:pStyle w:val="Heading2"/>
      </w:pPr>
      <w:bookmarkStart w:id="39" w:name="_Toc473125153"/>
      <w:bookmarkStart w:id="40" w:name="_Toc426541984"/>
      <w:r>
        <w:rPr>
          <w:rStyle w:val="CharPartNo"/>
        </w:rPr>
        <w:t>Part VIII</w:t>
      </w:r>
      <w:r>
        <w:t xml:space="preserve"> — </w:t>
      </w:r>
      <w:r>
        <w:rPr>
          <w:rStyle w:val="CharPartText"/>
        </w:rPr>
        <w:t>Supply of electricity to consumers</w:t>
      </w:r>
      <w:bookmarkEnd w:id="39"/>
      <w:bookmarkEnd w:id="40"/>
    </w:p>
    <w:p>
      <w:pPr>
        <w:pStyle w:val="Footnoteheading"/>
      </w:pPr>
      <w:r>
        <w:tab/>
        <w:t>[Heading inserted in Gazette 30 May 2000 p. 2571.]</w:t>
      </w:r>
    </w:p>
    <w:p>
      <w:pPr>
        <w:pStyle w:val="Ednotesection"/>
        <w:spacing w:before="240"/>
      </w:pPr>
      <w:r>
        <w:t>[</w:t>
      </w:r>
      <w:r>
        <w:rPr>
          <w:b/>
          <w:bCs/>
        </w:rPr>
        <w:t>237.</w:t>
      </w:r>
      <w:r>
        <w:tab/>
        <w:t>Deleted in Gazette 31 Mar 2006 p. 1348.]</w:t>
      </w:r>
    </w:p>
    <w:p>
      <w:pPr>
        <w:pStyle w:val="Ednotesection"/>
        <w:spacing w:before="240"/>
      </w:pPr>
      <w:r>
        <w:t>[</w:t>
      </w:r>
      <w:r>
        <w:rPr>
          <w:b/>
          <w:bCs/>
        </w:rPr>
        <w:t>238</w:t>
      </w:r>
      <w:r>
        <w:rPr>
          <w:b/>
          <w:bCs/>
        </w:rPr>
        <w:noBreakHyphen/>
        <w:t>240.</w:t>
      </w:r>
      <w:r>
        <w:tab/>
        <w:t>Deleted in Gazette 31 Oct 2006 p. 4597.]</w:t>
      </w:r>
    </w:p>
    <w:p>
      <w:pPr>
        <w:pStyle w:val="Heading5"/>
        <w:spacing w:before="240"/>
      </w:pPr>
      <w:bookmarkStart w:id="41" w:name="_Toc473125154"/>
      <w:bookmarkStart w:id="42" w:name="_Toc426541985"/>
      <w:r>
        <w:rPr>
          <w:rStyle w:val="CharSectno"/>
        </w:rPr>
        <w:t>241</w:t>
      </w:r>
      <w:r>
        <w:t>.</w:t>
      </w:r>
      <w:r>
        <w:tab/>
      </w:r>
      <w:del w:id="43" w:author="Master Repository Process" w:date="2021-08-01T14:07:00Z">
        <w:r>
          <w:delText>Term</w:delText>
        </w:r>
      </w:del>
      <w:ins w:id="44" w:author="Master Repository Process" w:date="2021-08-01T14:07:00Z">
        <w:r>
          <w:t>Terms</w:t>
        </w:r>
      </w:ins>
      <w:r>
        <w:t xml:space="preserve"> used</w:t>
      </w:r>
      <w:bookmarkEnd w:id="41"/>
      <w:del w:id="45" w:author="Master Repository Process" w:date="2021-08-01T14:07:00Z">
        <w:r>
          <w:delText>: network operator</w:delText>
        </w:r>
      </w:del>
      <w:bookmarkEnd w:id="42"/>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spacing w:before="240"/>
        <w:rPr>
          <w:snapToGrid w:val="0"/>
        </w:rPr>
      </w:pPr>
      <w:bookmarkStart w:id="46" w:name="_Toc473125155"/>
      <w:bookmarkStart w:id="47" w:name="_Toc426541986"/>
      <w:r>
        <w:rPr>
          <w:rStyle w:val="CharSectno"/>
        </w:rPr>
        <w:t>242</w:t>
      </w:r>
      <w:r>
        <w:rPr>
          <w:snapToGrid w:val="0"/>
        </w:rPr>
        <w:t>.</w:t>
      </w:r>
      <w:r>
        <w:rPr>
          <w:snapToGrid w:val="0"/>
        </w:rPr>
        <w:tab/>
        <w:t>Connection of supply</w:t>
      </w:r>
      <w:bookmarkEnd w:id="46"/>
      <w:bookmarkEnd w:id="47"/>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in Gazette 23 Dec 1994 p. 7125; amended in Gazette 19 Dec 2000 p. 7274; 31 Oct 2006 p. 4598; 10 May 2011 p. 1665</w:t>
      </w:r>
      <w:r>
        <w:noBreakHyphen/>
        <w:t>6.]</w:t>
      </w:r>
    </w:p>
    <w:p>
      <w:pPr>
        <w:pStyle w:val="Heading5"/>
      </w:pPr>
      <w:bookmarkStart w:id="48" w:name="_Toc473125156"/>
      <w:bookmarkStart w:id="49" w:name="_Toc426541987"/>
      <w:r>
        <w:rPr>
          <w:rStyle w:val="CharSectno"/>
        </w:rPr>
        <w:t>243</w:t>
      </w:r>
      <w:r>
        <w:t>.</w:t>
      </w:r>
      <w:r>
        <w:tab/>
        <w:t>Voltage on the neutral</w:t>
      </w:r>
      <w:bookmarkEnd w:id="48"/>
      <w:bookmarkEnd w:id="49"/>
    </w:p>
    <w:p>
      <w:pPr>
        <w:pStyle w:val="Subsection"/>
      </w:pPr>
      <w:r>
        <w:tab/>
        <w:t>(1)</w:t>
      </w:r>
      <w:r>
        <w:tab/>
        <w:t>The voltage on the neutral of a consumer’s installation must be below 6 volts AC.</w:t>
      </w:r>
    </w:p>
    <w:p>
      <w:pPr>
        <w:pStyle w:val="Subsection"/>
      </w:pPr>
      <w:r>
        <w:tab/>
        <w:t>(2)</w:t>
      </w:r>
      <w:r>
        <w:tab/>
        <w:t>The voltage on the neutral is to be measured in accordance with AS 4741</w:t>
      </w:r>
      <w:r>
        <w:noBreakHyphen/>
        <w:t>2010 Appendix A.</w:t>
      </w:r>
    </w:p>
    <w:p>
      <w:pPr>
        <w:pStyle w:val="Subsection"/>
        <w:keepNext/>
      </w:pPr>
      <w:r>
        <w:tab/>
        <w:t>(3)</w:t>
      </w:r>
      <w:r>
        <w:tab/>
        <w:t xml:space="preserve">If a network operator becomes aware that the voltage on the neutral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in Gazette 13 Apr 2012 p. 1648</w:t>
      </w:r>
      <w:r>
        <w:noBreakHyphen/>
        <w:t>9.]</w:t>
      </w:r>
    </w:p>
    <w:p>
      <w:pPr>
        <w:pStyle w:val="Heading5"/>
        <w:spacing w:before="180"/>
      </w:pPr>
      <w:bookmarkStart w:id="50" w:name="_Toc473125157"/>
      <w:bookmarkStart w:id="51" w:name="_Toc426541988"/>
      <w:r>
        <w:rPr>
          <w:rStyle w:val="CharSectno"/>
        </w:rPr>
        <w:t>244</w:t>
      </w:r>
      <w:r>
        <w:t>.</w:t>
      </w:r>
      <w:r>
        <w:tab/>
        <w:t>Damage by overloading to network operator’s apparatus</w:t>
      </w:r>
      <w:bookmarkEnd w:id="50"/>
      <w:bookmarkEnd w:id="51"/>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spacing w:before="180"/>
        <w:rPr>
          <w:b/>
        </w:rPr>
      </w:pPr>
      <w:r>
        <w:t>[</w:t>
      </w:r>
      <w:r>
        <w:rPr>
          <w:b/>
        </w:rPr>
        <w:t>245</w:t>
      </w:r>
      <w:r>
        <w:rPr>
          <w:b/>
        </w:rPr>
        <w:noBreakHyphen/>
        <w:t xml:space="preserve">248. </w:t>
      </w:r>
      <w:r>
        <w:t>Deleted in Gazette 19 Dec 2000 p. 7274.]</w:t>
      </w:r>
    </w:p>
    <w:p>
      <w:pPr>
        <w:pStyle w:val="Heading5"/>
        <w:spacing w:before="180"/>
        <w:rPr>
          <w:snapToGrid w:val="0"/>
        </w:rPr>
      </w:pPr>
      <w:bookmarkStart w:id="52" w:name="_Toc473125158"/>
      <w:bookmarkStart w:id="53" w:name="_Toc426541989"/>
      <w:r>
        <w:rPr>
          <w:rStyle w:val="CharSectno"/>
        </w:rPr>
        <w:t>249</w:t>
      </w:r>
      <w:r>
        <w:rPr>
          <w:snapToGrid w:val="0"/>
        </w:rPr>
        <w:t>.</w:t>
      </w:r>
      <w:r>
        <w:rPr>
          <w:snapToGrid w:val="0"/>
        </w:rPr>
        <w:tab/>
        <w:t>Fixing leads in fuses, meters etc.</w:t>
      </w:r>
      <w:bookmarkEnd w:id="52"/>
      <w:bookmarkEnd w:id="53"/>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spacing w:before="180"/>
      </w:pPr>
      <w:r>
        <w:t>[</w:t>
      </w:r>
      <w:r>
        <w:rPr>
          <w:b/>
          <w:bCs/>
        </w:rPr>
        <w:t>250.</w:t>
      </w:r>
      <w:r>
        <w:rPr>
          <w:b/>
          <w:bCs/>
        </w:rPr>
        <w:tab/>
      </w:r>
      <w:r>
        <w:t>Deleted in Gazette 31 Oct 2006 p. 4598.]</w:t>
      </w:r>
    </w:p>
    <w:p>
      <w:pPr>
        <w:pStyle w:val="Ednotesection"/>
        <w:spacing w:before="180"/>
        <w:rPr>
          <w:b/>
        </w:rPr>
      </w:pPr>
      <w:r>
        <w:t>[</w:t>
      </w:r>
      <w:r>
        <w:rPr>
          <w:b/>
        </w:rPr>
        <w:t>251.</w:t>
      </w:r>
      <w:r>
        <w:rPr>
          <w:b/>
        </w:rPr>
        <w:tab/>
      </w:r>
      <w:r>
        <w:t>Deleted in Gazette 19 Dec 2000 p. 7274.]</w:t>
      </w:r>
    </w:p>
    <w:p>
      <w:pPr>
        <w:pStyle w:val="Ednotesection"/>
        <w:spacing w:before="180"/>
      </w:pPr>
      <w:r>
        <w:t>[</w:t>
      </w:r>
      <w:r>
        <w:rPr>
          <w:b/>
          <w:bCs/>
        </w:rPr>
        <w:t>252.</w:t>
      </w:r>
      <w:r>
        <w:rPr>
          <w:b/>
          <w:bCs/>
        </w:rPr>
        <w:tab/>
      </w:r>
      <w:r>
        <w:t>Deleted in Gazette 31 Oct 2006 p. 4598.]</w:t>
      </w:r>
    </w:p>
    <w:p>
      <w:pPr>
        <w:pStyle w:val="Heading5"/>
        <w:spacing w:before="180"/>
        <w:rPr>
          <w:snapToGrid w:val="0"/>
        </w:rPr>
      </w:pPr>
      <w:bookmarkStart w:id="54" w:name="_Toc473125159"/>
      <w:bookmarkStart w:id="55" w:name="_Toc426541990"/>
      <w:r>
        <w:rPr>
          <w:rStyle w:val="CharSectno"/>
        </w:rPr>
        <w:t>253</w:t>
      </w:r>
      <w:r>
        <w:rPr>
          <w:snapToGrid w:val="0"/>
        </w:rPr>
        <w:t>.</w:t>
      </w:r>
      <w:r>
        <w:rPr>
          <w:snapToGrid w:val="0"/>
        </w:rPr>
        <w:tab/>
        <w:t>Systems of inspection</w:t>
      </w:r>
      <w:bookmarkEnd w:id="54"/>
      <w:bookmarkEnd w:id="55"/>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in Gazette 23 Dec 1994 p. 7126</w:t>
      </w:r>
      <w:r>
        <w:noBreakHyphen/>
        <w:t>8; amended in Gazette 31 Oct 2006 p. 4599; 27 Oct 2009 p. 4211</w:t>
      </w:r>
      <w:r>
        <w:noBreakHyphen/>
        <w:t>12.]</w:t>
      </w:r>
    </w:p>
    <w:p>
      <w:pPr>
        <w:pStyle w:val="Heading5"/>
      </w:pPr>
      <w:bookmarkStart w:id="56" w:name="_Toc473125160"/>
      <w:bookmarkStart w:id="57" w:name="_Toc426541991"/>
      <w:r>
        <w:rPr>
          <w:rStyle w:val="CharSectno"/>
        </w:rPr>
        <w:t>254</w:t>
      </w:r>
      <w:r>
        <w:t>.</w:t>
      </w:r>
      <w:r>
        <w:tab/>
        <w:t>Individual inspection and reporting for electric installation</w:t>
      </w:r>
      <w:bookmarkEnd w:id="56"/>
      <w:bookmarkEnd w:id="57"/>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 amended in Gazette 27 Oct 2009 p. 4212.]</w:t>
      </w:r>
    </w:p>
    <w:p>
      <w:pPr>
        <w:pStyle w:val="Ednotesection"/>
      </w:pPr>
      <w:r>
        <w:t>[</w:t>
      </w:r>
      <w:r>
        <w:rPr>
          <w:b/>
          <w:bCs/>
        </w:rPr>
        <w:t>255.</w:t>
      </w:r>
      <w:r>
        <w:rPr>
          <w:b/>
          <w:bCs/>
        </w:rPr>
        <w:tab/>
      </w:r>
      <w:r>
        <w:t>Deleted in Gazette 31 Oct 2006 p. 4600.]</w:t>
      </w:r>
    </w:p>
    <w:p>
      <w:pPr>
        <w:pStyle w:val="Ednotesection"/>
        <w:rPr>
          <w:b/>
        </w:rPr>
      </w:pPr>
      <w:r>
        <w:t>[</w:t>
      </w:r>
      <w:r>
        <w:rPr>
          <w:b/>
        </w:rPr>
        <w:t>256.</w:t>
      </w:r>
      <w:r>
        <w:rPr>
          <w:b/>
        </w:rPr>
        <w:tab/>
      </w:r>
      <w:r>
        <w:t>Deleted in Gazette 19 Dec 2000 p. 7274.]</w:t>
      </w:r>
    </w:p>
    <w:p>
      <w:pPr>
        <w:pStyle w:val="Heading5"/>
        <w:rPr>
          <w:snapToGrid w:val="0"/>
        </w:rPr>
      </w:pPr>
      <w:bookmarkStart w:id="58" w:name="_Toc473125161"/>
      <w:bookmarkStart w:id="59" w:name="_Toc426541992"/>
      <w:r>
        <w:rPr>
          <w:rStyle w:val="CharSectno"/>
        </w:rPr>
        <w:t>257</w:t>
      </w:r>
      <w:r>
        <w:rPr>
          <w:snapToGrid w:val="0"/>
        </w:rPr>
        <w:t>.</w:t>
      </w:r>
      <w:r>
        <w:rPr>
          <w:snapToGrid w:val="0"/>
        </w:rPr>
        <w:tab/>
        <w:t>Supply to large premises</w:t>
      </w:r>
      <w:bookmarkEnd w:id="58"/>
      <w:bookmarkEnd w:id="59"/>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r>
        <w:t>[</w:t>
      </w:r>
      <w:r>
        <w:rPr>
          <w:b/>
        </w:rPr>
        <w:t>258</w:t>
      </w:r>
      <w:r>
        <w:rPr>
          <w:b/>
        </w:rPr>
        <w:noBreakHyphen/>
        <w:t>264.</w:t>
      </w:r>
      <w:r>
        <w:rPr>
          <w:b/>
        </w:rPr>
        <w:tab/>
      </w:r>
      <w:r>
        <w:t>Deleted in Gazette 19 Dec 2000 p. 7274.]</w:t>
      </w:r>
    </w:p>
    <w:p>
      <w:pPr>
        <w:pStyle w:val="Heading5"/>
        <w:rPr>
          <w:snapToGrid w:val="0"/>
        </w:rPr>
      </w:pPr>
      <w:bookmarkStart w:id="60" w:name="_Toc473125162"/>
      <w:bookmarkStart w:id="61" w:name="_Toc426541993"/>
      <w:r>
        <w:rPr>
          <w:rStyle w:val="CharSectno"/>
        </w:rPr>
        <w:t>265</w:t>
      </w:r>
      <w:r>
        <w:rPr>
          <w:snapToGrid w:val="0"/>
        </w:rPr>
        <w:t>.</w:t>
      </w:r>
      <w:r>
        <w:rPr>
          <w:snapToGrid w:val="0"/>
        </w:rPr>
        <w:tab/>
        <w:t>Interference with supply to other consumers</w:t>
      </w:r>
      <w:bookmarkEnd w:id="60"/>
      <w:bookmarkEnd w:id="61"/>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62" w:name="_Toc473125163"/>
      <w:bookmarkStart w:id="63" w:name="_Toc426541994"/>
      <w:r>
        <w:rPr>
          <w:rStyle w:val="CharSectno"/>
        </w:rPr>
        <w:t>271</w:t>
      </w:r>
      <w:r>
        <w:t>.</w:t>
      </w:r>
      <w:r>
        <w:tab/>
        <w:t>Apparatus, interruptions, responsibility</w:t>
      </w:r>
      <w:bookmarkEnd w:id="62"/>
      <w:bookmarkEnd w:id="63"/>
    </w:p>
    <w:p>
      <w:pPr>
        <w:pStyle w:val="Subsection"/>
        <w:rPr>
          <w:snapToGrid w:val="0"/>
        </w:rPr>
      </w:pPr>
      <w:r>
        <w:rPr>
          <w:snapToGrid w:val="0"/>
        </w:rPr>
        <w:tab/>
      </w:r>
      <w:r>
        <w:rPr>
          <w:snapToGrid w:val="0"/>
        </w:rPr>
        <w:tab/>
        <w:t>The supply authority</w:t>
      </w:r>
      <w:del w:id="64" w:author="Master Repository Process" w:date="2021-08-01T14:07:00Z">
        <w:r>
          <w:rPr>
            <w:snapToGrid w:val="0"/>
          </w:rPr>
          <w:delText>:</w:delText>
        </w:r>
      </w:del>
      <w:ins w:id="65" w:author="Master Repository Process" w:date="2021-08-01T14:07:00Z">
        <w:r>
          <w:t> —</w:t>
        </w:r>
      </w:ins>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66" w:name="_Toc473125164"/>
      <w:bookmarkStart w:id="67" w:name="_Toc426541995"/>
      <w:r>
        <w:rPr>
          <w:rStyle w:val="CharSectno"/>
        </w:rPr>
        <w:t>272</w:t>
      </w:r>
      <w:r>
        <w:t>.</w:t>
      </w:r>
      <w:r>
        <w:tab/>
        <w:t>Disconnections</w:t>
      </w:r>
      <w:bookmarkEnd w:id="66"/>
      <w:bookmarkEnd w:id="67"/>
    </w:p>
    <w:p>
      <w:pPr>
        <w:pStyle w:val="Subsection"/>
        <w:keepNext/>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p>
      <w:pPr>
        <w:pStyle w:val="Ednotesection"/>
      </w:pPr>
      <w:r>
        <w:t>[</w:t>
      </w:r>
      <w:r>
        <w:rPr>
          <w:b/>
          <w:bCs/>
        </w:rPr>
        <w:t>273.</w:t>
      </w:r>
      <w:r>
        <w:rPr>
          <w:b/>
          <w:bCs/>
        </w:rPr>
        <w:tab/>
      </w:r>
      <w:r>
        <w:t>Deleted in Gazette 31 Oct 2006 p. 4602.]</w:t>
      </w:r>
    </w:p>
    <w:p>
      <w:pPr>
        <w:pStyle w:val="Heading5"/>
      </w:pPr>
      <w:bookmarkStart w:id="68" w:name="_Toc473125165"/>
      <w:bookmarkStart w:id="69" w:name="_Toc426541996"/>
      <w:r>
        <w:rPr>
          <w:rStyle w:val="CharSectno"/>
        </w:rPr>
        <w:t>274</w:t>
      </w:r>
      <w:r>
        <w:t>.</w:t>
      </w:r>
      <w:r>
        <w:tab/>
        <w:t>Consumer’s liability for loss</w:t>
      </w:r>
      <w:bookmarkEnd w:id="68"/>
      <w:bookmarkEnd w:id="69"/>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70" w:name="_Toc473125166"/>
      <w:bookmarkStart w:id="71" w:name="_Toc426541997"/>
      <w:r>
        <w:rPr>
          <w:rStyle w:val="CharSectno"/>
        </w:rPr>
        <w:t>276</w:t>
      </w:r>
      <w:r>
        <w:t>.</w:t>
      </w:r>
      <w:r>
        <w:tab/>
        <w:t>Alteration to system</w:t>
      </w:r>
      <w:bookmarkEnd w:id="70"/>
      <w:bookmarkEnd w:id="71"/>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r>
        <w:t>[</w:t>
      </w:r>
      <w:r>
        <w:rPr>
          <w:b/>
          <w:bCs/>
        </w:rPr>
        <w:t>279.</w:t>
      </w:r>
      <w:r>
        <w:rPr>
          <w:b/>
          <w:bCs/>
        </w:rPr>
        <w:tab/>
      </w:r>
      <w:r>
        <w:t>Deleted in Gazette 31 Oct 2006 p. 4602.]</w:t>
      </w:r>
    </w:p>
    <w:p>
      <w:pPr>
        <w:pStyle w:val="Heading5"/>
      </w:pPr>
      <w:bookmarkStart w:id="72" w:name="_Toc473125167"/>
      <w:bookmarkStart w:id="73" w:name="_Toc426541998"/>
      <w:r>
        <w:rPr>
          <w:rStyle w:val="CharSectno"/>
        </w:rPr>
        <w:t>280</w:t>
      </w:r>
      <w:r>
        <w:t>.</w:t>
      </w:r>
      <w:r>
        <w:tab/>
        <w:t>Charges for services</w:t>
      </w:r>
      <w:bookmarkEnd w:id="72"/>
      <w:bookmarkEnd w:id="73"/>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74" w:name="_Toc473125168"/>
      <w:bookmarkStart w:id="75" w:name="_Toc426541999"/>
      <w:r>
        <w:rPr>
          <w:rStyle w:val="CharPartNo"/>
        </w:rPr>
        <w:t>Part IX</w:t>
      </w:r>
      <w:r>
        <w:rPr>
          <w:b w:val="0"/>
        </w:rPr>
        <w:t> </w:t>
      </w:r>
      <w:r>
        <w:t>—</w:t>
      </w:r>
      <w:r>
        <w:rPr>
          <w:b w:val="0"/>
        </w:rPr>
        <w:t> </w:t>
      </w:r>
      <w:r>
        <w:rPr>
          <w:rStyle w:val="CharPartText"/>
        </w:rPr>
        <w:t>Vegetation control safety requirements</w:t>
      </w:r>
      <w:bookmarkEnd w:id="74"/>
      <w:bookmarkEnd w:id="75"/>
    </w:p>
    <w:p>
      <w:pPr>
        <w:pStyle w:val="Footnoteheading"/>
      </w:pPr>
      <w:r>
        <w:tab/>
        <w:t>[Heading inserted in Gazette 27 Oct 2009 p. 4212.]</w:t>
      </w:r>
    </w:p>
    <w:p>
      <w:pPr>
        <w:pStyle w:val="Ednotesection"/>
      </w:pPr>
      <w:r>
        <w:t>[</w:t>
      </w:r>
      <w:r>
        <w:rPr>
          <w:b/>
          <w:bCs/>
        </w:rPr>
        <w:t>281</w:t>
      </w:r>
      <w:r>
        <w:rPr>
          <w:b/>
          <w:bCs/>
        </w:rPr>
        <w:noBreakHyphen/>
        <w:t>316.</w:t>
      </w:r>
      <w:r>
        <w:rPr>
          <w:b/>
          <w:bCs/>
        </w:rPr>
        <w:tab/>
      </w:r>
      <w:r>
        <w:t>Deleted in Gazette 27 Oct 2009 p. 4212.]</w:t>
      </w:r>
    </w:p>
    <w:p>
      <w:pPr>
        <w:pStyle w:val="Heading5"/>
        <w:rPr>
          <w:snapToGrid w:val="0"/>
        </w:rPr>
      </w:pPr>
      <w:bookmarkStart w:id="76" w:name="_Toc473125169"/>
      <w:bookmarkStart w:id="77" w:name="_Toc426542000"/>
      <w:r>
        <w:rPr>
          <w:rStyle w:val="CharSectno"/>
        </w:rPr>
        <w:t>316A</w:t>
      </w:r>
      <w:r>
        <w:rPr>
          <w:snapToGrid w:val="0"/>
        </w:rPr>
        <w:t>.</w:t>
      </w:r>
      <w:r>
        <w:rPr>
          <w:snapToGrid w:val="0"/>
        </w:rPr>
        <w:tab/>
        <w:t>Vegetation control work near overhead power lines</w:t>
      </w:r>
      <w:bookmarkEnd w:id="76"/>
      <w:bookmarkEnd w:id="77"/>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pPr>
        <w:pStyle w:val="Defpara"/>
      </w:pPr>
      <w:r>
        <w:rPr>
          <w:bCs/>
        </w:rPr>
        <w:tab/>
      </w:r>
      <w:r>
        <w:rPr>
          <w:bCs/>
        </w:rPr>
        <w:tab/>
      </w:r>
      <w:r>
        <w:rPr>
          <w:rStyle w:val="CharDefText"/>
        </w:rPr>
        <w:t>overhead power lines</w:t>
      </w:r>
      <w:r>
        <w:t xml:space="preserve"> means overhead lines for the transmission of electrical energy; </w:t>
      </w:r>
    </w:p>
    <w:p>
      <w:pPr>
        <w:pStyle w:val="Indenta"/>
      </w:pPr>
      <w:r>
        <w:tab/>
      </w:r>
      <w:r>
        <w:tab/>
        <w:t>and</w:t>
      </w:r>
      <w:r>
        <w:tab/>
      </w:r>
    </w:p>
    <w:p>
      <w:pPr>
        <w:pStyle w:val="Indenta"/>
      </w:pPr>
      <w:r>
        <w:tab/>
        <w:t>(b)</w:t>
      </w:r>
      <w:r>
        <w:tab/>
        <w:t>a reference to performing work includes a reference to assisting to perform work; and</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w:t>
      </w:r>
      <w:r>
        <w:rPr>
          <w:b/>
          <w:bCs/>
        </w:rPr>
        <w:noBreakHyphen/>
        <w:t>319.</w:t>
      </w:r>
      <w:r>
        <w:rPr>
          <w:b/>
          <w:bCs/>
        </w:rPr>
        <w:tab/>
      </w:r>
      <w:r>
        <w:t>Deleted in Gazette 27 Oct 2009 p. 4212.]</w:t>
      </w:r>
    </w:p>
    <w:p>
      <w:pPr>
        <w:pStyle w:val="Heading2"/>
      </w:pPr>
      <w:bookmarkStart w:id="78" w:name="_Toc473125170"/>
      <w:bookmarkStart w:id="79" w:name="_Toc426542001"/>
      <w:r>
        <w:rPr>
          <w:rStyle w:val="CharPartNo"/>
        </w:rPr>
        <w:t>Part X</w:t>
      </w:r>
      <w:r>
        <w:rPr>
          <w:rStyle w:val="CharDivNo"/>
        </w:rPr>
        <w:t> </w:t>
      </w:r>
      <w:r>
        <w:t>—</w:t>
      </w:r>
      <w:r>
        <w:rPr>
          <w:rStyle w:val="CharDivText"/>
        </w:rPr>
        <w:t> </w:t>
      </w:r>
      <w:r>
        <w:rPr>
          <w:rStyle w:val="CharPartText"/>
        </w:rPr>
        <w:t>Approval of electrical appliances</w:t>
      </w:r>
      <w:bookmarkEnd w:id="78"/>
      <w:bookmarkEnd w:id="79"/>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80" w:name="_Toc473125171"/>
      <w:bookmarkStart w:id="81" w:name="_Toc426542002"/>
      <w:r>
        <w:rPr>
          <w:rStyle w:val="CharSectno"/>
        </w:rPr>
        <w:t>321</w:t>
      </w:r>
      <w:r>
        <w:t>.</w:t>
      </w:r>
      <w:r>
        <w:tab/>
        <w:t>Terms used</w:t>
      </w:r>
      <w:bookmarkEnd w:id="80"/>
      <w:bookmarkEnd w:id="81"/>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 xml:space="preserve">the Department of Mines and Energy, </w:t>
      </w:r>
      <w:smartTag w:uri="urn:schemas-microsoft-com:office:smarttags" w:element="place">
        <w:smartTag w:uri="urn:schemas-microsoft-com:office:smarttags" w:element="State">
          <w:r>
            <w:t>Queensland</w:t>
          </w:r>
        </w:smartTag>
      </w:smartTag>
      <w:r>
        <w:t>; or</w:t>
      </w:r>
    </w:p>
    <w:p>
      <w:pPr>
        <w:pStyle w:val="Defpara"/>
      </w:pPr>
      <w:r>
        <w:tab/>
        <w:t>(b)</w:t>
      </w:r>
      <w:r>
        <w:tab/>
        <w:t xml:space="preserve">the Department of Energy, </w:t>
      </w:r>
      <w:smartTag w:uri="urn:schemas-microsoft-com:office:smarttags" w:element="place">
        <w:smartTag w:uri="urn:schemas-microsoft-com:office:smarttags" w:element="State">
          <w:r>
            <w:t>New South Wales</w:t>
          </w:r>
        </w:smartTag>
      </w:smartTag>
      <w:r>
        <w:t>; or</w:t>
      </w:r>
    </w:p>
    <w:p>
      <w:pPr>
        <w:pStyle w:val="Defpara"/>
      </w:pPr>
      <w:r>
        <w:tab/>
        <w:t>(c)</w:t>
      </w:r>
      <w:r>
        <w:tab/>
        <w:t>the Office of the Chief Electrical Inspector, Victoria; or</w:t>
      </w:r>
    </w:p>
    <w:p>
      <w:pPr>
        <w:pStyle w:val="Defpara"/>
      </w:pPr>
      <w:r>
        <w:tab/>
        <w:t>(d)</w:t>
      </w:r>
      <w:r>
        <w:tab/>
        <w:t xml:space="preserve">the Office of Energy Policy, </w:t>
      </w:r>
      <w:smartTag w:uri="urn:schemas-microsoft-com:office:smarttags" w:element="place">
        <w:smartTag w:uri="urn:schemas-microsoft-com:office:smarttags" w:element="State">
          <w:r>
            <w:t>South Australia</w:t>
          </w:r>
        </w:smartTag>
      </w:smartTag>
      <w:r>
        <w:t>; or</w:t>
      </w:r>
    </w:p>
    <w:p>
      <w:pPr>
        <w:pStyle w:val="Defpara"/>
      </w:pPr>
      <w:r>
        <w:tab/>
        <w:t>(e)</w:t>
      </w:r>
      <w:r>
        <w:tab/>
        <w:t xml:space="preserve">the Hydro Electric Corporation of </w:t>
      </w:r>
      <w:smartTag w:uri="urn:schemas-microsoft-com:office:smarttags" w:element="place">
        <w:smartTag w:uri="urn:schemas-microsoft-com:office:smarttags" w:element="State">
          <w:r>
            <w:t>Tasmania</w:t>
          </w:r>
        </w:smartTag>
      </w:smartTag>
      <w:r>
        <w:t>; or</w:t>
      </w:r>
    </w:p>
    <w:p>
      <w:pPr>
        <w:pStyle w:val="Defpara"/>
      </w:pPr>
      <w:r>
        <w:tab/>
        <w:t>(f)</w:t>
      </w:r>
      <w:r>
        <w:tab/>
        <w:t xml:space="preserve">the Department of Urban Services, </w:t>
      </w:r>
      <w:smartTag w:uri="urn:schemas-microsoft-com:office:smarttags" w:element="place">
        <w:smartTag w:uri="urn:schemas-microsoft-com:office:smarttags" w:element="State">
          <w:r>
            <w:t>Australian Capital Territory</w:t>
          </w:r>
        </w:smartTag>
      </w:smartTag>
      <w:r>
        <w:t>;</w:t>
      </w:r>
    </w:p>
    <w:p>
      <w:pPr>
        <w:pStyle w:val="Defstart"/>
      </w:pPr>
      <w:r>
        <w:tab/>
      </w:r>
      <w:r>
        <w:rPr>
          <w:rStyle w:val="CharDefText"/>
        </w:rPr>
        <w:t>published specification</w:t>
      </w:r>
      <w:r>
        <w:t xml:space="preserve"> means the relevant Approval and Test Specification published by the Standards Association of Australia</w:t>
      </w:r>
      <w:r>
        <w:rPr>
          <w:vertAlign w:val="superscript"/>
        </w:rPr>
        <w:t> 3</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to the classification letters, numbers, month (if any) and year of publication or title of Approval and Test Specifications published by the Standards Association of Australia</w:t>
      </w:r>
      <w:r>
        <w:rPr>
          <w:vertAlign w:val="superscript"/>
        </w:rPr>
        <w:t> 3</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82" w:name="_Toc473125172"/>
      <w:bookmarkStart w:id="83" w:name="_Toc426542003"/>
      <w:r>
        <w:rPr>
          <w:rStyle w:val="CharSectno"/>
        </w:rPr>
        <w:t>322</w:t>
      </w:r>
      <w:r>
        <w:rPr>
          <w:snapToGrid w:val="0"/>
        </w:rPr>
        <w:t>.</w:t>
      </w:r>
      <w:r>
        <w:rPr>
          <w:snapToGrid w:val="0"/>
        </w:rPr>
        <w:tab/>
        <w:t>Application for approval</w:t>
      </w:r>
      <w:bookmarkEnd w:id="82"/>
      <w:bookmarkEnd w:id="83"/>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in Gazette 7 Sep 1955 p. 2145; amended in Gazette 22 Dec 1964 p. 4081; 23 Dec 1994 p. 7125 and 7129</w:t>
      </w:r>
      <w:r>
        <w:noBreakHyphen/>
        <w:t>30; 23 May 1997 p. 2418.]</w:t>
      </w:r>
    </w:p>
    <w:p>
      <w:pPr>
        <w:pStyle w:val="Heading5"/>
        <w:rPr>
          <w:snapToGrid w:val="0"/>
        </w:rPr>
      </w:pPr>
      <w:bookmarkStart w:id="84" w:name="_Toc473125173"/>
      <w:bookmarkStart w:id="85" w:name="_Toc426542004"/>
      <w:r>
        <w:rPr>
          <w:rStyle w:val="CharSectno"/>
        </w:rPr>
        <w:t>323</w:t>
      </w:r>
      <w:r>
        <w:rPr>
          <w:snapToGrid w:val="0"/>
        </w:rPr>
        <w:t>.</w:t>
      </w:r>
      <w:r>
        <w:rPr>
          <w:snapToGrid w:val="0"/>
        </w:rPr>
        <w:tab/>
        <w:t>Further testing of electrical appliances approved</w:t>
      </w:r>
      <w:bookmarkEnd w:id="84"/>
      <w:bookmarkEnd w:id="85"/>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86" w:name="_Toc473125174"/>
      <w:bookmarkStart w:id="87" w:name="_Toc426542005"/>
      <w:r>
        <w:rPr>
          <w:rStyle w:val="CharSectno"/>
        </w:rPr>
        <w:t>326</w:t>
      </w:r>
      <w:r>
        <w:rPr>
          <w:snapToGrid w:val="0"/>
        </w:rPr>
        <w:t>.</w:t>
      </w:r>
      <w:r>
        <w:rPr>
          <w:snapToGrid w:val="0"/>
        </w:rPr>
        <w:tab/>
        <w:t>Certificate of approval</w:t>
      </w:r>
      <w:bookmarkEnd w:id="86"/>
      <w:bookmarkEnd w:id="87"/>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pPr>
      <w:r>
        <w:tab/>
        <w:t>(b)</w:t>
      </w:r>
      <w:r>
        <w:tab/>
        <w:t>cannot be renewed.</w:t>
      </w:r>
    </w:p>
    <w:p>
      <w:pPr>
        <w:pStyle w:val="Footnotesection"/>
      </w:pPr>
      <w:r>
        <w:tab/>
        <w:t>[Regulation 326 inserted in Gazette 7 Sep 1955 p. 2146</w:t>
      </w:r>
      <w:r>
        <w:noBreakHyphen/>
        <w:t>7; amended in Gazette 22 Dec 1964 p. 4081; 23 Dec 1994 p. 7125 and 7131; 31 Oct 2006 p. 4602; 31 Dec 2010 p. 6888; 5 Jan 2016 p. 3.]</w:t>
      </w:r>
    </w:p>
    <w:p>
      <w:pPr>
        <w:pStyle w:val="Heading5"/>
        <w:spacing w:before="180"/>
        <w:rPr>
          <w:snapToGrid w:val="0"/>
        </w:rPr>
      </w:pPr>
      <w:bookmarkStart w:id="88" w:name="_Toc473125175"/>
      <w:bookmarkStart w:id="89" w:name="_Toc426542006"/>
      <w:r>
        <w:rPr>
          <w:rStyle w:val="CharSectno"/>
        </w:rPr>
        <w:t>327</w:t>
      </w:r>
      <w:r>
        <w:rPr>
          <w:snapToGrid w:val="0"/>
        </w:rPr>
        <w:t>.</w:t>
      </w:r>
      <w:r>
        <w:rPr>
          <w:snapToGrid w:val="0"/>
        </w:rPr>
        <w:tab/>
        <w:t>Stamping and labelling of approved electrical appliances</w:t>
      </w:r>
      <w:bookmarkEnd w:id="88"/>
      <w:bookmarkEnd w:id="89"/>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in Gazette 7 Sep 1955 p. 2147</w:t>
      </w:r>
      <w:r>
        <w:noBreakHyphen/>
        <w:t>8; amended in Gazette 23 Dec 1994 p. 7125.]</w:t>
      </w:r>
    </w:p>
    <w:p>
      <w:pPr>
        <w:pStyle w:val="Heading5"/>
        <w:pageBreakBefore/>
        <w:spacing w:before="0"/>
        <w:rPr>
          <w:snapToGrid w:val="0"/>
        </w:rPr>
      </w:pPr>
      <w:bookmarkStart w:id="90" w:name="_Toc473125176"/>
      <w:bookmarkStart w:id="91" w:name="_Toc426542007"/>
      <w:r>
        <w:rPr>
          <w:rStyle w:val="CharSectno"/>
        </w:rPr>
        <w:t>328</w:t>
      </w:r>
      <w:r>
        <w:rPr>
          <w:snapToGrid w:val="0"/>
        </w:rPr>
        <w:t>.</w:t>
      </w:r>
      <w:r>
        <w:rPr>
          <w:snapToGrid w:val="0"/>
        </w:rPr>
        <w:tab/>
        <w:t>Modification of design or construction</w:t>
      </w:r>
      <w:bookmarkEnd w:id="90"/>
      <w:bookmarkEnd w:id="91"/>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92" w:name="_Toc473125177"/>
      <w:bookmarkStart w:id="93" w:name="_Toc426542008"/>
      <w:r>
        <w:rPr>
          <w:rStyle w:val="CharSectno"/>
        </w:rPr>
        <w:t>329</w:t>
      </w:r>
      <w:r>
        <w:rPr>
          <w:snapToGrid w:val="0"/>
        </w:rPr>
        <w:t>.</w:t>
      </w:r>
      <w:r>
        <w:rPr>
          <w:snapToGrid w:val="0"/>
        </w:rPr>
        <w:tab/>
        <w:t>Transfer of certificate of approval</w:t>
      </w:r>
      <w:bookmarkEnd w:id="92"/>
      <w:bookmarkEnd w:id="93"/>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94" w:name="_Toc473125178"/>
      <w:bookmarkStart w:id="95" w:name="_Toc426542009"/>
      <w:r>
        <w:rPr>
          <w:rStyle w:val="CharSectno"/>
        </w:rPr>
        <w:t>330</w:t>
      </w:r>
      <w:r>
        <w:rPr>
          <w:snapToGrid w:val="0"/>
        </w:rPr>
        <w:t>.</w:t>
      </w:r>
      <w:r>
        <w:rPr>
          <w:snapToGrid w:val="0"/>
        </w:rPr>
        <w:tab/>
        <w:t>Lost or destroyed certificates of approval</w:t>
      </w:r>
      <w:bookmarkEnd w:id="94"/>
      <w:bookmarkEnd w:id="95"/>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96" w:name="_Toc473125179"/>
      <w:bookmarkStart w:id="97" w:name="_Toc426542010"/>
      <w:r>
        <w:rPr>
          <w:rStyle w:val="CharSectno"/>
        </w:rPr>
        <w:t>331</w:t>
      </w:r>
      <w:r>
        <w:rPr>
          <w:snapToGrid w:val="0"/>
        </w:rPr>
        <w:t>.</w:t>
      </w:r>
      <w:r>
        <w:rPr>
          <w:snapToGrid w:val="0"/>
        </w:rPr>
        <w:tab/>
        <w:t>Delegation by Director</w:t>
      </w:r>
      <w:bookmarkEnd w:id="96"/>
      <w:bookmarkEnd w:id="97"/>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98" w:name="_Toc473125180"/>
      <w:bookmarkStart w:id="99" w:name="_Toc426542011"/>
      <w:r>
        <w:rPr>
          <w:rStyle w:val="CharSectno"/>
        </w:rPr>
        <w:t>332</w:t>
      </w:r>
      <w:r>
        <w:rPr>
          <w:snapToGrid w:val="0"/>
        </w:rPr>
        <w:t>.</w:t>
      </w:r>
      <w:r>
        <w:rPr>
          <w:snapToGrid w:val="0"/>
        </w:rPr>
        <w:tab/>
        <w:t>Refusal or withdrawal of approval</w:t>
      </w:r>
      <w:bookmarkEnd w:id="98"/>
      <w:bookmarkEnd w:id="99"/>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w:t>
      </w:r>
      <w:r>
        <w:noBreakHyphen/>
        <w:t>50; amended in Gazette 23 Dec 1994 p. 7125; 23 May 1997 p. 2418.]</w:t>
      </w:r>
    </w:p>
    <w:p>
      <w:pPr>
        <w:pStyle w:val="Heading5"/>
        <w:rPr>
          <w:snapToGrid w:val="0"/>
        </w:rPr>
      </w:pPr>
      <w:bookmarkStart w:id="100" w:name="_Toc473125181"/>
      <w:bookmarkStart w:id="101" w:name="_Toc426542012"/>
      <w:r>
        <w:rPr>
          <w:rStyle w:val="CharSectno"/>
        </w:rPr>
        <w:t>333</w:t>
      </w:r>
      <w:r>
        <w:rPr>
          <w:snapToGrid w:val="0"/>
        </w:rPr>
        <w:t>.</w:t>
      </w:r>
      <w:r>
        <w:rPr>
          <w:snapToGrid w:val="0"/>
        </w:rPr>
        <w:tab/>
        <w:t>Notification of withdrawal of approval</w:t>
      </w:r>
      <w:bookmarkEnd w:id="100"/>
      <w:bookmarkEnd w:id="101"/>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102" w:name="_Toc473125182"/>
      <w:bookmarkStart w:id="103" w:name="_Toc426542013"/>
      <w:r>
        <w:rPr>
          <w:rStyle w:val="CharSectno"/>
        </w:rPr>
        <w:t>334</w:t>
      </w:r>
      <w:r>
        <w:rPr>
          <w:snapToGrid w:val="0"/>
        </w:rPr>
        <w:t>.</w:t>
      </w:r>
      <w:r>
        <w:rPr>
          <w:snapToGrid w:val="0"/>
        </w:rPr>
        <w:tab/>
        <w:t>Deferment of approval</w:t>
      </w:r>
      <w:bookmarkEnd w:id="102"/>
      <w:bookmarkEnd w:id="103"/>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104" w:name="_Toc473125183"/>
      <w:bookmarkStart w:id="105" w:name="_Toc426542014"/>
      <w:r>
        <w:rPr>
          <w:rStyle w:val="CharSectno"/>
        </w:rPr>
        <w:t>335</w:t>
      </w:r>
      <w:r>
        <w:rPr>
          <w:snapToGrid w:val="0"/>
        </w:rPr>
        <w:t>.</w:t>
      </w:r>
      <w:r>
        <w:rPr>
          <w:snapToGrid w:val="0"/>
        </w:rPr>
        <w:tab/>
        <w:t>Purchase of electrical appliances for inspection</w:t>
      </w:r>
      <w:bookmarkEnd w:id="104"/>
      <w:bookmarkEnd w:id="105"/>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w:t>
      </w:r>
      <w:r>
        <w:noBreakHyphen/>
        <w:t>1; amended in Gazette 23 Dec 1994 p. 7132.]</w:t>
      </w:r>
    </w:p>
    <w:p>
      <w:pPr>
        <w:pStyle w:val="Heading5"/>
        <w:spacing w:before="180"/>
        <w:rPr>
          <w:snapToGrid w:val="0"/>
        </w:rPr>
      </w:pPr>
      <w:bookmarkStart w:id="106" w:name="_Toc473125184"/>
      <w:bookmarkStart w:id="107" w:name="_Toc426542015"/>
      <w:r>
        <w:rPr>
          <w:rStyle w:val="CharSectno"/>
        </w:rPr>
        <w:t>336</w:t>
      </w:r>
      <w:r>
        <w:rPr>
          <w:snapToGrid w:val="0"/>
        </w:rPr>
        <w:t>.</w:t>
      </w:r>
      <w:r>
        <w:rPr>
          <w:snapToGrid w:val="0"/>
        </w:rPr>
        <w:tab/>
        <w:t>Obstruction of officers</w:t>
      </w:r>
      <w:bookmarkEnd w:id="106"/>
      <w:bookmarkEnd w:id="107"/>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in Gazette 7 Sep 1955 p. 2151; amended in Gazette 23 Dec 1994 p. 7125 and 7132.]</w:t>
      </w:r>
    </w:p>
    <w:p>
      <w:pPr>
        <w:pStyle w:val="Heading5"/>
        <w:rPr>
          <w:snapToGrid w:val="0"/>
        </w:rPr>
      </w:pPr>
      <w:bookmarkStart w:id="108" w:name="_Toc473125185"/>
      <w:bookmarkStart w:id="109" w:name="_Toc426542016"/>
      <w:r>
        <w:rPr>
          <w:rStyle w:val="CharSectno"/>
        </w:rPr>
        <w:t>337</w:t>
      </w:r>
      <w:r>
        <w:rPr>
          <w:snapToGrid w:val="0"/>
        </w:rPr>
        <w:t>.</w:t>
      </w:r>
      <w:r>
        <w:rPr>
          <w:snapToGrid w:val="0"/>
        </w:rPr>
        <w:tab/>
        <w:t>Register of Prescribed Electrical Appliances and Register of Approved Electrical Appliances</w:t>
      </w:r>
      <w:bookmarkEnd w:id="108"/>
      <w:bookmarkEnd w:id="109"/>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110" w:name="_Toc473125186"/>
      <w:bookmarkStart w:id="111" w:name="_Toc426542017"/>
      <w:r>
        <w:rPr>
          <w:rStyle w:val="CharSectno"/>
        </w:rPr>
        <w:t>338</w:t>
      </w:r>
      <w:r>
        <w:rPr>
          <w:snapToGrid w:val="0"/>
        </w:rPr>
        <w:t>.</w:t>
      </w:r>
      <w:r>
        <w:rPr>
          <w:snapToGrid w:val="0"/>
        </w:rPr>
        <w:tab/>
        <w:t>Change of address</w:t>
      </w:r>
      <w:bookmarkEnd w:id="110"/>
      <w:bookmarkEnd w:id="111"/>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112" w:name="_Toc473125187"/>
      <w:bookmarkStart w:id="113" w:name="_Toc426542018"/>
      <w:r>
        <w:rPr>
          <w:rStyle w:val="CharPartNo"/>
        </w:rPr>
        <w:t>Part XI</w:t>
      </w:r>
      <w:r>
        <w:rPr>
          <w:rStyle w:val="CharDivNo"/>
        </w:rPr>
        <w:t> </w:t>
      </w:r>
      <w:r>
        <w:t>—</w:t>
      </w:r>
      <w:r>
        <w:rPr>
          <w:rStyle w:val="CharDivText"/>
        </w:rPr>
        <w:t> </w:t>
      </w:r>
      <w:r>
        <w:rPr>
          <w:rStyle w:val="CharPartText"/>
        </w:rPr>
        <w:t>Penalties and enforcement</w:t>
      </w:r>
      <w:bookmarkEnd w:id="112"/>
      <w:bookmarkEnd w:id="113"/>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114" w:name="_Toc473125188"/>
      <w:bookmarkStart w:id="115" w:name="_Toc426542019"/>
      <w:r>
        <w:rPr>
          <w:rStyle w:val="CharSectno"/>
        </w:rPr>
        <w:t>340</w:t>
      </w:r>
      <w:r>
        <w:rPr>
          <w:snapToGrid w:val="0"/>
        </w:rPr>
        <w:t>.</w:t>
      </w:r>
      <w:r>
        <w:rPr>
          <w:snapToGrid w:val="0"/>
        </w:rPr>
        <w:tab/>
        <w:t>Penalties</w:t>
      </w:r>
      <w:bookmarkEnd w:id="114"/>
      <w:bookmarkEnd w:id="115"/>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4213.]</w:t>
      </w:r>
    </w:p>
    <w:p>
      <w:pPr>
        <w:pStyle w:val="Heading5"/>
        <w:rPr>
          <w:snapToGrid w:val="0"/>
        </w:rPr>
      </w:pPr>
      <w:bookmarkStart w:id="116" w:name="_Toc473125189"/>
      <w:bookmarkStart w:id="117" w:name="_Toc426542020"/>
      <w:r>
        <w:rPr>
          <w:rStyle w:val="CharSectno"/>
        </w:rPr>
        <w:t>341</w:t>
      </w:r>
      <w:r>
        <w:rPr>
          <w:snapToGrid w:val="0"/>
        </w:rPr>
        <w:t>.</w:t>
      </w:r>
      <w:r>
        <w:rPr>
          <w:snapToGrid w:val="0"/>
        </w:rPr>
        <w:tab/>
        <w:t>Proceedings</w:t>
      </w:r>
      <w:bookmarkEnd w:id="116"/>
      <w:bookmarkEnd w:id="117"/>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118" w:name="_Toc473125190"/>
      <w:bookmarkStart w:id="119" w:name="_Toc426542021"/>
      <w:r>
        <w:rPr>
          <w:rStyle w:val="CharSectno"/>
        </w:rPr>
        <w:t>342</w:t>
      </w:r>
      <w:r>
        <w:t>.</w:t>
      </w:r>
      <w:r>
        <w:tab/>
        <w:t>Prescribed offences and modified penalties</w:t>
      </w:r>
      <w:bookmarkEnd w:id="118"/>
      <w:bookmarkEnd w:id="119"/>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120" w:name="_Toc473125191"/>
      <w:bookmarkStart w:id="121" w:name="_Toc426542022"/>
      <w:r>
        <w:rPr>
          <w:rStyle w:val="CharSectno"/>
        </w:rPr>
        <w:t>343</w:t>
      </w:r>
      <w:r>
        <w:t>.</w:t>
      </w:r>
      <w:r>
        <w:tab/>
        <w:t>Authorised officers and approved officers</w:t>
      </w:r>
      <w:bookmarkEnd w:id="120"/>
      <w:bookmarkEnd w:id="121"/>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122" w:name="_Toc473125192"/>
      <w:bookmarkStart w:id="123" w:name="_Toc426542023"/>
      <w:r>
        <w:rPr>
          <w:rStyle w:val="CharSectno"/>
        </w:rPr>
        <w:t>344</w:t>
      </w:r>
      <w:r>
        <w:t>.</w:t>
      </w:r>
      <w:r>
        <w:tab/>
        <w:t>Forms</w:t>
      </w:r>
      <w:bookmarkEnd w:id="122"/>
      <w:bookmarkEnd w:id="123"/>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24" w:name="_Toc473125193"/>
      <w:bookmarkStart w:id="125" w:name="_Toc426542024"/>
      <w:r>
        <w:rPr>
          <w:rStyle w:val="CharSchNo"/>
        </w:rPr>
        <w:t>Schedule 1</w:t>
      </w:r>
      <w:r>
        <w:rPr>
          <w:rStyle w:val="CharSDivNo"/>
        </w:rPr>
        <w:t> </w:t>
      </w:r>
      <w:r>
        <w:t>—</w:t>
      </w:r>
      <w:r>
        <w:rPr>
          <w:rStyle w:val="CharSDivText"/>
        </w:rPr>
        <w:t> </w:t>
      </w:r>
      <w:r>
        <w:rPr>
          <w:rStyle w:val="CharSchText"/>
        </w:rPr>
        <w:t>Prescribed offences and modified penalties</w:t>
      </w:r>
      <w:bookmarkEnd w:id="124"/>
      <w:bookmarkEnd w:id="125"/>
    </w:p>
    <w:p>
      <w:pPr>
        <w:pStyle w:val="yShoulderClause"/>
      </w:pPr>
      <w:r>
        <w:t>[r. 342]</w:t>
      </w:r>
    </w:p>
    <w:p>
      <w:pPr>
        <w:pStyle w:val="yFootnoteheading"/>
      </w:pPr>
      <w:r>
        <w:tab/>
        <w:t>[Heading inserted in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at least one residual current device is installed before 9 August 2011</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THeadingNAm"/>
        <w:keepLines/>
        <w:rPr>
          <w:ins w:id="126" w:author="Master Repository Process" w:date="2021-08-01T14:07:00Z"/>
        </w:rPr>
      </w:pPr>
    </w:p>
    <w:p>
      <w:pPr>
        <w:rPr>
          <w:ins w:id="127" w:author="Master Repository Process" w:date="2021-08-01T14:07:00Z"/>
          <w:b/>
          <w:bCs/>
          <w:sz w:val="22"/>
        </w:rPr>
      </w:pPr>
    </w:p>
    <w:p>
      <w:pPr>
        <w:pStyle w:val="yTHeadingNAm"/>
        <w:keepLines/>
      </w:pPr>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address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 in Gazette 31 Dec 2010 p. 6888-92; amended in Gazette 13 Apr 2012 p. 1649</w:t>
      </w:r>
      <w:r>
        <w:noBreakHyphen/>
        <w:t xml:space="preserve">51; 14 Apr 2015 p. 1324; 5 Aug 2015 p. 3185-6.] </w:t>
      </w:r>
    </w:p>
    <w:p>
      <w:pPr>
        <w:pStyle w:val="yFootnotesection"/>
        <w:sectPr>
          <w:headerReference w:type="even" r:id="rId22"/>
          <w:headerReference w:type="default" r:id="rId23"/>
          <w:pgSz w:w="11907" w:h="16840" w:code="9"/>
          <w:pgMar w:top="2376" w:right="2405" w:bottom="3542" w:left="2405" w:header="706" w:footer="3380" w:gutter="0"/>
          <w:cols w:space="720"/>
          <w:noEndnote/>
          <w:docGrid w:linePitch="326"/>
        </w:sectPr>
      </w:pPr>
    </w:p>
    <w:p>
      <w:pPr>
        <w:pStyle w:val="yScheduleHeading"/>
      </w:pPr>
      <w:bookmarkStart w:id="129" w:name="_Toc473125194"/>
      <w:bookmarkStart w:id="130" w:name="_Toc426542025"/>
      <w:r>
        <w:rPr>
          <w:rStyle w:val="CharSchNo"/>
        </w:rPr>
        <w:t>Schedule 2</w:t>
      </w:r>
      <w:r>
        <w:t> — </w:t>
      </w:r>
      <w:r>
        <w:rPr>
          <w:rStyle w:val="CharSchText"/>
        </w:rPr>
        <w:t>Forms</w:t>
      </w:r>
      <w:bookmarkEnd w:id="129"/>
      <w:bookmarkEnd w:id="130"/>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del w:id="131" w:author="Master Repository Process" w:date="2021-08-01T14:07:00Z">
              <w:r>
                <w:rPr>
                  <w:sz w:val="20"/>
                </w:rPr>
                <w:delText xml:space="preserve"> </w:delText>
              </w:r>
            </w:del>
            <w:ins w:id="132" w:author="Master Repository Process" w:date="2021-08-01T14:07:00Z">
              <w:r>
                <w:rPr>
                  <w:sz w:val="20"/>
                </w:rPr>
                <w:tab/>
              </w:r>
              <w:r>
                <w:rPr>
                  <w:sz w:val="20"/>
                </w:rPr>
                <w:tab/>
              </w:r>
            </w:ins>
            <w:r>
              <w:rPr>
                <w:sz w:val="20"/>
              </w:rPr>
              <w:t xml:space="preserve">Send a cheque or money order (payable to </w:t>
            </w:r>
            <w:ins w:id="133" w:author="Master Repository Process" w:date="2021-08-01T14:07:00Z">
              <w:r>
                <w:rPr>
                  <w:sz w:val="20"/>
                </w:rPr>
                <w:tab/>
              </w:r>
            </w:ins>
            <w:r>
              <w:rPr>
                <w:sz w:val="20"/>
              </w:rPr>
              <w:t xml:space="preserve">‘Director of Energy Safety’) to: </w:t>
            </w:r>
          </w:p>
          <w:p>
            <w:pPr>
              <w:pStyle w:val="yTableNAm"/>
              <w:tabs>
                <w:tab w:val="clear" w:pos="567"/>
                <w:tab w:val="left" w:pos="274"/>
                <w:tab w:val="left" w:pos="514"/>
                <w:tab w:val="left" w:pos="1168"/>
              </w:tabs>
              <w:spacing w:before="0"/>
              <w:rPr>
                <w:sz w:val="20"/>
              </w:rPr>
            </w:pPr>
            <w:ins w:id="134" w:author="Master Repository Process" w:date="2021-08-01T14:07:00Z">
              <w:r>
                <w:rPr>
                  <w:sz w:val="20"/>
                </w:rPr>
                <w:tab/>
              </w:r>
            </w:ins>
            <w:r>
              <w:rPr>
                <w:sz w:val="20"/>
              </w:rPr>
              <w:tab/>
            </w:r>
            <w:r>
              <w:rPr>
                <w:sz w:val="20"/>
              </w:rPr>
              <w:tab/>
              <w:t>Director of Energy Safety</w:t>
            </w:r>
          </w:p>
          <w:p>
            <w:pPr>
              <w:pStyle w:val="yTableNAm"/>
              <w:tabs>
                <w:tab w:val="clear" w:pos="567"/>
                <w:tab w:val="left" w:pos="274"/>
                <w:tab w:val="left" w:pos="514"/>
                <w:tab w:val="left" w:pos="1168"/>
              </w:tabs>
              <w:spacing w:before="0"/>
              <w:rPr>
                <w:i/>
                <w:iCs/>
                <w:sz w:val="20"/>
              </w:rPr>
            </w:pPr>
            <w:r>
              <w:rPr>
                <w:sz w:val="20"/>
              </w:rPr>
              <w:t xml:space="preserve">   </w:t>
            </w:r>
            <w:ins w:id="135" w:author="Master Repository Process" w:date="2021-08-01T14:07:00Z">
              <w:r>
                <w:rPr>
                  <w:sz w:val="20"/>
                </w:rPr>
                <w:tab/>
              </w:r>
            </w:ins>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 amended in Gazette 20 Aug 2013 p. 3829; 5 Aug 2015 p. 3186.]</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in Gazette 20 Mar 2007 p. 1043; amended in Gazette 5 Aug 2015 p. 3186.]</w:t>
      </w:r>
    </w:p>
    <w:p>
      <w:pPr>
        <w:pStyle w:val="CentredBaseLine"/>
        <w:spacing w:before="80"/>
        <w:jc w:val="center"/>
        <w:sectPr>
          <w:headerReference w:type="even" r:id="rId24"/>
          <w:headerReference w:type="default" r:id="rId25"/>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36" w:name="_Toc473125195"/>
      <w:bookmarkStart w:id="137" w:name="_Toc426542026"/>
      <w:r>
        <w:t>Notes</w:t>
      </w:r>
      <w:bookmarkEnd w:id="136"/>
      <w:bookmarkEnd w:id="137"/>
    </w:p>
    <w:p>
      <w:pPr>
        <w:pStyle w:val="nSubsection"/>
      </w:pPr>
      <w:r>
        <w:rPr>
          <w:vertAlign w:val="superscript"/>
        </w:rPr>
        <w:t>1</w:t>
      </w:r>
      <w:r>
        <w:tab/>
        <w:t xml:space="preserve">This </w:t>
      </w:r>
      <w:ins w:id="138" w:author="Master Repository Process" w:date="2021-08-01T14:07:00Z">
        <w:r>
          <w:t xml:space="preserve">reprint </w:t>
        </w:r>
      </w:ins>
      <w:r>
        <w:t xml:space="preserve">is a compilation </w:t>
      </w:r>
      <w:ins w:id="139" w:author="Master Repository Process" w:date="2021-08-01T14:07:00Z">
        <w:r>
          <w:t xml:space="preserve">as at 21 October 2016 </w:t>
        </w:r>
      </w:ins>
      <w:r>
        <w:t xml:space="preserve">of the </w:t>
      </w:r>
      <w:r>
        <w:rPr>
          <w:i/>
        </w:rPr>
        <w:t>Electricity Regulations 1947</w:t>
      </w:r>
      <w:ins w:id="140" w:author="Master Repository Process" w:date="2021-08-01T14:07:00Z">
        <w:r>
          <w:rPr>
            <w:i/>
          </w:rPr>
          <w:t xml:space="preserve"> </w:t>
        </w:r>
      </w:ins>
      <w:r>
        <w:rPr>
          <w:snapToGrid w:val="0"/>
          <w:vertAlign w:val="superscript"/>
        </w:rPr>
        <w:t xml:space="preserve"> </w:t>
      </w:r>
      <w:r>
        <w:t>and includes the amendments made by the other written laws referred to in the following table.  The table also contains information about any reprint.</w:t>
      </w:r>
    </w:p>
    <w:p>
      <w:pPr>
        <w:pStyle w:val="nHeading3"/>
        <w:rPr>
          <w:snapToGrid w:val="0"/>
        </w:rPr>
      </w:pPr>
      <w:bookmarkStart w:id="141" w:name="_Toc473125196"/>
      <w:bookmarkStart w:id="142" w:name="_Toc426542027"/>
      <w:r>
        <w:rPr>
          <w:snapToGrid w:val="0"/>
        </w:rPr>
        <w:t>Compilation table</w:t>
      </w:r>
      <w:bookmarkEnd w:id="141"/>
      <w:bookmarkEnd w:id="142"/>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Electricity Act Regulations 1947</w:t>
            </w:r>
            <w:r>
              <w:rPr>
                <w:snapToGrid w:val="0"/>
              </w:rPr>
              <w:t> </w:t>
            </w:r>
            <w:r>
              <w:rPr>
                <w:snapToGrid w:val="0"/>
                <w:vertAlign w:val="superscript"/>
              </w:rPr>
              <w:t xml:space="preserve"> </w:t>
            </w:r>
            <w:r>
              <w:rPr>
                <w:vertAlign w:val="superscript"/>
              </w:rPr>
              <w:t>4, 5</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rPr>
          <w:cantSplit/>
        </w:trPr>
        <w:tc>
          <w:tcPr>
            <w:tcW w:w="3118"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rPr>
          <w:cantSplit/>
        </w:trPr>
        <w:tc>
          <w:tcPr>
            <w:tcW w:w="3118" w:type="dxa"/>
          </w:tcPr>
          <w:p>
            <w:pPr>
              <w:pStyle w:val="nTable"/>
              <w:spacing w:after="40"/>
              <w:ind w:right="170"/>
              <w:rPr>
                <w:i/>
              </w:rPr>
            </w:pPr>
            <w:r>
              <w:t>Untitled regulations</w:t>
            </w:r>
            <w:r>
              <w:rPr>
                <w:vertAlign w:val="superscript"/>
              </w:rPr>
              <w:t> 6</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rPr>
          <w:cantSplit/>
        </w:trPr>
        <w:tc>
          <w:tcPr>
            <w:tcW w:w="3118"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rPr>
          <w:cantSplit/>
        </w:trPr>
        <w:tc>
          <w:tcPr>
            <w:tcW w:w="3118"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rPr>
          <w:cantSplit/>
        </w:trPr>
        <w:tc>
          <w:tcPr>
            <w:tcW w:w="3118"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rPr>
          <w:cantSplit/>
        </w:trPr>
        <w:tc>
          <w:tcPr>
            <w:tcW w:w="3118"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rPr>
          <w:cantSplit/>
        </w:trPr>
        <w:tc>
          <w:tcPr>
            <w:tcW w:w="3118"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rPr>
          <w:cantSplit/>
        </w:trPr>
        <w:tc>
          <w:tcPr>
            <w:tcW w:w="3118"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rPr>
          <w:cantSplit/>
        </w:trPr>
        <w:tc>
          <w:tcPr>
            <w:tcW w:w="3118"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rPr>
          <w:cantSplit/>
        </w:trPr>
        <w:tc>
          <w:tcPr>
            <w:tcW w:w="3118"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rPr>
          <w:cantSplit/>
        </w:trPr>
        <w:tc>
          <w:tcPr>
            <w:tcW w:w="4394"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rPr>
          <w:cantSplit/>
        </w:trPr>
        <w:tc>
          <w:tcPr>
            <w:tcW w:w="3118"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rPr>
          <w:cantSplit/>
        </w:trPr>
        <w:tc>
          <w:tcPr>
            <w:tcW w:w="3118"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rPr>
          <w:cantSplit/>
        </w:trPr>
        <w:tc>
          <w:tcPr>
            <w:tcW w:w="3118"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7</w:t>
            </w:r>
          </w:p>
        </w:tc>
      </w:tr>
      <w:tr>
        <w:trPr>
          <w:cantSplit/>
        </w:trPr>
        <w:tc>
          <w:tcPr>
            <w:tcW w:w="3118"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rPr>
          <w:cantSplit/>
        </w:trPr>
        <w:tc>
          <w:tcPr>
            <w:tcW w:w="3118"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rPr>
          <w:cantSplit/>
        </w:trPr>
        <w:tc>
          <w:tcPr>
            <w:tcW w:w="3118"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rPr>
          <w:cantSplit/>
        </w:trPr>
        <w:tc>
          <w:tcPr>
            <w:tcW w:w="3118"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rPr>
          <w:cantSplit/>
        </w:trPr>
        <w:tc>
          <w:tcPr>
            <w:tcW w:w="3118"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rPr>
          <w:cantSplit/>
        </w:trPr>
        <w:tc>
          <w:tcPr>
            <w:tcW w:w="3118"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rPr>
          <w:cantSplit/>
        </w:trPr>
        <w:tc>
          <w:tcPr>
            <w:tcW w:w="3118"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rPr>
          <w:cantSplit/>
        </w:trPr>
        <w:tc>
          <w:tcPr>
            <w:tcW w:w="3118"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rPr>
          <w:cantSplit/>
        </w:trPr>
        <w:tc>
          <w:tcPr>
            <w:tcW w:w="3118"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rPr>
          <w:cantSplit/>
        </w:trPr>
        <w:tc>
          <w:tcPr>
            <w:tcW w:w="3118"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rPr>
          <w:cantSplit/>
        </w:trPr>
        <w:tc>
          <w:tcPr>
            <w:tcW w:w="3118"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rPr>
          <w:cantSplit/>
        </w:trPr>
        <w:tc>
          <w:tcPr>
            <w:tcW w:w="3118"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rPr>
          <w:cantSplit/>
        </w:trPr>
        <w:tc>
          <w:tcPr>
            <w:tcW w:w="3118"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rPr>
          <w:cantSplit/>
        </w:trPr>
        <w:tc>
          <w:tcPr>
            <w:tcW w:w="3118"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rPr>
          <w:cantSplit/>
        </w:trPr>
        <w:tc>
          <w:tcPr>
            <w:tcW w:w="3118"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rPr>
          <w:cantSplit/>
        </w:trPr>
        <w:tc>
          <w:tcPr>
            <w:tcW w:w="3118" w:type="dxa"/>
          </w:tcPr>
          <w:p>
            <w:pPr>
              <w:pStyle w:val="nTable"/>
              <w:spacing w:after="40"/>
              <w:ind w:right="170"/>
              <w:rPr>
                <w:i/>
                <w:iCs/>
              </w:rPr>
            </w:pPr>
            <w:r>
              <w:rPr>
                <w:i/>
              </w:rPr>
              <w:t>Electricity Amendment Regulations 2000</w:t>
            </w:r>
            <w:r>
              <w:rPr>
                <w:iCs/>
                <w:vertAlign w:val="superscript"/>
              </w:rPr>
              <w:t> 8</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rPr>
          <w:cantSplit/>
        </w:trPr>
        <w:tc>
          <w:tcPr>
            <w:tcW w:w="7087"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rPr>
          <w:cantSplit/>
        </w:trPr>
        <w:tc>
          <w:tcPr>
            <w:tcW w:w="3118"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rPr>
          <w:cantSplit/>
        </w:trPr>
        <w:tc>
          <w:tcPr>
            <w:tcW w:w="3118"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3118"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rPr>
          <w:cantSplit/>
        </w:trPr>
        <w:tc>
          <w:tcPr>
            <w:tcW w:w="7087"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2007</w:t>
            </w:r>
            <w:r>
              <w:t> </w:t>
            </w:r>
            <w:r>
              <w:rPr>
                <w:vertAlign w:val="superscript"/>
              </w:rPr>
              <w:t>9</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rPr>
          <w:cantSplit/>
        </w:trPr>
        <w:tc>
          <w:tcPr>
            <w:tcW w:w="3118"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rPr>
          <w:cantSplit/>
        </w:trPr>
        <w:tc>
          <w:tcPr>
            <w:tcW w:w="3118"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rPr>
          <w:cantSplit/>
        </w:trPr>
        <w:tc>
          <w:tcPr>
            <w:tcW w:w="3118"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rPr>
          <w:cantSplit/>
        </w:trPr>
        <w:tc>
          <w:tcPr>
            <w:tcW w:w="7087"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rPr>
          <w:cantSplit/>
        </w:trPr>
        <w:tc>
          <w:tcPr>
            <w:tcW w:w="3118"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rPr>
          <w:cantSplit/>
        </w:trPr>
        <w:tc>
          <w:tcPr>
            <w:tcW w:w="3118"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rPr>
          <w:cantSplit/>
        </w:trPr>
        <w:tc>
          <w:tcPr>
            <w:tcW w:w="3118"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rPr>
          <w:cantSplit/>
        </w:trPr>
        <w:tc>
          <w:tcPr>
            <w:tcW w:w="3118"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rPr>
          <w:cantSplit/>
        </w:trPr>
        <w:tc>
          <w:tcPr>
            <w:tcW w:w="3118"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rFonts w:ascii="Arial" w:hAnsi="Arial"/>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rPr>
          <w:cantSplit/>
        </w:trPr>
        <w:tc>
          <w:tcPr>
            <w:tcW w:w="7087"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rPr>
          <w:cantSplit/>
        </w:trPr>
        <w:tc>
          <w:tcPr>
            <w:tcW w:w="3118" w:type="dxa"/>
          </w:tcPr>
          <w:p>
            <w:pPr>
              <w:pStyle w:val="nTable"/>
              <w:spacing w:after="40"/>
              <w:ind w:right="170"/>
              <w:rPr>
                <w:i/>
              </w:rPr>
            </w:pPr>
            <w:r>
              <w:rPr>
                <w:i/>
              </w:rPr>
              <w:t>Electricity Amendment Regulations 2015</w:t>
            </w:r>
          </w:p>
        </w:tc>
        <w:tc>
          <w:tcPr>
            <w:tcW w:w="1276" w:type="dxa"/>
          </w:tcPr>
          <w:p>
            <w:pPr>
              <w:pStyle w:val="nTable"/>
              <w:spacing w:after="40"/>
            </w:pPr>
            <w:r>
              <w:t>14 Apr 2015 p. 1324</w:t>
            </w:r>
          </w:p>
        </w:tc>
        <w:tc>
          <w:tcPr>
            <w:tcW w:w="2693" w:type="dxa"/>
          </w:tcPr>
          <w:p>
            <w:pPr>
              <w:pStyle w:val="nTable"/>
              <w:spacing w:after="40"/>
              <w:rPr>
                <w:rFonts w:ascii="Arial" w:hAnsi="Arial"/>
                <w:snapToGrid w:val="0"/>
                <w:spacing w:val="-2"/>
              </w:rPr>
            </w:pPr>
            <w:r>
              <w:rPr>
                <w:snapToGrid w:val="0"/>
                <w:spacing w:val="-2"/>
              </w:rPr>
              <w:t>r. 1 and 2: 14 Apr 2015 (see r. 2(a));</w:t>
            </w:r>
            <w:r>
              <w:rPr>
                <w:snapToGrid w:val="0"/>
                <w:spacing w:val="-2"/>
              </w:rPr>
              <w:br/>
              <w:t>Regulations other than r. 1 and 2: 15 Apr 2015 (see r. 2(b))</w:t>
            </w:r>
          </w:p>
        </w:tc>
      </w:tr>
      <w:tr>
        <w:trPr>
          <w:cantSplit/>
        </w:trPr>
        <w:tc>
          <w:tcPr>
            <w:tcW w:w="3118" w:type="dxa"/>
          </w:tcPr>
          <w:p>
            <w:pPr>
              <w:pStyle w:val="nTable"/>
              <w:spacing w:after="40"/>
              <w:ind w:right="170"/>
              <w:rPr>
                <w:i/>
              </w:rPr>
            </w:pPr>
            <w:r>
              <w:rPr>
                <w:i/>
              </w:rPr>
              <w:t xml:space="preserve">Electricity (Network Safety) Regulations 2015 </w:t>
            </w:r>
            <w:r>
              <w:t>r. 44</w:t>
            </w:r>
          </w:p>
        </w:tc>
        <w:tc>
          <w:tcPr>
            <w:tcW w:w="1276" w:type="dxa"/>
          </w:tcPr>
          <w:p>
            <w:pPr>
              <w:pStyle w:val="nTable"/>
              <w:spacing w:after="40"/>
            </w:pPr>
            <w:r>
              <w:t>5 Aug 2015 p. 3141</w:t>
            </w:r>
            <w:r>
              <w:noBreakHyphen/>
              <w:t>96</w:t>
            </w:r>
          </w:p>
        </w:tc>
        <w:tc>
          <w:tcPr>
            <w:tcW w:w="2693" w:type="dxa"/>
          </w:tcPr>
          <w:p>
            <w:pPr>
              <w:pStyle w:val="nTable"/>
              <w:spacing w:after="40"/>
              <w:rPr>
                <w:snapToGrid w:val="0"/>
                <w:spacing w:val="-2"/>
              </w:rPr>
            </w:pPr>
            <w:r>
              <w:rPr>
                <w:snapToGrid w:val="0"/>
                <w:spacing w:val="-2"/>
              </w:rPr>
              <w:t>6 Aug 2015 (see r. 2(b))</w:t>
            </w:r>
          </w:p>
        </w:tc>
      </w:tr>
      <w:tr>
        <w:trPr>
          <w:cantSplit/>
        </w:trPr>
        <w:tc>
          <w:tcPr>
            <w:tcW w:w="3118" w:type="dxa"/>
          </w:tcPr>
          <w:p>
            <w:pPr>
              <w:pStyle w:val="nTable"/>
              <w:spacing w:after="40"/>
              <w:ind w:right="170"/>
              <w:rPr>
                <w:i/>
              </w:rPr>
            </w:pPr>
            <w:r>
              <w:rPr>
                <w:i/>
              </w:rPr>
              <w:t>Electricity Amendment Regulations (No. 2) 2015</w:t>
            </w:r>
          </w:p>
        </w:tc>
        <w:tc>
          <w:tcPr>
            <w:tcW w:w="1276" w:type="dxa"/>
          </w:tcPr>
          <w:p>
            <w:pPr>
              <w:pStyle w:val="nTable"/>
              <w:spacing w:after="40"/>
            </w:pPr>
            <w:r>
              <w:t>5 Jan 2016 p. 3</w:t>
            </w:r>
          </w:p>
        </w:tc>
        <w:tc>
          <w:tcPr>
            <w:tcW w:w="2693" w:type="dxa"/>
          </w:tcPr>
          <w:p>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trPr>
          <w:cantSplit/>
          <w:ins w:id="143" w:author="Master Repository Process" w:date="2021-08-01T14:07:00Z"/>
        </w:trPr>
        <w:tc>
          <w:tcPr>
            <w:tcW w:w="7087" w:type="dxa"/>
            <w:gridSpan w:val="3"/>
            <w:tcBorders>
              <w:bottom w:val="single" w:sz="8" w:space="0" w:color="auto"/>
            </w:tcBorders>
            <w:shd w:val="clear" w:color="auto" w:fill="auto"/>
          </w:tcPr>
          <w:p>
            <w:pPr>
              <w:pStyle w:val="nTable"/>
              <w:spacing w:after="40"/>
              <w:rPr>
                <w:ins w:id="144" w:author="Master Repository Process" w:date="2021-08-01T14:07:00Z"/>
                <w:snapToGrid w:val="0"/>
                <w:spacing w:val="-2"/>
              </w:rPr>
            </w:pPr>
            <w:ins w:id="145" w:author="Master Repository Process" w:date="2021-08-01T14:07:00Z">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ins>
          </w:p>
        </w:tc>
      </w:tr>
    </w:tbl>
    <w:p>
      <w:pPr>
        <w:pStyle w:val="nSubsection"/>
        <w:spacing w:before="160"/>
        <w:rPr>
          <w:snapToGrid w:val="0"/>
          <w:vertAlign w:val="superscript"/>
        </w:rPr>
      </w:pPr>
      <w:r>
        <w:rPr>
          <w:snapToGrid w:val="0"/>
          <w:vertAlign w:val="superscript"/>
        </w:rPr>
        <w:t>2</w:t>
      </w:r>
      <w:r>
        <w:rPr>
          <w:snapToGrid w:val="0"/>
        </w:rPr>
        <w:tab/>
        <w:t xml:space="preserve">The </w:t>
      </w:r>
      <w:r>
        <w:rPr>
          <w:i/>
          <w:snapToGrid w:val="0"/>
        </w:rPr>
        <w:t>Electricity (Licensing) Regulations 1991</w:t>
      </w:r>
      <w:r>
        <w:rPr>
          <w:snapToGrid w:val="0"/>
        </w:rPr>
        <w:t xml:space="preserve"> r. 49 commenced 1 Nov 1991.</w:t>
      </w:r>
    </w:p>
    <w:p>
      <w:pPr>
        <w:pStyle w:val="nSubsection"/>
        <w:rPr>
          <w:snapToGrid w:val="0"/>
        </w:rPr>
      </w:pPr>
      <w:r>
        <w:rPr>
          <w:snapToGrid w:val="0"/>
          <w:vertAlign w:val="superscript"/>
        </w:rPr>
        <w:t>3</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4</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5</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6</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7</w:t>
      </w:r>
      <w:r>
        <w:rPr>
          <w:snapToGrid w:val="0"/>
        </w:rPr>
        <w:tab/>
        <w:t>The commencement date of 1 Jun 1979 that was specified was before the date of gazettal.</w:t>
      </w:r>
    </w:p>
    <w:p>
      <w:pPr>
        <w:pStyle w:val="nSubsection"/>
        <w:rPr>
          <w:i/>
          <w:snapToGrid w:val="0"/>
        </w:rPr>
      </w:pPr>
      <w:r>
        <w:rPr>
          <w:snapToGrid w:val="0"/>
          <w:vertAlign w:val="superscript"/>
        </w:rPr>
        <w:t>8</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Subsection"/>
      </w:pPr>
      <w:r>
        <w:rPr>
          <w:vertAlign w:val="superscript"/>
        </w:rPr>
        <w:t>9</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pStyle w:val="nSubsection"/>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8" w:name="Schedule"/>
    <w:bookmarkEnd w:id="1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7" w:name="Coversheet"/>
    <w:bookmarkEnd w:id="1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F8E9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5143805"/>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C588E18-6CCB-458C-AC8E-71EFC1A6C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3.png"/><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F77ACB-5D5C-4D29-92C9-0B832C16B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13536</Words>
  <Characters>66598</Characters>
  <Application>Microsoft Office Word</Application>
  <DocSecurity>0</DocSecurity>
  <Lines>2378</Lines>
  <Paragraphs>1252</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78882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06-d0-00 - 07-a0-01</dc:title>
  <dc:subject/>
  <dc:creator/>
  <cp:keywords/>
  <dc:description/>
  <cp:lastModifiedBy>Master Repository Process</cp:lastModifiedBy>
  <cp:revision>2</cp:revision>
  <cp:lastPrinted>2016-10-24T03:11:00Z</cp:lastPrinted>
  <dcterms:created xsi:type="dcterms:W3CDTF">2021-08-01T06:07:00Z</dcterms:created>
  <dcterms:modified xsi:type="dcterms:W3CDTF">2021-08-01T06:07:00Z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CommencementDate">
    <vt:lpwstr>20161021</vt:lpwstr>
  </property>
  <property fmtid="{D5CDD505-2E9C-101B-9397-08002B2CF9AE}" pid="8" name="FromSuffix">
    <vt:lpwstr>06-d0-00</vt:lpwstr>
  </property>
  <property fmtid="{D5CDD505-2E9C-101B-9397-08002B2CF9AE}" pid="9" name="FromAsAtDate">
    <vt:lpwstr>06 Jan 2016</vt:lpwstr>
  </property>
  <property fmtid="{D5CDD505-2E9C-101B-9397-08002B2CF9AE}" pid="10" name="ToSuffix">
    <vt:lpwstr>07-a0-01</vt:lpwstr>
  </property>
  <property fmtid="{D5CDD505-2E9C-101B-9397-08002B2CF9AE}" pid="11" name="ToAsAtDate">
    <vt:lpwstr>21 Oct 2016</vt:lpwstr>
  </property>
</Properties>
</file>