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2016</w:t>
      </w:r>
      <w:r>
        <w:fldChar w:fldCharType="end"/>
      </w:r>
      <w:r>
        <w:t xml:space="preserve">, </w:t>
      </w:r>
      <w:r>
        <w:fldChar w:fldCharType="begin"/>
      </w:r>
      <w:r>
        <w:instrText xml:space="preserve"> DocProperty FromSuffix </w:instrText>
      </w:r>
      <w:r>
        <w:fldChar w:fldCharType="separate"/>
      </w:r>
      <w:r>
        <w:t>06-f0-00</w:t>
      </w:r>
      <w:r>
        <w:fldChar w:fldCharType="end"/>
      </w:r>
      <w:r>
        <w:t>] and [</w:t>
      </w:r>
      <w:r>
        <w:fldChar w:fldCharType="begin"/>
      </w:r>
      <w:r>
        <w:instrText xml:space="preserve"> DocProperty ToAsAtDate</w:instrText>
      </w:r>
      <w:r>
        <w:fldChar w:fldCharType="separate"/>
      </w:r>
      <w:r>
        <w:t>28 Nov 2016</w:t>
      </w:r>
      <w:r>
        <w:fldChar w:fldCharType="end"/>
      </w:r>
      <w:r>
        <w:t xml:space="preserve">, </w:t>
      </w:r>
      <w:r>
        <w:fldChar w:fldCharType="begin"/>
      </w:r>
      <w:r>
        <w:instrText xml:space="preserve"> DocProperty ToSuffix</w:instrText>
      </w:r>
      <w:r>
        <w:fldChar w:fldCharType="separate"/>
      </w:r>
      <w:r>
        <w:t>06-g0-00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rPr>
          <w:rStyle w:val="CharDivText"/>
        </w:rPr>
      </w:pPr>
      <w:r>
        <w:lastRenderedPageBreak/>
        <w:t>Western Australia</w:t>
      </w:r>
    </w:p>
    <w:p>
      <w:pPr>
        <w:pStyle w:val="NameofActReg"/>
        <w:spacing w:before="1400" w:after="1200"/>
      </w:pPr>
      <w:r>
        <w:t xml:space="preserve">Misuse of Drugs Act 1981 </w:t>
      </w:r>
    </w:p>
    <w:p>
      <w:pPr>
        <w:pStyle w:val="LongTitle"/>
        <w:rPr>
          <w:snapToGrid w:val="0"/>
        </w:rPr>
      </w:pPr>
      <w:r>
        <w:rPr>
          <w:snapToGrid w:val="0"/>
        </w:rPr>
        <w:t>A</w:t>
      </w:r>
      <w:bookmarkStart w:id="1" w:name="_GoBack"/>
      <w:bookmarkEnd w:id="1"/>
      <w:r>
        <w:rPr>
          <w:snapToGrid w:val="0"/>
        </w:rPr>
        <w:t xml:space="preserve">n Act to prevent the misuse of certain drugs and plants and to provide for matters incidental thereto or connected therewith. </w:t>
      </w:r>
    </w:p>
    <w:p>
      <w:pPr>
        <w:pStyle w:val="Heading2"/>
      </w:pPr>
      <w:bookmarkStart w:id="2" w:name="_Toc392246250"/>
      <w:bookmarkStart w:id="3" w:name="_Toc421283334"/>
      <w:bookmarkStart w:id="4" w:name="_Toc421283432"/>
      <w:bookmarkStart w:id="5" w:name="_Toc433365399"/>
      <w:bookmarkStart w:id="6" w:name="_Toc435452027"/>
      <w:bookmarkStart w:id="7" w:name="_Toc435452135"/>
      <w:bookmarkStart w:id="8" w:name="_Toc435457778"/>
      <w:bookmarkStart w:id="9" w:name="_Toc457315917"/>
      <w:bookmarkStart w:id="10" w:name="_Toc457384981"/>
      <w:bookmarkStart w:id="11" w:name="_Toc457468678"/>
      <w:bookmarkStart w:id="12" w:name="_Toc468199209"/>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392246251"/>
      <w:bookmarkStart w:id="14" w:name="_Toc468199210"/>
      <w:bookmarkStart w:id="15" w:name="_Toc457468679"/>
      <w:r>
        <w:rPr>
          <w:rStyle w:val="CharSectno"/>
        </w:rPr>
        <w:t>1</w:t>
      </w:r>
      <w:r>
        <w:rPr>
          <w:snapToGrid w:val="0"/>
        </w:rPr>
        <w:t>.</w:t>
      </w:r>
      <w:r>
        <w:rPr>
          <w:snapToGrid w:val="0"/>
        </w:rPr>
        <w:tab/>
        <w:t>Short title</w:t>
      </w:r>
      <w:bookmarkEnd w:id="13"/>
      <w:bookmarkEnd w:id="14"/>
      <w:bookmarkEnd w:id="15"/>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16" w:name="_Toc392246252"/>
      <w:bookmarkStart w:id="17" w:name="_Toc468199211"/>
      <w:bookmarkStart w:id="18" w:name="_Toc457468680"/>
      <w:r>
        <w:rPr>
          <w:rStyle w:val="CharSectno"/>
        </w:rPr>
        <w:t>2</w:t>
      </w:r>
      <w:r>
        <w:rPr>
          <w:snapToGrid w:val="0"/>
        </w:rPr>
        <w:t>.</w:t>
      </w:r>
      <w:r>
        <w:rPr>
          <w:snapToGrid w:val="0"/>
        </w:rPr>
        <w:tab/>
        <w:t>Commencement</w:t>
      </w:r>
      <w:bookmarkEnd w:id="16"/>
      <w:bookmarkEnd w:id="17"/>
      <w:bookmarkEnd w:id="18"/>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9" w:name="_Toc392246253"/>
      <w:bookmarkStart w:id="20" w:name="_Toc468199212"/>
      <w:bookmarkStart w:id="21" w:name="_Toc457468681"/>
      <w:r>
        <w:rPr>
          <w:rStyle w:val="CharSectno"/>
        </w:rPr>
        <w:t>3</w:t>
      </w:r>
      <w:r>
        <w:rPr>
          <w:snapToGrid w:val="0"/>
        </w:rPr>
        <w:t>.</w:t>
      </w:r>
      <w:r>
        <w:rPr>
          <w:snapToGrid w:val="0"/>
        </w:rPr>
        <w:tab/>
        <w:t>Terms used</w:t>
      </w:r>
      <w:bookmarkEnd w:id="19"/>
      <w:bookmarkEnd w:id="20"/>
      <w:bookmarkEnd w:id="21"/>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spacing w:before="70"/>
      </w:pPr>
      <w:r>
        <w:tab/>
        <w:t>(a)</w:t>
      </w:r>
      <w:r>
        <w:tab/>
        <w:t>a person declared under section 3A to be an approved analyst;</w:t>
      </w:r>
      <w:r>
        <w:rPr>
          <w:i/>
        </w:rPr>
        <w:t xml:space="preserve"> </w:t>
      </w:r>
      <w:r>
        <w:t>or</w:t>
      </w:r>
    </w:p>
    <w:p>
      <w:pPr>
        <w:pStyle w:val="Defpara"/>
        <w:spacing w:before="70"/>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spacing w:before="70"/>
      </w:pPr>
      <w:r>
        <w:tab/>
        <w:t>(a)</w:t>
      </w:r>
      <w:r>
        <w:tab/>
        <w:t>referred to in section 23(2)(d) of; and</w:t>
      </w:r>
    </w:p>
    <w:p>
      <w:pPr>
        <w:pStyle w:val="Defpara"/>
        <w:spacing w:before="70"/>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pPr>
      <w:r>
        <w:tab/>
        <w:t>(i)</w:t>
      </w:r>
      <w:r>
        <w:tab/>
        <w:t xml:space="preserve">a university in </w:t>
      </w:r>
      <w:smartTag w:uri="urn:schemas-microsoft-com:office:smarttags" w:element="place">
        <w:smartTag w:uri="urn:schemas-microsoft-com:office:smarttags" w:element="country-region">
          <w:r>
            <w:t>Australia</w:t>
          </w:r>
        </w:smartTag>
      </w:smartTag>
      <w:r>
        <w:t>; or</w:t>
      </w:r>
    </w:p>
    <w:p>
      <w:pPr>
        <w:pStyle w:val="Defsubpara"/>
      </w:pPr>
      <w:r>
        <w:tab/>
        <w:t>(ii)</w:t>
      </w:r>
      <w:r>
        <w:tab/>
        <w:t>a prescribed university;</w:t>
      </w:r>
    </w:p>
    <w:p>
      <w:pPr>
        <w:pStyle w:val="Defpara"/>
      </w:pPr>
      <w:r>
        <w:tab/>
      </w:r>
      <w:r>
        <w:tab/>
        <w:t>and</w:t>
      </w:r>
    </w:p>
    <w:p>
      <w:pPr>
        <w:pStyle w:val="Defpara"/>
      </w:pPr>
      <w:r>
        <w:lastRenderedPageBreak/>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Poisons Act 1964</w:t>
      </w:r>
      <w:r>
        <w:t xml:space="preserve"> includes any regulations made and in force under that Act;</w:t>
      </w:r>
    </w:p>
    <w:p>
      <w:pPr>
        <w:pStyle w:val="Defstar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regulations</w:t>
      </w:r>
      <w:r>
        <w:t xml:space="preserve"> means the regulations made and in force under this Act;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 No. 55 of 2012 s. 118.]</w:t>
      </w:r>
    </w:p>
    <w:p>
      <w:pPr>
        <w:pStyle w:val="Heading5"/>
        <w:rPr>
          <w:snapToGrid w:val="0"/>
        </w:rPr>
      </w:pPr>
      <w:bookmarkStart w:id="22" w:name="_Toc392246254"/>
      <w:bookmarkStart w:id="23" w:name="_Toc468199213"/>
      <w:bookmarkStart w:id="24" w:name="_Toc457468682"/>
      <w:r>
        <w:rPr>
          <w:rStyle w:val="CharSectno"/>
        </w:rPr>
        <w:t>3A</w:t>
      </w:r>
      <w:r>
        <w:rPr>
          <w:snapToGrid w:val="0"/>
        </w:rPr>
        <w:t xml:space="preserve">. </w:t>
      </w:r>
      <w:r>
        <w:rPr>
          <w:snapToGrid w:val="0"/>
        </w:rPr>
        <w:tab/>
        <w:t>Approved analysts and botanists</w:t>
      </w:r>
      <w:bookmarkEnd w:id="22"/>
      <w:bookmarkEnd w:id="23"/>
      <w:bookmarkEnd w:id="24"/>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keepNext/>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25" w:name="_Toc392246255"/>
      <w:bookmarkStart w:id="26" w:name="_Toc468199214"/>
      <w:bookmarkStart w:id="27" w:name="_Toc457468683"/>
      <w:r>
        <w:rPr>
          <w:rStyle w:val="CharSectno"/>
        </w:rPr>
        <w:t>4</w:t>
      </w:r>
      <w:r>
        <w:rPr>
          <w:snapToGrid w:val="0"/>
        </w:rPr>
        <w:t>.</w:t>
      </w:r>
      <w:r>
        <w:rPr>
          <w:snapToGrid w:val="0"/>
        </w:rPr>
        <w:tab/>
        <w:t>Drugs and plants to which Act applies</w:t>
      </w:r>
      <w:bookmarkEnd w:id="25"/>
      <w:bookmarkEnd w:id="26"/>
      <w:bookmarkEnd w:id="27"/>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5"/>
      </w:pPr>
      <w:bookmarkStart w:id="28" w:name="_Toc392246256"/>
      <w:bookmarkStart w:id="29" w:name="_Toc468199215"/>
      <w:bookmarkStart w:id="30" w:name="_Toc457468684"/>
      <w:r>
        <w:rPr>
          <w:rStyle w:val="CharSectno"/>
        </w:rPr>
        <w:t>5A</w:t>
      </w:r>
      <w:r>
        <w:t>.</w:t>
      </w:r>
      <w:r>
        <w:tab/>
        <w:t>Authority required for some investigations</w:t>
      </w:r>
      <w:bookmarkEnd w:id="28"/>
      <w:bookmarkEnd w:id="29"/>
      <w:bookmarkEnd w:id="30"/>
    </w:p>
    <w:p>
      <w:pPr>
        <w:pStyle w:val="Subsection"/>
      </w:pPr>
      <w:r>
        <w:tab/>
      </w:r>
      <w:r>
        <w:tab/>
        <w:t xml:space="preserve">This Act is subject to the </w:t>
      </w:r>
      <w:r>
        <w:rPr>
          <w:i/>
        </w:rPr>
        <w:t>Criminal Appeals Act 2004</w:t>
      </w:r>
      <w:r>
        <w:t xml:space="preserve"> section 46C.</w:t>
      </w:r>
    </w:p>
    <w:p>
      <w:pPr>
        <w:pStyle w:val="Footnotesection"/>
      </w:pPr>
      <w:r>
        <w:tab/>
        <w:t>[Section 5A inserted by No. 9 of 2012 s. 10.]</w:t>
      </w:r>
    </w:p>
    <w:p>
      <w:pPr>
        <w:pStyle w:val="Heading2"/>
      </w:pPr>
      <w:bookmarkStart w:id="31" w:name="_Toc392246257"/>
      <w:bookmarkStart w:id="32" w:name="_Toc421283341"/>
      <w:bookmarkStart w:id="33" w:name="_Toc421283439"/>
      <w:bookmarkStart w:id="34" w:name="_Toc433365406"/>
      <w:bookmarkStart w:id="35" w:name="_Toc435452034"/>
      <w:bookmarkStart w:id="36" w:name="_Toc435452142"/>
      <w:bookmarkStart w:id="37" w:name="_Toc435457785"/>
      <w:bookmarkStart w:id="38" w:name="_Toc457315924"/>
      <w:bookmarkStart w:id="39" w:name="_Toc457384988"/>
      <w:bookmarkStart w:id="40" w:name="_Toc457468685"/>
      <w:bookmarkStart w:id="41" w:name="_Toc468199216"/>
      <w:r>
        <w:rPr>
          <w:rStyle w:val="CharPartNo"/>
        </w:rPr>
        <w:t>Part II</w:t>
      </w:r>
      <w:r>
        <w:rPr>
          <w:rStyle w:val="CharDivNo"/>
        </w:rPr>
        <w:t> </w:t>
      </w:r>
      <w:r>
        <w:t>—</w:t>
      </w:r>
      <w:r>
        <w:rPr>
          <w:rStyle w:val="CharDivText"/>
        </w:rPr>
        <w:t> </w:t>
      </w:r>
      <w:r>
        <w:rPr>
          <w:rStyle w:val="CharPartText"/>
        </w:rPr>
        <w:t>Offences relating to prohibited drugs and prohibited plants</w:t>
      </w:r>
      <w:bookmarkEnd w:id="31"/>
      <w:bookmarkEnd w:id="32"/>
      <w:bookmarkEnd w:id="33"/>
      <w:bookmarkEnd w:id="34"/>
      <w:bookmarkEnd w:id="35"/>
      <w:bookmarkEnd w:id="36"/>
      <w:bookmarkEnd w:id="37"/>
      <w:bookmarkEnd w:id="38"/>
      <w:bookmarkEnd w:id="39"/>
      <w:bookmarkEnd w:id="40"/>
      <w:bookmarkEnd w:id="41"/>
    </w:p>
    <w:p>
      <w:pPr>
        <w:pStyle w:val="Heading5"/>
        <w:rPr>
          <w:snapToGrid w:val="0"/>
        </w:rPr>
      </w:pPr>
      <w:bookmarkStart w:id="42" w:name="_Toc392246258"/>
      <w:bookmarkStart w:id="43" w:name="_Toc468199217"/>
      <w:bookmarkStart w:id="44" w:name="_Toc457468686"/>
      <w:r>
        <w:rPr>
          <w:rStyle w:val="CharSectno"/>
        </w:rPr>
        <w:t>5</w:t>
      </w:r>
      <w:r>
        <w:rPr>
          <w:snapToGrid w:val="0"/>
        </w:rPr>
        <w:t>.</w:t>
      </w:r>
      <w:r>
        <w:rPr>
          <w:snapToGrid w:val="0"/>
        </w:rPr>
        <w:tab/>
        <w:t>Offences concerned with prohibited drugs and prohibited plants in relation to premises and utensils</w:t>
      </w:r>
      <w:bookmarkEnd w:id="42"/>
      <w:bookmarkEnd w:id="43"/>
      <w:bookmarkEnd w:id="44"/>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Footnotesection"/>
      </w:pPr>
      <w:r>
        <w:tab/>
        <w:t>[Section 5 amended by No. 52 of 2003 s. 28; No. 44 of 2010 s. 4; No. 56 of 2011 s. 5.]</w:t>
      </w:r>
    </w:p>
    <w:p>
      <w:pPr>
        <w:pStyle w:val="Heading5"/>
        <w:rPr>
          <w:snapToGrid w:val="0"/>
        </w:rPr>
      </w:pPr>
      <w:bookmarkStart w:id="45" w:name="_Toc392246259"/>
      <w:bookmarkStart w:id="46" w:name="_Toc468199218"/>
      <w:bookmarkStart w:id="47" w:name="_Toc457468687"/>
      <w:r>
        <w:rPr>
          <w:rStyle w:val="CharSectno"/>
        </w:rPr>
        <w:t>6</w:t>
      </w:r>
      <w:r>
        <w:rPr>
          <w:snapToGrid w:val="0"/>
        </w:rPr>
        <w:t>.</w:t>
      </w:r>
      <w:r>
        <w:rPr>
          <w:snapToGrid w:val="0"/>
        </w:rPr>
        <w:tab/>
        <w:t>Offences concerned with prohibited drugs generally</w:t>
      </w:r>
      <w:bookmarkEnd w:id="45"/>
      <w:bookmarkEnd w:id="46"/>
      <w:bookmarkEnd w:id="47"/>
    </w:p>
    <w:p>
      <w:pPr>
        <w:pStyle w:val="Subsection"/>
        <w:rPr>
          <w:snapToGrid w:val="0"/>
        </w:rPr>
      </w:pPr>
      <w:r>
        <w:rPr>
          <w:snapToGrid w:val="0"/>
        </w:rPr>
        <w:tab/>
        <w:t>(1)</w:t>
      </w:r>
      <w:r>
        <w:rPr>
          <w:snapToGrid w:val="0"/>
        </w:rPr>
        <w:tab/>
        <w:t>Subject to subsection (3), a person who — </w:t>
      </w:r>
    </w:p>
    <w:p>
      <w:pPr>
        <w:pStyle w:val="Indenta"/>
        <w:spacing w:before="70"/>
        <w:rPr>
          <w:snapToGrid w:val="0"/>
        </w:rPr>
      </w:pPr>
      <w:r>
        <w:rPr>
          <w:snapToGrid w:val="0"/>
        </w:rPr>
        <w:tab/>
        <w:t>(a)</w:t>
      </w:r>
      <w:r>
        <w:rPr>
          <w:snapToGrid w:val="0"/>
        </w:rPr>
        <w:tab/>
        <w:t>with intent to sell or supply it to another, has in his possession; or</w:t>
      </w:r>
    </w:p>
    <w:p>
      <w:pPr>
        <w:pStyle w:val="Indenta"/>
        <w:spacing w:before="70"/>
        <w:rPr>
          <w:snapToGrid w:val="0"/>
        </w:rPr>
      </w:pPr>
      <w:r>
        <w:rPr>
          <w:snapToGrid w:val="0"/>
        </w:rPr>
        <w:tab/>
        <w:t>(b)</w:t>
      </w:r>
      <w:r>
        <w:rPr>
          <w:snapToGrid w:val="0"/>
        </w:rPr>
        <w:tab/>
        <w:t>manufactures or prepares; or</w:t>
      </w:r>
    </w:p>
    <w:p>
      <w:pPr>
        <w:pStyle w:val="Indenta"/>
        <w:spacing w:before="70"/>
        <w:rPr>
          <w:snapToGrid w:val="0"/>
        </w:rPr>
      </w:pPr>
      <w:r>
        <w:rPr>
          <w:snapToGrid w:val="0"/>
        </w:rPr>
        <w:tab/>
        <w:t>(c)</w:t>
      </w:r>
      <w:r>
        <w:rPr>
          <w:snapToGrid w:val="0"/>
        </w:rPr>
        <w:tab/>
        <w:t>sells or supplies, or offers to sell or supply, to another,</w:t>
      </w:r>
    </w:p>
    <w:p>
      <w:pPr>
        <w:pStyle w:val="Subsection"/>
        <w:spacing w:before="120"/>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spacing w:before="70"/>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spacing w:before="70"/>
        <w:rPr>
          <w:snapToGrid w:val="0"/>
        </w:rPr>
      </w:pPr>
      <w:r>
        <w:rPr>
          <w:snapToGrid w:val="0"/>
        </w:rPr>
        <w:tab/>
        <w:t>(b)</w:t>
      </w:r>
      <w:r>
        <w:rPr>
          <w:snapToGrid w:val="0"/>
        </w:rPr>
        <w:tab/>
        <w:t>the prohibited drug was sold or supplied, or requested to be sold or supplied, to him — </w:t>
      </w:r>
    </w:p>
    <w:p>
      <w:pPr>
        <w:pStyle w:val="Indenti"/>
        <w:spacing w:before="70"/>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spacing w:before="70"/>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rPr>
          <w:snapToGrid w:val="0"/>
        </w:rPr>
      </w:pPr>
      <w:bookmarkStart w:id="48" w:name="_Toc392246260"/>
      <w:bookmarkStart w:id="49" w:name="_Toc468199219"/>
      <w:bookmarkStart w:id="50" w:name="_Toc457468688"/>
      <w:r>
        <w:rPr>
          <w:rStyle w:val="CharSectno"/>
        </w:rPr>
        <w:t>7</w:t>
      </w:r>
      <w:r>
        <w:rPr>
          <w:snapToGrid w:val="0"/>
        </w:rPr>
        <w:t>.</w:t>
      </w:r>
      <w:r>
        <w:rPr>
          <w:snapToGrid w:val="0"/>
        </w:rPr>
        <w:tab/>
        <w:t>Offences concerned with prohibited plants generally</w:t>
      </w:r>
      <w:bookmarkEnd w:id="48"/>
      <w:bookmarkEnd w:id="49"/>
      <w:bookmarkEnd w:id="50"/>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 of this Act in his capacity as an analyst, botanist or other expert.</w:t>
      </w:r>
    </w:p>
    <w:p>
      <w:pPr>
        <w:pStyle w:val="Footnotesection"/>
      </w:pPr>
      <w:r>
        <w:tab/>
        <w:t>[Section 7 amended by No. 1 of 2004 s. 52; No. 4 of 2004 s. 58.]</w:t>
      </w:r>
    </w:p>
    <w:p>
      <w:pPr>
        <w:pStyle w:val="Heading5"/>
        <w:rPr>
          <w:snapToGrid w:val="0"/>
        </w:rPr>
      </w:pPr>
      <w:bookmarkStart w:id="51" w:name="_Toc392246261"/>
      <w:bookmarkStart w:id="52" w:name="_Toc468199220"/>
      <w:bookmarkStart w:id="53" w:name="_Toc457468689"/>
      <w:r>
        <w:rPr>
          <w:rStyle w:val="CharSectno"/>
        </w:rPr>
        <w:t>7A</w:t>
      </w:r>
      <w:r>
        <w:rPr>
          <w:snapToGrid w:val="0"/>
        </w:rPr>
        <w:t>.</w:t>
      </w:r>
      <w:r>
        <w:rPr>
          <w:snapToGrid w:val="0"/>
        </w:rPr>
        <w:tab/>
        <w:t>Selling or supplying a thing knowing it will be used in hydroponic cultivation of prohibited plants</w:t>
      </w:r>
      <w:bookmarkEnd w:id="51"/>
      <w:bookmarkEnd w:id="52"/>
      <w:bookmarkEnd w:id="53"/>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spacing w:before="140"/>
        <w:rPr>
          <w:snapToGrid w:val="0"/>
        </w:rPr>
      </w:pPr>
      <w:r>
        <w:rPr>
          <w:snapToGrid w:val="0"/>
        </w:rPr>
        <w:tab/>
        <w:t>(3)</w:t>
      </w:r>
      <w:r>
        <w:rPr>
          <w:snapToGrid w:val="0"/>
        </w:rPr>
        <w:tab/>
        <w:t>A person who contravenes an order under subsection (2) is guilty of a simple offence.</w:t>
      </w:r>
    </w:p>
    <w:p>
      <w:pPr>
        <w:pStyle w:val="Footnotesection"/>
        <w:spacing w:before="100"/>
        <w:rPr>
          <w:snapToGrid/>
        </w:rPr>
      </w:pPr>
      <w:r>
        <w:rPr>
          <w:snapToGrid/>
        </w:rPr>
        <w:tab/>
        <w:t>[Section 7A inserted by No. 52 of 2003 s. 29.]</w:t>
      </w:r>
    </w:p>
    <w:p>
      <w:pPr>
        <w:pStyle w:val="Heading5"/>
      </w:pPr>
      <w:bookmarkStart w:id="54" w:name="_Toc392246262"/>
      <w:bookmarkStart w:id="55" w:name="_Toc468199221"/>
      <w:bookmarkStart w:id="56" w:name="_Toc457468690"/>
      <w:r>
        <w:rPr>
          <w:rStyle w:val="CharSectno"/>
        </w:rPr>
        <w:t>7B</w:t>
      </w:r>
      <w:r>
        <w:t>.</w:t>
      </w:r>
      <w:r>
        <w:tab/>
        <w:t>Drug paraphernalia, offences as to</w:t>
      </w:r>
      <w:bookmarkEnd w:id="54"/>
      <w:bookmarkEnd w:id="55"/>
      <w:bookmarkEnd w:id="56"/>
    </w:p>
    <w:p>
      <w:pPr>
        <w:pStyle w:val="Subsection"/>
        <w:spacing w:before="140"/>
      </w:pPr>
      <w:r>
        <w:tab/>
        <w:t>(1)</w:t>
      </w:r>
      <w:r>
        <w:tab/>
        <w:t>In this section —</w:t>
      </w:r>
    </w:p>
    <w:p>
      <w:pPr>
        <w:pStyle w:val="Defstart"/>
      </w:pPr>
      <w:r>
        <w:tab/>
      </w:r>
      <w:r>
        <w:rPr>
          <w:rStyle w:val="CharDefText"/>
        </w:rPr>
        <w:t>display</w:t>
      </w:r>
      <w:r>
        <w:t>, in relation to drug paraphernalia, includes to authorise or allow drug paraphernalia to be displayed;</w:t>
      </w:r>
    </w:p>
    <w:p>
      <w:pPr>
        <w:pStyle w:val="Defstart"/>
      </w:pPr>
      <w:r>
        <w:tab/>
      </w:r>
      <w:r>
        <w:rPr>
          <w:rStyle w:val="CharDefText"/>
        </w:rPr>
        <w:t>drug paraphernalia</w:t>
      </w:r>
      <w:r>
        <w:t xml:space="preserve"> means —</w:t>
      </w:r>
    </w:p>
    <w:p>
      <w:pPr>
        <w:pStyle w:val="Defpara"/>
        <w:spacing w:before="60"/>
      </w:pPr>
      <w:r>
        <w:tab/>
        <w:t>(a)</w:t>
      </w:r>
      <w:r>
        <w:tab/>
        <w:t>any thing made or modified to be used in connection with manufacturing or preparing a prohibited drug or a prohibited plant —</w:t>
      </w:r>
    </w:p>
    <w:p>
      <w:pPr>
        <w:pStyle w:val="Defsubpara"/>
        <w:spacing w:before="60"/>
      </w:pPr>
      <w:r>
        <w:tab/>
        <w:t>(i)</w:t>
      </w:r>
      <w:r>
        <w:tab/>
        <w:t>for administration to a person; or</w:t>
      </w:r>
    </w:p>
    <w:p>
      <w:pPr>
        <w:pStyle w:val="Defsubpara"/>
        <w:spacing w:before="60"/>
      </w:pPr>
      <w:r>
        <w:tab/>
        <w:t>(ii)</w:t>
      </w:r>
      <w:r>
        <w:tab/>
        <w:t>for smoking, inhaling or ingesting by a person; or</w:t>
      </w:r>
    </w:p>
    <w:p>
      <w:pPr>
        <w:pStyle w:val="Defsubpara"/>
        <w:spacing w:before="60"/>
      </w:pPr>
      <w:r>
        <w:tab/>
        <w:t>(iii)</w:t>
      </w:r>
      <w:r>
        <w:tab/>
        <w:t>to be burned or heated so its smoke or fumes can be smoked or inhaled by a person;</w:t>
      </w:r>
    </w:p>
    <w:p>
      <w:pPr>
        <w:pStyle w:val="Defpara"/>
        <w:spacing w:before="60"/>
      </w:pPr>
      <w:r>
        <w:tab/>
      </w:r>
      <w:r>
        <w:tab/>
        <w:t>or</w:t>
      </w:r>
    </w:p>
    <w:p>
      <w:pPr>
        <w:pStyle w:val="Defpara"/>
        <w:spacing w:before="60"/>
      </w:pPr>
      <w:r>
        <w:tab/>
        <w:t>(b)</w:t>
      </w:r>
      <w:r>
        <w:tab/>
        <w:t>any thing made or modified to be used by a person —</w:t>
      </w:r>
    </w:p>
    <w:p>
      <w:pPr>
        <w:pStyle w:val="Defsubpara"/>
        <w:spacing w:before="60"/>
      </w:pPr>
      <w:r>
        <w:tab/>
        <w:t>(i)</w:t>
      </w:r>
      <w:r>
        <w:tab/>
        <w:t>to administer a prohibited drug or a prohibited plant to a person; or</w:t>
      </w:r>
    </w:p>
    <w:p>
      <w:pPr>
        <w:pStyle w:val="Defsubpara"/>
        <w:spacing w:before="60"/>
      </w:pPr>
      <w:r>
        <w:tab/>
        <w:t>(ii)</w:t>
      </w:r>
      <w:r>
        <w:tab/>
        <w:t>to smoke, inhale or ingest a prohibited drug or a prohibited plant; or</w:t>
      </w:r>
    </w:p>
    <w:p>
      <w:pPr>
        <w:pStyle w:val="Defsubpara"/>
        <w:spacing w:before="60"/>
      </w:pPr>
      <w:r>
        <w:tab/>
        <w:t>(iii)</w:t>
      </w:r>
      <w:r>
        <w:tab/>
        <w:t>to smoke or inhale the smoke or fumes resulting from burning or heating a prohibited drug or a prohibited plant.</w:t>
      </w:r>
    </w:p>
    <w:p>
      <w:pPr>
        <w:pStyle w:val="Subsection"/>
        <w:spacing w:before="140"/>
      </w:pPr>
      <w:r>
        <w:tab/>
        <w:t>(2)</w:t>
      </w:r>
      <w:r>
        <w:tab/>
        <w:t>A person who displays any drug paraphernalia for sale in a retail outlet commits a simple offence.</w:t>
      </w:r>
    </w:p>
    <w:p>
      <w:pPr>
        <w:pStyle w:val="Penstart"/>
      </w:pPr>
      <w:r>
        <w:tab/>
        <w:t>Penalty: a fine of $10 000.</w:t>
      </w:r>
    </w:p>
    <w:p>
      <w:pPr>
        <w:pStyle w:val="Subsection"/>
      </w:pPr>
      <w:r>
        <w:tab/>
        <w:t>(3)</w:t>
      </w:r>
      <w:r>
        <w:tab/>
        <w:t>A person who sells any drug paraphernalia to an adult commits a simple offence.</w:t>
      </w:r>
    </w:p>
    <w:p>
      <w:pPr>
        <w:pStyle w:val="Penstart"/>
      </w:pPr>
      <w:r>
        <w:tab/>
        <w:t>Penalty: a fine of $10 000.</w:t>
      </w:r>
    </w:p>
    <w:p>
      <w:pPr>
        <w:pStyle w:val="Subsection"/>
      </w:pPr>
      <w:r>
        <w:tab/>
        <w:t>(4)</w:t>
      </w:r>
      <w:r>
        <w:tab/>
        <w:t>A person who sells any drug paraphernalia to a child commits a simple offence.</w:t>
      </w:r>
    </w:p>
    <w:p>
      <w:pPr>
        <w:pStyle w:val="Penstart"/>
      </w:pPr>
      <w:r>
        <w:tab/>
        <w:t>Penalty: a fine of $24 000 or imprisonment for 2 years or both.</w:t>
      </w:r>
    </w:p>
    <w:p>
      <w:pPr>
        <w:pStyle w:val="Subsection"/>
      </w:pPr>
      <w:r>
        <w:tab/>
        <w:t>(5)</w:t>
      </w:r>
      <w:r>
        <w:tab/>
        <w:t>It is a defence to a charge of an offence under subsection (2), (3) or (4) to prove —</w:t>
      </w:r>
    </w:p>
    <w:p>
      <w:pPr>
        <w:pStyle w:val="Indenta"/>
      </w:pPr>
      <w:r>
        <w:tab/>
        <w:t>(a)</w:t>
      </w:r>
      <w:r>
        <w:tab/>
        <w:t>the accused was a person prescribed; or</w:t>
      </w:r>
    </w:p>
    <w:p>
      <w:pPr>
        <w:pStyle w:val="Indenta"/>
      </w:pPr>
      <w:r>
        <w:tab/>
        <w:t>(b)</w:t>
      </w:r>
      <w:r>
        <w:tab/>
        <w:t>the drug paraphernalia displayed or sold was a thing prescribed or of a class prescribed; or</w:t>
      </w:r>
    </w:p>
    <w:p>
      <w:pPr>
        <w:pStyle w:val="Indenta"/>
      </w:pPr>
      <w:r>
        <w:tab/>
        <w:t>(c)</w:t>
      </w:r>
      <w:r>
        <w:tab/>
        <w:t>the display or sale occurred in circumstances prescribed,</w:t>
      </w:r>
    </w:p>
    <w:p>
      <w:pPr>
        <w:pStyle w:val="Subsection"/>
      </w:pPr>
      <w:r>
        <w:tab/>
      </w:r>
      <w:r>
        <w:tab/>
        <w:t>for the purposes of that subsection.</w:t>
      </w:r>
    </w:p>
    <w:p>
      <w:pPr>
        <w:pStyle w:val="Subsection"/>
      </w:pPr>
      <w:r>
        <w:tab/>
        <w:t>(6)</w:t>
      </w:r>
      <w:r>
        <w:tab/>
        <w:t>A person who is in possession of any drug paraphernalia in or on which there is a prohibited drug or a prohibited plant commits a simple offence.</w:t>
      </w:r>
    </w:p>
    <w:p>
      <w:pPr>
        <w:pStyle w:val="Penstart"/>
      </w:pPr>
      <w:r>
        <w:tab/>
        <w:t>Penalty: a fine of $36 000 or imprisonment for 3 years or both.</w:t>
      </w:r>
    </w:p>
    <w:p>
      <w:pPr>
        <w:pStyle w:val="Subsection"/>
      </w:pPr>
      <w:r>
        <w:tab/>
        <w:t>(7)</w:t>
      </w:r>
      <w:r>
        <w:tab/>
        <w:t>It is a defence to a charge of an offence under subsection (6) to prove —</w:t>
      </w:r>
    </w:p>
    <w:p>
      <w:pPr>
        <w:pStyle w:val="Indenta"/>
      </w:pPr>
      <w:r>
        <w:tab/>
        <w:t>(a)</w:t>
      </w:r>
      <w:r>
        <w:tab/>
        <w:t xml:space="preserve">the accused was authorised by or under this Act or the </w:t>
      </w:r>
      <w:r>
        <w:rPr>
          <w:i/>
        </w:rPr>
        <w:t>Poisons Act 1964</w:t>
      </w:r>
      <w:r>
        <w:t xml:space="preserve"> to possess the prohibited drug or prohibited plant; or</w:t>
      </w:r>
    </w:p>
    <w:p>
      <w:pPr>
        <w:pStyle w:val="Indenta"/>
      </w:pPr>
      <w:r>
        <w:tab/>
        <w:t>(b)</w:t>
      </w:r>
      <w:r>
        <w:tab/>
        <w:t>the accused had possession of the drug paraphernalia —</w:t>
      </w:r>
    </w:p>
    <w:p>
      <w:pPr>
        <w:pStyle w:val="Indenti"/>
      </w:pPr>
      <w:r>
        <w:tab/>
        <w:t>(i)</w:t>
      </w:r>
      <w:r>
        <w:tab/>
        <w:t xml:space="preserve">only for the purpose of delivering it to a person authorised under this Act or the </w:t>
      </w:r>
      <w:r>
        <w:rPr>
          <w:i/>
        </w:rPr>
        <w:t>Poisons Act 1964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drug paraphernalia, the accused took all such steps as were reasonably open to the accused to deliver it into the possession of that person; or</w:t>
      </w:r>
    </w:p>
    <w:p>
      <w:pPr>
        <w:pStyle w:val="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Footnotesection"/>
        <w:rPr>
          <w:snapToGrid/>
        </w:rPr>
      </w:pPr>
      <w:r>
        <w:rPr>
          <w:snapToGrid/>
        </w:rPr>
        <w:tab/>
        <w:t>[Section 7B inserted by No. 56 of 2011 s. 6.]</w:t>
      </w:r>
    </w:p>
    <w:p>
      <w:pPr>
        <w:pStyle w:val="Heading5"/>
        <w:rPr>
          <w:snapToGrid w:val="0"/>
        </w:rPr>
      </w:pPr>
      <w:bookmarkStart w:id="57" w:name="_Toc392246263"/>
      <w:bookmarkStart w:id="58" w:name="_Toc468199222"/>
      <w:bookmarkStart w:id="59" w:name="_Toc457468691"/>
      <w:r>
        <w:rPr>
          <w:rStyle w:val="CharSectno"/>
        </w:rPr>
        <w:t>8</w:t>
      </w:r>
      <w:r>
        <w:rPr>
          <w:snapToGrid w:val="0"/>
        </w:rPr>
        <w:t>.</w:t>
      </w:r>
      <w:r>
        <w:rPr>
          <w:snapToGrid w:val="0"/>
        </w:rPr>
        <w:tab/>
        <w:t>Fraudulent behaviour in relation to prohibited drugs</w:t>
      </w:r>
      <w:bookmarkEnd w:id="57"/>
      <w:bookmarkEnd w:id="58"/>
      <w:bookmarkEnd w:id="59"/>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spacing w:before="180"/>
      </w:pPr>
      <w:bookmarkStart w:id="60" w:name="_Toc392246264"/>
      <w:bookmarkStart w:id="61" w:name="_Toc468199223"/>
      <w:bookmarkStart w:id="62" w:name="_Toc457468692"/>
      <w:r>
        <w:rPr>
          <w:rStyle w:val="CharSectno"/>
        </w:rPr>
        <w:t>8A</w:t>
      </w:r>
      <w:r>
        <w:t>.</w:t>
      </w:r>
      <w:r>
        <w:tab/>
        <w:t>Defences relating to industrial hemp or industrial hemp seed</w:t>
      </w:r>
      <w:bookmarkEnd w:id="60"/>
      <w:bookmarkEnd w:id="61"/>
      <w:bookmarkEnd w:id="62"/>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keepNext/>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63" w:name="_Toc392246265"/>
      <w:bookmarkStart w:id="64" w:name="_Toc421283349"/>
      <w:bookmarkStart w:id="65" w:name="_Toc421283447"/>
      <w:bookmarkStart w:id="66" w:name="_Toc433365414"/>
      <w:bookmarkStart w:id="67" w:name="_Toc435452042"/>
      <w:bookmarkStart w:id="68" w:name="_Toc435452150"/>
      <w:bookmarkStart w:id="69" w:name="_Toc435457793"/>
      <w:bookmarkStart w:id="70" w:name="_Toc457315932"/>
      <w:bookmarkStart w:id="71" w:name="_Toc457384996"/>
      <w:bookmarkStart w:id="72" w:name="_Toc457468693"/>
      <w:bookmarkStart w:id="73" w:name="_Toc468199224"/>
      <w:r>
        <w:rPr>
          <w:rStyle w:val="CharPartNo"/>
        </w:rPr>
        <w:t>Part IIIA</w:t>
      </w:r>
      <w:r>
        <w:rPr>
          <w:b w:val="0"/>
        </w:rPr>
        <w:t> </w:t>
      </w:r>
      <w:r>
        <w:t>—</w:t>
      </w:r>
      <w:r>
        <w:rPr>
          <w:b w:val="0"/>
        </w:rPr>
        <w:t> </w:t>
      </w:r>
      <w:r>
        <w:rPr>
          <w:rStyle w:val="CharPartText"/>
        </w:rPr>
        <w:t>Cannabis intervention</w:t>
      </w:r>
      <w:bookmarkEnd w:id="63"/>
      <w:bookmarkEnd w:id="64"/>
      <w:bookmarkEnd w:id="65"/>
      <w:bookmarkEnd w:id="66"/>
      <w:bookmarkEnd w:id="67"/>
      <w:bookmarkEnd w:id="68"/>
      <w:bookmarkEnd w:id="69"/>
      <w:bookmarkEnd w:id="70"/>
      <w:bookmarkEnd w:id="71"/>
      <w:bookmarkEnd w:id="72"/>
      <w:bookmarkEnd w:id="73"/>
    </w:p>
    <w:p>
      <w:pPr>
        <w:pStyle w:val="Footnoteheading"/>
      </w:pPr>
      <w:r>
        <w:tab/>
        <w:t>[Heading inserted by No. 45 of 2010 s. 6.]</w:t>
      </w:r>
    </w:p>
    <w:p>
      <w:pPr>
        <w:pStyle w:val="Heading3"/>
      </w:pPr>
      <w:bookmarkStart w:id="74" w:name="_Toc392246266"/>
      <w:bookmarkStart w:id="75" w:name="_Toc421283350"/>
      <w:bookmarkStart w:id="76" w:name="_Toc421283448"/>
      <w:bookmarkStart w:id="77" w:name="_Toc433365415"/>
      <w:bookmarkStart w:id="78" w:name="_Toc435452043"/>
      <w:bookmarkStart w:id="79" w:name="_Toc435452151"/>
      <w:bookmarkStart w:id="80" w:name="_Toc435457794"/>
      <w:bookmarkStart w:id="81" w:name="_Toc457315933"/>
      <w:bookmarkStart w:id="82" w:name="_Toc457384997"/>
      <w:bookmarkStart w:id="83" w:name="_Toc457468694"/>
      <w:bookmarkStart w:id="84" w:name="_Toc468199225"/>
      <w:r>
        <w:rPr>
          <w:rStyle w:val="CharDivNo"/>
        </w:rPr>
        <w:t>Division 1</w:t>
      </w:r>
      <w:r>
        <w:t> — </w:t>
      </w:r>
      <w:r>
        <w:rPr>
          <w:rStyle w:val="CharDivText"/>
        </w:rPr>
        <w:t>Preliminary</w:t>
      </w:r>
      <w:bookmarkEnd w:id="74"/>
      <w:bookmarkEnd w:id="75"/>
      <w:bookmarkEnd w:id="76"/>
      <w:bookmarkEnd w:id="77"/>
      <w:bookmarkEnd w:id="78"/>
      <w:bookmarkEnd w:id="79"/>
      <w:bookmarkEnd w:id="80"/>
      <w:bookmarkEnd w:id="81"/>
      <w:bookmarkEnd w:id="82"/>
      <w:bookmarkEnd w:id="83"/>
      <w:bookmarkEnd w:id="84"/>
    </w:p>
    <w:p>
      <w:pPr>
        <w:pStyle w:val="Footnoteheading"/>
      </w:pPr>
      <w:r>
        <w:tab/>
        <w:t>[Heading inserted by No. 45 of 2010 s. 6.]</w:t>
      </w:r>
    </w:p>
    <w:p>
      <w:pPr>
        <w:pStyle w:val="Heading5"/>
      </w:pPr>
      <w:bookmarkStart w:id="85" w:name="_Toc392246267"/>
      <w:bookmarkStart w:id="86" w:name="_Toc468199226"/>
      <w:bookmarkStart w:id="87" w:name="_Toc457468695"/>
      <w:r>
        <w:rPr>
          <w:rStyle w:val="CharSectno"/>
        </w:rPr>
        <w:t>8B</w:t>
      </w:r>
      <w:r>
        <w:t>.</w:t>
      </w:r>
      <w:r>
        <w:tab/>
        <w:t>Terms used</w:t>
      </w:r>
      <w:bookmarkEnd w:id="85"/>
      <w:bookmarkEnd w:id="86"/>
      <w:bookmarkEnd w:id="87"/>
    </w:p>
    <w:p>
      <w:pPr>
        <w:pStyle w:val="Subsection"/>
      </w:pPr>
      <w:r>
        <w:tab/>
        <w:t>(1)</w:t>
      </w:r>
      <w:r>
        <w:tab/>
        <w:t xml:space="preserve">In this Part — </w:t>
      </w:r>
    </w:p>
    <w:p>
      <w:pPr>
        <w:pStyle w:val="Defstart"/>
        <w:spacing w:before="60"/>
      </w:pPr>
      <w:r>
        <w:tab/>
      </w:r>
      <w:r>
        <w:rPr>
          <w:rStyle w:val="CharDefText"/>
        </w:rPr>
        <w:t>adult</w:t>
      </w:r>
      <w:r>
        <w:rPr>
          <w:szCs w:val="22"/>
        </w:rPr>
        <w:t xml:space="preserve"> means a person who is not a young person;</w:t>
      </w:r>
    </w:p>
    <w:p>
      <w:pPr>
        <w:pStyle w:val="Defstart"/>
        <w:spacing w:before="60"/>
      </w:pPr>
      <w:r>
        <w:tab/>
      </w:r>
      <w:r>
        <w:rPr>
          <w:rStyle w:val="CharDefText"/>
        </w:rPr>
        <w:t>authorised person</w:t>
      </w:r>
      <w:r>
        <w:t>, in section 8I or 8L, means a person appointed under section 8D to be an authorised person for the purposes of the section in which the term is used;</w:t>
      </w:r>
    </w:p>
    <w:p>
      <w:pPr>
        <w:pStyle w:val="Defstart"/>
        <w:spacing w:before="60"/>
      </w:pPr>
      <w:r>
        <w:tab/>
      </w:r>
      <w:r>
        <w:rPr>
          <w:rStyle w:val="CharDefText"/>
        </w:rPr>
        <w:t>cannabis intervention requirement</w:t>
      </w:r>
      <w:r>
        <w:t xml:space="preserve"> means a notice referred to in section 8F;</w:t>
      </w:r>
    </w:p>
    <w:p>
      <w:pPr>
        <w:pStyle w:val="Defstart"/>
        <w:spacing w:before="60"/>
      </w:pPr>
      <w:r>
        <w:tab/>
      </w:r>
      <w:r>
        <w:rPr>
          <w:rStyle w:val="CharDefText"/>
        </w:rPr>
        <w:t>cannabis intervention session</w:t>
      </w:r>
      <w:r>
        <w:t xml:space="preserve"> means a cannabis intervention session — </w:t>
      </w:r>
    </w:p>
    <w:p>
      <w:pPr>
        <w:pStyle w:val="Defpara"/>
        <w:spacing w:before="60"/>
      </w:pPr>
      <w:r>
        <w:tab/>
        <w:t>(a)</w:t>
      </w:r>
      <w:r>
        <w:tab/>
        <w:t>provided by a treatment provider approved under section 8J(2)(b); and</w:t>
      </w:r>
    </w:p>
    <w:p>
      <w:pPr>
        <w:pStyle w:val="Defpara"/>
        <w:spacing w:before="60"/>
      </w:pPr>
      <w:r>
        <w:tab/>
        <w:t>(b)</w:t>
      </w:r>
      <w:r>
        <w:tab/>
        <w:t>the content of which is approved under section 8J(2)(a);</w:t>
      </w:r>
    </w:p>
    <w:p>
      <w:pPr>
        <w:pStyle w:val="Defstart"/>
        <w:spacing w:before="60"/>
      </w:pPr>
      <w:r>
        <w:tab/>
      </w:r>
      <w:r>
        <w:rPr>
          <w:rStyle w:val="CharDefText"/>
        </w:rPr>
        <w:t>CEO (Health)</w:t>
      </w:r>
      <w:r>
        <w:t xml:space="preserve"> has the meaning given in section 38D(1);</w:t>
      </w:r>
    </w:p>
    <w:p>
      <w:pPr>
        <w:pStyle w:val="Defstart"/>
        <w:spacing w:before="60"/>
      </w:pPr>
      <w:r>
        <w:tab/>
      </w:r>
      <w:r>
        <w:rPr>
          <w:rStyle w:val="CharDefText"/>
        </w:rPr>
        <w:t>minor cannabis related offence</w:t>
      </w:r>
      <w:r>
        <w:t xml:space="preserve"> means — </w:t>
      </w:r>
    </w:p>
    <w:p>
      <w:pPr>
        <w:pStyle w:val="Defpara"/>
        <w:spacing w:before="60"/>
      </w:pPr>
      <w:r>
        <w:tab/>
        <w:t>(a)</w:t>
      </w:r>
      <w:r>
        <w:tab/>
        <w:t>an offence under section 5(1)(d)(i) or 7B(6) that involves cannabis; and</w:t>
      </w:r>
    </w:p>
    <w:p>
      <w:pPr>
        <w:pStyle w:val="Defpara"/>
        <w:spacing w:before="60"/>
      </w:pPr>
      <w:r>
        <w:tab/>
        <w:t>(b)</w:t>
      </w:r>
      <w:r>
        <w:tab/>
        <w:t>an offence under</w:t>
      </w:r>
      <w:r>
        <w:rPr>
          <w:i/>
        </w:rPr>
        <w:t xml:space="preserve"> </w:t>
      </w:r>
      <w:r>
        <w:t>section 6(2) that involves cannabis —</w:t>
      </w:r>
    </w:p>
    <w:p>
      <w:pPr>
        <w:pStyle w:val="Defsubpara"/>
        <w:spacing w:before="60"/>
      </w:pPr>
      <w:r>
        <w:tab/>
        <w:t>(i)</w:t>
      </w:r>
      <w:r>
        <w:tab/>
        <w:t>if the amount is not more than 10 g, or such other amount as is prescribed by the regulations; and</w:t>
      </w:r>
    </w:p>
    <w:p>
      <w:pPr>
        <w:pStyle w:val="Defsubpara"/>
        <w:spacing w:before="60"/>
      </w:pPr>
      <w:r>
        <w:tab/>
        <w:t>(ii)</w:t>
      </w:r>
      <w:r>
        <w:tab/>
        <w:t>if the offence does not involve a cannabis plant under cultivation, cannabis resin or any other cannabis derivative;</w:t>
      </w:r>
    </w:p>
    <w:p>
      <w:pPr>
        <w:pStyle w:val="Defstart"/>
        <w:spacing w:before="60"/>
      </w:pPr>
      <w:r>
        <w:tab/>
      </w:r>
      <w:r>
        <w:rPr>
          <w:rStyle w:val="CharDefText"/>
        </w:rPr>
        <w:t>police officer</w:t>
      </w:r>
      <w:r>
        <w:t xml:space="preserve"> does not include a person appointed by the Commissioner as an authorised person under section 8D;</w:t>
      </w:r>
    </w:p>
    <w:p>
      <w:pPr>
        <w:pStyle w:val="Defstart"/>
        <w:spacing w:before="60"/>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 amended by No. 56 of 2011 s. 7.]</w:t>
      </w:r>
    </w:p>
    <w:p>
      <w:pPr>
        <w:pStyle w:val="Heading5"/>
      </w:pPr>
      <w:bookmarkStart w:id="88" w:name="_Toc392246268"/>
      <w:bookmarkStart w:id="89" w:name="_Toc468199227"/>
      <w:bookmarkStart w:id="90" w:name="_Toc457468696"/>
      <w:r>
        <w:rPr>
          <w:rStyle w:val="CharSectno"/>
        </w:rPr>
        <w:t>8C</w:t>
      </w:r>
      <w:r>
        <w:t>.</w:t>
      </w:r>
      <w:r>
        <w:tab/>
        <w:t xml:space="preserve">Operation of </w:t>
      </w:r>
      <w:r>
        <w:rPr>
          <w:i/>
          <w:iCs/>
        </w:rPr>
        <w:t>Young Offenders Act 1994</w:t>
      </w:r>
      <w:r>
        <w:t xml:space="preserve"> unaffected</w:t>
      </w:r>
      <w:bookmarkEnd w:id="88"/>
      <w:bookmarkEnd w:id="89"/>
      <w:bookmarkEnd w:id="90"/>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r>
        <w:tab/>
        <w:t>[Section 8C inserted by No. 45 of 2010 s. 6.]</w:t>
      </w:r>
    </w:p>
    <w:p>
      <w:pPr>
        <w:pStyle w:val="Heading5"/>
      </w:pPr>
      <w:bookmarkStart w:id="91" w:name="_Toc392246269"/>
      <w:bookmarkStart w:id="92" w:name="_Toc468199228"/>
      <w:bookmarkStart w:id="93" w:name="_Toc457468697"/>
      <w:r>
        <w:rPr>
          <w:rStyle w:val="CharSectno"/>
        </w:rPr>
        <w:t>8D</w:t>
      </w:r>
      <w:r>
        <w:t>.</w:t>
      </w:r>
      <w:r>
        <w:tab/>
        <w:t>Appointment of authorised persons</w:t>
      </w:r>
      <w:bookmarkEnd w:id="91"/>
      <w:bookmarkEnd w:id="92"/>
      <w:bookmarkEnd w:id="93"/>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r>
        <w:tab/>
        <w:t>[Section 8D inserted by No. 45 of 2010 s. 6.]</w:t>
      </w:r>
    </w:p>
    <w:p>
      <w:pPr>
        <w:pStyle w:val="Heading3"/>
      </w:pPr>
      <w:bookmarkStart w:id="94" w:name="_Toc392246270"/>
      <w:bookmarkStart w:id="95" w:name="_Toc421283354"/>
      <w:bookmarkStart w:id="96" w:name="_Toc421283452"/>
      <w:bookmarkStart w:id="97" w:name="_Toc433365419"/>
      <w:bookmarkStart w:id="98" w:name="_Toc435452047"/>
      <w:bookmarkStart w:id="99" w:name="_Toc435452155"/>
      <w:bookmarkStart w:id="100" w:name="_Toc435457798"/>
      <w:bookmarkStart w:id="101" w:name="_Toc457315937"/>
      <w:bookmarkStart w:id="102" w:name="_Toc457385001"/>
      <w:bookmarkStart w:id="103" w:name="_Toc457468698"/>
      <w:bookmarkStart w:id="104" w:name="_Toc468199229"/>
      <w:r>
        <w:rPr>
          <w:rStyle w:val="CharDivNo"/>
        </w:rPr>
        <w:t>Division 2</w:t>
      </w:r>
      <w:r>
        <w:t> — </w:t>
      </w:r>
      <w:r>
        <w:rPr>
          <w:rStyle w:val="CharDivText"/>
        </w:rPr>
        <w:t>Cannabis intervention requirements</w:t>
      </w:r>
      <w:bookmarkEnd w:id="94"/>
      <w:bookmarkEnd w:id="95"/>
      <w:bookmarkEnd w:id="96"/>
      <w:bookmarkEnd w:id="97"/>
      <w:bookmarkEnd w:id="98"/>
      <w:bookmarkEnd w:id="99"/>
      <w:bookmarkEnd w:id="100"/>
      <w:bookmarkEnd w:id="101"/>
      <w:bookmarkEnd w:id="102"/>
      <w:bookmarkEnd w:id="103"/>
      <w:bookmarkEnd w:id="104"/>
    </w:p>
    <w:p>
      <w:pPr>
        <w:pStyle w:val="Footnoteheading"/>
      </w:pPr>
      <w:r>
        <w:tab/>
        <w:t>[Heading inserted by No. 45 of 2010 s. 6.]</w:t>
      </w:r>
    </w:p>
    <w:p>
      <w:pPr>
        <w:pStyle w:val="Heading5"/>
      </w:pPr>
      <w:bookmarkStart w:id="105" w:name="_Toc392246271"/>
      <w:bookmarkStart w:id="106" w:name="_Toc468199230"/>
      <w:bookmarkStart w:id="107" w:name="_Toc457468699"/>
      <w:r>
        <w:rPr>
          <w:rStyle w:val="CharSectno"/>
        </w:rPr>
        <w:t>8E</w:t>
      </w:r>
      <w:r>
        <w:t>.</w:t>
      </w:r>
      <w:r>
        <w:tab/>
        <w:t>CIR may be given for minor cannabis related offence</w:t>
      </w:r>
      <w:bookmarkEnd w:id="105"/>
      <w:bookmarkEnd w:id="106"/>
      <w:bookmarkEnd w:id="107"/>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r>
        <w:tab/>
        <w:t>[Section 8E inserted by No. 45 of 2010 s. 6.]</w:t>
      </w:r>
    </w:p>
    <w:p>
      <w:pPr>
        <w:pStyle w:val="Heading5"/>
      </w:pPr>
      <w:bookmarkStart w:id="108" w:name="_Toc392246272"/>
      <w:bookmarkStart w:id="109" w:name="_Toc468199231"/>
      <w:bookmarkStart w:id="110" w:name="_Toc457468700"/>
      <w:r>
        <w:rPr>
          <w:rStyle w:val="CharSectno"/>
        </w:rPr>
        <w:t>8F</w:t>
      </w:r>
      <w:r>
        <w:t>.</w:t>
      </w:r>
      <w:r>
        <w:tab/>
        <w:t>Cannabis intervention requirement</w:t>
      </w:r>
      <w:bookmarkEnd w:id="108"/>
      <w:bookmarkEnd w:id="109"/>
      <w:bookmarkEnd w:id="110"/>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spacing w:before="140"/>
      </w:pPr>
      <w:r>
        <w:tab/>
        <w:t>(2)</w:t>
      </w:r>
      <w:r>
        <w:tab/>
        <w:t>A person need only complete a single CIS for each CIR given to the person, even if the CIR is given in respect of more than one alleged offence.</w:t>
      </w:r>
    </w:p>
    <w:p>
      <w:pPr>
        <w:pStyle w:val="Footnotesection"/>
        <w:spacing w:before="100"/>
      </w:pPr>
      <w:r>
        <w:tab/>
        <w:t>[Section 8F inserted by No. 45 of 2010 s. 6.]</w:t>
      </w:r>
    </w:p>
    <w:p>
      <w:pPr>
        <w:pStyle w:val="Heading5"/>
        <w:spacing w:before="200"/>
      </w:pPr>
      <w:bookmarkStart w:id="111" w:name="_Toc392246273"/>
      <w:bookmarkStart w:id="112" w:name="_Toc468199232"/>
      <w:bookmarkStart w:id="113" w:name="_Toc457468701"/>
      <w:r>
        <w:rPr>
          <w:rStyle w:val="CharSectno"/>
        </w:rPr>
        <w:t>8G</w:t>
      </w:r>
      <w:r>
        <w:t>.</w:t>
      </w:r>
      <w:r>
        <w:tab/>
        <w:t>Young persons — special requirements about CIRs</w:t>
      </w:r>
      <w:bookmarkEnd w:id="111"/>
      <w:bookmarkEnd w:id="112"/>
      <w:bookmarkEnd w:id="113"/>
    </w:p>
    <w:p>
      <w:pPr>
        <w:pStyle w:val="Subsection"/>
        <w:spacing w:before="140"/>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spacing w:before="60"/>
      </w:pPr>
      <w:r>
        <w:tab/>
        <w:t>(a)</w:t>
      </w:r>
      <w:r>
        <w:tab/>
        <w:t>is a young person who, before the new offence was allegedly committed, had been convicted of, or given a CIR in respect of, 2 or more minor cannabis related offences; and</w:t>
      </w:r>
    </w:p>
    <w:p>
      <w:pPr>
        <w:pStyle w:val="Indenta"/>
        <w:spacing w:before="60"/>
      </w:pPr>
      <w:r>
        <w:tab/>
        <w:t>(b)</w:t>
      </w:r>
      <w:r>
        <w:tab/>
        <w:t>at least 2 of those offences arose out of separate incidents, or are alleged to have done so.</w:t>
      </w:r>
    </w:p>
    <w:p>
      <w:pPr>
        <w:pStyle w:val="Subsection"/>
        <w:spacing w:before="140"/>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spacing w:before="60"/>
      </w:pPr>
      <w:r>
        <w:tab/>
        <w:t>(a)</w:t>
      </w:r>
      <w:r>
        <w:tab/>
        <w:t>after reasonable enquiry, neither the whereabouts nor the address of a responsible adult can be ascertained; or</w:t>
      </w:r>
    </w:p>
    <w:p>
      <w:pPr>
        <w:pStyle w:val="Indenta"/>
        <w:spacing w:before="60"/>
      </w:pPr>
      <w:r>
        <w:tab/>
        <w:t>(b)</w:t>
      </w:r>
      <w:r>
        <w:tab/>
        <w:t>in the circumstances it would be inappropriate to give a responsible adult a copy of the CIR.</w:t>
      </w:r>
    </w:p>
    <w:p>
      <w:pPr>
        <w:pStyle w:val="Subsection"/>
        <w:spacing w:before="140"/>
      </w:pPr>
      <w:r>
        <w:tab/>
        <w:t>(3)</w:t>
      </w:r>
      <w:r>
        <w:tab/>
        <w:t>A young person who has been given 2 CIRs need only complete a single CIS in respect of the CIRs if both CIRs were given before the completion of the CIS.</w:t>
      </w:r>
    </w:p>
    <w:p>
      <w:pPr>
        <w:pStyle w:val="Footnotesection"/>
        <w:spacing w:before="100"/>
      </w:pPr>
      <w:r>
        <w:tab/>
        <w:t>[Section 8G inserted by No. 45 of 2010 s. 6.]</w:t>
      </w:r>
    </w:p>
    <w:p>
      <w:pPr>
        <w:pStyle w:val="Heading5"/>
        <w:spacing w:before="200"/>
      </w:pPr>
      <w:bookmarkStart w:id="114" w:name="_Toc392246274"/>
      <w:bookmarkStart w:id="115" w:name="_Toc468199233"/>
      <w:bookmarkStart w:id="116" w:name="_Toc457468702"/>
      <w:r>
        <w:rPr>
          <w:rStyle w:val="CharSectno"/>
        </w:rPr>
        <w:t>8H</w:t>
      </w:r>
      <w:r>
        <w:t>.</w:t>
      </w:r>
      <w:r>
        <w:tab/>
        <w:t>Referral of young persons at risk to juvenile justice teams</w:t>
      </w:r>
      <w:bookmarkEnd w:id="114"/>
      <w:bookmarkEnd w:id="115"/>
      <w:bookmarkEnd w:id="116"/>
    </w:p>
    <w:p>
      <w:pPr>
        <w:pStyle w:val="Subsection"/>
        <w:spacing w:before="140"/>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r>
        <w:tab/>
        <w:t>[Section 8H inserted by No. 45 of 2010 s. 6.]</w:t>
      </w:r>
    </w:p>
    <w:p>
      <w:pPr>
        <w:pStyle w:val="Heading5"/>
      </w:pPr>
      <w:bookmarkStart w:id="117" w:name="_Toc392246275"/>
      <w:bookmarkStart w:id="118" w:name="_Toc468199234"/>
      <w:bookmarkStart w:id="119" w:name="_Toc457468703"/>
      <w:r>
        <w:rPr>
          <w:rStyle w:val="CharSectno"/>
        </w:rPr>
        <w:t>8I</w:t>
      </w:r>
      <w:r>
        <w:t>.</w:t>
      </w:r>
      <w:r>
        <w:tab/>
        <w:t>Withdrawal of CIR</w:t>
      </w:r>
      <w:bookmarkEnd w:id="117"/>
      <w:bookmarkEnd w:id="118"/>
      <w:bookmarkEnd w:id="119"/>
    </w:p>
    <w:p>
      <w:pPr>
        <w:pStyle w:val="Subsection"/>
      </w:pPr>
      <w:r>
        <w:tab/>
        <w:t>(1)</w:t>
      </w:r>
      <w:r>
        <w:tab/>
        <w:t>An authorised person may withdraw a CIR by sending to the alleged offender a notice in a form prescribed by the regulations stating that the CIR has been withdrawn.</w:t>
      </w:r>
    </w:p>
    <w:p>
      <w:pPr>
        <w:pStyle w:val="Subsection"/>
      </w:pPr>
      <w:r>
        <w:tab/>
        <w:t>(2)</w:t>
      </w:r>
      <w:r>
        <w:tab/>
        <w:t>A CIR cannot be withdrawn if the alleged offender has completed a CIS in relation to the CIR.</w:t>
      </w:r>
    </w:p>
    <w:p>
      <w:pPr>
        <w:pStyle w:val="Subsection"/>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120" w:name="_Toc392246276"/>
      <w:bookmarkStart w:id="121" w:name="_Toc421283360"/>
      <w:bookmarkStart w:id="122" w:name="_Toc421283458"/>
      <w:bookmarkStart w:id="123" w:name="_Toc433365425"/>
      <w:bookmarkStart w:id="124" w:name="_Toc435452053"/>
      <w:bookmarkStart w:id="125" w:name="_Toc435452161"/>
      <w:bookmarkStart w:id="126" w:name="_Toc435457804"/>
      <w:bookmarkStart w:id="127" w:name="_Toc457315943"/>
      <w:bookmarkStart w:id="128" w:name="_Toc457385007"/>
      <w:bookmarkStart w:id="129" w:name="_Toc457468704"/>
      <w:bookmarkStart w:id="130" w:name="_Toc468199235"/>
      <w:r>
        <w:rPr>
          <w:rStyle w:val="CharDivNo"/>
        </w:rPr>
        <w:t>Division 3</w:t>
      </w:r>
      <w:r>
        <w:t> — </w:t>
      </w:r>
      <w:r>
        <w:rPr>
          <w:rStyle w:val="CharDivText"/>
        </w:rPr>
        <w:t>Cannabis intervention sessions</w:t>
      </w:r>
      <w:bookmarkEnd w:id="120"/>
      <w:bookmarkEnd w:id="121"/>
      <w:bookmarkEnd w:id="122"/>
      <w:bookmarkEnd w:id="123"/>
      <w:bookmarkEnd w:id="124"/>
      <w:bookmarkEnd w:id="125"/>
      <w:bookmarkEnd w:id="126"/>
      <w:bookmarkEnd w:id="127"/>
      <w:bookmarkEnd w:id="128"/>
      <w:bookmarkEnd w:id="129"/>
      <w:bookmarkEnd w:id="130"/>
    </w:p>
    <w:p>
      <w:pPr>
        <w:pStyle w:val="Footnoteheading"/>
        <w:keepNext/>
        <w:keepLines/>
      </w:pPr>
      <w:r>
        <w:tab/>
        <w:t>[Heading inserted by No. 45 of 2010 s. 6.]</w:t>
      </w:r>
    </w:p>
    <w:p>
      <w:pPr>
        <w:pStyle w:val="Heading5"/>
      </w:pPr>
      <w:bookmarkStart w:id="131" w:name="_Toc392246277"/>
      <w:bookmarkStart w:id="132" w:name="_Toc468199236"/>
      <w:bookmarkStart w:id="133" w:name="_Toc457468705"/>
      <w:r>
        <w:rPr>
          <w:rStyle w:val="CharSectno"/>
        </w:rPr>
        <w:t>8J</w:t>
      </w:r>
      <w:r>
        <w:t>.</w:t>
      </w:r>
      <w:r>
        <w:tab/>
        <w:t>Cannabis intervention session</w:t>
      </w:r>
      <w:bookmarkEnd w:id="131"/>
      <w:bookmarkEnd w:id="132"/>
      <w:bookmarkEnd w:id="133"/>
    </w:p>
    <w:p>
      <w:pPr>
        <w:pStyle w:val="Subsection"/>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spacing w:before="60"/>
      </w:pPr>
      <w:r>
        <w:tab/>
        <w:t>(b)</w:t>
      </w:r>
      <w:r>
        <w:tab/>
        <w:t>the laws relating to the use, possession and cultivation of cannabis; and</w:t>
      </w:r>
    </w:p>
    <w:p>
      <w:pPr>
        <w:pStyle w:val="Indenta"/>
        <w:spacing w:before="60"/>
      </w:pPr>
      <w:r>
        <w:tab/>
        <w:t>(c)</w:t>
      </w:r>
      <w:r>
        <w:tab/>
        <w:t>effective strategies to address cannabis using behaviour.</w:t>
      </w:r>
    </w:p>
    <w:p>
      <w:pPr>
        <w:pStyle w:val="Subsection"/>
      </w:pPr>
      <w:r>
        <w:tab/>
        <w:t>(2)</w:t>
      </w:r>
      <w:r>
        <w:tab/>
        <w:t>The CEO (Health) may, in writing, do any of the following —</w:t>
      </w:r>
    </w:p>
    <w:p>
      <w:pPr>
        <w:pStyle w:val="Indenta"/>
        <w:spacing w:before="60"/>
      </w:pPr>
      <w:r>
        <w:tab/>
        <w:t>(a)</w:t>
      </w:r>
      <w:r>
        <w:tab/>
        <w:t>having regard to subsection (1), approve the content of a cannabis intervention session;</w:t>
      </w:r>
    </w:p>
    <w:p>
      <w:pPr>
        <w:pStyle w:val="Indenta"/>
        <w:spacing w:before="60"/>
      </w:pPr>
      <w:r>
        <w:tab/>
        <w:t>(b)</w:t>
      </w:r>
      <w:r>
        <w:tab/>
        <w:t>approve treatment providers to provide cannabis intervention sessions;</w:t>
      </w:r>
    </w:p>
    <w:p>
      <w:pPr>
        <w:pStyle w:val="Indenta"/>
        <w:spacing w:before="60"/>
      </w:pPr>
      <w:r>
        <w:tab/>
        <w:t>(c)</w:t>
      </w:r>
      <w:r>
        <w:tab/>
        <w:t>give an approval under paragraph (b) subject to conditions to be obeyed by the treatment provider approved;</w:t>
      </w:r>
    </w:p>
    <w:p>
      <w:pPr>
        <w:pStyle w:val="Indenta"/>
        <w:spacing w:before="60"/>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134" w:name="_Toc392246278"/>
      <w:bookmarkStart w:id="135" w:name="_Toc468199237"/>
      <w:bookmarkStart w:id="136" w:name="_Toc457468706"/>
      <w:r>
        <w:rPr>
          <w:rStyle w:val="CharSectno"/>
        </w:rPr>
        <w:t>8K</w:t>
      </w:r>
      <w:r>
        <w:t>.</w:t>
      </w:r>
      <w:r>
        <w:tab/>
        <w:t>Benefit of completing CIS</w:t>
      </w:r>
      <w:bookmarkEnd w:id="134"/>
      <w:bookmarkEnd w:id="135"/>
      <w:bookmarkEnd w:id="136"/>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137" w:name="_Toc392246279"/>
      <w:bookmarkStart w:id="138" w:name="_Toc468199238"/>
      <w:bookmarkStart w:id="139" w:name="_Toc457468707"/>
      <w:r>
        <w:rPr>
          <w:rStyle w:val="CharSectno"/>
        </w:rPr>
        <w:t>8L</w:t>
      </w:r>
      <w:r>
        <w:t>.</w:t>
      </w:r>
      <w:r>
        <w:tab/>
        <w:t>Extension of time to complete CIS</w:t>
      </w:r>
      <w:bookmarkEnd w:id="137"/>
      <w:bookmarkEnd w:id="138"/>
      <w:bookmarkEnd w:id="139"/>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r>
        <w:tab/>
        <w:t>[Section 8L inserted by No. 45 of 2010 s. 6.]</w:t>
      </w:r>
    </w:p>
    <w:p>
      <w:pPr>
        <w:pStyle w:val="Heading5"/>
      </w:pPr>
      <w:bookmarkStart w:id="140" w:name="_Toc392246280"/>
      <w:bookmarkStart w:id="141" w:name="_Toc468199239"/>
      <w:bookmarkStart w:id="142" w:name="_Toc457468708"/>
      <w:r>
        <w:rPr>
          <w:rStyle w:val="CharSectno"/>
        </w:rPr>
        <w:t>8M</w:t>
      </w:r>
      <w:r>
        <w:t>.</w:t>
      </w:r>
      <w:r>
        <w:tab/>
        <w:t>Certificate of completion of CIS</w:t>
      </w:r>
      <w:bookmarkEnd w:id="140"/>
      <w:bookmarkEnd w:id="141"/>
      <w:bookmarkEnd w:id="142"/>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143" w:name="_Toc435452058"/>
      <w:bookmarkStart w:id="144" w:name="_Toc435452166"/>
      <w:bookmarkStart w:id="145" w:name="_Toc435457809"/>
      <w:bookmarkStart w:id="146" w:name="_Toc457315948"/>
      <w:bookmarkStart w:id="147" w:name="_Toc457385012"/>
      <w:bookmarkStart w:id="148" w:name="_Toc457468709"/>
      <w:bookmarkStart w:id="149" w:name="_Toc468199240"/>
      <w:bookmarkStart w:id="150" w:name="_Toc392246281"/>
      <w:bookmarkStart w:id="151" w:name="_Toc421283365"/>
      <w:bookmarkStart w:id="152" w:name="_Toc421283463"/>
      <w:bookmarkStart w:id="153" w:name="_Toc433365430"/>
      <w:r>
        <w:rPr>
          <w:rStyle w:val="CharPartNo"/>
        </w:rPr>
        <w:t>Part IIIB</w:t>
      </w:r>
      <w:r>
        <w:rPr>
          <w:rStyle w:val="CharDivNo"/>
        </w:rPr>
        <w:t> </w:t>
      </w:r>
      <w:r>
        <w:t>—</w:t>
      </w:r>
      <w:r>
        <w:rPr>
          <w:rStyle w:val="CharDivText"/>
        </w:rPr>
        <w:t> </w:t>
      </w:r>
      <w:r>
        <w:rPr>
          <w:rStyle w:val="CharPartText"/>
        </w:rPr>
        <w:t>Psychoactive substances</w:t>
      </w:r>
      <w:bookmarkEnd w:id="143"/>
      <w:bookmarkEnd w:id="144"/>
      <w:bookmarkEnd w:id="145"/>
      <w:bookmarkEnd w:id="146"/>
      <w:bookmarkEnd w:id="147"/>
      <w:bookmarkEnd w:id="148"/>
      <w:bookmarkEnd w:id="149"/>
    </w:p>
    <w:p>
      <w:pPr>
        <w:pStyle w:val="Footnoteheading"/>
      </w:pPr>
      <w:r>
        <w:tab/>
        <w:t>[Heading inserted by No. 29 of 2015 s. 4.]</w:t>
      </w:r>
    </w:p>
    <w:p>
      <w:pPr>
        <w:pStyle w:val="Heading5"/>
      </w:pPr>
      <w:bookmarkStart w:id="154" w:name="_Toc468199241"/>
      <w:bookmarkStart w:id="155" w:name="_Toc457468710"/>
      <w:r>
        <w:rPr>
          <w:rStyle w:val="CharSectno"/>
        </w:rPr>
        <w:t>8N</w:t>
      </w:r>
      <w:r>
        <w:t>.</w:t>
      </w:r>
      <w:r>
        <w:tab/>
        <w:t>Terms used</w:t>
      </w:r>
      <w:bookmarkEnd w:id="154"/>
      <w:bookmarkEnd w:id="155"/>
    </w:p>
    <w:p>
      <w:pPr>
        <w:pStyle w:val="Subsection"/>
      </w:pPr>
      <w:r>
        <w:tab/>
        <w:t>(1)</w:t>
      </w:r>
      <w:r>
        <w:tab/>
        <w:t xml:space="preserve">In this Part — </w:t>
      </w:r>
    </w:p>
    <w:p>
      <w:pPr>
        <w:pStyle w:val="Defstart"/>
      </w:pPr>
      <w:r>
        <w:tab/>
      </w:r>
      <w:r>
        <w:rPr>
          <w:rStyle w:val="CharDefText"/>
        </w:rPr>
        <w:t>Agvet Code of Western Australia</w:t>
      </w:r>
      <w:r>
        <w:t xml:space="preserve"> has the meaning given in the </w:t>
      </w:r>
      <w:r>
        <w:rPr>
          <w:i/>
        </w:rPr>
        <w:t>Agricultural and Veterinary Chemicals (Western Australia) Act 1995</w:t>
      </w:r>
      <w:r>
        <w:t>;</w:t>
      </w:r>
    </w:p>
    <w:p>
      <w:pPr>
        <w:pStyle w:val="Defstart"/>
      </w:pPr>
      <w:r>
        <w:tab/>
      </w:r>
      <w:r>
        <w:rPr>
          <w:rStyle w:val="CharDefText"/>
        </w:rPr>
        <w:t>consume</w:t>
      </w:r>
      <w:r>
        <w:t xml:space="preserve"> has the meaning given in subsection (2);</w:t>
      </w:r>
    </w:p>
    <w:p>
      <w:pPr>
        <w:pStyle w:val="Defstart"/>
      </w:pPr>
      <w:r>
        <w:tab/>
      </w:r>
      <w:r>
        <w:rPr>
          <w:rStyle w:val="CharDefText"/>
        </w:rPr>
        <w:t>manufacture</w:t>
      </w:r>
      <w:r>
        <w:t>, in relation to a psychoactive substance, means to make, prepare, produce, process (including by extracting or refining), package or label the psychoactive substance;</w:t>
      </w:r>
    </w:p>
    <w:p>
      <w:pPr>
        <w:pStyle w:val="Defstart"/>
      </w:pPr>
      <w:r>
        <w:tab/>
      </w:r>
      <w:r>
        <w:rPr>
          <w:rStyle w:val="CharDefText"/>
        </w:rPr>
        <w:t>psychoactive effect</w:t>
      </w:r>
      <w:r>
        <w:t xml:space="preserve">, in relation to a person who consumes a substance, means — </w:t>
      </w:r>
    </w:p>
    <w:p>
      <w:pPr>
        <w:pStyle w:val="Defpara"/>
      </w:pPr>
      <w:r>
        <w:tab/>
        <w:t>(a)</w:t>
      </w:r>
      <w:r>
        <w:tab/>
        <w:t>the effect of stimulating or depressing the central nervous system of the person, resulting in hallucinations or a significant disturbance in, or significant change to, motor function, thinking, behaviour, perception, awareness or mood; or</w:t>
      </w:r>
    </w:p>
    <w:p>
      <w:pPr>
        <w:pStyle w:val="Defpara"/>
      </w:pPr>
      <w:r>
        <w:tab/>
        <w:t>(b)</w:t>
      </w:r>
      <w:r>
        <w:tab/>
        <w:t>the effect of causing a state of dependence, including physical or psychological addiction;</w:t>
      </w:r>
    </w:p>
    <w:p>
      <w:pPr>
        <w:pStyle w:val="Defstart"/>
      </w:pPr>
      <w:r>
        <w:tab/>
      </w:r>
      <w:r>
        <w:rPr>
          <w:rStyle w:val="CharDefText"/>
        </w:rPr>
        <w:t>psychoactive substance</w:t>
      </w:r>
      <w:r>
        <w:t xml:space="preserve"> means any substance that, when consumed by a person, has the capacity to induce a psychoactive effect on the person;</w:t>
      </w:r>
    </w:p>
    <w:p>
      <w:pPr>
        <w:pStyle w:val="Defstart"/>
      </w:pPr>
      <w:r>
        <w:tab/>
      </w:r>
      <w:r>
        <w:rPr>
          <w:rStyle w:val="CharDefText"/>
        </w:rPr>
        <w:t>substance</w:t>
      </w:r>
      <w:r>
        <w:t xml:space="preserve"> includes a natural organism.</w:t>
      </w:r>
    </w:p>
    <w:p>
      <w:pPr>
        <w:pStyle w:val="Subsection"/>
      </w:pPr>
      <w:r>
        <w:tab/>
        <w:t>(2)</w:t>
      </w:r>
      <w:r>
        <w:tab/>
        <w:t xml:space="preserve">For this Part, a person consumes a substance if — </w:t>
      </w:r>
    </w:p>
    <w:p>
      <w:pPr>
        <w:pStyle w:val="Indenta"/>
      </w:pPr>
      <w:r>
        <w:tab/>
        <w:t>(a)</w:t>
      </w:r>
      <w:r>
        <w:tab/>
        <w:t>the substance is administered to the person, whether the person self</w:t>
      </w:r>
      <w:r>
        <w:noBreakHyphen/>
        <w:t>administers it or it is administered by another person; or</w:t>
      </w:r>
    </w:p>
    <w:p>
      <w:pPr>
        <w:pStyle w:val="Indenta"/>
      </w:pPr>
      <w:r>
        <w:tab/>
        <w:t>(b)</w:t>
      </w:r>
      <w:r>
        <w:tab/>
        <w:t>the person smokes, inhales or ingests the substance.</w:t>
      </w:r>
    </w:p>
    <w:p>
      <w:pPr>
        <w:pStyle w:val="Footnotesection"/>
      </w:pPr>
      <w:r>
        <w:tab/>
        <w:t>[Section 8N inserted by No. 29 of 2015 s. 4.]</w:t>
      </w:r>
    </w:p>
    <w:p>
      <w:pPr>
        <w:pStyle w:val="Heading5"/>
      </w:pPr>
      <w:bookmarkStart w:id="156" w:name="_Toc468199242"/>
      <w:bookmarkStart w:id="157" w:name="_Toc457468711"/>
      <w:r>
        <w:rPr>
          <w:rStyle w:val="CharSectno"/>
        </w:rPr>
        <w:t>8O</w:t>
      </w:r>
      <w:r>
        <w:t>.</w:t>
      </w:r>
      <w:r>
        <w:tab/>
        <w:t>Application of this Part to particular substances</w:t>
      </w:r>
      <w:bookmarkEnd w:id="156"/>
      <w:bookmarkEnd w:id="157"/>
    </w:p>
    <w:p>
      <w:pPr>
        <w:pStyle w:val="Subsection"/>
      </w:pPr>
      <w:r>
        <w:tab/>
        <w:t>(1)</w:t>
      </w:r>
      <w:r>
        <w:tab/>
        <w:t xml:space="preserve">This Part does not apply to any of the following — </w:t>
      </w:r>
    </w:p>
    <w:p>
      <w:pPr>
        <w:pStyle w:val="Indenta"/>
      </w:pPr>
      <w:r>
        <w:tab/>
        <w:t>(a)</w:t>
      </w:r>
      <w:r>
        <w:tab/>
        <w:t xml:space="preserve">either — </w:t>
      </w:r>
    </w:p>
    <w:p>
      <w:pPr>
        <w:pStyle w:val="Indenti"/>
      </w:pPr>
      <w:r>
        <w:tab/>
        <w:t>(i)</w:t>
      </w:r>
      <w:r>
        <w:tab/>
        <w:t xml:space="preserve">a medicine or a Schedule 9 poison as those terms are defined in the </w:t>
      </w:r>
      <w:r>
        <w:rPr>
          <w:i/>
        </w:rPr>
        <w:t>Medicines and Poisons Act 2014</w:t>
      </w:r>
      <w:r>
        <w:t xml:space="preserve"> section 3; or</w:t>
      </w:r>
    </w:p>
    <w:p>
      <w:pPr>
        <w:pStyle w:val="Indenti"/>
      </w:pPr>
      <w:r>
        <w:tab/>
        <w:t>(ii)</w:t>
      </w:r>
      <w:r>
        <w:tab/>
        <w:t xml:space="preserve">if the </w:t>
      </w:r>
      <w:r>
        <w:rPr>
          <w:i/>
        </w:rPr>
        <w:t>Medicines and Poisons Act 2014</w:t>
      </w:r>
      <w:r>
        <w:t xml:space="preserve"> section 137 has not commenced — a medicine as defined in the </w:t>
      </w:r>
      <w:r>
        <w:rPr>
          <w:i/>
        </w:rPr>
        <w:t>Poisons Act 1964</w:t>
      </w:r>
      <w:r>
        <w:t xml:space="preserve"> section 5(1) or included in Schedule 9 under the </w:t>
      </w:r>
      <w:r>
        <w:rPr>
          <w:i/>
        </w:rPr>
        <w:t>Poisons Act 1964</w:t>
      </w:r>
      <w:r>
        <w:t>;</w:t>
      </w:r>
    </w:p>
    <w:p>
      <w:pPr>
        <w:pStyle w:val="Indenta"/>
      </w:pPr>
      <w:r>
        <w:tab/>
        <w:t>(b)</w:t>
      </w:r>
      <w:r>
        <w:tab/>
        <w:t xml:space="preserve">a therapeutic good included in the Register as defined in the </w:t>
      </w:r>
      <w:r>
        <w:rPr>
          <w:i/>
        </w:rPr>
        <w:t>Therapeutic Goods Act 1989</w:t>
      </w:r>
      <w:r>
        <w:t xml:space="preserve"> (Commonwealth) section 3(1) or that is exempted from the operation of Part 3</w:t>
      </w:r>
      <w:r>
        <w:noBreakHyphen/>
        <w:t>2 of that Act by regulations made under section 18 of that Act;</w:t>
      </w:r>
    </w:p>
    <w:p>
      <w:pPr>
        <w:pStyle w:val="Indenta"/>
      </w:pPr>
      <w:r>
        <w:tab/>
        <w:t>(c)</w:t>
      </w:r>
      <w:r>
        <w:tab/>
        <w:t xml:space="preserve">a tobacco product as defined in the </w:t>
      </w:r>
      <w:r>
        <w:rPr>
          <w:i/>
        </w:rPr>
        <w:t xml:space="preserve">Tobacco Products Control Act 2006 </w:t>
      </w:r>
      <w:r>
        <w:t>Glossary;</w:t>
      </w:r>
    </w:p>
    <w:p>
      <w:pPr>
        <w:pStyle w:val="Indenta"/>
      </w:pPr>
      <w:r>
        <w:tab/>
        <w:t>(d)</w:t>
      </w:r>
      <w:r>
        <w:tab/>
        <w:t xml:space="preserve">a substance referred to in paragraph (a) or (b) of the definition of </w:t>
      </w:r>
      <w:r>
        <w:rPr>
          <w:b/>
          <w:i/>
        </w:rPr>
        <w:t>liquor</w:t>
      </w:r>
      <w:r>
        <w:t xml:space="preserve"> in the </w:t>
      </w:r>
      <w:r>
        <w:rPr>
          <w:i/>
        </w:rPr>
        <w:t xml:space="preserve">Liquor Control Act 1988 </w:t>
      </w:r>
      <w:r>
        <w:t>section 3(1);</w:t>
      </w:r>
    </w:p>
    <w:p>
      <w:pPr>
        <w:pStyle w:val="Indenta"/>
      </w:pPr>
      <w:r>
        <w:tab/>
        <w:t>(e)</w:t>
      </w:r>
      <w:r>
        <w:tab/>
        <w:t xml:space="preserve">a food as defined in the </w:t>
      </w:r>
      <w:r>
        <w:rPr>
          <w:i/>
        </w:rPr>
        <w:t>Food Act 2008</w:t>
      </w:r>
      <w:r>
        <w:t xml:space="preserve"> section 8;</w:t>
      </w:r>
    </w:p>
    <w:p>
      <w:pPr>
        <w:pStyle w:val="Indenta"/>
      </w:pPr>
      <w:r>
        <w:tab/>
        <w:t>(f)</w:t>
      </w:r>
      <w:r>
        <w:tab/>
        <w:t xml:space="preserve">a substance that is a chemical product as defined in the Agvet Code of Western Australia if — </w:t>
      </w:r>
    </w:p>
    <w:p>
      <w:pPr>
        <w:pStyle w:val="Indenti"/>
      </w:pPr>
      <w:r>
        <w:tab/>
        <w:t>(i)</w:t>
      </w:r>
      <w:r>
        <w:tab/>
        <w:t>the active constituents for the chemical product are approved under the Agvet Code of Western Australia Part 2; or</w:t>
      </w:r>
    </w:p>
    <w:p>
      <w:pPr>
        <w:pStyle w:val="Indenti"/>
      </w:pPr>
      <w:r>
        <w:tab/>
        <w:t>(ii)</w:t>
      </w:r>
      <w:r>
        <w:tab/>
        <w:t xml:space="preserve">the chemical product is registered under the Agvet Code of Western Australia Part 2; </w:t>
      </w:r>
    </w:p>
    <w:p>
      <w:pPr>
        <w:pStyle w:val="Indenta"/>
      </w:pPr>
      <w:r>
        <w:tab/>
        <w:t>(g)</w:t>
      </w:r>
      <w:r>
        <w:tab/>
        <w:t>a plant or fungus, or an extract from a plant or fungus;</w:t>
      </w:r>
    </w:p>
    <w:p>
      <w:pPr>
        <w:pStyle w:val="Indenta"/>
      </w:pPr>
      <w:r>
        <w:tab/>
        <w:t>(h)</w:t>
      </w:r>
      <w:r>
        <w:tab/>
        <w:t>a substance of a class prescribed by the regulations.</w:t>
      </w:r>
    </w:p>
    <w:p>
      <w:pPr>
        <w:pStyle w:val="Subsection"/>
      </w:pPr>
      <w:r>
        <w:tab/>
        <w:t>(2)</w:t>
      </w:r>
      <w:r>
        <w:tab/>
        <w:t>Despite subsection (1), this Part applies to a substance listed in subsection (1) if the substance contains, or has added to it, a substance that is not listed in subsection (1).</w:t>
      </w:r>
    </w:p>
    <w:p>
      <w:pPr>
        <w:pStyle w:val="Footnotesection"/>
      </w:pPr>
      <w:r>
        <w:tab/>
        <w:t>[Section 8O inserted by No. 29 of 2015 s. 4.]</w:t>
      </w:r>
    </w:p>
    <w:p>
      <w:pPr>
        <w:pStyle w:val="Heading5"/>
      </w:pPr>
      <w:bookmarkStart w:id="158" w:name="_Toc468199243"/>
      <w:bookmarkStart w:id="159" w:name="_Toc457468712"/>
      <w:r>
        <w:rPr>
          <w:rStyle w:val="CharSectno"/>
        </w:rPr>
        <w:t>8P</w:t>
      </w:r>
      <w:r>
        <w:t>.</w:t>
      </w:r>
      <w:r>
        <w:tab/>
        <w:t>Effect of representing substance as psychoactive substance</w:t>
      </w:r>
      <w:bookmarkEnd w:id="158"/>
      <w:bookmarkEnd w:id="159"/>
    </w:p>
    <w:p>
      <w:pPr>
        <w:pStyle w:val="Subsection"/>
      </w:pPr>
      <w:r>
        <w:tab/>
        <w:t>(1)</w:t>
      </w:r>
      <w:r>
        <w:tab/>
        <w:t>For the purposes of this Part, a substance that is represented in any way as being a psychoactive substance is to be taken to be a psychoactive substance.</w:t>
      </w:r>
    </w:p>
    <w:p>
      <w:pPr>
        <w:pStyle w:val="Subsection"/>
      </w:pPr>
      <w:r>
        <w:tab/>
        <w:t>(2)</w:t>
      </w:r>
      <w:r>
        <w:tab/>
        <w:t>For the purposes of this Part, a substance that is represented in any way as being a specified psychoactive substance is to be taken to be the specified psychoactive substance.</w:t>
      </w:r>
    </w:p>
    <w:p>
      <w:pPr>
        <w:pStyle w:val="Footnotesection"/>
      </w:pPr>
      <w:r>
        <w:tab/>
        <w:t>[Section 8P inserted by No. 29 of 2015 s. 4.]</w:t>
      </w:r>
    </w:p>
    <w:p>
      <w:pPr>
        <w:pStyle w:val="Heading5"/>
      </w:pPr>
      <w:bookmarkStart w:id="160" w:name="_Toc468199244"/>
      <w:bookmarkStart w:id="161" w:name="_Toc457468713"/>
      <w:r>
        <w:rPr>
          <w:rStyle w:val="CharSectno"/>
        </w:rPr>
        <w:t>8Q</w:t>
      </w:r>
      <w:r>
        <w:t>.</w:t>
      </w:r>
      <w:r>
        <w:tab/>
        <w:t>Manufacture, sale or supply of psychoactive substances</w:t>
      </w:r>
      <w:bookmarkEnd w:id="160"/>
      <w:bookmarkEnd w:id="161"/>
    </w:p>
    <w:p>
      <w:pPr>
        <w:pStyle w:val="Subsection"/>
      </w:pPr>
      <w:r>
        <w:tab/>
        <w:t>(1)</w:t>
      </w:r>
      <w:r>
        <w:tab/>
        <w:t>A person commits a simple offence if the person manufactures a psychoactive substance.</w:t>
      </w:r>
    </w:p>
    <w:p>
      <w:pPr>
        <w:pStyle w:val="Penstart"/>
      </w:pPr>
      <w:r>
        <w:tab/>
        <w:t>Penalty: a fine of $48 000 or imprisonment for 4 years or both.</w:t>
      </w:r>
    </w:p>
    <w:p>
      <w:pPr>
        <w:pStyle w:val="Subsection"/>
      </w:pPr>
      <w:r>
        <w:tab/>
        <w:t>(2)</w:t>
      </w:r>
      <w:r>
        <w:tab/>
        <w:t>A person commits a simple offence if the person sells or supplies a psychoactive substance.</w:t>
      </w:r>
    </w:p>
    <w:p>
      <w:pPr>
        <w:pStyle w:val="Penstart"/>
      </w:pPr>
      <w:r>
        <w:tab/>
        <w:t>Penalty: a fine of $48 000 or imprisonment for 4 years or both.</w:t>
      </w:r>
    </w:p>
    <w:p>
      <w:pPr>
        <w:pStyle w:val="Subsection"/>
      </w:pPr>
      <w:r>
        <w:tab/>
        <w:t>(3)</w:t>
      </w:r>
      <w:r>
        <w:tab/>
        <w:t>For the purpose of deciding whether or not a person has committed an offence under subsection (1) or (2) in relation to a substance, it is irrelevant that usage instructions concerning the substance given in any manner or form indicate that the substance is not a psychoactive substance or that it is not intended for human consumption.</w:t>
      </w:r>
    </w:p>
    <w:p>
      <w:pPr>
        <w:pStyle w:val="Footnotesection"/>
      </w:pPr>
      <w:r>
        <w:tab/>
        <w:t>[Section 8Q inserted by No. 29 of 2015 s. 4.]</w:t>
      </w:r>
    </w:p>
    <w:p>
      <w:pPr>
        <w:pStyle w:val="Heading5"/>
      </w:pPr>
      <w:bookmarkStart w:id="162" w:name="_Toc468199245"/>
      <w:bookmarkStart w:id="163" w:name="_Toc457468714"/>
      <w:r>
        <w:rPr>
          <w:rStyle w:val="CharSectno"/>
        </w:rPr>
        <w:t>8R</w:t>
      </w:r>
      <w:r>
        <w:t>.</w:t>
      </w:r>
      <w:r>
        <w:tab/>
        <w:t>Promoting psychoactive substances</w:t>
      </w:r>
      <w:bookmarkEnd w:id="162"/>
      <w:bookmarkEnd w:id="163"/>
    </w:p>
    <w:p>
      <w:pPr>
        <w:pStyle w:val="Subsection"/>
        <w:keepNext/>
      </w:pPr>
      <w:r>
        <w:tab/>
        <w:t>(1)</w:t>
      </w:r>
      <w:r>
        <w:tab/>
        <w:t xml:space="preserve">A person commits a simple offence if the person — </w:t>
      </w:r>
    </w:p>
    <w:p>
      <w:pPr>
        <w:pStyle w:val="Indenta"/>
      </w:pPr>
      <w:r>
        <w:tab/>
        <w:t>(a)</w:t>
      </w:r>
      <w:r>
        <w:tab/>
        <w:t>promotes a substance as having a psychoactive effect on a person who consumes the substance; or</w:t>
      </w:r>
    </w:p>
    <w:p>
      <w:pPr>
        <w:pStyle w:val="Indenta"/>
      </w:pPr>
      <w:r>
        <w:tab/>
        <w:t>(b)</w:t>
      </w:r>
      <w:r>
        <w:tab/>
        <w:t>provides information in any form on how or where a psychoactive substance may be acquired.</w:t>
      </w:r>
    </w:p>
    <w:p>
      <w:pPr>
        <w:pStyle w:val="Penstart"/>
      </w:pPr>
      <w:r>
        <w:tab/>
        <w:t>Penalty: a fine of $24 000 or imprisonment for 2 years or both.</w:t>
      </w:r>
    </w:p>
    <w:p>
      <w:pPr>
        <w:pStyle w:val="Subsection"/>
      </w:pPr>
      <w:r>
        <w:tab/>
        <w:t>(2)</w:t>
      </w:r>
      <w:r>
        <w:tab/>
        <w:t>For the purposes of subsection (1)(a), a person promotes a substance if the person takes any action that is intended or apparently intended to publicise or promote the substance, whether visual or auditory means are employed and whether the substance is directly depicted or referred to or symbolism of some kind is employed, including action of a kind prescribed by the regulations.</w:t>
      </w:r>
    </w:p>
    <w:p>
      <w:pPr>
        <w:pStyle w:val="Footnotesection"/>
      </w:pPr>
      <w:r>
        <w:tab/>
        <w:t>[Section 8R inserted by No. 29 of 2015 s. 4.]</w:t>
      </w:r>
    </w:p>
    <w:p>
      <w:pPr>
        <w:pStyle w:val="Heading5"/>
      </w:pPr>
      <w:bookmarkStart w:id="164" w:name="_Toc468199246"/>
      <w:bookmarkStart w:id="165" w:name="_Toc457468715"/>
      <w:r>
        <w:rPr>
          <w:rStyle w:val="CharSectno"/>
        </w:rPr>
        <w:t>8S</w:t>
      </w:r>
      <w:r>
        <w:t>.</w:t>
      </w:r>
      <w:r>
        <w:tab/>
        <w:t>Powers of police officers for purposes of this Part</w:t>
      </w:r>
      <w:bookmarkEnd w:id="164"/>
      <w:bookmarkEnd w:id="165"/>
    </w:p>
    <w:p>
      <w:pPr>
        <w:pStyle w:val="Subsection"/>
      </w:pPr>
      <w:r>
        <w:tab/>
        <w:t>(1)</w:t>
      </w:r>
      <w:r>
        <w:tab/>
        <w:t xml:space="preserve">A police officer may, for the purposes of this Part, with such assistance as the police officer considers necessary — </w:t>
      </w:r>
    </w:p>
    <w:p>
      <w:pPr>
        <w:pStyle w:val="Indenta"/>
      </w:pPr>
      <w:r>
        <w:tab/>
        <w:t>(a)</w:t>
      </w:r>
      <w:r>
        <w:tab/>
        <w:t xml:space="preserve">enter the premises (other than residential premises) of a person who is suspected on reasonable grounds of — </w:t>
      </w:r>
    </w:p>
    <w:p>
      <w:pPr>
        <w:pStyle w:val="Indenti"/>
      </w:pPr>
      <w:r>
        <w:tab/>
        <w:t>(i)</w:t>
      </w:r>
      <w:r>
        <w:tab/>
        <w:t xml:space="preserve">manufacturing, selling or supplying a psychoactive substance; or </w:t>
      </w:r>
    </w:p>
    <w:p>
      <w:pPr>
        <w:pStyle w:val="Indenti"/>
      </w:pPr>
      <w:r>
        <w:tab/>
        <w:t>(ii)</w:t>
      </w:r>
      <w:r>
        <w:tab/>
        <w:t>promoting a substance as having a psychoactive effect on a person who consumes the substance; or</w:t>
      </w:r>
    </w:p>
    <w:p>
      <w:pPr>
        <w:pStyle w:val="Indenti"/>
      </w:pPr>
      <w:r>
        <w:tab/>
        <w:t>(iii)</w:t>
      </w:r>
      <w:r>
        <w:tab/>
        <w:t>providing information on how or where a psychoactive substance may be acquired; or</w:t>
      </w:r>
    </w:p>
    <w:p>
      <w:pPr>
        <w:pStyle w:val="Indenti"/>
      </w:pPr>
      <w:r>
        <w:tab/>
        <w:t>(iv)</w:t>
      </w:r>
      <w:r>
        <w:tab/>
        <w:t>having done any of the things mentioned in subparagraph (i) to (iii);</w:t>
      </w:r>
    </w:p>
    <w:p>
      <w:pPr>
        <w:pStyle w:val="Indenta"/>
      </w:pPr>
      <w:r>
        <w:tab/>
      </w:r>
      <w:r>
        <w:tab/>
        <w:t>and</w:t>
      </w:r>
    </w:p>
    <w:p>
      <w:pPr>
        <w:pStyle w:val="Indenta"/>
      </w:pPr>
      <w:r>
        <w:tab/>
        <w:t>(b)</w:t>
      </w:r>
      <w:r>
        <w:tab/>
        <w:t>demand the production of, and inspect, any books, papers or documents relating to any of the things mentioned in paragraph (a)(i) to (iii); and</w:t>
      </w:r>
    </w:p>
    <w:p>
      <w:pPr>
        <w:pStyle w:val="Indenta"/>
      </w:pPr>
      <w:r>
        <w:tab/>
        <w:t>(c)</w:t>
      </w:r>
      <w:r>
        <w:tab/>
        <w:t>inspect any substances.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information or stocks referred to in section 22 included a reference to books, papers, documents or substances referred to in subsection (1).</w:t>
      </w:r>
    </w:p>
    <w:p>
      <w:pPr>
        <w:pStyle w:val="Subsection"/>
      </w:pPr>
      <w:r>
        <w:tab/>
        <w:t>(4)</w:t>
      </w:r>
      <w:r>
        <w:tab/>
        <w:t>The powers in subsection (1) are in addition to, and not in derogation of, the powers conferred on police officers by Part V.</w:t>
      </w:r>
    </w:p>
    <w:p>
      <w:pPr>
        <w:pStyle w:val="Footnotesection"/>
      </w:pPr>
      <w:r>
        <w:tab/>
        <w:t>[Section 8S inserted by No. 29 of 2015 s. 4.]</w:t>
      </w:r>
    </w:p>
    <w:p>
      <w:pPr>
        <w:pStyle w:val="Heading5"/>
      </w:pPr>
      <w:bookmarkStart w:id="166" w:name="_Toc468199247"/>
      <w:bookmarkStart w:id="167" w:name="_Toc457468716"/>
      <w:r>
        <w:rPr>
          <w:rStyle w:val="CharSectno"/>
        </w:rPr>
        <w:t>8T</w:t>
      </w:r>
      <w:r>
        <w:t>.</w:t>
      </w:r>
      <w:r>
        <w:tab/>
        <w:t>Powers to seize and dispose of thing suspected of being psychoactive substance</w:t>
      </w:r>
      <w:bookmarkEnd w:id="166"/>
      <w:bookmarkEnd w:id="167"/>
    </w:p>
    <w:p>
      <w:pPr>
        <w:pStyle w:val="Subsection"/>
      </w:pPr>
      <w:r>
        <w:tab/>
        <w:t>(1)</w:t>
      </w:r>
      <w:r>
        <w:tab/>
        <w:t xml:space="preserve">In this section and section 8U — </w:t>
      </w:r>
    </w:p>
    <w:p>
      <w:pPr>
        <w:pStyle w:val="Defstart"/>
      </w:pPr>
      <w:r>
        <w:tab/>
      </w:r>
      <w:r>
        <w:rPr>
          <w:rStyle w:val="CharDefText"/>
        </w:rPr>
        <w:t>destruction notice</w:t>
      </w:r>
      <w:r>
        <w:t xml:space="preserve"> means a notice that complies with subsections (4) and (5).</w:t>
      </w:r>
    </w:p>
    <w:p>
      <w:pPr>
        <w:pStyle w:val="Subsection"/>
      </w:pPr>
      <w:r>
        <w:tab/>
        <w:t>(2)</w:t>
      </w:r>
      <w:r>
        <w:tab/>
        <w:t>If there are reasonable grounds to suspect that any thing found or received during the exercise of the powers conferred by section 8S or by a search warrant is a psychoactive substance, a police officer may seize and detain the thing until it is dealt with under this section or section 8U.</w:t>
      </w:r>
    </w:p>
    <w:p>
      <w:pPr>
        <w:pStyle w:val="Subsection"/>
      </w:pPr>
      <w:r>
        <w:tab/>
        <w:t>(3)</w:t>
      </w:r>
      <w:r>
        <w:tab/>
        <w:t xml:space="preserve">A police officer must give to a person from whom a thing is seized under subsection (2) a destruction notice if — </w:t>
      </w:r>
    </w:p>
    <w:p>
      <w:pPr>
        <w:pStyle w:val="Indenta"/>
      </w:pPr>
      <w:r>
        <w:tab/>
        <w:t>(a)</w:t>
      </w:r>
      <w:r>
        <w:tab/>
        <w:t>the police officer is satisfied that no person will be tried with the commission of an offence in relation to the thing; or</w:t>
      </w:r>
    </w:p>
    <w:p>
      <w:pPr>
        <w:pStyle w:val="Indenta"/>
      </w:pPr>
      <w:r>
        <w:tab/>
        <w:t>(b)</w:t>
      </w:r>
      <w:r>
        <w:tab/>
        <w:t>a person is tried with the commission of an offence in relation to the thing and the person is not convicted of that offence.</w:t>
      </w:r>
    </w:p>
    <w:p>
      <w:pPr>
        <w:pStyle w:val="Subsection"/>
      </w:pPr>
      <w:r>
        <w:tab/>
        <w:t>(4)</w:t>
      </w:r>
      <w:r>
        <w:tab/>
        <w:t xml:space="preserve">A destruction notice must — </w:t>
      </w:r>
    </w:p>
    <w:p>
      <w:pPr>
        <w:pStyle w:val="Indenta"/>
      </w:pPr>
      <w:r>
        <w:tab/>
        <w:t>(a)</w:t>
      </w:r>
      <w:r>
        <w:tab/>
        <w:t>be in writing in the prescribed form; and</w:t>
      </w:r>
    </w:p>
    <w:p>
      <w:pPr>
        <w:pStyle w:val="Indenta"/>
      </w:pPr>
      <w:r>
        <w:tab/>
        <w:t>(b)</w:t>
      </w:r>
      <w:r>
        <w:tab/>
        <w:t>identify the thing to which it relates; and</w:t>
      </w:r>
    </w:p>
    <w:p>
      <w:pPr>
        <w:pStyle w:val="Indenta"/>
      </w:pPr>
      <w:r>
        <w:tab/>
        <w:t>(c)</w:t>
      </w:r>
      <w:r>
        <w:tab/>
        <w:t>advise that the thing will be destroyed on or after a day specified in the notice unless, before that day, an application is made under section 8U(1) to have a sample of the thing analysed.</w:t>
      </w:r>
    </w:p>
    <w:p>
      <w:pPr>
        <w:pStyle w:val="Subsection"/>
      </w:pPr>
      <w:r>
        <w:tab/>
        <w:t>(5)</w:t>
      </w:r>
      <w:r>
        <w:tab/>
        <w:t>The day referred to in subsection (4)(c) cannot be a day that is sooner than 21 days after the day the notice is given.</w:t>
      </w:r>
    </w:p>
    <w:p>
      <w:pPr>
        <w:pStyle w:val="Subsection"/>
      </w:pPr>
      <w:r>
        <w:tab/>
        <w:t>(6)</w:t>
      </w:r>
      <w:r>
        <w:tab/>
        <w:t>Subject to section 8U, a police officer may destroy a thing seized under subsection (2) on or after the day specified in a destruction notice given in relation to the thing.</w:t>
      </w:r>
    </w:p>
    <w:p>
      <w:pPr>
        <w:pStyle w:val="Footnotesection"/>
      </w:pPr>
      <w:r>
        <w:tab/>
        <w:t>[Section 8T inserted by No. 29 of 2015 s. 4.]</w:t>
      </w:r>
    </w:p>
    <w:p>
      <w:pPr>
        <w:pStyle w:val="Heading5"/>
      </w:pPr>
      <w:bookmarkStart w:id="168" w:name="_Toc468199248"/>
      <w:bookmarkStart w:id="169" w:name="_Toc457468717"/>
      <w:r>
        <w:rPr>
          <w:rStyle w:val="CharSectno"/>
        </w:rPr>
        <w:t>8U</w:t>
      </w:r>
      <w:r>
        <w:t>.</w:t>
      </w:r>
      <w:r>
        <w:tab/>
        <w:t>Analysis of seized thing may be requested</w:t>
      </w:r>
      <w:bookmarkEnd w:id="168"/>
      <w:bookmarkEnd w:id="169"/>
      <w:r>
        <w:t xml:space="preserve"> </w:t>
      </w:r>
    </w:p>
    <w:p>
      <w:pPr>
        <w:pStyle w:val="Subsection"/>
      </w:pPr>
      <w:r>
        <w:tab/>
        <w:t>(1)</w:t>
      </w:r>
      <w:r>
        <w:tab/>
        <w:t xml:space="preserve">On receipt of a destruction notice, a person may apply to the Commissioner to have a sample of the thing identified in the notice analysed by an approved analyst. </w:t>
      </w:r>
    </w:p>
    <w:p>
      <w:pPr>
        <w:pStyle w:val="Subsection"/>
      </w:pPr>
      <w:r>
        <w:tab/>
        <w:t>(2)</w:t>
      </w:r>
      <w:r>
        <w:tab/>
        <w:t xml:space="preserve">An application must be — </w:t>
      </w:r>
    </w:p>
    <w:p>
      <w:pPr>
        <w:pStyle w:val="Indenta"/>
      </w:pPr>
      <w:r>
        <w:tab/>
        <w:t>(a)</w:t>
      </w:r>
      <w:r>
        <w:tab/>
        <w:t>made in the prescribed form; and</w:t>
      </w:r>
    </w:p>
    <w:p>
      <w:pPr>
        <w:pStyle w:val="Indenta"/>
      </w:pPr>
      <w:r>
        <w:tab/>
        <w:t>(b)</w:t>
      </w:r>
      <w:r>
        <w:tab/>
        <w:t>made within 21 days of the receipt of the notice; and</w:t>
      </w:r>
    </w:p>
    <w:p>
      <w:pPr>
        <w:pStyle w:val="Indenta"/>
      </w:pPr>
      <w:r>
        <w:tab/>
        <w:t>(c)</w:t>
      </w:r>
      <w:r>
        <w:tab/>
        <w:t>accompanied by the prescribed fee.</w:t>
      </w:r>
    </w:p>
    <w:p>
      <w:pPr>
        <w:pStyle w:val="Subsection"/>
      </w:pPr>
      <w:r>
        <w:tab/>
        <w:t>(3)</w:t>
      </w:r>
      <w:r>
        <w:tab/>
        <w:t xml:space="preserve">If an application is made under subsection (1), the Commissioner must — </w:t>
      </w:r>
    </w:p>
    <w:p>
      <w:pPr>
        <w:pStyle w:val="Indenta"/>
      </w:pPr>
      <w:r>
        <w:tab/>
        <w:t>(a)</w:t>
      </w:r>
      <w:r>
        <w:tab/>
        <w:t>request an approved analyst to analyse a sample of the thing and provide the Commissioner with a report of the analysis; and</w:t>
      </w:r>
    </w:p>
    <w:p>
      <w:pPr>
        <w:pStyle w:val="Indenta"/>
      </w:pPr>
      <w:r>
        <w:tab/>
        <w:t>(b)</w:t>
      </w:r>
      <w:r>
        <w:tab/>
        <w:t>direct that the thing not be destroyed under the destruction notice.</w:t>
      </w:r>
    </w:p>
    <w:p>
      <w:pPr>
        <w:pStyle w:val="Subsection"/>
      </w:pPr>
      <w:r>
        <w:tab/>
        <w:t>(4)</w:t>
      </w:r>
      <w:r>
        <w:tab/>
        <w:t xml:space="preserve">After considering a report of the analysis of a sample of a thing provided by an approved analyst, the Commissioner must — </w:t>
      </w:r>
    </w:p>
    <w:p>
      <w:pPr>
        <w:pStyle w:val="Indenta"/>
      </w:pPr>
      <w:r>
        <w:tab/>
        <w:t>(a)</w:t>
      </w:r>
      <w:r>
        <w:tab/>
        <w:t>if the Commissioner is satisfied that the thing is a psychoactive substance — order that the thing be destroyed; or</w:t>
      </w:r>
    </w:p>
    <w:p>
      <w:pPr>
        <w:pStyle w:val="Indenta"/>
      </w:pPr>
      <w:r>
        <w:tab/>
        <w:t>(b)</w:t>
      </w:r>
      <w:r>
        <w:tab/>
        <w:t>if the Commissioner is satisfied that the thing is not a psychoactive substance but is a relevant thing as defined in section 27(6) — order that the thing be dealt with under section 27 as if it had been seized and detained under section 26; or</w:t>
      </w:r>
    </w:p>
    <w:p>
      <w:pPr>
        <w:pStyle w:val="Indenta"/>
      </w:pPr>
      <w:r>
        <w:tab/>
        <w:t>(c)</w:t>
      </w:r>
      <w:r>
        <w:tab/>
        <w:t xml:space="preserve">if the Commissioner is satisfied that the thing is not a psychoactive substance or a relevant thing — </w:t>
      </w:r>
    </w:p>
    <w:p>
      <w:pPr>
        <w:pStyle w:val="Indenti"/>
      </w:pPr>
      <w:r>
        <w:tab/>
        <w:t>(i)</w:t>
      </w:r>
      <w:r>
        <w:tab/>
        <w:t>order that the thing be released to the person from whom it was seized; and</w:t>
      </w:r>
    </w:p>
    <w:p>
      <w:pPr>
        <w:pStyle w:val="Indenti"/>
      </w:pPr>
      <w:r>
        <w:tab/>
        <w:t>(ii)</w:t>
      </w:r>
      <w:r>
        <w:tab/>
        <w:t>order that the fee paid by the applicant for a sample of the thing to be analysed be refunded to the applicant.</w:t>
      </w:r>
    </w:p>
    <w:p>
      <w:pPr>
        <w:pStyle w:val="Footnotesection"/>
      </w:pPr>
      <w:r>
        <w:tab/>
        <w:t>[Section 8U inserted by No. 29 of 2015 s. 4.]</w:t>
      </w:r>
    </w:p>
    <w:p>
      <w:pPr>
        <w:pStyle w:val="Heading2"/>
      </w:pPr>
      <w:bookmarkStart w:id="170" w:name="_Toc435452067"/>
      <w:bookmarkStart w:id="171" w:name="_Toc435452175"/>
      <w:bookmarkStart w:id="172" w:name="_Toc435457818"/>
      <w:bookmarkStart w:id="173" w:name="_Toc457315957"/>
      <w:bookmarkStart w:id="174" w:name="_Toc457385021"/>
      <w:bookmarkStart w:id="175" w:name="_Toc457468718"/>
      <w:bookmarkStart w:id="176" w:name="_Toc468199249"/>
      <w:r>
        <w:rPr>
          <w:rStyle w:val="CharPartNo"/>
        </w:rPr>
        <w:t>Part III</w:t>
      </w:r>
      <w:r>
        <w:rPr>
          <w:rStyle w:val="CharDivNo"/>
        </w:rPr>
        <w:t> </w:t>
      </w:r>
      <w:r>
        <w:t>—</w:t>
      </w:r>
      <w:r>
        <w:rPr>
          <w:rStyle w:val="CharDivText"/>
        </w:rPr>
        <w:t> </w:t>
      </w:r>
      <w:r>
        <w:rPr>
          <w:rStyle w:val="CharPartText"/>
        </w:rPr>
        <w:t>Procedure</w:t>
      </w:r>
      <w:bookmarkEnd w:id="150"/>
      <w:bookmarkEnd w:id="151"/>
      <w:bookmarkEnd w:id="152"/>
      <w:bookmarkEnd w:id="153"/>
      <w:bookmarkEnd w:id="170"/>
      <w:bookmarkEnd w:id="171"/>
      <w:bookmarkEnd w:id="172"/>
      <w:bookmarkEnd w:id="173"/>
      <w:bookmarkEnd w:id="174"/>
      <w:bookmarkEnd w:id="175"/>
      <w:bookmarkEnd w:id="176"/>
    </w:p>
    <w:p>
      <w:pPr>
        <w:pStyle w:val="Heading5"/>
        <w:spacing w:before="180"/>
      </w:pPr>
      <w:bookmarkStart w:id="177" w:name="_Toc392246282"/>
      <w:bookmarkStart w:id="178" w:name="_Toc468199250"/>
      <w:bookmarkStart w:id="179" w:name="_Toc457468719"/>
      <w:r>
        <w:rPr>
          <w:rStyle w:val="CharSectno"/>
        </w:rPr>
        <w:t>9</w:t>
      </w:r>
      <w:r>
        <w:t>.</w:t>
      </w:r>
      <w:r>
        <w:tab/>
        <w:t>Summary trial of some indictable offences</w:t>
      </w:r>
      <w:bookmarkEnd w:id="177"/>
      <w:bookmarkEnd w:id="178"/>
      <w:bookmarkEnd w:id="179"/>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180" w:name="_Toc392246283"/>
      <w:bookmarkStart w:id="181" w:name="_Toc468199251"/>
      <w:bookmarkStart w:id="182" w:name="_Toc457468720"/>
      <w:r>
        <w:rPr>
          <w:rStyle w:val="CharSectno"/>
        </w:rPr>
        <w:t>10</w:t>
      </w:r>
      <w:r>
        <w:t>.</w:t>
      </w:r>
      <w:r>
        <w:tab/>
        <w:t>Alternative verdicts</w:t>
      </w:r>
      <w:bookmarkEnd w:id="180"/>
      <w:bookmarkEnd w:id="181"/>
      <w:bookmarkEnd w:id="182"/>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183" w:name="_Toc392246284"/>
      <w:bookmarkStart w:id="184" w:name="_Toc468199252"/>
      <w:bookmarkStart w:id="185" w:name="_Toc457468721"/>
      <w:r>
        <w:rPr>
          <w:rStyle w:val="CharSectno"/>
        </w:rPr>
        <w:t>11</w:t>
      </w:r>
      <w:r>
        <w:rPr>
          <w:snapToGrid w:val="0"/>
        </w:rPr>
        <w:t>.</w:t>
      </w:r>
      <w:r>
        <w:rPr>
          <w:snapToGrid w:val="0"/>
        </w:rPr>
        <w:tab/>
        <w:t>Presumption of intent to sell or supply</w:t>
      </w:r>
      <w:bookmarkEnd w:id="183"/>
      <w:bookmarkEnd w:id="184"/>
      <w:bookmarkEnd w:id="185"/>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186" w:name="_Toc392246285"/>
      <w:bookmarkStart w:id="187" w:name="_Toc421283369"/>
      <w:bookmarkStart w:id="188" w:name="_Toc421283467"/>
      <w:bookmarkStart w:id="189" w:name="_Toc433365434"/>
      <w:bookmarkStart w:id="190" w:name="_Toc435452071"/>
      <w:bookmarkStart w:id="191" w:name="_Toc435452179"/>
      <w:bookmarkStart w:id="192" w:name="_Toc435457822"/>
      <w:bookmarkStart w:id="193" w:name="_Toc457315961"/>
      <w:bookmarkStart w:id="194" w:name="_Toc457385025"/>
      <w:bookmarkStart w:id="195" w:name="_Toc457468722"/>
      <w:bookmarkStart w:id="196" w:name="_Toc468199253"/>
      <w:r>
        <w:rPr>
          <w:rStyle w:val="CharPartNo"/>
        </w:rPr>
        <w:t>Part IV</w:t>
      </w:r>
      <w:r>
        <w:rPr>
          <w:b w:val="0"/>
        </w:rPr>
        <w:t> </w:t>
      </w:r>
      <w:r>
        <w:t>—</w:t>
      </w:r>
      <w:r>
        <w:rPr>
          <w:b w:val="0"/>
        </w:rPr>
        <w:t> </w:t>
      </w:r>
      <w:r>
        <w:rPr>
          <w:rStyle w:val="CharPartText"/>
        </w:rPr>
        <w:t>Controls relating to possession, sale, supply and storage of certain substances and things</w:t>
      </w:r>
      <w:bookmarkEnd w:id="186"/>
      <w:bookmarkEnd w:id="187"/>
      <w:bookmarkEnd w:id="188"/>
      <w:bookmarkEnd w:id="189"/>
      <w:bookmarkEnd w:id="190"/>
      <w:bookmarkEnd w:id="191"/>
      <w:bookmarkEnd w:id="192"/>
      <w:bookmarkEnd w:id="193"/>
      <w:bookmarkEnd w:id="194"/>
      <w:bookmarkEnd w:id="195"/>
      <w:bookmarkEnd w:id="196"/>
    </w:p>
    <w:p>
      <w:pPr>
        <w:pStyle w:val="Footnoteheading"/>
      </w:pPr>
      <w:r>
        <w:tab/>
        <w:t>[Heading inserted by No. 62 of 2004 s. 5.]</w:t>
      </w:r>
    </w:p>
    <w:p>
      <w:pPr>
        <w:pStyle w:val="Heading5"/>
      </w:pPr>
      <w:bookmarkStart w:id="197" w:name="_Toc392246286"/>
      <w:bookmarkStart w:id="198" w:name="_Toc468199254"/>
      <w:bookmarkStart w:id="199" w:name="_Toc457468723"/>
      <w:r>
        <w:rPr>
          <w:rStyle w:val="CharSectno"/>
        </w:rPr>
        <w:t>12</w:t>
      </w:r>
      <w:r>
        <w:t>.</w:t>
      </w:r>
      <w:r>
        <w:tab/>
        <w:t>Terms used</w:t>
      </w:r>
      <w:bookmarkEnd w:id="197"/>
      <w:bookmarkEnd w:id="198"/>
      <w:bookmarkEnd w:id="199"/>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200" w:name="_Toc392246287"/>
      <w:bookmarkStart w:id="201" w:name="_Toc468199255"/>
      <w:bookmarkStart w:id="202" w:name="_Toc457468724"/>
      <w:r>
        <w:rPr>
          <w:rStyle w:val="CharSectno"/>
        </w:rPr>
        <w:t>13</w:t>
      </w:r>
      <w:r>
        <w:t>.</w:t>
      </w:r>
      <w:r>
        <w:tab/>
        <w:t>Part not applicable to possession, sale or supply of certain substances or things</w:t>
      </w:r>
      <w:bookmarkEnd w:id="200"/>
      <w:bookmarkEnd w:id="201"/>
      <w:bookmarkEnd w:id="202"/>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203" w:name="_Toc392246288"/>
      <w:bookmarkStart w:id="204" w:name="_Toc468199256"/>
      <w:bookmarkStart w:id="205" w:name="_Toc457468725"/>
      <w:r>
        <w:rPr>
          <w:rStyle w:val="CharSectno"/>
        </w:rPr>
        <w:t>14</w:t>
      </w:r>
      <w:r>
        <w:t>.</w:t>
      </w:r>
      <w:r>
        <w:tab/>
        <w:t>Possession of certain substances or things</w:t>
      </w:r>
      <w:bookmarkEnd w:id="203"/>
      <w:bookmarkEnd w:id="204"/>
      <w:bookmarkEnd w:id="205"/>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206" w:name="_Toc392246289"/>
      <w:bookmarkStart w:id="207" w:name="_Toc468199257"/>
      <w:bookmarkStart w:id="208" w:name="_Toc457468726"/>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206"/>
      <w:bookmarkEnd w:id="207"/>
      <w:bookmarkEnd w:id="208"/>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209" w:name="_Toc392246290"/>
      <w:bookmarkStart w:id="210" w:name="_Toc468199258"/>
      <w:bookmarkStart w:id="211" w:name="_Toc457468727"/>
      <w:r>
        <w:rPr>
          <w:rStyle w:val="CharSectno"/>
        </w:rPr>
        <w:t>16</w:t>
      </w:r>
      <w:r>
        <w:t>.</w:t>
      </w:r>
      <w:r>
        <w:tab/>
        <w:t>Storage of category 1 items</w:t>
      </w:r>
      <w:bookmarkEnd w:id="209"/>
      <w:bookmarkEnd w:id="210"/>
      <w:bookmarkEnd w:id="211"/>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212" w:name="_Toc392246291"/>
      <w:bookmarkStart w:id="213" w:name="_Toc468199259"/>
      <w:bookmarkStart w:id="214" w:name="_Toc457468728"/>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212"/>
      <w:bookmarkEnd w:id="213"/>
      <w:bookmarkEnd w:id="214"/>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215" w:name="_Toc392246292"/>
      <w:bookmarkStart w:id="216" w:name="_Toc468199260"/>
      <w:bookmarkStart w:id="217" w:name="_Toc457468729"/>
      <w:r>
        <w:rPr>
          <w:rStyle w:val="CharSectno"/>
        </w:rPr>
        <w:t>18</w:t>
      </w:r>
      <w:r>
        <w:t>.</w:t>
      </w:r>
      <w:r>
        <w:tab/>
        <w:t>Offences relating to declarations under s. 15(1)(c) or 17(1)(b)</w:t>
      </w:r>
      <w:bookmarkEnd w:id="215"/>
      <w:bookmarkEnd w:id="216"/>
      <w:bookmarkEnd w:id="217"/>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Ednotesection"/>
      </w:pPr>
      <w:r>
        <w:t>[</w:t>
      </w:r>
      <w:r>
        <w:rPr>
          <w:b/>
        </w:rPr>
        <w:t>19A, 19B.</w:t>
      </w:r>
      <w:r>
        <w:tab/>
        <w:t xml:space="preserve">Deleted by No. 56 of 2011 s. 8.] </w:t>
      </w:r>
    </w:p>
    <w:p>
      <w:pPr>
        <w:pStyle w:val="Heading5"/>
      </w:pPr>
      <w:bookmarkStart w:id="218" w:name="_Toc392246293"/>
      <w:bookmarkStart w:id="219" w:name="_Toc468199261"/>
      <w:bookmarkStart w:id="220" w:name="_Toc457468730"/>
      <w:r>
        <w:rPr>
          <w:rStyle w:val="CharSectno"/>
        </w:rPr>
        <w:t>19</w:t>
      </w:r>
      <w:r>
        <w:t>.</w:t>
      </w:r>
      <w:r>
        <w:tab/>
        <w:t>Powers of police officers for purposes of this Part</w:t>
      </w:r>
      <w:bookmarkEnd w:id="218"/>
      <w:bookmarkEnd w:id="219"/>
      <w:bookmarkEnd w:id="220"/>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221" w:name="_Toc392246294"/>
      <w:bookmarkStart w:id="222" w:name="_Toc468199262"/>
      <w:bookmarkStart w:id="223" w:name="_Toc457468731"/>
      <w:r>
        <w:rPr>
          <w:rStyle w:val="CharSectno"/>
        </w:rPr>
        <w:t>20</w:t>
      </w:r>
      <w:r>
        <w:t>.</w:t>
      </w:r>
      <w:r>
        <w:tab/>
        <w:t>Regulations as to category 1 items and category 2 items</w:t>
      </w:r>
      <w:bookmarkEnd w:id="221"/>
      <w:bookmarkEnd w:id="222"/>
      <w:bookmarkEnd w:id="223"/>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224" w:name="_Toc392246295"/>
      <w:bookmarkStart w:id="225" w:name="_Toc421283379"/>
      <w:bookmarkStart w:id="226" w:name="_Toc421283477"/>
      <w:bookmarkStart w:id="227" w:name="_Toc433365444"/>
      <w:bookmarkStart w:id="228" w:name="_Toc435452081"/>
      <w:bookmarkStart w:id="229" w:name="_Toc435452189"/>
      <w:bookmarkStart w:id="230" w:name="_Toc435457832"/>
      <w:bookmarkStart w:id="231" w:name="_Toc457315971"/>
      <w:bookmarkStart w:id="232" w:name="_Toc457385035"/>
      <w:bookmarkStart w:id="233" w:name="_Toc457468732"/>
      <w:bookmarkStart w:id="234" w:name="_Toc468199263"/>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224"/>
      <w:bookmarkEnd w:id="225"/>
      <w:bookmarkEnd w:id="226"/>
      <w:bookmarkEnd w:id="227"/>
      <w:bookmarkEnd w:id="228"/>
      <w:bookmarkEnd w:id="229"/>
      <w:bookmarkEnd w:id="230"/>
      <w:bookmarkEnd w:id="231"/>
      <w:bookmarkEnd w:id="232"/>
      <w:bookmarkEnd w:id="233"/>
      <w:bookmarkEnd w:id="234"/>
    </w:p>
    <w:p>
      <w:pPr>
        <w:pStyle w:val="Heading5"/>
        <w:rPr>
          <w:snapToGrid w:val="0"/>
        </w:rPr>
      </w:pPr>
      <w:bookmarkStart w:id="235" w:name="_Toc392246296"/>
      <w:bookmarkStart w:id="236" w:name="_Toc468199264"/>
      <w:bookmarkStart w:id="237" w:name="_Toc457468733"/>
      <w:r>
        <w:rPr>
          <w:rStyle w:val="CharSectno"/>
        </w:rPr>
        <w:t>21</w:t>
      </w:r>
      <w:r>
        <w:rPr>
          <w:snapToGrid w:val="0"/>
        </w:rPr>
        <w:t>.</w:t>
      </w:r>
      <w:r>
        <w:rPr>
          <w:snapToGrid w:val="0"/>
        </w:rPr>
        <w:tab/>
        <w:t>Terms used</w:t>
      </w:r>
      <w:bookmarkEnd w:id="235"/>
      <w:bookmarkEnd w:id="236"/>
      <w:bookmarkEnd w:id="237"/>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Footnotesection"/>
      </w:pPr>
      <w:r>
        <w:tab/>
        <w:t>[Section 21 amended by No. 44 of 2010 s. 5.]</w:t>
      </w:r>
    </w:p>
    <w:p>
      <w:pPr>
        <w:pStyle w:val="Heading5"/>
        <w:rPr>
          <w:snapToGrid w:val="0"/>
        </w:rPr>
      </w:pPr>
      <w:bookmarkStart w:id="238" w:name="_Toc392246297"/>
      <w:bookmarkStart w:id="239" w:name="_Toc468199265"/>
      <w:bookmarkStart w:id="240" w:name="_Toc457468734"/>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238"/>
      <w:bookmarkEnd w:id="239"/>
      <w:bookmarkEnd w:id="240"/>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241" w:name="_Toc392246298"/>
      <w:bookmarkStart w:id="242" w:name="_Toc468199266"/>
      <w:bookmarkStart w:id="243" w:name="_Toc457468735"/>
      <w:r>
        <w:rPr>
          <w:rStyle w:val="CharSectno"/>
        </w:rPr>
        <w:t>23</w:t>
      </w:r>
      <w:r>
        <w:rPr>
          <w:snapToGrid w:val="0"/>
        </w:rPr>
        <w:t>.</w:t>
      </w:r>
      <w:r>
        <w:rPr>
          <w:snapToGrid w:val="0"/>
        </w:rPr>
        <w:tab/>
        <w:t>Powers of police officers when things suspected of being used in commission of offences</w:t>
      </w:r>
      <w:bookmarkEnd w:id="241"/>
      <w:bookmarkEnd w:id="242"/>
      <w:bookmarkEnd w:id="243"/>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244" w:name="_Toc392246299"/>
      <w:bookmarkStart w:id="245" w:name="_Toc468199267"/>
      <w:bookmarkStart w:id="246" w:name="_Toc457468736"/>
      <w:r>
        <w:rPr>
          <w:rStyle w:val="CharSectno"/>
        </w:rPr>
        <w:t>24</w:t>
      </w:r>
      <w:r>
        <w:rPr>
          <w:snapToGrid w:val="0"/>
        </w:rPr>
        <w:t>.</w:t>
      </w:r>
      <w:r>
        <w:rPr>
          <w:snapToGrid w:val="0"/>
        </w:rPr>
        <w:tab/>
        <w:t>Granting of search warrants in connection with prevention or detection of offences</w:t>
      </w:r>
      <w:bookmarkEnd w:id="244"/>
      <w:bookmarkEnd w:id="245"/>
      <w:bookmarkEnd w:id="246"/>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247" w:name="_Toc392246300"/>
      <w:bookmarkStart w:id="248" w:name="_Toc468199268"/>
      <w:bookmarkStart w:id="249" w:name="_Toc457468737"/>
      <w:r>
        <w:rPr>
          <w:rStyle w:val="CharSectno"/>
        </w:rPr>
        <w:t>25</w:t>
      </w:r>
      <w:r>
        <w:rPr>
          <w:snapToGrid w:val="0"/>
        </w:rPr>
        <w:t>.</w:t>
      </w:r>
      <w:r>
        <w:rPr>
          <w:snapToGrid w:val="0"/>
        </w:rPr>
        <w:tab/>
        <w:t>Powers ancillary to power of search</w:t>
      </w:r>
      <w:bookmarkEnd w:id="247"/>
      <w:bookmarkEnd w:id="248"/>
      <w:bookmarkEnd w:id="249"/>
    </w:p>
    <w:p>
      <w:pPr>
        <w:pStyle w:val="Subsection"/>
        <w:spacing w:before="14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4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rPr>
          <w:snapToGrid w:val="0"/>
        </w:rPr>
      </w:pPr>
      <w:bookmarkStart w:id="250" w:name="_Toc392246301"/>
      <w:bookmarkStart w:id="251" w:name="_Toc468199269"/>
      <w:bookmarkStart w:id="252" w:name="_Toc457468738"/>
      <w:r>
        <w:rPr>
          <w:rStyle w:val="CharSectno"/>
        </w:rPr>
        <w:t>26</w:t>
      </w:r>
      <w:r>
        <w:rPr>
          <w:snapToGrid w:val="0"/>
        </w:rPr>
        <w:t>.</w:t>
      </w:r>
      <w:r>
        <w:rPr>
          <w:snapToGrid w:val="0"/>
        </w:rPr>
        <w:tab/>
        <w:t>Powers of police officers and others when things suspected of being used in commission of offences found, received or acquired</w:t>
      </w:r>
      <w:bookmarkEnd w:id="250"/>
      <w:bookmarkEnd w:id="251"/>
      <w:bookmarkEnd w:id="252"/>
    </w:p>
    <w:p>
      <w:pPr>
        <w:pStyle w:val="Subsection"/>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pPr>
      <w:r>
        <w:tab/>
        <w:t>(a)</w:t>
      </w:r>
      <w:r>
        <w:tab/>
        <w:t xml:space="preserve">while he or she is an undercover officer acting in the course of an undercover operation, </w:t>
      </w:r>
      <w:r>
        <w:rPr>
          <w:snapToGrid w:val="0"/>
        </w:rPr>
        <w:t>acquires a prohibited drug or prohibited plant; or</w:t>
      </w:r>
    </w:p>
    <w:p>
      <w:pPr>
        <w:pStyle w:val="Indenta"/>
        <w:keepNext/>
        <w:rPr>
          <w:snapToGrid w:val="0"/>
        </w:rPr>
      </w:pPr>
      <w:r>
        <w:rPr>
          <w:snapToGrid w:val="0"/>
        </w:rPr>
        <w:tab/>
        <w:t>(b)</w:t>
      </w:r>
      <w:r>
        <w:rPr>
          <w:snapToGrid w:val="0"/>
        </w:rPr>
        <w:tab/>
        <w:t xml:space="preserve">acquires a prohibited drug or prohibited plant as a result of its delivery to him by </w:t>
      </w:r>
      <w:r>
        <w:t>an undercover officer</w:t>
      </w:r>
      <w:r>
        <w:rPr>
          <w:snapToGrid w:val="0"/>
        </w:rPr>
        <w:t xml:space="preserve">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Footnotesection"/>
        <w:ind w:left="890" w:hanging="890"/>
      </w:pPr>
      <w:r>
        <w:tab/>
        <w:t>[Section 26 amended by No. 50 of 1990 s. 7; No. 44 of 1995 s. 6; No. 44 of 2010 s. 6; No. 55 of 2012 s. 119.]</w:t>
      </w:r>
    </w:p>
    <w:p>
      <w:pPr>
        <w:pStyle w:val="Heading5"/>
        <w:rPr>
          <w:snapToGrid w:val="0"/>
        </w:rPr>
      </w:pPr>
      <w:bookmarkStart w:id="253" w:name="_Toc392246302"/>
      <w:bookmarkStart w:id="254" w:name="_Toc468199270"/>
      <w:bookmarkStart w:id="255" w:name="_Toc457468739"/>
      <w:r>
        <w:rPr>
          <w:rStyle w:val="CharSectno"/>
        </w:rPr>
        <w:t>26A</w:t>
      </w:r>
      <w:r>
        <w:rPr>
          <w:snapToGrid w:val="0"/>
        </w:rPr>
        <w:t>.</w:t>
      </w:r>
      <w:r>
        <w:rPr>
          <w:snapToGrid w:val="0"/>
        </w:rPr>
        <w:tab/>
        <w:t>Powers of approved analyst or approved botanist</w:t>
      </w:r>
      <w:bookmarkEnd w:id="253"/>
      <w:bookmarkEnd w:id="254"/>
      <w:bookmarkEnd w:id="255"/>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256" w:name="_Toc392246303"/>
      <w:bookmarkStart w:id="257" w:name="_Toc468199271"/>
      <w:bookmarkStart w:id="258" w:name="_Toc457468740"/>
      <w:r>
        <w:rPr>
          <w:rStyle w:val="CharSectno"/>
        </w:rPr>
        <w:t>27</w:t>
      </w:r>
      <w:r>
        <w:rPr>
          <w:snapToGrid w:val="0"/>
        </w:rPr>
        <w:t>.</w:t>
      </w:r>
      <w:r>
        <w:rPr>
          <w:snapToGrid w:val="0"/>
        </w:rPr>
        <w:tab/>
        <w:t>Disposal of prohibited drugs and prohibited plants</w:t>
      </w:r>
      <w:bookmarkEnd w:id="256"/>
      <w:bookmarkEnd w:id="257"/>
      <w:bookmarkEnd w:id="258"/>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w:t>
      </w:r>
      <w:r>
        <w:t>relevant thing</w:t>
      </w:r>
      <w:r>
        <w:rPr>
          <w:snapToGrid w:val="0"/>
        </w:rPr>
        <w:t xml:space="preserve">, release that </w:t>
      </w:r>
      <w:r>
        <w:t>relevant thing</w:t>
      </w:r>
      <w:r>
        <w:rPr>
          <w:snapToGrid w:val="0"/>
        </w:rPr>
        <w:t xml:space="preserv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pPr>
      <w:r>
        <w:tab/>
        <w:t>(i)</w:t>
      </w:r>
      <w:r>
        <w:tab/>
        <w:t>analysis or examination by an approved analyst or an approved botanist; and</w:t>
      </w:r>
    </w:p>
    <w:p>
      <w:pPr>
        <w:pStyle w:val="Defsubpara"/>
      </w:pPr>
      <w:r>
        <w:tab/>
        <w:t>(ii)</w:t>
      </w:r>
      <w:r>
        <w:tab/>
        <w:t>any further analysis or examination that might be required under section 27A.</w:t>
      </w:r>
    </w:p>
    <w:p>
      <w:pPr>
        <w:pStyle w:val="Footnotesection"/>
        <w:ind w:left="890" w:hanging="890"/>
      </w:pPr>
      <w:r>
        <w:tab/>
        <w:t>[Section 27 amended by No. 44 of 1995 s. 8; No. 44 of 2010 s. 7.]</w:t>
      </w:r>
    </w:p>
    <w:p>
      <w:pPr>
        <w:pStyle w:val="Heading5"/>
        <w:rPr>
          <w:snapToGrid w:val="0"/>
        </w:rPr>
      </w:pPr>
      <w:bookmarkStart w:id="259" w:name="_Toc392246304"/>
      <w:bookmarkStart w:id="260" w:name="_Toc468199272"/>
      <w:bookmarkStart w:id="261" w:name="_Toc457468741"/>
      <w:r>
        <w:rPr>
          <w:rStyle w:val="CharSectno"/>
        </w:rPr>
        <w:t>27A</w:t>
      </w:r>
      <w:r>
        <w:rPr>
          <w:snapToGrid w:val="0"/>
        </w:rPr>
        <w:t xml:space="preserve">. </w:t>
      </w:r>
      <w:r>
        <w:rPr>
          <w:snapToGrid w:val="0"/>
        </w:rPr>
        <w:tab/>
        <w:t>Analysis at request of accused</w:t>
      </w:r>
      <w:bookmarkEnd w:id="259"/>
      <w:bookmarkEnd w:id="260"/>
      <w:bookmarkEnd w:id="261"/>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262" w:name="_Toc392246305"/>
      <w:bookmarkStart w:id="263" w:name="_Toc468199273"/>
      <w:bookmarkStart w:id="264" w:name="_Toc457468742"/>
      <w:r>
        <w:rPr>
          <w:rStyle w:val="CharSectno"/>
        </w:rPr>
        <w:t>27B</w:t>
      </w:r>
      <w:r>
        <w:rPr>
          <w:snapToGrid w:val="0"/>
        </w:rPr>
        <w:t xml:space="preserve">. </w:t>
      </w:r>
      <w:r>
        <w:rPr>
          <w:snapToGrid w:val="0"/>
        </w:rPr>
        <w:tab/>
        <w:t>Confidentiality</w:t>
      </w:r>
      <w:bookmarkEnd w:id="262"/>
      <w:bookmarkEnd w:id="263"/>
      <w:bookmarkEnd w:id="264"/>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265" w:name="_Toc392246306"/>
      <w:bookmarkStart w:id="266" w:name="_Toc468199274"/>
      <w:bookmarkStart w:id="267" w:name="_Toc457468743"/>
      <w:r>
        <w:rPr>
          <w:rStyle w:val="CharSectno"/>
        </w:rPr>
        <w:t>28</w:t>
      </w:r>
      <w:r>
        <w:t>.</w:t>
      </w:r>
      <w:r>
        <w:tab/>
        <w:t>Compensation for destroyed seized property</w:t>
      </w:r>
      <w:bookmarkEnd w:id="265"/>
      <w:bookmarkEnd w:id="266"/>
      <w:bookmarkEnd w:id="267"/>
    </w:p>
    <w:p>
      <w:pPr>
        <w:pStyle w:val="Subsection"/>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268" w:name="_Toc392246307"/>
      <w:bookmarkStart w:id="269" w:name="_Toc468199275"/>
      <w:bookmarkStart w:id="270" w:name="_Toc457468744"/>
      <w:r>
        <w:rPr>
          <w:rStyle w:val="CharSectno"/>
        </w:rPr>
        <w:t>29</w:t>
      </w:r>
      <w:r>
        <w:rPr>
          <w:snapToGrid w:val="0"/>
        </w:rPr>
        <w:t>.</w:t>
      </w:r>
      <w:r>
        <w:rPr>
          <w:snapToGrid w:val="0"/>
        </w:rPr>
        <w:tab/>
        <w:t>Hindering police officers and approved persons in exercise of powers conferred by or under this Part</w:t>
      </w:r>
      <w:bookmarkEnd w:id="268"/>
      <w:bookmarkEnd w:id="269"/>
      <w:bookmarkEnd w:id="270"/>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271" w:name="_Toc392246308"/>
      <w:bookmarkStart w:id="272" w:name="_Toc468199276"/>
      <w:bookmarkStart w:id="273" w:name="_Toc457468745"/>
      <w:r>
        <w:rPr>
          <w:rStyle w:val="CharSectno"/>
        </w:rPr>
        <w:t>30</w:t>
      </w:r>
      <w:r>
        <w:rPr>
          <w:snapToGrid w:val="0"/>
        </w:rPr>
        <w:t>.</w:t>
      </w:r>
      <w:r>
        <w:rPr>
          <w:snapToGrid w:val="0"/>
        </w:rPr>
        <w:tab/>
        <w:t>Approved persons</w:t>
      </w:r>
      <w:bookmarkEnd w:id="271"/>
      <w:bookmarkEnd w:id="272"/>
      <w:bookmarkEnd w:id="273"/>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274" w:name="_Toc392246309"/>
      <w:bookmarkStart w:id="275" w:name="_Toc421283393"/>
      <w:bookmarkStart w:id="276" w:name="_Toc421283491"/>
      <w:bookmarkStart w:id="277" w:name="_Toc433365458"/>
      <w:bookmarkStart w:id="278" w:name="_Toc435452095"/>
      <w:bookmarkStart w:id="279" w:name="_Toc435452203"/>
      <w:bookmarkStart w:id="280" w:name="_Toc435457846"/>
      <w:bookmarkStart w:id="281" w:name="_Toc457315985"/>
      <w:bookmarkStart w:id="282" w:name="_Toc457385049"/>
      <w:bookmarkStart w:id="283" w:name="_Toc457468746"/>
      <w:bookmarkStart w:id="284" w:name="_Toc468199277"/>
      <w:r>
        <w:rPr>
          <w:rStyle w:val="CharPartNo"/>
        </w:rPr>
        <w:t>Part VI</w:t>
      </w:r>
      <w:r>
        <w:rPr>
          <w:rStyle w:val="CharDivNo"/>
        </w:rPr>
        <w:t> </w:t>
      </w:r>
      <w:r>
        <w:t>—</w:t>
      </w:r>
      <w:r>
        <w:rPr>
          <w:rStyle w:val="CharDivText"/>
        </w:rPr>
        <w:t> </w:t>
      </w:r>
      <w:r>
        <w:rPr>
          <w:rStyle w:val="CharPartText"/>
        </w:rPr>
        <w:t>General</w:t>
      </w:r>
      <w:bookmarkEnd w:id="274"/>
      <w:bookmarkEnd w:id="275"/>
      <w:bookmarkEnd w:id="276"/>
      <w:bookmarkEnd w:id="277"/>
      <w:bookmarkEnd w:id="278"/>
      <w:bookmarkEnd w:id="279"/>
      <w:bookmarkEnd w:id="280"/>
      <w:bookmarkEnd w:id="281"/>
      <w:bookmarkEnd w:id="282"/>
      <w:bookmarkEnd w:id="283"/>
      <w:bookmarkEnd w:id="284"/>
    </w:p>
    <w:p>
      <w:pPr>
        <w:pStyle w:val="Heading5"/>
      </w:pPr>
      <w:bookmarkStart w:id="285" w:name="_Toc392246310"/>
      <w:bookmarkStart w:id="286" w:name="_Toc468199278"/>
      <w:bookmarkStart w:id="287" w:name="_Toc457468747"/>
      <w:r>
        <w:rPr>
          <w:rStyle w:val="CharSectno"/>
        </w:rPr>
        <w:t>31</w:t>
      </w:r>
      <w:r>
        <w:t>.</w:t>
      </w:r>
      <w:r>
        <w:tab/>
        <w:t>Undercover officers</w:t>
      </w:r>
      <w:bookmarkEnd w:id="285"/>
      <w:bookmarkEnd w:id="286"/>
      <w:bookmarkEnd w:id="287"/>
    </w:p>
    <w:p>
      <w:pPr>
        <w:pStyle w:val="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Footnotesection"/>
        <w:ind w:left="890" w:hanging="890"/>
      </w:pPr>
      <w:r>
        <w:tab/>
        <w:t>[Section 31 inserted by No. 55 of 2012 s. 120.]</w:t>
      </w:r>
    </w:p>
    <w:p>
      <w:pPr>
        <w:pStyle w:val="Heading5"/>
        <w:rPr>
          <w:snapToGrid w:val="0"/>
        </w:rPr>
      </w:pPr>
      <w:bookmarkStart w:id="288" w:name="_Toc392246311"/>
      <w:bookmarkStart w:id="289" w:name="_Toc468199279"/>
      <w:bookmarkStart w:id="290" w:name="_Toc457468748"/>
      <w:r>
        <w:rPr>
          <w:rStyle w:val="CharSectno"/>
        </w:rPr>
        <w:t>32</w:t>
      </w:r>
      <w:r>
        <w:rPr>
          <w:snapToGrid w:val="0"/>
        </w:rPr>
        <w:t>.</w:t>
      </w:r>
      <w:r>
        <w:rPr>
          <w:snapToGrid w:val="0"/>
        </w:rPr>
        <w:tab/>
        <w:t>No limitation</w:t>
      </w:r>
      <w:bookmarkEnd w:id="288"/>
      <w:bookmarkEnd w:id="289"/>
      <w:bookmarkEnd w:id="290"/>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291" w:name="_Toc392246312"/>
      <w:bookmarkStart w:id="292" w:name="_Toc468199280"/>
      <w:bookmarkStart w:id="293" w:name="_Toc457468749"/>
      <w:r>
        <w:rPr>
          <w:rStyle w:val="CharSectno"/>
        </w:rPr>
        <w:t>32A</w:t>
      </w:r>
      <w:r>
        <w:rPr>
          <w:snapToGrid w:val="0"/>
        </w:rPr>
        <w:t xml:space="preserve">. </w:t>
      </w:r>
      <w:r>
        <w:rPr>
          <w:snapToGrid w:val="0"/>
        </w:rPr>
        <w:tab/>
        <w:t>Drug trafficking</w:t>
      </w:r>
      <w:bookmarkEnd w:id="291"/>
      <w:bookmarkEnd w:id="292"/>
      <w:bookmarkEnd w:id="293"/>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w:t>
      </w:r>
      <w:r>
        <w:t xml:space="preserve"> belong;</w:t>
      </w: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w:t>
      </w:r>
      <w:r>
        <w:t xml:space="preserve">or the relevant drug offence referred to in paragraph (c), </w:t>
      </w:r>
      <w:r>
        <w:rPr>
          <w:snapToGrid w:val="0"/>
        </w:rPr>
        <w:t xml:space="preserve">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 No. 49 of 2012 s. 179.]</w:t>
      </w:r>
    </w:p>
    <w:p>
      <w:pPr>
        <w:pStyle w:val="Heading5"/>
        <w:rPr>
          <w:snapToGrid w:val="0"/>
        </w:rPr>
      </w:pPr>
      <w:bookmarkStart w:id="294" w:name="_Toc392246313"/>
      <w:bookmarkStart w:id="295" w:name="_Toc468199281"/>
      <w:bookmarkStart w:id="296" w:name="_Toc457468750"/>
      <w:r>
        <w:rPr>
          <w:rStyle w:val="CharSectno"/>
        </w:rPr>
        <w:t>33</w:t>
      </w:r>
      <w:r>
        <w:rPr>
          <w:snapToGrid w:val="0"/>
        </w:rPr>
        <w:t>.</w:t>
      </w:r>
      <w:r>
        <w:rPr>
          <w:snapToGrid w:val="0"/>
        </w:rPr>
        <w:tab/>
        <w:t>Attempts, conspiracies, incitements and accessories after the fact</w:t>
      </w:r>
      <w:bookmarkEnd w:id="294"/>
      <w:bookmarkEnd w:id="295"/>
      <w:bookmarkEnd w:id="296"/>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w:t>
      </w:r>
      <w:r>
        <w:t xml:space="preserve"> the </w:t>
      </w:r>
      <w:r>
        <w:rPr>
          <w:rStyle w:val="CharDefText"/>
        </w:rPr>
        <w:t>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297" w:name="_Toc392246314"/>
      <w:bookmarkStart w:id="298" w:name="_Toc468199282"/>
      <w:bookmarkStart w:id="299" w:name="_Toc457468751"/>
      <w:r>
        <w:rPr>
          <w:rStyle w:val="CharSectno"/>
        </w:rPr>
        <w:t>34</w:t>
      </w:r>
      <w:r>
        <w:rPr>
          <w:snapToGrid w:val="0"/>
        </w:rPr>
        <w:t>.</w:t>
      </w:r>
      <w:r>
        <w:rPr>
          <w:snapToGrid w:val="0"/>
        </w:rPr>
        <w:tab/>
        <w:t>Penalties</w:t>
      </w:r>
      <w:bookmarkEnd w:id="297"/>
      <w:bookmarkEnd w:id="298"/>
      <w:bookmarkEnd w:id="299"/>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 or</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simple offence under section 5(1) (other than a simple offence under section 5(1)(e)), 8, 25(2) or 29 is liable to a fine not exceeding $3 000 or to imprisonment for a term not exceeding 3 years or both; or</w:t>
      </w:r>
    </w:p>
    <w:p>
      <w:pPr>
        <w:pStyle w:val="Indenta"/>
      </w:pPr>
      <w:r>
        <w:rPr>
          <w:snapToGrid w:val="0"/>
        </w:rPr>
        <w:tab/>
        <w:t>(e)</w:t>
      </w:r>
      <w:r>
        <w:rPr>
          <w:snapToGrid w:val="0"/>
        </w:rPr>
        <w:tab/>
        <w:t xml:space="preserve">a simple offence under section 5(1)(e), 6(2), 7(2), 7A(3) </w:t>
      </w:r>
      <w:r>
        <w:t xml:space="preserve">or 31(1) </w:t>
      </w:r>
      <w:r>
        <w:rPr>
          <w:snapToGrid w:val="0"/>
        </w:rPr>
        <w:t>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spacing w:before="70"/>
        <w:rPr>
          <w:snapToGrid w:val="0"/>
        </w:rPr>
      </w:pPr>
      <w:r>
        <w:rPr>
          <w:snapToGrid w:val="0"/>
        </w:rPr>
        <w:tab/>
        <w:t>(a)</w:t>
      </w:r>
      <w:r>
        <w:rPr>
          <w:snapToGrid w:val="0"/>
        </w:rPr>
        <w:tab/>
        <w:t>being a crime — </w:t>
      </w:r>
    </w:p>
    <w:p>
      <w:pPr>
        <w:pStyle w:val="Indenti"/>
        <w:spacing w:before="70"/>
        <w:rPr>
          <w:snapToGrid w:val="0"/>
        </w:rPr>
      </w:pPr>
      <w:r>
        <w:rPr>
          <w:snapToGrid w:val="0"/>
        </w:rPr>
        <w:tab/>
        <w:t>(i)</w:t>
      </w:r>
      <w:r>
        <w:rPr>
          <w:snapToGrid w:val="0"/>
        </w:rPr>
        <w:tab/>
        <w:t>relating only to cannabis; and</w:t>
      </w:r>
    </w:p>
    <w:p>
      <w:pPr>
        <w:pStyle w:val="Indenti"/>
        <w:spacing w:before="70"/>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spacing w:before="70"/>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spacing w:before="70"/>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referred to in subsection (1)(a)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spacing w:before="70"/>
      </w:pPr>
      <w:r>
        <w:tab/>
        <w:t>(a)</w:t>
      </w:r>
      <w:r>
        <w:tab/>
        <w:t>for a first offence the court must use one of only these sentencing options —</w:t>
      </w:r>
    </w:p>
    <w:p>
      <w:pPr>
        <w:pStyle w:val="Indenti"/>
        <w:spacing w:before="70"/>
      </w:pPr>
      <w:r>
        <w:tab/>
        <w:t>(i)</w:t>
      </w:r>
      <w:r>
        <w:tab/>
        <w:t xml:space="preserve">suspended imprisonment imposed under the </w:t>
      </w:r>
      <w:r>
        <w:rPr>
          <w:i/>
        </w:rPr>
        <w:t>Sentencing Act 1995</w:t>
      </w:r>
      <w:r>
        <w:t xml:space="preserve"> section 39 and Part 11;</w:t>
      </w:r>
    </w:p>
    <w:p>
      <w:pPr>
        <w:pStyle w:val="Indenti"/>
        <w:spacing w:before="70"/>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by No. 44 of 1995 s. 12; No. 52 of 2003 s. 31; No. 4 of 2004 s. 58; No. 62 of 2004 s. 6; No. 56 of 2011 s. 9; No. 55 of 2012 s. 121.]</w:t>
      </w:r>
    </w:p>
    <w:p>
      <w:pPr>
        <w:pStyle w:val="Heading5"/>
        <w:rPr>
          <w:snapToGrid w:val="0"/>
        </w:rPr>
      </w:pPr>
      <w:bookmarkStart w:id="300" w:name="_Toc392246315"/>
      <w:bookmarkStart w:id="301" w:name="_Toc468199283"/>
      <w:bookmarkStart w:id="302" w:name="_Toc457468752"/>
      <w:r>
        <w:rPr>
          <w:rStyle w:val="CharSectno"/>
        </w:rPr>
        <w:t>35</w:t>
      </w:r>
      <w:r>
        <w:rPr>
          <w:snapToGrid w:val="0"/>
        </w:rPr>
        <w:t>.</w:t>
      </w:r>
      <w:r>
        <w:rPr>
          <w:snapToGrid w:val="0"/>
        </w:rPr>
        <w:tab/>
        <w:t>Criminal liability of company officers</w:t>
      </w:r>
      <w:bookmarkEnd w:id="300"/>
      <w:bookmarkEnd w:id="301"/>
      <w:bookmarkEnd w:id="302"/>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303" w:name="_Toc392246316"/>
      <w:bookmarkStart w:id="304" w:name="_Toc468199284"/>
      <w:bookmarkStart w:id="305" w:name="_Toc457468753"/>
      <w:r>
        <w:rPr>
          <w:rStyle w:val="CharSectno"/>
        </w:rPr>
        <w:t>37</w:t>
      </w:r>
      <w:r>
        <w:rPr>
          <w:snapToGrid w:val="0"/>
        </w:rPr>
        <w:t>.</w:t>
      </w:r>
      <w:r>
        <w:rPr>
          <w:snapToGrid w:val="0"/>
        </w:rPr>
        <w:tab/>
        <w:t>Proof of exceptions</w:t>
      </w:r>
      <w:bookmarkEnd w:id="303"/>
      <w:bookmarkEnd w:id="304"/>
      <w:bookmarkEnd w:id="305"/>
    </w:p>
    <w:p>
      <w:pPr>
        <w:pStyle w:val="Subsection"/>
        <w:spacing w:before="140"/>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306" w:name="_Toc392246317"/>
      <w:bookmarkStart w:id="307" w:name="_Toc468199285"/>
      <w:bookmarkStart w:id="308" w:name="_Toc457468754"/>
      <w:r>
        <w:rPr>
          <w:rStyle w:val="CharSectno"/>
        </w:rPr>
        <w:t>38</w:t>
      </w:r>
      <w:r>
        <w:rPr>
          <w:snapToGrid w:val="0"/>
        </w:rPr>
        <w:t>.</w:t>
      </w:r>
      <w:r>
        <w:rPr>
          <w:snapToGrid w:val="0"/>
        </w:rPr>
        <w:tab/>
        <w:t>Certificate of approved analyst or approved botanist</w:t>
      </w:r>
      <w:bookmarkEnd w:id="306"/>
      <w:bookmarkEnd w:id="307"/>
      <w:bookmarkEnd w:id="308"/>
      <w:r>
        <w:rPr>
          <w:snapToGrid w:val="0"/>
        </w:rPr>
        <w:t xml:space="preserve"> </w:t>
      </w:r>
    </w:p>
    <w:p>
      <w:pPr>
        <w:pStyle w:val="Subsection"/>
        <w:spacing w:before="140"/>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spacing w:before="140"/>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spacing w:before="60"/>
        <w:rPr>
          <w:snapToGrid w:val="0"/>
        </w:rPr>
      </w:pPr>
      <w:r>
        <w:rPr>
          <w:snapToGrid w:val="0"/>
        </w:rPr>
        <w:tab/>
        <w:t>(a)</w:t>
      </w:r>
      <w:r>
        <w:rPr>
          <w:snapToGrid w:val="0"/>
        </w:rPr>
        <w:tab/>
        <w:t>that the thing was obtained or received by the analyst or botanist for analysis or examination; and</w:t>
      </w:r>
    </w:p>
    <w:p>
      <w:pPr>
        <w:pStyle w:val="Indenta"/>
        <w:spacing w:before="60"/>
        <w:rPr>
          <w:snapToGrid w:val="0"/>
        </w:rPr>
      </w:pPr>
      <w:r>
        <w:rPr>
          <w:snapToGrid w:val="0"/>
        </w:rPr>
        <w:tab/>
        <w:t>(b)</w:t>
      </w:r>
      <w:r>
        <w:rPr>
          <w:snapToGrid w:val="0"/>
        </w:rPr>
        <w:tab/>
        <w:t>how the thing was obtained, or when and from whom the thing was received; and</w:t>
      </w:r>
    </w:p>
    <w:p>
      <w:pPr>
        <w:pStyle w:val="Indenta"/>
        <w:spacing w:before="60"/>
        <w:rPr>
          <w:snapToGrid w:val="0"/>
        </w:rPr>
      </w:pPr>
      <w:r>
        <w:rPr>
          <w:snapToGrid w:val="0"/>
        </w:rPr>
        <w:tab/>
        <w:t>(c)</w:t>
      </w:r>
      <w:r>
        <w:rPr>
          <w:snapToGrid w:val="0"/>
        </w:rPr>
        <w:tab/>
        <w:t>a description, and the quantity or mass, of the thing obtained or received; and</w:t>
      </w:r>
    </w:p>
    <w:p>
      <w:pPr>
        <w:pStyle w:val="Indenta"/>
        <w:spacing w:before="60"/>
        <w:rPr>
          <w:snapToGrid w:val="0"/>
        </w:rPr>
      </w:pPr>
      <w:r>
        <w:rPr>
          <w:snapToGrid w:val="0"/>
        </w:rPr>
        <w:tab/>
        <w:t>(d)</w:t>
      </w:r>
      <w:r>
        <w:rPr>
          <w:snapToGrid w:val="0"/>
        </w:rPr>
        <w:tab/>
        <w:t>that the thing was analysed or examined by the analyst or botanist; and</w:t>
      </w:r>
    </w:p>
    <w:p>
      <w:pPr>
        <w:pStyle w:val="Indenta"/>
        <w:spacing w:before="60"/>
        <w:rPr>
          <w:snapToGrid w:val="0"/>
        </w:rPr>
      </w:pPr>
      <w:r>
        <w:rPr>
          <w:snapToGrid w:val="0"/>
        </w:rPr>
        <w:tab/>
        <w:t>(e)</w:t>
      </w:r>
      <w:r>
        <w:rPr>
          <w:snapToGrid w:val="0"/>
        </w:rPr>
        <w:tab/>
        <w:t>the method of analysis or examination; and</w:t>
      </w:r>
    </w:p>
    <w:p>
      <w:pPr>
        <w:pStyle w:val="Indenta"/>
        <w:spacing w:before="60"/>
        <w:rPr>
          <w:snapToGrid w:val="0"/>
        </w:rPr>
      </w:pPr>
      <w:r>
        <w:rPr>
          <w:snapToGrid w:val="0"/>
        </w:rPr>
        <w:tab/>
        <w:t>(f)</w:t>
      </w:r>
      <w:r>
        <w:rPr>
          <w:snapToGrid w:val="0"/>
        </w:rPr>
        <w:tab/>
        <w:t>the results of the analysis or examination; and</w:t>
      </w:r>
    </w:p>
    <w:p>
      <w:pPr>
        <w:pStyle w:val="Indenta"/>
        <w:spacing w:before="60"/>
        <w:rPr>
          <w:snapToGrid w:val="0"/>
        </w:rPr>
      </w:pPr>
      <w:r>
        <w:rPr>
          <w:snapToGrid w:val="0"/>
        </w:rPr>
        <w:tab/>
        <w:t>(g)</w:t>
      </w:r>
      <w:r>
        <w:rPr>
          <w:snapToGrid w:val="0"/>
        </w:rPr>
        <w:tab/>
        <w:t>any other matters relating to the analysis or examination,</w:t>
      </w:r>
    </w:p>
    <w:p>
      <w:pPr>
        <w:pStyle w:val="Subsection"/>
        <w:spacing w:before="120"/>
        <w:rPr>
          <w:snapToGrid w:val="0"/>
        </w:rPr>
      </w:pPr>
      <w:r>
        <w:rPr>
          <w:snapToGrid w:val="0"/>
        </w:rPr>
        <w:tab/>
      </w:r>
      <w:r>
        <w:rPr>
          <w:snapToGrid w:val="0"/>
        </w:rPr>
        <w:tab/>
        <w:t>is sufficient evidence of the facts stated in the certificate.</w:t>
      </w:r>
    </w:p>
    <w:p>
      <w:pPr>
        <w:pStyle w:val="Subsection"/>
        <w:spacing w:before="140"/>
        <w:rPr>
          <w:snapToGrid w:val="0"/>
        </w:rPr>
      </w:pPr>
      <w:r>
        <w:rPr>
          <w:snapToGrid w:val="0"/>
        </w:rPr>
        <w:tab/>
        <w:t>(3)</w:t>
      </w:r>
      <w:r>
        <w:rPr>
          <w:snapToGrid w:val="0"/>
        </w:rPr>
        <w:tab/>
        <w:t>For the purposes of subsection (2), proof is not required — </w:t>
      </w:r>
    </w:p>
    <w:p>
      <w:pPr>
        <w:pStyle w:val="Indenta"/>
        <w:spacing w:before="60"/>
        <w:rPr>
          <w:snapToGrid w:val="0"/>
        </w:rPr>
      </w:pPr>
      <w:r>
        <w:rPr>
          <w:snapToGrid w:val="0"/>
        </w:rPr>
        <w:tab/>
        <w:t>(a)</w:t>
      </w:r>
      <w:r>
        <w:rPr>
          <w:snapToGrid w:val="0"/>
        </w:rPr>
        <w:tab/>
        <w:t>of the signature of the person purporting to have signed the certificate; or</w:t>
      </w:r>
    </w:p>
    <w:p>
      <w:pPr>
        <w:pStyle w:val="Indenta"/>
        <w:spacing w:before="60"/>
        <w:rPr>
          <w:snapToGrid w:val="0"/>
        </w:rPr>
      </w:pPr>
      <w:r>
        <w:rPr>
          <w:snapToGrid w:val="0"/>
        </w:rPr>
        <w:tab/>
        <w:t>(b)</w:t>
      </w:r>
      <w:r>
        <w:rPr>
          <w:snapToGrid w:val="0"/>
        </w:rPr>
        <w:tab/>
        <w:t>that the person is an approved analyst or an approved botanist.</w:t>
      </w:r>
    </w:p>
    <w:p>
      <w:pPr>
        <w:pStyle w:val="Footnotesection"/>
        <w:spacing w:before="100"/>
      </w:pPr>
      <w:r>
        <w:tab/>
        <w:t>[Section 38 amended by No. 44 of 1995 s. 13.]</w:t>
      </w:r>
    </w:p>
    <w:p>
      <w:pPr>
        <w:pStyle w:val="Heading5"/>
        <w:rPr>
          <w:snapToGrid w:val="0"/>
        </w:rPr>
      </w:pPr>
      <w:bookmarkStart w:id="309" w:name="_Toc392246318"/>
      <w:bookmarkStart w:id="310" w:name="_Toc468199286"/>
      <w:bookmarkStart w:id="311" w:name="_Toc457468755"/>
      <w:r>
        <w:rPr>
          <w:rStyle w:val="CharSectno"/>
        </w:rPr>
        <w:t>38A</w:t>
      </w:r>
      <w:r>
        <w:rPr>
          <w:snapToGrid w:val="0"/>
        </w:rPr>
        <w:t xml:space="preserve">. </w:t>
      </w:r>
      <w:r>
        <w:rPr>
          <w:snapToGrid w:val="0"/>
        </w:rPr>
        <w:tab/>
        <w:t>Accused may obtain copy of certificate</w:t>
      </w:r>
      <w:bookmarkEnd w:id="309"/>
      <w:bookmarkEnd w:id="310"/>
      <w:bookmarkEnd w:id="311"/>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312" w:name="_Toc392246319"/>
      <w:bookmarkStart w:id="313" w:name="_Toc468199287"/>
      <w:bookmarkStart w:id="314" w:name="_Toc457468756"/>
      <w:r>
        <w:rPr>
          <w:rStyle w:val="CharSectno"/>
        </w:rPr>
        <w:t>38B</w:t>
      </w:r>
      <w:r>
        <w:rPr>
          <w:snapToGrid w:val="0"/>
        </w:rPr>
        <w:t xml:space="preserve">. </w:t>
      </w:r>
      <w:r>
        <w:rPr>
          <w:snapToGrid w:val="0"/>
        </w:rPr>
        <w:tab/>
        <w:t>Accused may object to use of certificate</w:t>
      </w:r>
      <w:bookmarkEnd w:id="312"/>
      <w:bookmarkEnd w:id="313"/>
      <w:bookmarkEnd w:id="314"/>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315" w:name="_Toc392246320"/>
      <w:bookmarkStart w:id="316" w:name="_Toc468199288"/>
      <w:bookmarkStart w:id="317" w:name="_Toc457468757"/>
      <w:r>
        <w:rPr>
          <w:rStyle w:val="CharSectno"/>
        </w:rPr>
        <w:t>38C</w:t>
      </w:r>
      <w:r>
        <w:rPr>
          <w:snapToGrid w:val="0"/>
        </w:rPr>
        <w:t xml:space="preserve">. </w:t>
      </w:r>
      <w:r>
        <w:rPr>
          <w:snapToGrid w:val="0"/>
        </w:rPr>
        <w:tab/>
        <w:t>Order for costs of approved analyst or approved botanist</w:t>
      </w:r>
      <w:bookmarkEnd w:id="315"/>
      <w:bookmarkEnd w:id="316"/>
      <w:bookmarkEnd w:id="317"/>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318" w:name="_Toc392246321"/>
      <w:bookmarkStart w:id="319" w:name="_Toc468199289"/>
      <w:bookmarkStart w:id="320" w:name="_Toc457468758"/>
      <w:r>
        <w:rPr>
          <w:rStyle w:val="CharSectno"/>
        </w:rPr>
        <w:t>38D</w:t>
      </w:r>
      <w:r>
        <w:rPr>
          <w:snapToGrid w:val="0"/>
        </w:rPr>
        <w:t xml:space="preserve">. </w:t>
      </w:r>
      <w:r>
        <w:rPr>
          <w:snapToGrid w:val="0"/>
        </w:rPr>
        <w:tab/>
        <w:t>Evidence of contents of standard</w:t>
      </w:r>
      <w:bookmarkEnd w:id="318"/>
      <w:bookmarkEnd w:id="319"/>
      <w:bookmarkEnd w:id="320"/>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spacing w:before="120"/>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spacing w:before="180"/>
        <w:rPr>
          <w:snapToGrid w:val="0"/>
        </w:rPr>
      </w:pPr>
      <w:bookmarkStart w:id="321" w:name="_Toc392246322"/>
      <w:bookmarkStart w:id="322" w:name="_Toc468199290"/>
      <w:bookmarkStart w:id="323" w:name="_Toc457468759"/>
      <w:r>
        <w:rPr>
          <w:rStyle w:val="CharSectno"/>
        </w:rPr>
        <w:t>39</w:t>
      </w:r>
      <w:r>
        <w:rPr>
          <w:snapToGrid w:val="0"/>
        </w:rPr>
        <w:t>.</w:t>
      </w:r>
      <w:r>
        <w:rPr>
          <w:snapToGrid w:val="0"/>
        </w:rPr>
        <w:tab/>
        <w:t>Delegation by Commissioner</w:t>
      </w:r>
      <w:bookmarkEnd w:id="321"/>
      <w:bookmarkEnd w:id="322"/>
      <w:bookmarkEnd w:id="323"/>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324" w:name="_Toc392246323"/>
      <w:bookmarkStart w:id="325" w:name="_Toc468199291"/>
      <w:bookmarkStart w:id="326" w:name="_Toc457468760"/>
      <w:r>
        <w:rPr>
          <w:rStyle w:val="CharSectno"/>
        </w:rPr>
        <w:t>40</w:t>
      </w:r>
      <w:r>
        <w:rPr>
          <w:snapToGrid w:val="0"/>
        </w:rPr>
        <w:t>.</w:t>
      </w:r>
      <w:r>
        <w:rPr>
          <w:snapToGrid w:val="0"/>
        </w:rPr>
        <w:tab/>
        <w:t>Civil liability of persons acting under this Act</w:t>
      </w:r>
      <w:bookmarkEnd w:id="324"/>
      <w:bookmarkEnd w:id="325"/>
      <w:bookmarkEnd w:id="326"/>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327" w:name="_Toc392246324"/>
      <w:bookmarkStart w:id="328" w:name="_Toc468199292"/>
      <w:bookmarkStart w:id="329" w:name="_Toc457468761"/>
      <w:r>
        <w:rPr>
          <w:rStyle w:val="CharSectno"/>
        </w:rPr>
        <w:t>41</w:t>
      </w:r>
      <w:r>
        <w:rPr>
          <w:snapToGrid w:val="0"/>
        </w:rPr>
        <w:t>.</w:t>
      </w:r>
      <w:r>
        <w:rPr>
          <w:snapToGrid w:val="0"/>
        </w:rPr>
        <w:tab/>
        <w:t>Regulations</w:t>
      </w:r>
      <w:bookmarkEnd w:id="327"/>
      <w:bookmarkEnd w:id="328"/>
      <w:bookmarkEnd w:id="32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330" w:name="_Toc392246325"/>
      <w:bookmarkStart w:id="331" w:name="_Toc468199293"/>
      <w:bookmarkStart w:id="332" w:name="_Toc457468762"/>
      <w:r>
        <w:rPr>
          <w:rStyle w:val="CharSectno"/>
        </w:rPr>
        <w:t>42</w:t>
      </w:r>
      <w:r>
        <w:rPr>
          <w:snapToGrid w:val="0"/>
        </w:rPr>
        <w:t>.</w:t>
      </w:r>
      <w:r>
        <w:rPr>
          <w:snapToGrid w:val="0"/>
        </w:rPr>
        <w:tab/>
        <w:t>Amendment of certain schedules</w:t>
      </w:r>
      <w:bookmarkEnd w:id="330"/>
      <w:bookmarkEnd w:id="331"/>
      <w:bookmarkEnd w:id="332"/>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2"/>
      </w:pPr>
      <w:bookmarkStart w:id="333" w:name="_Toc392246326"/>
      <w:bookmarkStart w:id="334" w:name="_Toc421283410"/>
      <w:bookmarkStart w:id="335" w:name="_Toc421283508"/>
      <w:bookmarkStart w:id="336" w:name="_Toc433365475"/>
      <w:bookmarkStart w:id="337" w:name="_Toc435452112"/>
      <w:bookmarkStart w:id="338" w:name="_Toc435452220"/>
      <w:bookmarkStart w:id="339" w:name="_Toc435457863"/>
      <w:bookmarkStart w:id="340" w:name="_Toc457316002"/>
      <w:bookmarkStart w:id="341" w:name="_Toc457385066"/>
      <w:bookmarkStart w:id="342" w:name="_Toc457468763"/>
      <w:bookmarkStart w:id="343" w:name="_Toc468199294"/>
      <w:r>
        <w:rPr>
          <w:rStyle w:val="CharPartNo"/>
        </w:rPr>
        <w:t>Part VII</w:t>
      </w:r>
      <w:r>
        <w:rPr>
          <w:b w:val="0"/>
        </w:rPr>
        <w:t> </w:t>
      </w:r>
      <w:r>
        <w:t>—</w:t>
      </w:r>
      <w:r>
        <w:rPr>
          <w:b w:val="0"/>
        </w:rPr>
        <w:t> </w:t>
      </w:r>
      <w:r>
        <w:rPr>
          <w:rStyle w:val="CharPartText"/>
        </w:rPr>
        <w:t>Transitional provisions</w:t>
      </w:r>
      <w:bookmarkEnd w:id="333"/>
      <w:bookmarkEnd w:id="334"/>
      <w:bookmarkEnd w:id="335"/>
      <w:bookmarkEnd w:id="336"/>
      <w:bookmarkEnd w:id="337"/>
      <w:bookmarkEnd w:id="338"/>
      <w:bookmarkEnd w:id="339"/>
      <w:bookmarkEnd w:id="340"/>
      <w:bookmarkEnd w:id="341"/>
      <w:bookmarkEnd w:id="342"/>
      <w:bookmarkEnd w:id="343"/>
    </w:p>
    <w:p>
      <w:pPr>
        <w:pStyle w:val="Footnoteheading"/>
      </w:pPr>
      <w:r>
        <w:tab/>
        <w:t>[Heading inserted by No. 45 of 2010 s. 8.]</w:t>
      </w:r>
    </w:p>
    <w:p>
      <w:pPr>
        <w:pStyle w:val="Heading3"/>
      </w:pPr>
      <w:bookmarkStart w:id="344" w:name="_Toc392246327"/>
      <w:bookmarkStart w:id="345" w:name="_Toc421283411"/>
      <w:bookmarkStart w:id="346" w:name="_Toc421283509"/>
      <w:bookmarkStart w:id="347" w:name="_Toc433365476"/>
      <w:bookmarkStart w:id="348" w:name="_Toc435452113"/>
      <w:bookmarkStart w:id="349" w:name="_Toc435452221"/>
      <w:bookmarkStart w:id="350" w:name="_Toc435457864"/>
      <w:bookmarkStart w:id="351" w:name="_Toc457316003"/>
      <w:bookmarkStart w:id="352" w:name="_Toc457385067"/>
      <w:bookmarkStart w:id="353" w:name="_Toc457468764"/>
      <w:bookmarkStart w:id="354" w:name="_Toc468199295"/>
      <w:r>
        <w:rPr>
          <w:rStyle w:val="CharDivNo"/>
        </w:rPr>
        <w:t>Division 1</w:t>
      </w:r>
      <w:r>
        <w:t> — </w:t>
      </w:r>
      <w:r>
        <w:rPr>
          <w:rStyle w:val="CharDivText"/>
        </w:rPr>
        <w:t>Preliminary</w:t>
      </w:r>
      <w:bookmarkEnd w:id="344"/>
      <w:bookmarkEnd w:id="345"/>
      <w:bookmarkEnd w:id="346"/>
      <w:bookmarkEnd w:id="347"/>
      <w:bookmarkEnd w:id="348"/>
      <w:bookmarkEnd w:id="349"/>
      <w:bookmarkEnd w:id="350"/>
      <w:bookmarkEnd w:id="351"/>
      <w:bookmarkEnd w:id="352"/>
      <w:bookmarkEnd w:id="353"/>
      <w:bookmarkEnd w:id="354"/>
    </w:p>
    <w:p>
      <w:pPr>
        <w:pStyle w:val="Footnoteheading"/>
      </w:pPr>
      <w:r>
        <w:tab/>
        <w:t>[Heading inserted by No. 45 of 2010 s. 8.]</w:t>
      </w:r>
    </w:p>
    <w:p>
      <w:pPr>
        <w:pStyle w:val="Heading5"/>
      </w:pPr>
      <w:bookmarkStart w:id="355" w:name="_Toc392246328"/>
      <w:bookmarkStart w:id="356" w:name="_Toc468199296"/>
      <w:bookmarkStart w:id="357" w:name="_Toc457468765"/>
      <w:r>
        <w:rPr>
          <w:rStyle w:val="CharSectno"/>
        </w:rPr>
        <w:t>43</w:t>
      </w:r>
      <w:r>
        <w:t>.</w:t>
      </w:r>
      <w:r>
        <w:tab/>
      </w:r>
      <w:r>
        <w:rPr>
          <w:i/>
          <w:iCs/>
        </w:rPr>
        <w:t>Interpretation Act 1984</w:t>
      </w:r>
      <w:r>
        <w:t xml:space="preserve"> not limited</w:t>
      </w:r>
      <w:bookmarkEnd w:id="355"/>
      <w:bookmarkEnd w:id="356"/>
      <w:bookmarkEnd w:id="357"/>
    </w:p>
    <w:p>
      <w:pPr>
        <w:pStyle w:val="Subsection"/>
      </w:pPr>
      <w:r>
        <w:tab/>
      </w:r>
      <w:r>
        <w:tab/>
        <w:t xml:space="preserve">This Part does not limit the operation of the </w:t>
      </w:r>
      <w:r>
        <w:rPr>
          <w:i/>
          <w:iCs/>
        </w:rPr>
        <w:t>Interpretation Act 1984</w:t>
      </w:r>
      <w:r>
        <w:t xml:space="preserve"> Part V.</w:t>
      </w:r>
    </w:p>
    <w:p>
      <w:pPr>
        <w:pStyle w:val="Footnotesection"/>
      </w:pPr>
      <w:r>
        <w:tab/>
        <w:t>[Section 43 inserted by No. 45 of 2010 s. 8.]</w:t>
      </w:r>
    </w:p>
    <w:p>
      <w:pPr>
        <w:pStyle w:val="Heading5"/>
      </w:pPr>
      <w:bookmarkStart w:id="358" w:name="_Toc392246329"/>
      <w:bookmarkStart w:id="359" w:name="_Toc468199297"/>
      <w:bookmarkStart w:id="360" w:name="_Toc457468766"/>
      <w:r>
        <w:rPr>
          <w:rStyle w:val="CharSectno"/>
        </w:rPr>
        <w:t>44</w:t>
      </w:r>
      <w:r>
        <w:t>.</w:t>
      </w:r>
      <w:r>
        <w:tab/>
        <w:t>Transitional regulations</w:t>
      </w:r>
      <w:bookmarkEnd w:id="358"/>
      <w:bookmarkEnd w:id="359"/>
      <w:bookmarkEnd w:id="360"/>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 xml:space="preserve">that arises as a result of the amendment of this Act by another Act (an </w:t>
      </w:r>
      <w:r>
        <w:rPr>
          <w:rStyle w:val="CharDefText"/>
        </w:rPr>
        <w:t>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r>
        <w:tab/>
        <w:t>[Section 44 inserted by No. 45 of 2010 s. 8.]</w:t>
      </w:r>
    </w:p>
    <w:p>
      <w:pPr>
        <w:pStyle w:val="yHeading3"/>
      </w:pPr>
      <w:bookmarkStart w:id="361" w:name="_Toc392246330"/>
      <w:bookmarkStart w:id="362" w:name="_Toc421283414"/>
      <w:bookmarkStart w:id="363" w:name="_Toc421283512"/>
      <w:bookmarkStart w:id="364" w:name="_Toc433365479"/>
      <w:bookmarkStart w:id="365" w:name="_Toc435452116"/>
      <w:bookmarkStart w:id="366" w:name="_Toc435452224"/>
      <w:bookmarkStart w:id="367" w:name="_Toc435457867"/>
      <w:bookmarkStart w:id="368" w:name="_Toc457316006"/>
      <w:bookmarkStart w:id="369" w:name="_Toc457385070"/>
      <w:bookmarkStart w:id="370" w:name="_Toc457468767"/>
      <w:bookmarkStart w:id="371" w:name="_Toc468199298"/>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361"/>
      <w:bookmarkEnd w:id="362"/>
      <w:bookmarkEnd w:id="363"/>
      <w:bookmarkEnd w:id="364"/>
      <w:bookmarkEnd w:id="365"/>
      <w:bookmarkEnd w:id="366"/>
      <w:bookmarkEnd w:id="367"/>
      <w:bookmarkEnd w:id="368"/>
      <w:bookmarkEnd w:id="369"/>
      <w:bookmarkEnd w:id="370"/>
      <w:bookmarkEnd w:id="371"/>
    </w:p>
    <w:p>
      <w:pPr>
        <w:pStyle w:val="Footnoteheading"/>
      </w:pPr>
      <w:r>
        <w:tab/>
        <w:t>[Heading inserted by No. 45 of 2010 s. 8.]</w:t>
      </w:r>
    </w:p>
    <w:p>
      <w:pPr>
        <w:pStyle w:val="Heading5"/>
      </w:pPr>
      <w:bookmarkStart w:id="372" w:name="_Toc392246331"/>
      <w:bookmarkStart w:id="373" w:name="_Toc468199299"/>
      <w:bookmarkStart w:id="374" w:name="_Toc457468768"/>
      <w:r>
        <w:rPr>
          <w:rStyle w:val="CharSectno"/>
        </w:rPr>
        <w:t>45</w:t>
      </w:r>
      <w:r>
        <w:t>.</w:t>
      </w:r>
      <w:r>
        <w:tab/>
        <w:t>Terms used</w:t>
      </w:r>
      <w:bookmarkEnd w:id="372"/>
      <w:bookmarkEnd w:id="373"/>
      <w:bookmarkEnd w:id="374"/>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r>
        <w:tab/>
        <w:t>[Section 45 inserted by No. 45 of 2010 s. 8.]</w:t>
      </w:r>
    </w:p>
    <w:p>
      <w:pPr>
        <w:pStyle w:val="Heading5"/>
      </w:pPr>
      <w:bookmarkStart w:id="375" w:name="_Toc392246332"/>
      <w:bookmarkStart w:id="376" w:name="_Toc468199300"/>
      <w:bookmarkStart w:id="377" w:name="_Toc457468769"/>
      <w:r>
        <w:rPr>
          <w:rStyle w:val="CharSectno"/>
        </w:rPr>
        <w:t>46</w:t>
      </w:r>
      <w:r>
        <w:t>.</w:t>
      </w:r>
      <w:r>
        <w:tab/>
        <w:t>CINs continue in force</w:t>
      </w:r>
      <w:bookmarkEnd w:id="375"/>
      <w:bookmarkEnd w:id="376"/>
      <w:bookmarkEnd w:id="377"/>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r>
        <w:tab/>
        <w:t>[Section 46 inserted by No. 45 of 2010 s. 8.]</w:t>
      </w:r>
    </w:p>
    <w:p>
      <w:pPr>
        <w:pStyle w:val="Heading5"/>
      </w:pPr>
      <w:bookmarkStart w:id="378" w:name="_Toc392246333"/>
      <w:bookmarkStart w:id="379" w:name="_Toc468199301"/>
      <w:bookmarkStart w:id="380" w:name="_Toc457468770"/>
      <w:r>
        <w:rPr>
          <w:rStyle w:val="CharSectno"/>
        </w:rPr>
        <w:t>47</w:t>
      </w:r>
      <w:r>
        <w:t>.</w:t>
      </w:r>
      <w:r>
        <w:tab/>
        <w:t>Amounts outstanding in 12 months time under a CIN are to be taken to be paid</w:t>
      </w:r>
      <w:bookmarkEnd w:id="378"/>
      <w:bookmarkEnd w:id="379"/>
      <w:bookmarkEnd w:id="380"/>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381" w:name="_Toc392246334"/>
      <w:bookmarkStart w:id="382" w:name="_Toc468199302"/>
      <w:bookmarkStart w:id="383" w:name="_Toc457468771"/>
      <w:r>
        <w:rPr>
          <w:rStyle w:val="CharSectno"/>
        </w:rPr>
        <w:t>48</w:t>
      </w:r>
      <w:r>
        <w:t>.</w:t>
      </w:r>
      <w:r>
        <w:tab/>
        <w:t>Transitional provisions (Sch. IX)</w:t>
      </w:r>
      <w:bookmarkEnd w:id="381"/>
      <w:bookmarkEnd w:id="382"/>
      <w:bookmarkEnd w:id="383"/>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by No. 44 of 2010 s. 9.]</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384" w:name="_Toc392246335"/>
      <w:bookmarkStart w:id="385" w:name="_Toc421283419"/>
      <w:bookmarkStart w:id="386" w:name="_Toc421283517"/>
      <w:bookmarkStart w:id="387" w:name="_Toc433365484"/>
      <w:bookmarkStart w:id="388" w:name="_Toc435452121"/>
      <w:bookmarkStart w:id="389" w:name="_Toc435452229"/>
      <w:bookmarkStart w:id="390" w:name="_Toc435457872"/>
      <w:bookmarkStart w:id="391" w:name="_Toc457316011"/>
      <w:bookmarkStart w:id="392" w:name="_Toc457385075"/>
      <w:bookmarkStart w:id="393" w:name="_Toc457468772"/>
      <w:bookmarkStart w:id="394" w:name="_Toc468199303"/>
      <w:r>
        <w:rPr>
          <w:rStyle w:val="CharSchNo"/>
        </w:rPr>
        <w:t>Schedule I</w:t>
      </w:r>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384"/>
      <w:bookmarkEnd w:id="385"/>
      <w:bookmarkEnd w:id="386"/>
      <w:bookmarkEnd w:id="387"/>
      <w:bookmarkEnd w:id="388"/>
      <w:bookmarkEnd w:id="389"/>
      <w:bookmarkEnd w:id="390"/>
      <w:bookmarkEnd w:id="391"/>
      <w:bookmarkEnd w:id="392"/>
      <w:bookmarkEnd w:id="393"/>
      <w:bookmarkEnd w:id="394"/>
    </w:p>
    <w:p>
      <w:pPr>
        <w:pStyle w:val="yShoulderClause"/>
        <w:rPr>
          <w:snapToGrid w:val="0"/>
        </w:rPr>
      </w:pPr>
      <w:r>
        <w:rPr>
          <w:snapToGrid w:val="0"/>
        </w:rPr>
        <w:t>[s. 4(1)(c)]</w:t>
      </w:r>
    </w:p>
    <w:p>
      <w:pPr>
        <w:pStyle w:val="yFootnoteheading"/>
        <w:spacing w:after="80"/>
      </w:pPr>
      <w:r>
        <w:tab/>
        <w:t>[Heading amended by No. 19 of 2010 s. 4.]</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drugs</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Cocaine, ecgonine, heroin, morphine and their respective salts.</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Opium.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Any preparation, admixture, extract, or other substance containing not less than — </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959" w:type="dxa"/>
          </w:tcPr>
          <w:p>
            <w:pPr>
              <w:pStyle w:val="yTableNAm"/>
              <w:rPr>
                <w:snapToGrid w:val="0"/>
              </w:rPr>
            </w:pPr>
            <w:r>
              <w:rPr>
                <w:snapToGrid w:val="0"/>
              </w:rPr>
              <w:t>4.</w:t>
            </w:r>
          </w:p>
        </w:tc>
        <w:tc>
          <w:tcPr>
            <w:tcW w:w="6375" w:type="dxa"/>
          </w:tcPr>
          <w:p>
            <w:pPr>
              <w:pStyle w:val="yTableNAm"/>
              <w:rPr>
                <w:snapToGrid w:val="0"/>
              </w:rPr>
            </w:pPr>
            <w:r>
              <w:rPr>
                <w:snapToGrid w:val="0"/>
              </w:rPr>
              <w:t>Any derivative of cocaine.</w:t>
            </w:r>
          </w:p>
        </w:tc>
      </w:tr>
      <w:tr>
        <w:trPr>
          <w:cantSplit/>
        </w:trPr>
        <w:tc>
          <w:tcPr>
            <w:tcW w:w="959" w:type="dxa"/>
          </w:tcPr>
          <w:p>
            <w:pPr>
              <w:pStyle w:val="yTableNAm"/>
              <w:rPr>
                <w:snapToGrid w:val="0"/>
              </w:rPr>
            </w:pPr>
            <w:r>
              <w:rPr>
                <w:snapToGrid w:val="0"/>
              </w:rPr>
              <w:t>5.</w:t>
            </w:r>
          </w:p>
        </w:tc>
        <w:tc>
          <w:tcPr>
            <w:tcW w:w="6375" w:type="dxa"/>
          </w:tcPr>
          <w:p>
            <w:pPr>
              <w:pStyle w:val="yTableNAm"/>
              <w:rPr>
                <w:snapToGrid w:val="0"/>
              </w:rPr>
            </w:pPr>
            <w:r>
              <w:rPr>
                <w:snapToGrid w:val="0"/>
              </w:rPr>
              <w:t>Cannabis or cannabis resin or any other cannabis derivative.</w:t>
            </w:r>
          </w:p>
        </w:tc>
      </w:tr>
    </w:tbl>
    <w:p>
      <w:pPr>
        <w:pStyle w:val="yScheduleHeading"/>
      </w:pPr>
      <w:bookmarkStart w:id="395" w:name="_Toc392246336"/>
      <w:bookmarkStart w:id="396" w:name="_Toc421283420"/>
      <w:bookmarkStart w:id="397" w:name="_Toc421283518"/>
      <w:bookmarkStart w:id="398" w:name="_Toc433365485"/>
      <w:bookmarkStart w:id="399" w:name="_Toc435452122"/>
      <w:bookmarkStart w:id="400" w:name="_Toc435452230"/>
      <w:bookmarkStart w:id="401" w:name="_Toc435457873"/>
      <w:bookmarkStart w:id="402" w:name="_Toc457316012"/>
      <w:bookmarkStart w:id="403" w:name="_Toc457385076"/>
      <w:bookmarkStart w:id="404" w:name="_Toc457468773"/>
      <w:bookmarkStart w:id="405" w:name="_Toc468199304"/>
      <w:r>
        <w:rPr>
          <w:rStyle w:val="CharSchNo"/>
        </w:rPr>
        <w:t>Schedule II</w:t>
      </w:r>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395"/>
      <w:bookmarkEnd w:id="396"/>
      <w:bookmarkEnd w:id="397"/>
      <w:bookmarkEnd w:id="398"/>
      <w:bookmarkEnd w:id="399"/>
      <w:bookmarkEnd w:id="400"/>
      <w:bookmarkEnd w:id="401"/>
      <w:bookmarkEnd w:id="402"/>
      <w:bookmarkEnd w:id="403"/>
      <w:bookmarkEnd w:id="404"/>
      <w:bookmarkEnd w:id="405"/>
    </w:p>
    <w:p>
      <w:pPr>
        <w:pStyle w:val="yShoulderClause"/>
        <w:rPr>
          <w:snapToGrid w:val="0"/>
        </w:rPr>
      </w:pPr>
      <w:r>
        <w:rPr>
          <w:snapToGrid w:val="0"/>
        </w:rPr>
        <w:t>[s. 4(2)(b)]</w:t>
      </w:r>
    </w:p>
    <w:p>
      <w:pPr>
        <w:pStyle w:val="yFootnoteheading"/>
        <w:rPr>
          <w:bCs/>
        </w:rPr>
      </w:pPr>
      <w:r>
        <w:tab/>
        <w:t>[Heading amended by No. 19 of 2010 s. 4.]</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plant</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Papaver somniferum</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Papaver bracteatum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Cannabis</w:t>
            </w:r>
          </w:p>
        </w:tc>
      </w:tr>
    </w:tbl>
    <w:p>
      <w:pPr>
        <w:pStyle w:val="yScheduleHeading"/>
      </w:pPr>
      <w:bookmarkStart w:id="406" w:name="_Toc392246337"/>
      <w:bookmarkStart w:id="407" w:name="_Toc421283421"/>
      <w:bookmarkStart w:id="408" w:name="_Toc421283519"/>
      <w:bookmarkStart w:id="409" w:name="_Toc433365486"/>
      <w:bookmarkStart w:id="410" w:name="_Toc435452123"/>
      <w:bookmarkStart w:id="411" w:name="_Toc435452231"/>
      <w:bookmarkStart w:id="412" w:name="_Toc435457874"/>
      <w:bookmarkStart w:id="413" w:name="_Toc457316013"/>
      <w:bookmarkStart w:id="414" w:name="_Toc457385077"/>
      <w:bookmarkStart w:id="415" w:name="_Toc457468774"/>
      <w:bookmarkStart w:id="416" w:name="_Toc468199305"/>
      <w:r>
        <w:rPr>
          <w:rStyle w:val="CharSchNo"/>
        </w:rPr>
        <w:t>Schedule III</w:t>
      </w:r>
      <w:r>
        <w:rPr>
          <w:rStyle w:val="CharSDivNo"/>
        </w:rPr>
        <w:t> </w:t>
      </w:r>
      <w:r>
        <w:t>—</w:t>
      </w:r>
      <w:r>
        <w:rPr>
          <w:rStyle w:val="CharSDivText"/>
        </w:rPr>
        <w:t> </w:t>
      </w:r>
      <w:r>
        <w:rPr>
          <w:rStyle w:val="CharSchText"/>
        </w:rPr>
        <w:t>Amounts of prohibited drugs determining court of trial</w:t>
      </w:r>
      <w:bookmarkEnd w:id="406"/>
      <w:bookmarkEnd w:id="407"/>
      <w:bookmarkEnd w:id="408"/>
      <w:bookmarkEnd w:id="409"/>
      <w:bookmarkEnd w:id="410"/>
      <w:bookmarkEnd w:id="411"/>
      <w:bookmarkEnd w:id="412"/>
      <w:bookmarkEnd w:id="413"/>
      <w:bookmarkEnd w:id="414"/>
      <w:bookmarkEnd w:id="415"/>
      <w:bookmarkEnd w:id="416"/>
    </w:p>
    <w:p>
      <w:pPr>
        <w:pStyle w:val="yShoulderClause"/>
        <w:rPr>
          <w:snapToGrid w:val="0"/>
        </w:rPr>
      </w:pPr>
      <w:r>
        <w:rPr>
          <w:snapToGrid w:val="0"/>
        </w:rPr>
        <w:t>[s. 9]</w:t>
      </w:r>
    </w:p>
    <w:p>
      <w:pPr>
        <w:pStyle w:val="yFootnoteheading"/>
      </w:pPr>
      <w:r>
        <w:tab/>
        <w:t>[Heading amended by No. 19 of 2010 s. 4.]</w:t>
      </w:r>
    </w:p>
    <w:tbl>
      <w:tblPr>
        <w:tblW w:w="0" w:type="auto"/>
        <w:tblLayout w:type="fixed"/>
        <w:tblCellMar>
          <w:left w:w="142" w:type="dxa"/>
          <w:right w:w="142" w:type="dxa"/>
        </w:tblCellMar>
        <w:tblLook w:val="0000" w:firstRow="0" w:lastRow="0" w:firstColumn="0" w:lastColumn="0" w:noHBand="0" w:noVBand="0"/>
      </w:tblPr>
      <w:tblGrid>
        <w:gridCol w:w="993"/>
        <w:gridCol w:w="4678"/>
        <w:gridCol w:w="285"/>
        <w:gridCol w:w="1229"/>
        <w:gridCol w:w="11"/>
      </w:tblGrid>
      <w:tr>
        <w:trPr>
          <w:tblHeader/>
        </w:trPr>
        <w:tc>
          <w:tcPr>
            <w:tcW w:w="993" w:type="dxa"/>
          </w:tcPr>
          <w:p>
            <w:pPr>
              <w:pStyle w:val="yTableNAm"/>
              <w:rPr>
                <w:i/>
              </w:rPr>
            </w:pPr>
            <w:r>
              <w:rPr>
                <w:i/>
              </w:rPr>
              <w:t>Item</w:t>
            </w:r>
          </w:p>
        </w:tc>
        <w:tc>
          <w:tcPr>
            <w:tcW w:w="4963" w:type="dxa"/>
            <w:gridSpan w:val="2"/>
          </w:tcPr>
          <w:p>
            <w:pPr>
              <w:pStyle w:val="yTableNAm"/>
              <w:jc w:val="center"/>
              <w:rPr>
                <w:i/>
              </w:rPr>
            </w:pPr>
            <w:r>
              <w:rPr>
                <w:i/>
              </w:rPr>
              <w:t>Prohibited drug</w:t>
            </w:r>
          </w:p>
        </w:tc>
        <w:tc>
          <w:tcPr>
            <w:tcW w:w="1240" w:type="dxa"/>
            <w:gridSpan w:val="2"/>
          </w:tcPr>
          <w:p>
            <w:pPr>
              <w:pStyle w:val="yTableNAm"/>
              <w:tabs>
                <w:tab w:val="center" w:pos="423"/>
              </w:tabs>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4963" w:type="dxa"/>
            <w:gridSpan w:val="2"/>
          </w:tcPr>
          <w:p>
            <w:pPr>
              <w:pStyle w:val="yTableNAm"/>
            </w:pPr>
            <w:r>
              <w:t>ACETORPHINE</w:t>
            </w:r>
          </w:p>
        </w:tc>
        <w:tc>
          <w:tcPr>
            <w:tcW w:w="1240" w:type="dxa"/>
            <w:gridSpan w:val="2"/>
          </w:tcPr>
          <w:p>
            <w:pPr>
              <w:pStyle w:val="yTableNAm"/>
              <w:tabs>
                <w:tab w:val="clear" w:pos="567"/>
                <w:tab w:val="decimal" w:pos="463"/>
              </w:tabs>
            </w:pPr>
            <w:r>
              <w:t>6.0</w:t>
            </w:r>
          </w:p>
        </w:tc>
      </w:tr>
      <w:tr>
        <w:tc>
          <w:tcPr>
            <w:tcW w:w="993" w:type="dxa"/>
          </w:tcPr>
          <w:p>
            <w:pPr>
              <w:pStyle w:val="yTableNAm"/>
            </w:pPr>
            <w:r>
              <w:t>2.</w:t>
            </w:r>
          </w:p>
        </w:tc>
        <w:tc>
          <w:tcPr>
            <w:tcW w:w="4963" w:type="dxa"/>
            <w:gridSpan w:val="2"/>
          </w:tcPr>
          <w:p>
            <w:pPr>
              <w:pStyle w:val="yTableNAm"/>
            </w:pPr>
            <w:r>
              <w:t>ACETYLDIHYDROCODEINE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3.</w:t>
            </w:r>
          </w:p>
        </w:tc>
        <w:tc>
          <w:tcPr>
            <w:tcW w:w="4963" w:type="dxa"/>
            <w:gridSpan w:val="2"/>
          </w:tcPr>
          <w:p>
            <w:pPr>
              <w:pStyle w:val="yTableNAm"/>
            </w:pPr>
            <w:r>
              <w:t>ACETYLMETHADOL</w:t>
            </w:r>
          </w:p>
        </w:tc>
        <w:tc>
          <w:tcPr>
            <w:tcW w:w="1240" w:type="dxa"/>
            <w:gridSpan w:val="2"/>
          </w:tcPr>
          <w:p>
            <w:pPr>
              <w:pStyle w:val="yTableNAm"/>
              <w:tabs>
                <w:tab w:val="clear" w:pos="567"/>
                <w:tab w:val="decimal" w:pos="463"/>
              </w:tabs>
            </w:pPr>
            <w:r>
              <w:t>6.0</w:t>
            </w:r>
          </w:p>
        </w:tc>
      </w:tr>
      <w:tr>
        <w:tc>
          <w:tcPr>
            <w:tcW w:w="993" w:type="dxa"/>
          </w:tcPr>
          <w:p>
            <w:pPr>
              <w:pStyle w:val="yTableNAm"/>
            </w:pPr>
            <w:r>
              <w:t>4.</w:t>
            </w:r>
          </w:p>
        </w:tc>
        <w:tc>
          <w:tcPr>
            <w:tcW w:w="4963" w:type="dxa"/>
            <w:gridSpan w:val="2"/>
          </w:tcPr>
          <w:p>
            <w:pPr>
              <w:pStyle w:val="yTableNAm"/>
            </w:pPr>
            <w:r>
              <w:t>ALLOBARBITONE</w:t>
            </w:r>
          </w:p>
        </w:tc>
        <w:tc>
          <w:tcPr>
            <w:tcW w:w="1240" w:type="dxa"/>
            <w:gridSpan w:val="2"/>
          </w:tcPr>
          <w:p>
            <w:pPr>
              <w:pStyle w:val="yTableNAm"/>
              <w:tabs>
                <w:tab w:val="clear" w:pos="567"/>
                <w:tab w:val="decimal" w:pos="463"/>
              </w:tabs>
            </w:pPr>
            <w:r>
              <w:t>30.0</w:t>
            </w:r>
          </w:p>
        </w:tc>
      </w:tr>
      <w:tr>
        <w:tc>
          <w:tcPr>
            <w:tcW w:w="993" w:type="dxa"/>
          </w:tcPr>
          <w:p>
            <w:pPr>
              <w:pStyle w:val="yTableNAm"/>
            </w:pPr>
            <w:r>
              <w:t>5.</w:t>
            </w:r>
          </w:p>
        </w:tc>
        <w:tc>
          <w:tcPr>
            <w:tcW w:w="4963" w:type="dxa"/>
            <w:gridSpan w:val="2"/>
          </w:tcPr>
          <w:p>
            <w:pPr>
              <w:pStyle w:val="yTableNAm"/>
            </w:pPr>
            <w:r>
              <w:t>ALLYLBARBITURIC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6.</w:t>
            </w:r>
          </w:p>
        </w:tc>
        <w:tc>
          <w:tcPr>
            <w:tcW w:w="4963" w:type="dxa"/>
            <w:gridSpan w:val="2"/>
          </w:tcPr>
          <w:p>
            <w:pPr>
              <w:pStyle w:val="yTableNAm"/>
            </w:pPr>
            <w:r>
              <w:t>ALLYLPRODINE</w:t>
            </w:r>
          </w:p>
        </w:tc>
        <w:tc>
          <w:tcPr>
            <w:tcW w:w="1240" w:type="dxa"/>
            <w:gridSpan w:val="2"/>
          </w:tcPr>
          <w:p>
            <w:pPr>
              <w:pStyle w:val="yTableNAm"/>
              <w:tabs>
                <w:tab w:val="clear" w:pos="567"/>
                <w:tab w:val="decimal" w:pos="463"/>
              </w:tabs>
            </w:pPr>
            <w:r>
              <w:t>6.0</w:t>
            </w:r>
          </w:p>
        </w:tc>
      </w:tr>
      <w:tr>
        <w:tc>
          <w:tcPr>
            <w:tcW w:w="993" w:type="dxa"/>
          </w:tcPr>
          <w:p>
            <w:pPr>
              <w:pStyle w:val="yTableNAm"/>
            </w:pPr>
            <w:r>
              <w:t>7.</w:t>
            </w:r>
          </w:p>
        </w:tc>
        <w:tc>
          <w:tcPr>
            <w:tcW w:w="4963" w:type="dxa"/>
            <w:gridSpan w:val="2"/>
          </w:tcPr>
          <w:p>
            <w:pPr>
              <w:pStyle w:val="yTableNAm"/>
            </w:pPr>
            <w:r>
              <w:t>ALPHACETYLMETHADOL</w:t>
            </w:r>
          </w:p>
        </w:tc>
        <w:tc>
          <w:tcPr>
            <w:tcW w:w="1240" w:type="dxa"/>
            <w:gridSpan w:val="2"/>
          </w:tcPr>
          <w:p>
            <w:pPr>
              <w:pStyle w:val="yTableNAm"/>
              <w:tabs>
                <w:tab w:val="clear" w:pos="567"/>
                <w:tab w:val="decimal" w:pos="463"/>
              </w:tabs>
            </w:pPr>
            <w:r>
              <w:t>30.0</w:t>
            </w:r>
          </w:p>
        </w:tc>
      </w:tr>
      <w:tr>
        <w:tc>
          <w:tcPr>
            <w:tcW w:w="993" w:type="dxa"/>
          </w:tcPr>
          <w:p>
            <w:pPr>
              <w:pStyle w:val="yTableNAm"/>
            </w:pPr>
            <w:r>
              <w:t>8.</w:t>
            </w:r>
          </w:p>
        </w:tc>
        <w:tc>
          <w:tcPr>
            <w:tcW w:w="4963" w:type="dxa"/>
            <w:gridSpan w:val="2"/>
          </w:tcPr>
          <w:p>
            <w:pPr>
              <w:pStyle w:val="yTableNAm"/>
            </w:pPr>
            <w:r>
              <w:t>ALPHAMEPRODINE</w:t>
            </w:r>
          </w:p>
        </w:tc>
        <w:tc>
          <w:tcPr>
            <w:tcW w:w="1240" w:type="dxa"/>
            <w:gridSpan w:val="2"/>
          </w:tcPr>
          <w:p>
            <w:pPr>
              <w:pStyle w:val="yTableNAm"/>
              <w:tabs>
                <w:tab w:val="clear" w:pos="567"/>
                <w:tab w:val="decimal" w:pos="463"/>
              </w:tabs>
            </w:pPr>
            <w:r>
              <w:t>0.6</w:t>
            </w:r>
          </w:p>
        </w:tc>
      </w:tr>
      <w:tr>
        <w:tc>
          <w:tcPr>
            <w:tcW w:w="993" w:type="dxa"/>
          </w:tcPr>
          <w:p>
            <w:pPr>
              <w:pStyle w:val="yTableNAm"/>
            </w:pPr>
            <w:r>
              <w:t>9.</w:t>
            </w:r>
          </w:p>
        </w:tc>
        <w:tc>
          <w:tcPr>
            <w:tcW w:w="4963" w:type="dxa"/>
            <w:gridSpan w:val="2"/>
          </w:tcPr>
          <w:p>
            <w:pPr>
              <w:pStyle w:val="yTableNAm"/>
            </w:pPr>
            <w:r>
              <w:t>ALPHAMETHADOL</w:t>
            </w:r>
          </w:p>
        </w:tc>
        <w:tc>
          <w:tcPr>
            <w:tcW w:w="1240" w:type="dxa"/>
            <w:gridSpan w:val="2"/>
          </w:tcPr>
          <w:p>
            <w:pPr>
              <w:pStyle w:val="yTableNAm"/>
              <w:tabs>
                <w:tab w:val="clear" w:pos="567"/>
                <w:tab w:val="decimal" w:pos="463"/>
              </w:tabs>
            </w:pPr>
            <w:r>
              <w:t>0.6</w:t>
            </w:r>
          </w:p>
        </w:tc>
      </w:tr>
      <w:tr>
        <w:tc>
          <w:tcPr>
            <w:tcW w:w="993" w:type="dxa"/>
          </w:tcPr>
          <w:p>
            <w:pPr>
              <w:pStyle w:val="yTableNAm"/>
            </w:pPr>
            <w:r>
              <w:t>10.</w:t>
            </w:r>
          </w:p>
        </w:tc>
        <w:tc>
          <w:tcPr>
            <w:tcW w:w="4963" w:type="dxa"/>
            <w:gridSpan w:val="2"/>
          </w:tcPr>
          <w:p>
            <w:pPr>
              <w:pStyle w:val="yTableNAm"/>
            </w:pPr>
            <w:r>
              <w:t>ALPHAPRODINE</w:t>
            </w:r>
          </w:p>
        </w:tc>
        <w:tc>
          <w:tcPr>
            <w:tcW w:w="1240" w:type="dxa"/>
            <w:gridSpan w:val="2"/>
          </w:tcPr>
          <w:p>
            <w:pPr>
              <w:pStyle w:val="yTableNAm"/>
              <w:tabs>
                <w:tab w:val="clear" w:pos="567"/>
                <w:tab w:val="decimal" w:pos="463"/>
              </w:tabs>
            </w:pPr>
            <w:r>
              <w:t>75.0</w:t>
            </w:r>
          </w:p>
        </w:tc>
      </w:tr>
      <w:tr>
        <w:tc>
          <w:tcPr>
            <w:tcW w:w="993" w:type="dxa"/>
          </w:tcPr>
          <w:p>
            <w:pPr>
              <w:pStyle w:val="yTableNAm"/>
            </w:pPr>
            <w:r>
              <w:t>11.</w:t>
            </w:r>
          </w:p>
        </w:tc>
        <w:tc>
          <w:tcPr>
            <w:tcW w:w="4963" w:type="dxa"/>
            <w:gridSpan w:val="2"/>
          </w:tcPr>
          <w:p>
            <w:pPr>
              <w:pStyle w:val="yTableNAm"/>
            </w:pPr>
            <w:r>
              <w:t>AMPHETAMINE</w:t>
            </w:r>
          </w:p>
        </w:tc>
        <w:tc>
          <w:tcPr>
            <w:tcW w:w="1240" w:type="dxa"/>
            <w:gridSpan w:val="2"/>
          </w:tcPr>
          <w:p>
            <w:pPr>
              <w:pStyle w:val="yTableNAm"/>
              <w:tabs>
                <w:tab w:val="clear" w:pos="567"/>
                <w:tab w:val="decimal" w:pos="463"/>
              </w:tabs>
            </w:pPr>
            <w:r>
              <w:t>4.0</w:t>
            </w:r>
          </w:p>
        </w:tc>
      </w:tr>
      <w:tr>
        <w:tc>
          <w:tcPr>
            <w:tcW w:w="993" w:type="dxa"/>
          </w:tcPr>
          <w:p>
            <w:pPr>
              <w:pStyle w:val="yTableNAm"/>
            </w:pPr>
            <w:r>
              <w:t>12.</w:t>
            </w:r>
          </w:p>
        </w:tc>
        <w:tc>
          <w:tcPr>
            <w:tcW w:w="4963" w:type="dxa"/>
            <w:gridSpan w:val="2"/>
          </w:tcPr>
          <w:p>
            <w:pPr>
              <w:pStyle w:val="yTableNAm"/>
            </w:pPr>
            <w:r>
              <w:t>AMYLOBARBITONE</w:t>
            </w:r>
          </w:p>
        </w:tc>
        <w:tc>
          <w:tcPr>
            <w:tcW w:w="1240" w:type="dxa"/>
            <w:gridSpan w:val="2"/>
          </w:tcPr>
          <w:p>
            <w:pPr>
              <w:pStyle w:val="yTableNAm"/>
              <w:tabs>
                <w:tab w:val="clear" w:pos="567"/>
                <w:tab w:val="decimal" w:pos="463"/>
              </w:tabs>
            </w:pPr>
            <w:r>
              <w:t>30.0</w:t>
            </w:r>
          </w:p>
        </w:tc>
      </w:tr>
      <w:tr>
        <w:tc>
          <w:tcPr>
            <w:tcW w:w="993" w:type="dxa"/>
          </w:tcPr>
          <w:p>
            <w:pPr>
              <w:pStyle w:val="yTableNAm"/>
            </w:pPr>
            <w:r>
              <w:t>13.</w:t>
            </w:r>
          </w:p>
        </w:tc>
        <w:tc>
          <w:tcPr>
            <w:tcW w:w="4963" w:type="dxa"/>
            <w:gridSpan w:val="2"/>
          </w:tcPr>
          <w:p>
            <w:pPr>
              <w:pStyle w:val="yTableNAm"/>
            </w:pPr>
            <w:r>
              <w:t>ANILERIDINE</w:t>
            </w:r>
          </w:p>
        </w:tc>
        <w:tc>
          <w:tcPr>
            <w:tcW w:w="1240" w:type="dxa"/>
            <w:gridSpan w:val="2"/>
          </w:tcPr>
          <w:p>
            <w:pPr>
              <w:pStyle w:val="yTableNAm"/>
              <w:tabs>
                <w:tab w:val="clear" w:pos="567"/>
                <w:tab w:val="decimal" w:pos="463"/>
              </w:tabs>
            </w:pPr>
            <w:r>
              <w:t>75.0</w:t>
            </w:r>
          </w:p>
        </w:tc>
      </w:tr>
      <w:tr>
        <w:tc>
          <w:tcPr>
            <w:tcW w:w="993" w:type="dxa"/>
          </w:tcPr>
          <w:p>
            <w:pPr>
              <w:pStyle w:val="yTableNAm"/>
            </w:pPr>
            <w:r>
              <w:t>14.</w:t>
            </w:r>
          </w:p>
        </w:tc>
        <w:tc>
          <w:tcPr>
            <w:tcW w:w="4963" w:type="dxa"/>
            <w:gridSpan w:val="2"/>
          </w:tcPr>
          <w:p>
            <w:pPr>
              <w:pStyle w:val="yTableNAm"/>
            </w:pPr>
            <w:r>
              <w:t>APROBARBITONE</w:t>
            </w:r>
          </w:p>
        </w:tc>
        <w:tc>
          <w:tcPr>
            <w:tcW w:w="1240" w:type="dxa"/>
            <w:gridSpan w:val="2"/>
          </w:tcPr>
          <w:p>
            <w:pPr>
              <w:pStyle w:val="yTableNAm"/>
              <w:tabs>
                <w:tab w:val="clear" w:pos="567"/>
                <w:tab w:val="decimal" w:pos="463"/>
              </w:tabs>
            </w:pPr>
            <w:r>
              <w:t>30.0</w:t>
            </w:r>
          </w:p>
        </w:tc>
      </w:tr>
      <w:tr>
        <w:tc>
          <w:tcPr>
            <w:tcW w:w="993" w:type="dxa"/>
          </w:tcPr>
          <w:p>
            <w:pPr>
              <w:pStyle w:val="yTableNAm"/>
            </w:pPr>
            <w:r>
              <w:t>15.</w:t>
            </w:r>
          </w:p>
        </w:tc>
        <w:tc>
          <w:tcPr>
            <w:tcW w:w="4963" w:type="dxa"/>
            <w:gridSpan w:val="2"/>
          </w:tcPr>
          <w:p>
            <w:pPr>
              <w:pStyle w:val="yTableNAm"/>
            </w:pPr>
            <w:r>
              <w:t>BARBITONE</w:t>
            </w:r>
          </w:p>
        </w:tc>
        <w:tc>
          <w:tcPr>
            <w:tcW w:w="1240" w:type="dxa"/>
            <w:gridSpan w:val="2"/>
          </w:tcPr>
          <w:p>
            <w:pPr>
              <w:pStyle w:val="yTableNAm"/>
              <w:tabs>
                <w:tab w:val="clear" w:pos="567"/>
                <w:tab w:val="decimal" w:pos="463"/>
              </w:tabs>
            </w:pPr>
            <w:r>
              <w:t>30.0</w:t>
            </w:r>
          </w:p>
        </w:tc>
      </w:tr>
      <w:tr>
        <w:tc>
          <w:tcPr>
            <w:tcW w:w="993" w:type="dxa"/>
          </w:tcPr>
          <w:p>
            <w:pPr>
              <w:pStyle w:val="yTableNAm"/>
            </w:pPr>
            <w:r>
              <w:t>16.</w:t>
            </w:r>
          </w:p>
        </w:tc>
        <w:tc>
          <w:tcPr>
            <w:tcW w:w="4963" w:type="dxa"/>
            <w:gridSpan w:val="2"/>
          </w:tcPr>
          <w:p>
            <w:pPr>
              <w:pStyle w:val="yTableNAm"/>
            </w:pPr>
            <w:r>
              <w:t>BENZETHIDINE</w:t>
            </w:r>
          </w:p>
        </w:tc>
        <w:tc>
          <w:tcPr>
            <w:tcW w:w="1240" w:type="dxa"/>
            <w:gridSpan w:val="2"/>
          </w:tcPr>
          <w:p>
            <w:pPr>
              <w:pStyle w:val="yTableNAm"/>
              <w:tabs>
                <w:tab w:val="clear" w:pos="567"/>
                <w:tab w:val="decimal" w:pos="463"/>
              </w:tabs>
            </w:pPr>
            <w:r>
              <w:t>30.0</w:t>
            </w:r>
          </w:p>
        </w:tc>
      </w:tr>
      <w:tr>
        <w:tc>
          <w:tcPr>
            <w:tcW w:w="993" w:type="dxa"/>
          </w:tcPr>
          <w:p>
            <w:pPr>
              <w:pStyle w:val="yTableNAm"/>
            </w:pPr>
            <w:r>
              <w:t>17A.</w:t>
            </w:r>
          </w:p>
        </w:tc>
        <w:tc>
          <w:tcPr>
            <w:tcW w:w="4963" w:type="dxa"/>
            <w:gridSpan w:val="2"/>
          </w:tcPr>
          <w:p>
            <w:pPr>
              <w:pStyle w:val="yTableNAm"/>
            </w:pPr>
            <w:r>
              <w:t>BENZOYLINDOLES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17.</w:t>
            </w:r>
          </w:p>
        </w:tc>
        <w:tc>
          <w:tcPr>
            <w:tcW w:w="4963" w:type="dxa"/>
            <w:gridSpan w:val="2"/>
          </w:tcPr>
          <w:p>
            <w:pPr>
              <w:pStyle w:val="yTableNAm"/>
            </w:pPr>
            <w:r>
              <w:t>BENZYLMORPHINE</w:t>
            </w:r>
          </w:p>
        </w:tc>
        <w:tc>
          <w:tcPr>
            <w:tcW w:w="1240" w:type="dxa"/>
            <w:gridSpan w:val="2"/>
          </w:tcPr>
          <w:p>
            <w:pPr>
              <w:pStyle w:val="yTableNAm"/>
              <w:tabs>
                <w:tab w:val="clear" w:pos="567"/>
                <w:tab w:val="decimal" w:pos="463"/>
              </w:tabs>
            </w:pPr>
            <w:r>
              <w:t>15.0</w:t>
            </w:r>
          </w:p>
        </w:tc>
      </w:tr>
      <w:tr>
        <w:tc>
          <w:tcPr>
            <w:tcW w:w="993" w:type="dxa"/>
          </w:tcPr>
          <w:p>
            <w:pPr>
              <w:pStyle w:val="yTableNAm"/>
            </w:pPr>
            <w:r>
              <w:t>18A.</w:t>
            </w:r>
          </w:p>
        </w:tc>
        <w:tc>
          <w:tcPr>
            <w:tcW w:w="4963" w:type="dxa"/>
            <w:gridSpan w:val="2"/>
          </w:tcPr>
          <w:p>
            <w:pPr>
              <w:pStyle w:val="yTableNAm"/>
            </w:pPr>
            <w:r>
              <w:t>BENZYLPIPERAZINE (BZP)</w:t>
            </w:r>
          </w:p>
        </w:tc>
        <w:tc>
          <w:tcPr>
            <w:tcW w:w="1240" w:type="dxa"/>
            <w:gridSpan w:val="2"/>
          </w:tcPr>
          <w:p>
            <w:pPr>
              <w:pStyle w:val="yTableNAm"/>
              <w:tabs>
                <w:tab w:val="clear" w:pos="567"/>
                <w:tab w:val="decimal" w:pos="463"/>
              </w:tabs>
            </w:pPr>
            <w:r>
              <w:t>4.0</w:t>
            </w:r>
          </w:p>
        </w:tc>
      </w:tr>
      <w:tr>
        <w:tc>
          <w:tcPr>
            <w:tcW w:w="993" w:type="dxa"/>
          </w:tcPr>
          <w:p>
            <w:pPr>
              <w:pStyle w:val="yTableNAm"/>
            </w:pPr>
            <w:r>
              <w:t>18.</w:t>
            </w:r>
          </w:p>
        </w:tc>
        <w:tc>
          <w:tcPr>
            <w:tcW w:w="4963" w:type="dxa"/>
            <w:gridSpan w:val="2"/>
          </w:tcPr>
          <w:p>
            <w:pPr>
              <w:pStyle w:val="yTableNAm"/>
            </w:pPr>
            <w:r>
              <w:t>BETACETYLMETHADOL</w:t>
            </w:r>
          </w:p>
        </w:tc>
        <w:tc>
          <w:tcPr>
            <w:tcW w:w="1240" w:type="dxa"/>
            <w:gridSpan w:val="2"/>
          </w:tcPr>
          <w:p>
            <w:pPr>
              <w:pStyle w:val="yTableNAm"/>
              <w:tabs>
                <w:tab w:val="clear" w:pos="567"/>
                <w:tab w:val="decimal" w:pos="463"/>
              </w:tabs>
            </w:pPr>
            <w:r>
              <w:t>15.0</w:t>
            </w:r>
          </w:p>
        </w:tc>
      </w:tr>
      <w:tr>
        <w:tc>
          <w:tcPr>
            <w:tcW w:w="993" w:type="dxa"/>
          </w:tcPr>
          <w:p>
            <w:pPr>
              <w:pStyle w:val="yTableNAm"/>
            </w:pPr>
            <w:r>
              <w:t>19.</w:t>
            </w:r>
          </w:p>
        </w:tc>
        <w:tc>
          <w:tcPr>
            <w:tcW w:w="4963" w:type="dxa"/>
            <w:gridSpan w:val="2"/>
          </w:tcPr>
          <w:p>
            <w:pPr>
              <w:pStyle w:val="yTableNAm"/>
            </w:pPr>
            <w:r>
              <w:t>BETAMEPRODINE</w:t>
            </w:r>
          </w:p>
        </w:tc>
        <w:tc>
          <w:tcPr>
            <w:tcW w:w="1240" w:type="dxa"/>
            <w:gridSpan w:val="2"/>
          </w:tcPr>
          <w:p>
            <w:pPr>
              <w:pStyle w:val="yTableNAm"/>
              <w:tabs>
                <w:tab w:val="clear" w:pos="567"/>
                <w:tab w:val="decimal" w:pos="463"/>
              </w:tabs>
            </w:pPr>
            <w:r>
              <w:t>15.0</w:t>
            </w:r>
          </w:p>
        </w:tc>
      </w:tr>
      <w:tr>
        <w:tc>
          <w:tcPr>
            <w:tcW w:w="993" w:type="dxa"/>
          </w:tcPr>
          <w:p>
            <w:pPr>
              <w:pStyle w:val="yTableNAm"/>
            </w:pPr>
            <w:r>
              <w:t>20.</w:t>
            </w:r>
          </w:p>
        </w:tc>
        <w:tc>
          <w:tcPr>
            <w:tcW w:w="4963" w:type="dxa"/>
            <w:gridSpan w:val="2"/>
          </w:tcPr>
          <w:p>
            <w:pPr>
              <w:pStyle w:val="yTableNAm"/>
            </w:pPr>
            <w:r>
              <w:t>BETAMETHADOL</w:t>
            </w:r>
          </w:p>
        </w:tc>
        <w:tc>
          <w:tcPr>
            <w:tcW w:w="1240" w:type="dxa"/>
            <w:gridSpan w:val="2"/>
          </w:tcPr>
          <w:p>
            <w:pPr>
              <w:pStyle w:val="yTableNAm"/>
              <w:tabs>
                <w:tab w:val="clear" w:pos="567"/>
                <w:tab w:val="decimal" w:pos="463"/>
              </w:tabs>
            </w:pPr>
            <w:r>
              <w:t>15.0</w:t>
            </w:r>
          </w:p>
        </w:tc>
      </w:tr>
      <w:tr>
        <w:tc>
          <w:tcPr>
            <w:tcW w:w="993" w:type="dxa"/>
          </w:tcPr>
          <w:p>
            <w:pPr>
              <w:pStyle w:val="yTableNAm"/>
            </w:pPr>
            <w:r>
              <w:t>21.</w:t>
            </w:r>
          </w:p>
        </w:tc>
        <w:tc>
          <w:tcPr>
            <w:tcW w:w="4963" w:type="dxa"/>
            <w:gridSpan w:val="2"/>
          </w:tcPr>
          <w:p>
            <w:pPr>
              <w:pStyle w:val="yTableNAm"/>
            </w:pPr>
            <w:r>
              <w:t>BETAPRODINE</w:t>
            </w:r>
          </w:p>
        </w:tc>
        <w:tc>
          <w:tcPr>
            <w:tcW w:w="1240" w:type="dxa"/>
            <w:gridSpan w:val="2"/>
          </w:tcPr>
          <w:p>
            <w:pPr>
              <w:pStyle w:val="yTableNAm"/>
              <w:tabs>
                <w:tab w:val="clear" w:pos="567"/>
                <w:tab w:val="decimal" w:pos="463"/>
              </w:tabs>
            </w:pPr>
            <w:r>
              <w:t>15.0</w:t>
            </w:r>
          </w:p>
        </w:tc>
      </w:tr>
      <w:tr>
        <w:tc>
          <w:tcPr>
            <w:tcW w:w="993" w:type="dxa"/>
          </w:tcPr>
          <w:p>
            <w:pPr>
              <w:pStyle w:val="yTableNAm"/>
            </w:pPr>
            <w:r>
              <w:t>22.</w:t>
            </w:r>
          </w:p>
        </w:tc>
        <w:tc>
          <w:tcPr>
            <w:tcW w:w="4963" w:type="dxa"/>
            <w:gridSpan w:val="2"/>
          </w:tcPr>
          <w:p>
            <w:pPr>
              <w:pStyle w:val="yTableNAm"/>
            </w:pPr>
            <w:r>
              <w:t>BEZITRAMIDE</w:t>
            </w:r>
          </w:p>
        </w:tc>
        <w:tc>
          <w:tcPr>
            <w:tcW w:w="1240" w:type="dxa"/>
            <w:gridSpan w:val="2"/>
          </w:tcPr>
          <w:p>
            <w:pPr>
              <w:pStyle w:val="yTableNAm"/>
              <w:tabs>
                <w:tab w:val="clear" w:pos="567"/>
                <w:tab w:val="decimal" w:pos="463"/>
              </w:tabs>
            </w:pPr>
            <w:r>
              <w:t>15.0</w:t>
            </w:r>
          </w:p>
        </w:tc>
      </w:tr>
      <w:tr>
        <w:tc>
          <w:tcPr>
            <w:tcW w:w="993" w:type="dxa"/>
          </w:tcPr>
          <w:p>
            <w:pPr>
              <w:pStyle w:val="yTableNAm"/>
            </w:pPr>
            <w:r>
              <w:t>23.</w:t>
            </w:r>
          </w:p>
        </w:tc>
        <w:tc>
          <w:tcPr>
            <w:tcW w:w="4963" w:type="dxa"/>
            <w:gridSpan w:val="2"/>
          </w:tcPr>
          <w:p>
            <w:pPr>
              <w:pStyle w:val="yTableNAm"/>
            </w:pPr>
            <w:r>
              <w:t>BUFOTENINE</w:t>
            </w:r>
          </w:p>
        </w:tc>
        <w:tc>
          <w:tcPr>
            <w:tcW w:w="1240" w:type="dxa"/>
            <w:gridSpan w:val="2"/>
          </w:tcPr>
          <w:p>
            <w:pPr>
              <w:pStyle w:val="yTableNAm"/>
              <w:tabs>
                <w:tab w:val="clear" w:pos="567"/>
                <w:tab w:val="decimal" w:pos="463"/>
              </w:tabs>
            </w:pPr>
            <w:r>
              <w:t>6.0</w:t>
            </w:r>
          </w:p>
        </w:tc>
      </w:tr>
      <w:tr>
        <w:tc>
          <w:tcPr>
            <w:tcW w:w="993" w:type="dxa"/>
          </w:tcPr>
          <w:p>
            <w:pPr>
              <w:pStyle w:val="yTableNAm"/>
            </w:pPr>
            <w:r>
              <w:t>24.</w:t>
            </w:r>
          </w:p>
        </w:tc>
        <w:tc>
          <w:tcPr>
            <w:tcW w:w="4963" w:type="dxa"/>
            <w:gridSpan w:val="2"/>
          </w:tcPr>
          <w:p>
            <w:pPr>
              <w:pStyle w:val="yTableNAm"/>
            </w:pPr>
            <w:r>
              <w:t>BUTOBARBITONE</w:t>
            </w:r>
          </w:p>
        </w:tc>
        <w:tc>
          <w:tcPr>
            <w:tcW w:w="1240" w:type="dxa"/>
            <w:gridSpan w:val="2"/>
          </w:tcPr>
          <w:p>
            <w:pPr>
              <w:pStyle w:val="yTableNAm"/>
              <w:tabs>
                <w:tab w:val="clear" w:pos="567"/>
                <w:tab w:val="decimal" w:pos="463"/>
              </w:tabs>
            </w:pPr>
            <w:r>
              <w:t>30.0</w:t>
            </w:r>
          </w:p>
        </w:tc>
      </w:tr>
      <w:tr>
        <w:tc>
          <w:tcPr>
            <w:tcW w:w="993" w:type="dxa"/>
          </w:tcPr>
          <w:p>
            <w:pPr>
              <w:pStyle w:val="yTableNAm"/>
            </w:pPr>
            <w:r>
              <w:t>25A.</w:t>
            </w:r>
          </w:p>
        </w:tc>
        <w:tc>
          <w:tcPr>
            <w:tcW w:w="4963" w:type="dxa"/>
            <w:gridSpan w:val="2"/>
          </w:tcPr>
          <w:p>
            <w:pPr>
              <w:pStyle w:val="yTableNAm"/>
            </w:pPr>
            <w:r>
              <w:t>1</w:t>
            </w:r>
            <w:r>
              <w:noBreakHyphen/>
              <w:t>BUTYL</w:t>
            </w:r>
            <w:r>
              <w:noBreakHyphen/>
              <w:t>3</w:t>
            </w:r>
            <w:r>
              <w:noBreakHyphen/>
              <w:t>(1</w:t>
            </w:r>
            <w:r>
              <w:noBreakHyphen/>
              <w:t>NAPHTHOYL) INDOLE (JWH</w:t>
            </w:r>
            <w:r>
              <w:noBreakHyphen/>
              <w:t>073)</w:t>
            </w:r>
          </w:p>
        </w:tc>
        <w:tc>
          <w:tcPr>
            <w:tcW w:w="1240" w:type="dxa"/>
            <w:gridSpan w:val="2"/>
          </w:tcPr>
          <w:p>
            <w:pPr>
              <w:pStyle w:val="yTableNAm"/>
              <w:tabs>
                <w:tab w:val="clear" w:pos="567"/>
                <w:tab w:val="decimal" w:pos="463"/>
              </w:tabs>
            </w:pPr>
            <w:r>
              <w:br/>
              <w:t>500.0</w:t>
            </w:r>
          </w:p>
        </w:tc>
      </w:tr>
      <w:tr>
        <w:tc>
          <w:tcPr>
            <w:tcW w:w="993" w:type="dxa"/>
          </w:tcPr>
          <w:p>
            <w:pPr>
              <w:pStyle w:val="yTableNAm"/>
            </w:pPr>
            <w:r>
              <w:t>25.</w:t>
            </w:r>
          </w:p>
        </w:tc>
        <w:tc>
          <w:tcPr>
            <w:tcW w:w="4963" w:type="dxa"/>
            <w:gridSpan w:val="2"/>
          </w:tcPr>
          <w:p>
            <w:pPr>
              <w:pStyle w:val="yTableNAm"/>
            </w:pPr>
            <w:r>
              <w:t>CANNABIS</w:t>
            </w:r>
          </w:p>
        </w:tc>
        <w:tc>
          <w:tcPr>
            <w:tcW w:w="1240" w:type="dxa"/>
            <w:gridSpan w:val="2"/>
          </w:tcPr>
          <w:p>
            <w:pPr>
              <w:pStyle w:val="yTableNAm"/>
              <w:tabs>
                <w:tab w:val="clear" w:pos="567"/>
                <w:tab w:val="decimal" w:pos="463"/>
              </w:tabs>
            </w:pPr>
            <w:r>
              <w:t>500.0</w:t>
            </w:r>
          </w:p>
        </w:tc>
      </w:tr>
      <w:tr>
        <w:tc>
          <w:tcPr>
            <w:tcW w:w="993" w:type="dxa"/>
          </w:tcPr>
          <w:p>
            <w:pPr>
              <w:pStyle w:val="yTableNAm"/>
            </w:pPr>
            <w:r>
              <w:t>26.</w:t>
            </w:r>
          </w:p>
        </w:tc>
        <w:tc>
          <w:tcPr>
            <w:tcW w:w="4963" w:type="dxa"/>
            <w:gridSpan w:val="2"/>
          </w:tcPr>
          <w:p>
            <w:pPr>
              <w:pStyle w:val="yTableNAm"/>
            </w:pPr>
            <w:r>
              <w:t>CANNABIS RESIN</w:t>
            </w:r>
          </w:p>
        </w:tc>
        <w:tc>
          <w:tcPr>
            <w:tcW w:w="1240" w:type="dxa"/>
            <w:gridSpan w:val="2"/>
          </w:tcPr>
          <w:p>
            <w:pPr>
              <w:pStyle w:val="yTableNAm"/>
              <w:tabs>
                <w:tab w:val="clear" w:pos="567"/>
                <w:tab w:val="decimal" w:pos="463"/>
              </w:tabs>
            </w:pPr>
            <w:r>
              <w:t>40.0</w:t>
            </w:r>
          </w:p>
        </w:tc>
      </w:tr>
      <w:tr>
        <w:tc>
          <w:tcPr>
            <w:tcW w:w="993" w:type="dxa"/>
          </w:tcPr>
          <w:p>
            <w:pPr>
              <w:pStyle w:val="yTableNAm"/>
            </w:pPr>
            <w:r>
              <w:t>27.</w:t>
            </w:r>
          </w:p>
        </w:tc>
        <w:tc>
          <w:tcPr>
            <w:tcW w:w="4678" w:type="dxa"/>
          </w:tcPr>
          <w:p>
            <w:pPr>
              <w:pStyle w:val="yTableNAm"/>
            </w:pPr>
            <w:r>
              <w:t>CANNABIS (in cigarette form)</w:t>
            </w:r>
          </w:p>
        </w:tc>
        <w:tc>
          <w:tcPr>
            <w:tcW w:w="1525" w:type="dxa"/>
            <w:gridSpan w:val="3"/>
          </w:tcPr>
          <w:p>
            <w:pPr>
              <w:pStyle w:val="yTableNAm"/>
              <w:tabs>
                <w:tab w:val="center" w:pos="423"/>
              </w:tabs>
              <w:ind w:right="-176"/>
            </w:pPr>
            <w:r>
              <w:t xml:space="preserve">400 cigarettes </w:t>
            </w:r>
            <w:r>
              <w:rPr>
                <w:rFonts w:ascii="Times" w:hAnsi="Times"/>
                <w:spacing w:val="-4"/>
              </w:rPr>
              <w:t>each containing</w:t>
            </w:r>
            <w:r>
              <w:rPr>
                <w:rFonts w:ascii="Times" w:hAnsi="Times"/>
                <w:spacing w:val="-4"/>
              </w:rPr>
              <w:br/>
              <w:t>any</w:t>
            </w:r>
            <w:r>
              <w:t xml:space="preserve"> portion of cannabis</w:t>
            </w:r>
          </w:p>
        </w:tc>
      </w:tr>
      <w:tr>
        <w:tc>
          <w:tcPr>
            <w:tcW w:w="993" w:type="dxa"/>
          </w:tcPr>
          <w:p>
            <w:pPr>
              <w:pStyle w:val="yTableNAm"/>
            </w:pPr>
            <w:r>
              <w:t>28.</w:t>
            </w:r>
          </w:p>
        </w:tc>
        <w:tc>
          <w:tcPr>
            <w:tcW w:w="4963" w:type="dxa"/>
            <w:gridSpan w:val="2"/>
          </w:tcPr>
          <w:p>
            <w:pPr>
              <w:pStyle w:val="yTableNAm"/>
            </w:pPr>
            <w:r>
              <w:t>CLONITAZENE</w:t>
            </w:r>
          </w:p>
        </w:tc>
        <w:tc>
          <w:tcPr>
            <w:tcW w:w="1240" w:type="dxa"/>
            <w:gridSpan w:val="2"/>
          </w:tcPr>
          <w:p>
            <w:pPr>
              <w:pStyle w:val="yTableNAm"/>
              <w:tabs>
                <w:tab w:val="clear" w:pos="567"/>
                <w:tab w:val="decimal" w:pos="463"/>
              </w:tabs>
            </w:pPr>
            <w:r>
              <w:t>15.0</w:t>
            </w:r>
          </w:p>
        </w:tc>
      </w:tr>
      <w:tr>
        <w:tc>
          <w:tcPr>
            <w:tcW w:w="993" w:type="dxa"/>
          </w:tcPr>
          <w:p>
            <w:pPr>
              <w:pStyle w:val="yTableNAm"/>
            </w:pPr>
            <w:r>
              <w:t>29.</w:t>
            </w:r>
          </w:p>
        </w:tc>
        <w:tc>
          <w:tcPr>
            <w:tcW w:w="4963" w:type="dxa"/>
            <w:gridSpan w:val="2"/>
          </w:tcPr>
          <w:p>
            <w:pPr>
              <w:pStyle w:val="yTableNAm"/>
            </w:pPr>
            <w:r>
              <w:t>COCAINE</w:t>
            </w:r>
          </w:p>
        </w:tc>
        <w:tc>
          <w:tcPr>
            <w:tcW w:w="1240" w:type="dxa"/>
            <w:gridSpan w:val="2"/>
          </w:tcPr>
          <w:p>
            <w:pPr>
              <w:pStyle w:val="yTableNAm"/>
              <w:tabs>
                <w:tab w:val="clear" w:pos="567"/>
                <w:tab w:val="decimal" w:pos="463"/>
              </w:tabs>
            </w:pPr>
            <w:r>
              <w:t>4.0</w:t>
            </w:r>
          </w:p>
        </w:tc>
      </w:tr>
      <w:tr>
        <w:tc>
          <w:tcPr>
            <w:tcW w:w="993" w:type="dxa"/>
          </w:tcPr>
          <w:p>
            <w:pPr>
              <w:pStyle w:val="yTableNAm"/>
            </w:pPr>
            <w:r>
              <w:t>30.</w:t>
            </w:r>
          </w:p>
        </w:tc>
        <w:tc>
          <w:tcPr>
            <w:tcW w:w="4963" w:type="dxa"/>
            <w:gridSpan w:val="2"/>
          </w:tcPr>
          <w:p>
            <w:pPr>
              <w:pStyle w:val="yTableNAm"/>
            </w:pPr>
            <w:r>
              <w:t xml:space="preserve">CODEINE (except when included in Schedule 2, 3 or 4 in Appendix A to the </w:t>
            </w:r>
            <w:r>
              <w:rPr>
                <w:i/>
                <w:iCs/>
              </w:rPr>
              <w:t>Poisons Act 1964</w:t>
            </w:r>
            <w:r>
              <w:t>)</w:t>
            </w:r>
          </w:p>
        </w:tc>
        <w:tc>
          <w:tcPr>
            <w:tcW w:w="1240" w:type="dxa"/>
            <w:gridSpan w:val="2"/>
          </w:tcPr>
          <w:p>
            <w:pPr>
              <w:pStyle w:val="yTableNAm"/>
              <w:tabs>
                <w:tab w:val="clear" w:pos="567"/>
                <w:tab w:val="decimal" w:pos="463"/>
              </w:tabs>
            </w:pPr>
            <w:r>
              <w:t>30.0</w:t>
            </w:r>
          </w:p>
        </w:tc>
      </w:tr>
      <w:tr>
        <w:tc>
          <w:tcPr>
            <w:tcW w:w="993" w:type="dxa"/>
          </w:tcPr>
          <w:p>
            <w:pPr>
              <w:pStyle w:val="yTableNAm"/>
            </w:pPr>
            <w:r>
              <w:t>31.</w:t>
            </w:r>
          </w:p>
        </w:tc>
        <w:tc>
          <w:tcPr>
            <w:tcW w:w="4963" w:type="dxa"/>
            <w:gridSpan w:val="2"/>
          </w:tcPr>
          <w:p>
            <w:pPr>
              <w:pStyle w:val="yTableNAm"/>
            </w:pPr>
            <w:r>
              <w:t>CODEINE</w:t>
            </w:r>
            <w:r>
              <w:noBreakHyphen/>
              <w:t>N</w:t>
            </w:r>
            <w:r>
              <w:noBreakHyphen/>
              <w:t>OXIDE</w:t>
            </w:r>
          </w:p>
        </w:tc>
        <w:tc>
          <w:tcPr>
            <w:tcW w:w="1240" w:type="dxa"/>
            <w:gridSpan w:val="2"/>
          </w:tcPr>
          <w:p>
            <w:pPr>
              <w:pStyle w:val="yTableNAm"/>
              <w:tabs>
                <w:tab w:val="clear" w:pos="567"/>
                <w:tab w:val="decimal" w:pos="463"/>
              </w:tabs>
            </w:pPr>
            <w:r>
              <w:t>30.0</w:t>
            </w:r>
          </w:p>
        </w:tc>
      </w:tr>
      <w:tr>
        <w:tc>
          <w:tcPr>
            <w:tcW w:w="993" w:type="dxa"/>
          </w:tcPr>
          <w:p>
            <w:pPr>
              <w:pStyle w:val="yTableNAm"/>
            </w:pPr>
            <w:r>
              <w:t>32.</w:t>
            </w:r>
          </w:p>
        </w:tc>
        <w:tc>
          <w:tcPr>
            <w:tcW w:w="4963" w:type="dxa"/>
            <w:gridSpan w:val="2"/>
          </w:tcPr>
          <w:p>
            <w:pPr>
              <w:pStyle w:val="yTableNAm"/>
            </w:pPr>
            <w:r>
              <w:t>CODOXIME</w:t>
            </w:r>
          </w:p>
        </w:tc>
        <w:tc>
          <w:tcPr>
            <w:tcW w:w="1240" w:type="dxa"/>
            <w:gridSpan w:val="2"/>
          </w:tcPr>
          <w:p>
            <w:pPr>
              <w:pStyle w:val="yTableNAm"/>
              <w:tabs>
                <w:tab w:val="clear" w:pos="567"/>
                <w:tab w:val="decimal" w:pos="463"/>
              </w:tabs>
            </w:pPr>
            <w:r>
              <w:t>30.0</w:t>
            </w:r>
          </w:p>
        </w:tc>
      </w:tr>
      <w:tr>
        <w:tc>
          <w:tcPr>
            <w:tcW w:w="993" w:type="dxa"/>
          </w:tcPr>
          <w:p>
            <w:pPr>
              <w:pStyle w:val="yTableNAm"/>
            </w:pPr>
            <w:r>
              <w:t>33.</w:t>
            </w:r>
          </w:p>
        </w:tc>
        <w:tc>
          <w:tcPr>
            <w:tcW w:w="4963" w:type="dxa"/>
            <w:gridSpan w:val="2"/>
          </w:tcPr>
          <w:p>
            <w:pPr>
              <w:pStyle w:val="yTableNAm"/>
            </w:pPr>
            <w:r>
              <w:t>CYCLOBARBITONE</w:t>
            </w:r>
          </w:p>
        </w:tc>
        <w:tc>
          <w:tcPr>
            <w:tcW w:w="1240" w:type="dxa"/>
            <w:gridSpan w:val="2"/>
          </w:tcPr>
          <w:p>
            <w:pPr>
              <w:pStyle w:val="yTableNAm"/>
              <w:tabs>
                <w:tab w:val="clear" w:pos="567"/>
                <w:tab w:val="decimal" w:pos="463"/>
              </w:tabs>
            </w:pPr>
            <w:r>
              <w:t>30.0</w:t>
            </w:r>
          </w:p>
        </w:tc>
      </w:tr>
      <w:tr>
        <w:trPr>
          <w:cantSplit/>
        </w:trPr>
        <w:tc>
          <w:tcPr>
            <w:tcW w:w="993" w:type="dxa"/>
          </w:tcPr>
          <w:p>
            <w:pPr>
              <w:pStyle w:val="yTableNAm"/>
            </w:pPr>
            <w:r>
              <w:t>34A.</w:t>
            </w:r>
          </w:p>
        </w:tc>
        <w:tc>
          <w:tcPr>
            <w:tcW w:w="4963"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34B.</w:t>
            </w:r>
          </w:p>
        </w:tc>
        <w:tc>
          <w:tcPr>
            <w:tcW w:w="4963" w:type="dxa"/>
            <w:gridSpan w:val="2"/>
          </w:tcPr>
          <w:p>
            <w:pPr>
              <w:pStyle w:val="yTableNAm"/>
            </w:pPr>
            <w:r>
              <w:t>CYCLOHEXYLPHENOLS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34.</w:t>
            </w:r>
          </w:p>
        </w:tc>
        <w:tc>
          <w:tcPr>
            <w:tcW w:w="4963" w:type="dxa"/>
            <w:gridSpan w:val="2"/>
          </w:tcPr>
          <w:p>
            <w:pPr>
              <w:pStyle w:val="yTableNAm"/>
            </w:pPr>
            <w:r>
              <w:t>DESOMORPHINE</w:t>
            </w:r>
          </w:p>
        </w:tc>
        <w:tc>
          <w:tcPr>
            <w:tcW w:w="1240" w:type="dxa"/>
            <w:gridSpan w:val="2"/>
          </w:tcPr>
          <w:p>
            <w:pPr>
              <w:pStyle w:val="yTableNAm"/>
              <w:tabs>
                <w:tab w:val="clear" w:pos="567"/>
                <w:tab w:val="decimal" w:pos="463"/>
              </w:tabs>
            </w:pPr>
            <w:r>
              <w:t>6.0</w:t>
            </w:r>
          </w:p>
        </w:tc>
      </w:tr>
      <w:tr>
        <w:tc>
          <w:tcPr>
            <w:tcW w:w="993" w:type="dxa"/>
          </w:tcPr>
          <w:p>
            <w:pPr>
              <w:pStyle w:val="yTableNAm"/>
            </w:pPr>
            <w:r>
              <w:t>35.</w:t>
            </w:r>
          </w:p>
        </w:tc>
        <w:tc>
          <w:tcPr>
            <w:tcW w:w="4963" w:type="dxa"/>
            <w:gridSpan w:val="2"/>
          </w:tcPr>
          <w:p>
            <w:pPr>
              <w:pStyle w:val="yTableNAm"/>
            </w:pPr>
            <w:r>
              <w:t>DEXAMPHETAMINE</w:t>
            </w:r>
          </w:p>
        </w:tc>
        <w:tc>
          <w:tcPr>
            <w:tcW w:w="1240" w:type="dxa"/>
            <w:gridSpan w:val="2"/>
          </w:tcPr>
          <w:p>
            <w:pPr>
              <w:pStyle w:val="yTableNAm"/>
              <w:tabs>
                <w:tab w:val="clear" w:pos="567"/>
                <w:tab w:val="decimal" w:pos="463"/>
              </w:tabs>
            </w:pPr>
            <w:r>
              <w:t>6.0</w:t>
            </w:r>
          </w:p>
        </w:tc>
      </w:tr>
      <w:tr>
        <w:tc>
          <w:tcPr>
            <w:tcW w:w="993" w:type="dxa"/>
          </w:tcPr>
          <w:p>
            <w:pPr>
              <w:pStyle w:val="yTableNAm"/>
            </w:pPr>
            <w:r>
              <w:t>36.</w:t>
            </w:r>
          </w:p>
        </w:tc>
        <w:tc>
          <w:tcPr>
            <w:tcW w:w="4963" w:type="dxa"/>
            <w:gridSpan w:val="2"/>
          </w:tcPr>
          <w:p>
            <w:pPr>
              <w:pStyle w:val="yTableNAm"/>
            </w:pPr>
            <w:r>
              <w:t>DEXTROMORAMIDE</w:t>
            </w:r>
          </w:p>
        </w:tc>
        <w:tc>
          <w:tcPr>
            <w:tcW w:w="1240" w:type="dxa"/>
            <w:gridSpan w:val="2"/>
          </w:tcPr>
          <w:p>
            <w:pPr>
              <w:pStyle w:val="yTableNAm"/>
              <w:tabs>
                <w:tab w:val="clear" w:pos="567"/>
                <w:tab w:val="decimal" w:pos="463"/>
              </w:tabs>
            </w:pPr>
            <w:r>
              <w:t>3.0</w:t>
            </w:r>
          </w:p>
        </w:tc>
      </w:tr>
      <w:tr>
        <w:tc>
          <w:tcPr>
            <w:tcW w:w="993" w:type="dxa"/>
          </w:tcPr>
          <w:p>
            <w:pPr>
              <w:pStyle w:val="yTableNAm"/>
            </w:pPr>
            <w:r>
              <w:t>37.</w:t>
            </w:r>
          </w:p>
        </w:tc>
        <w:tc>
          <w:tcPr>
            <w:tcW w:w="4963" w:type="dxa"/>
            <w:gridSpan w:val="2"/>
          </w:tcPr>
          <w:p>
            <w:pPr>
              <w:pStyle w:val="yTableNAm"/>
            </w:pPr>
            <w:r>
              <w:t>DIAMPROMIDE</w:t>
            </w:r>
          </w:p>
        </w:tc>
        <w:tc>
          <w:tcPr>
            <w:tcW w:w="1240" w:type="dxa"/>
            <w:gridSpan w:val="2"/>
          </w:tcPr>
          <w:p>
            <w:pPr>
              <w:pStyle w:val="yTableNAm"/>
              <w:tabs>
                <w:tab w:val="clear" w:pos="567"/>
                <w:tab w:val="decimal" w:pos="463"/>
              </w:tabs>
            </w:pPr>
            <w:r>
              <w:t>15.0</w:t>
            </w:r>
          </w:p>
        </w:tc>
      </w:tr>
      <w:tr>
        <w:tc>
          <w:tcPr>
            <w:tcW w:w="993" w:type="dxa"/>
          </w:tcPr>
          <w:p>
            <w:pPr>
              <w:pStyle w:val="yTableNAm"/>
            </w:pPr>
            <w:r>
              <w:t>38A.</w:t>
            </w:r>
          </w:p>
        </w:tc>
        <w:tc>
          <w:tcPr>
            <w:tcW w:w="4963" w:type="dxa"/>
            <w:gridSpan w:val="2"/>
          </w:tcPr>
          <w:p>
            <w:pPr>
              <w:pStyle w:val="yTableNAm"/>
            </w:pPr>
            <w:r>
              <w:t>DIBENZOPYRANS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38.</w:t>
            </w:r>
          </w:p>
        </w:tc>
        <w:tc>
          <w:tcPr>
            <w:tcW w:w="4963" w:type="dxa"/>
            <w:gridSpan w:val="2"/>
          </w:tcPr>
          <w:p>
            <w:pPr>
              <w:pStyle w:val="yTableNAm"/>
            </w:pPr>
            <w:r>
              <w:t>DIETHYLTHIAMBUTENE</w:t>
            </w:r>
          </w:p>
        </w:tc>
        <w:tc>
          <w:tcPr>
            <w:tcW w:w="1240" w:type="dxa"/>
            <w:gridSpan w:val="2"/>
          </w:tcPr>
          <w:p>
            <w:pPr>
              <w:pStyle w:val="yTableNAm"/>
              <w:tabs>
                <w:tab w:val="clear" w:pos="567"/>
                <w:tab w:val="decimal" w:pos="463"/>
              </w:tabs>
            </w:pPr>
            <w:r>
              <w:t>15.0</w:t>
            </w:r>
          </w:p>
        </w:tc>
      </w:tr>
      <w:tr>
        <w:trPr>
          <w:cantSplit/>
        </w:trPr>
        <w:tc>
          <w:tcPr>
            <w:tcW w:w="993" w:type="dxa"/>
          </w:tcPr>
          <w:p>
            <w:pPr>
              <w:pStyle w:val="yTableNAm"/>
            </w:pPr>
            <w:r>
              <w:t>39.</w:t>
            </w:r>
          </w:p>
        </w:tc>
        <w:tc>
          <w:tcPr>
            <w:tcW w:w="4963"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NAm"/>
              <w:tabs>
                <w:tab w:val="clear" w:pos="567"/>
                <w:tab w:val="decimal" w:pos="463"/>
              </w:tabs>
            </w:pPr>
            <w:r>
              <w:br/>
            </w:r>
            <w:r>
              <w:br/>
            </w:r>
            <w:r>
              <w:br/>
              <w:t>30.0</w:t>
            </w:r>
          </w:p>
        </w:tc>
      </w:tr>
      <w:tr>
        <w:tc>
          <w:tcPr>
            <w:tcW w:w="993" w:type="dxa"/>
          </w:tcPr>
          <w:p>
            <w:pPr>
              <w:pStyle w:val="yTableNAm"/>
            </w:pPr>
            <w:r>
              <w:t>40.</w:t>
            </w:r>
          </w:p>
        </w:tc>
        <w:tc>
          <w:tcPr>
            <w:tcW w:w="4963" w:type="dxa"/>
            <w:gridSpan w:val="2"/>
          </w:tcPr>
          <w:p>
            <w:pPr>
              <w:pStyle w:val="yTableNAm"/>
            </w:pPr>
            <w:r>
              <w:t xml:space="preserve">DIHYDROCODEINE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30.0</w:t>
            </w:r>
          </w:p>
        </w:tc>
      </w:tr>
      <w:tr>
        <w:tc>
          <w:tcPr>
            <w:tcW w:w="993" w:type="dxa"/>
          </w:tcPr>
          <w:p>
            <w:pPr>
              <w:pStyle w:val="yTableNAm"/>
            </w:pPr>
            <w:r>
              <w:t>41.</w:t>
            </w:r>
          </w:p>
        </w:tc>
        <w:tc>
          <w:tcPr>
            <w:tcW w:w="4963" w:type="dxa"/>
            <w:gridSpan w:val="2"/>
          </w:tcPr>
          <w:p>
            <w:pPr>
              <w:pStyle w:val="yTableNAm"/>
            </w:pPr>
            <w:r>
              <w:t>DIHYDROMORPHINE</w:t>
            </w:r>
          </w:p>
        </w:tc>
        <w:tc>
          <w:tcPr>
            <w:tcW w:w="1240" w:type="dxa"/>
            <w:gridSpan w:val="2"/>
          </w:tcPr>
          <w:p>
            <w:pPr>
              <w:pStyle w:val="yTableNAm"/>
              <w:tabs>
                <w:tab w:val="clear" w:pos="567"/>
                <w:tab w:val="decimal" w:pos="463"/>
              </w:tabs>
            </w:pPr>
            <w:r>
              <w:t>30.0</w:t>
            </w:r>
          </w:p>
        </w:tc>
      </w:tr>
      <w:tr>
        <w:tc>
          <w:tcPr>
            <w:tcW w:w="993" w:type="dxa"/>
          </w:tcPr>
          <w:p>
            <w:pPr>
              <w:pStyle w:val="yTableNAm"/>
            </w:pPr>
            <w:r>
              <w:t>42.</w:t>
            </w:r>
          </w:p>
        </w:tc>
        <w:tc>
          <w:tcPr>
            <w:tcW w:w="4963" w:type="dxa"/>
            <w:gridSpan w:val="2"/>
          </w:tcPr>
          <w:p>
            <w:pPr>
              <w:pStyle w:val="yTableNAm"/>
            </w:pPr>
            <w:r>
              <w:t>DIMENOXADOL</w:t>
            </w:r>
          </w:p>
        </w:tc>
        <w:tc>
          <w:tcPr>
            <w:tcW w:w="1240" w:type="dxa"/>
            <w:gridSpan w:val="2"/>
          </w:tcPr>
          <w:p>
            <w:pPr>
              <w:pStyle w:val="yTableNAm"/>
              <w:tabs>
                <w:tab w:val="clear" w:pos="567"/>
                <w:tab w:val="decimal" w:pos="463"/>
              </w:tabs>
            </w:pPr>
            <w:r>
              <w:t>30.0</w:t>
            </w:r>
          </w:p>
        </w:tc>
      </w:tr>
      <w:tr>
        <w:tc>
          <w:tcPr>
            <w:tcW w:w="993" w:type="dxa"/>
          </w:tcPr>
          <w:p>
            <w:pPr>
              <w:pStyle w:val="yTableNAm"/>
            </w:pPr>
            <w:r>
              <w:t>43.</w:t>
            </w:r>
          </w:p>
        </w:tc>
        <w:tc>
          <w:tcPr>
            <w:tcW w:w="4963" w:type="dxa"/>
            <w:gridSpan w:val="2"/>
          </w:tcPr>
          <w:p>
            <w:pPr>
              <w:pStyle w:val="yTableNAm"/>
            </w:pPr>
            <w:r>
              <w:t>DIMEPHEPTANOL</w:t>
            </w:r>
          </w:p>
        </w:tc>
        <w:tc>
          <w:tcPr>
            <w:tcW w:w="1240" w:type="dxa"/>
            <w:gridSpan w:val="2"/>
          </w:tcPr>
          <w:p>
            <w:pPr>
              <w:pStyle w:val="yTableNAm"/>
              <w:tabs>
                <w:tab w:val="clear" w:pos="567"/>
                <w:tab w:val="decimal" w:pos="463"/>
              </w:tabs>
            </w:pPr>
            <w:r>
              <w:t>30.0</w:t>
            </w:r>
          </w:p>
        </w:tc>
      </w:tr>
      <w:tr>
        <w:tc>
          <w:tcPr>
            <w:tcW w:w="993" w:type="dxa"/>
          </w:tcPr>
          <w:p>
            <w:pPr>
              <w:pStyle w:val="yTableNAm"/>
            </w:pPr>
            <w:r>
              <w:t>44.</w:t>
            </w:r>
          </w:p>
        </w:tc>
        <w:tc>
          <w:tcPr>
            <w:tcW w:w="4963" w:type="dxa"/>
            <w:gridSpan w:val="2"/>
          </w:tcPr>
          <w:p>
            <w:pPr>
              <w:pStyle w:val="yTableNAm"/>
            </w:pPr>
            <w:r>
              <w:t>2,5</w:t>
            </w:r>
            <w:r>
              <w:noBreakHyphen/>
              <w:t>DIMETHOXY</w:t>
            </w:r>
            <w:r>
              <w:noBreakHyphen/>
              <w:t>4</w:t>
            </w:r>
            <w:r>
              <w:noBreakHyphen/>
              <w:t>BROMOAMPHETAMINE</w:t>
            </w:r>
          </w:p>
        </w:tc>
        <w:tc>
          <w:tcPr>
            <w:tcW w:w="1240" w:type="dxa"/>
            <w:gridSpan w:val="2"/>
          </w:tcPr>
          <w:p>
            <w:pPr>
              <w:pStyle w:val="yTableNAm"/>
              <w:tabs>
                <w:tab w:val="clear" w:pos="567"/>
                <w:tab w:val="decimal" w:pos="463"/>
              </w:tabs>
            </w:pPr>
            <w:r>
              <w:t>0.25</w:t>
            </w:r>
          </w:p>
        </w:tc>
      </w:tr>
      <w:tr>
        <w:tc>
          <w:tcPr>
            <w:tcW w:w="993" w:type="dxa"/>
          </w:tcPr>
          <w:p>
            <w:pPr>
              <w:pStyle w:val="yTableNAm"/>
            </w:pPr>
            <w:r>
              <w:t>45.</w:t>
            </w:r>
          </w:p>
        </w:tc>
        <w:tc>
          <w:tcPr>
            <w:tcW w:w="4963" w:type="dxa"/>
            <w:gridSpan w:val="2"/>
          </w:tcPr>
          <w:p>
            <w:pPr>
              <w:pStyle w:val="yTableNAm"/>
            </w:pPr>
            <w:r>
              <w:t>2,5</w:t>
            </w:r>
            <w:r>
              <w:noBreakHyphen/>
              <w:t>DIMETHOXY</w:t>
            </w:r>
            <w:r>
              <w:noBreakHyphen/>
              <w:t>4</w:t>
            </w:r>
            <w:r>
              <w:noBreakHyphen/>
              <w:t>METHYLAMPHETAMINE</w:t>
            </w:r>
          </w:p>
        </w:tc>
        <w:tc>
          <w:tcPr>
            <w:tcW w:w="1240" w:type="dxa"/>
            <w:gridSpan w:val="2"/>
          </w:tcPr>
          <w:p>
            <w:pPr>
              <w:pStyle w:val="yTableNAm"/>
              <w:tabs>
                <w:tab w:val="clear" w:pos="567"/>
                <w:tab w:val="decimal" w:pos="463"/>
              </w:tabs>
            </w:pPr>
            <w:r>
              <w:t>0.25</w:t>
            </w:r>
          </w:p>
        </w:tc>
      </w:tr>
      <w:tr>
        <w:tc>
          <w:tcPr>
            <w:tcW w:w="993" w:type="dxa"/>
          </w:tcPr>
          <w:p>
            <w:pPr>
              <w:pStyle w:val="yTableNAm"/>
            </w:pPr>
            <w:r>
              <w:t>46A.</w:t>
            </w:r>
          </w:p>
        </w:tc>
        <w:tc>
          <w:tcPr>
            <w:tcW w:w="4963" w:type="dxa"/>
            <w:gridSpan w:val="2"/>
          </w:tcPr>
          <w:p>
            <w:pPr>
              <w:pStyle w:val="yTableNAm"/>
            </w:pPr>
            <w:r>
              <w:t>DIMETHYLAMPHETAMINE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46B.</w:t>
            </w:r>
          </w:p>
        </w:tc>
        <w:tc>
          <w:tcPr>
            <w:tcW w:w="4963" w:type="dxa"/>
            <w:gridSpan w:val="2"/>
          </w:tcPr>
          <w:p>
            <w:pPr>
              <w:pStyle w:val="yTableNAm"/>
              <w:keepNext/>
              <w:keepLines/>
            </w:pPr>
            <w:r>
              <w:t>5</w:t>
            </w:r>
            <w:r>
              <w:noBreakHyphen/>
              <w:t>(1,1</w:t>
            </w:r>
            <w:r>
              <w:noBreakHyphen/>
              <w:t>DIMETHYLHEPTYL)</w:t>
            </w:r>
            <w:r>
              <w:noBreakHyphen/>
              <w:t>2</w:t>
            </w:r>
            <w:r>
              <w:noBreakHyphen/>
              <w:t>[(1R,3S)</w:t>
            </w:r>
            <w:r>
              <w:noBreakHyphen/>
            </w:r>
            <w:r>
              <w:br/>
              <w:t>3</w:t>
            </w:r>
            <w:r>
              <w:noBreakHyphen/>
              <w:t>HYDROXYCYCLOHEXYL]</w:t>
            </w:r>
            <w:r>
              <w:noBreakHyphen/>
              <w:t xml:space="preserve">PHENOL </w:t>
            </w:r>
            <w:r>
              <w:br/>
              <w:t>(CP 47,497)</w:t>
            </w:r>
          </w:p>
        </w:tc>
        <w:tc>
          <w:tcPr>
            <w:tcW w:w="1240" w:type="dxa"/>
            <w:gridSpan w:val="2"/>
          </w:tcPr>
          <w:p>
            <w:pPr>
              <w:pStyle w:val="yTableNAm"/>
              <w:keepNext/>
              <w:keepLines/>
              <w:tabs>
                <w:tab w:val="clear" w:pos="567"/>
                <w:tab w:val="decimal" w:pos="463"/>
              </w:tabs>
            </w:pPr>
            <w:r>
              <w:br/>
            </w:r>
            <w:r>
              <w:br/>
              <w:t>500.0</w:t>
            </w:r>
          </w:p>
        </w:tc>
      </w:tr>
      <w:tr>
        <w:trPr>
          <w:cantSplit/>
        </w:trPr>
        <w:tc>
          <w:tcPr>
            <w:tcW w:w="993" w:type="dxa"/>
          </w:tcPr>
          <w:p>
            <w:pPr>
              <w:pStyle w:val="yTableNAm"/>
            </w:pPr>
            <w:r>
              <w:t>46C.</w:t>
            </w:r>
          </w:p>
        </w:tc>
        <w:tc>
          <w:tcPr>
            <w:tcW w:w="4963"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46.</w:t>
            </w:r>
          </w:p>
        </w:tc>
        <w:tc>
          <w:tcPr>
            <w:tcW w:w="4963" w:type="dxa"/>
            <w:gridSpan w:val="2"/>
          </w:tcPr>
          <w:p>
            <w:pPr>
              <w:pStyle w:val="yTableNAm"/>
            </w:pPr>
            <w:r>
              <w:t>DIMETHYLTHIAMBUTENE</w:t>
            </w:r>
          </w:p>
        </w:tc>
        <w:tc>
          <w:tcPr>
            <w:tcW w:w="1240" w:type="dxa"/>
            <w:gridSpan w:val="2"/>
          </w:tcPr>
          <w:p>
            <w:pPr>
              <w:pStyle w:val="yTableNAm"/>
              <w:tabs>
                <w:tab w:val="clear" w:pos="567"/>
                <w:tab w:val="decimal" w:pos="463"/>
              </w:tabs>
            </w:pPr>
            <w:r>
              <w:t>60.0</w:t>
            </w:r>
          </w:p>
        </w:tc>
      </w:tr>
      <w:tr>
        <w:tc>
          <w:tcPr>
            <w:tcW w:w="993" w:type="dxa"/>
          </w:tcPr>
          <w:p>
            <w:pPr>
              <w:pStyle w:val="yTableNAm"/>
            </w:pPr>
            <w:r>
              <w:t>47.</w:t>
            </w:r>
          </w:p>
        </w:tc>
        <w:tc>
          <w:tcPr>
            <w:tcW w:w="4963" w:type="dxa"/>
            <w:gridSpan w:val="2"/>
          </w:tcPr>
          <w:p>
            <w:pPr>
              <w:pStyle w:val="yTableNAm"/>
            </w:pPr>
            <w:r>
              <w:t>DIMETHYLTRYPTAMINE</w:t>
            </w:r>
          </w:p>
        </w:tc>
        <w:tc>
          <w:tcPr>
            <w:tcW w:w="1240" w:type="dxa"/>
            <w:gridSpan w:val="2"/>
          </w:tcPr>
          <w:p>
            <w:pPr>
              <w:pStyle w:val="yTableNAm"/>
              <w:tabs>
                <w:tab w:val="clear" w:pos="567"/>
                <w:tab w:val="decimal" w:pos="463"/>
              </w:tabs>
            </w:pPr>
            <w:r>
              <w:t>6.0</w:t>
            </w:r>
          </w:p>
        </w:tc>
      </w:tr>
      <w:tr>
        <w:tc>
          <w:tcPr>
            <w:tcW w:w="993" w:type="dxa"/>
          </w:tcPr>
          <w:p>
            <w:pPr>
              <w:pStyle w:val="yTableNAm"/>
            </w:pPr>
            <w:r>
              <w:t>48.</w:t>
            </w:r>
          </w:p>
        </w:tc>
        <w:tc>
          <w:tcPr>
            <w:tcW w:w="4963" w:type="dxa"/>
            <w:gridSpan w:val="2"/>
          </w:tcPr>
          <w:p>
            <w:pPr>
              <w:pStyle w:val="yTableNAm"/>
            </w:pPr>
            <w:r>
              <w:t>DIOXAPHETYL BUTYRATE</w:t>
            </w:r>
          </w:p>
        </w:tc>
        <w:tc>
          <w:tcPr>
            <w:tcW w:w="1240" w:type="dxa"/>
            <w:gridSpan w:val="2"/>
          </w:tcPr>
          <w:p>
            <w:pPr>
              <w:pStyle w:val="yTableNAm"/>
              <w:tabs>
                <w:tab w:val="clear" w:pos="567"/>
                <w:tab w:val="decimal" w:pos="463"/>
              </w:tabs>
            </w:pPr>
            <w:r>
              <w:t>6.0</w:t>
            </w:r>
          </w:p>
        </w:tc>
      </w:tr>
      <w:tr>
        <w:tc>
          <w:tcPr>
            <w:tcW w:w="993" w:type="dxa"/>
          </w:tcPr>
          <w:p>
            <w:pPr>
              <w:pStyle w:val="yTableNAm"/>
            </w:pPr>
            <w:r>
              <w:t>49.</w:t>
            </w:r>
          </w:p>
        </w:tc>
        <w:tc>
          <w:tcPr>
            <w:tcW w:w="4963"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NAm"/>
              <w:tabs>
                <w:tab w:val="clear" w:pos="567"/>
                <w:tab w:val="decimal" w:pos="463"/>
              </w:tabs>
            </w:pPr>
            <w:r>
              <w:br/>
            </w:r>
            <w:r>
              <w:br/>
            </w:r>
            <w:r>
              <w:br/>
            </w:r>
            <w:r>
              <w:br/>
              <w:t>6.0</w:t>
            </w:r>
          </w:p>
        </w:tc>
      </w:tr>
      <w:tr>
        <w:tc>
          <w:tcPr>
            <w:tcW w:w="993" w:type="dxa"/>
          </w:tcPr>
          <w:p>
            <w:pPr>
              <w:pStyle w:val="yTableNAm"/>
            </w:pPr>
            <w:r>
              <w:t>50.</w:t>
            </w:r>
          </w:p>
        </w:tc>
        <w:tc>
          <w:tcPr>
            <w:tcW w:w="4963" w:type="dxa"/>
            <w:gridSpan w:val="2"/>
          </w:tcPr>
          <w:p>
            <w:pPr>
              <w:pStyle w:val="yTableNAm"/>
            </w:pPr>
            <w:r>
              <w:t>DIPIPANONE</w:t>
            </w:r>
          </w:p>
        </w:tc>
        <w:tc>
          <w:tcPr>
            <w:tcW w:w="1240" w:type="dxa"/>
            <w:gridSpan w:val="2"/>
          </w:tcPr>
          <w:p>
            <w:pPr>
              <w:pStyle w:val="yTableNAm"/>
              <w:tabs>
                <w:tab w:val="clear" w:pos="567"/>
                <w:tab w:val="decimal" w:pos="463"/>
              </w:tabs>
            </w:pPr>
            <w:r>
              <w:t>30.0</w:t>
            </w:r>
          </w:p>
        </w:tc>
      </w:tr>
      <w:tr>
        <w:tc>
          <w:tcPr>
            <w:tcW w:w="993" w:type="dxa"/>
          </w:tcPr>
          <w:p>
            <w:pPr>
              <w:pStyle w:val="yTableNAm"/>
            </w:pPr>
            <w:r>
              <w:t>51.</w:t>
            </w:r>
          </w:p>
        </w:tc>
        <w:tc>
          <w:tcPr>
            <w:tcW w:w="4963" w:type="dxa"/>
            <w:gridSpan w:val="2"/>
          </w:tcPr>
          <w:p>
            <w:pPr>
              <w:pStyle w:val="yTableNAm"/>
            </w:pPr>
            <w:r>
              <w:t>DROTEBANOL</w:t>
            </w:r>
          </w:p>
        </w:tc>
        <w:tc>
          <w:tcPr>
            <w:tcW w:w="1240" w:type="dxa"/>
            <w:gridSpan w:val="2"/>
          </w:tcPr>
          <w:p>
            <w:pPr>
              <w:pStyle w:val="yTableNAm"/>
              <w:tabs>
                <w:tab w:val="clear" w:pos="567"/>
                <w:tab w:val="decimal" w:pos="463"/>
              </w:tabs>
            </w:pPr>
            <w:r>
              <w:t>0.3</w:t>
            </w:r>
          </w:p>
        </w:tc>
      </w:tr>
      <w:tr>
        <w:tc>
          <w:tcPr>
            <w:tcW w:w="993" w:type="dxa"/>
          </w:tcPr>
          <w:p>
            <w:pPr>
              <w:pStyle w:val="yTableNAm"/>
            </w:pPr>
            <w:r>
              <w:t>52.</w:t>
            </w:r>
          </w:p>
        </w:tc>
        <w:tc>
          <w:tcPr>
            <w:tcW w:w="4963" w:type="dxa"/>
            <w:gridSpan w:val="2"/>
          </w:tcPr>
          <w:p>
            <w:pPr>
              <w:pStyle w:val="yTableNAm"/>
            </w:pPr>
            <w:r>
              <w:t>ECGONINE, ITS ESTERS AND DERIVATIVES which are convertible to ECGONINE AND COCAINE</w:t>
            </w:r>
          </w:p>
        </w:tc>
        <w:tc>
          <w:tcPr>
            <w:tcW w:w="1240" w:type="dxa"/>
            <w:gridSpan w:val="2"/>
          </w:tcPr>
          <w:p>
            <w:pPr>
              <w:pStyle w:val="yTableNAm"/>
              <w:tabs>
                <w:tab w:val="clear" w:pos="567"/>
                <w:tab w:val="decimal" w:pos="463"/>
              </w:tabs>
            </w:pPr>
            <w:r>
              <w:br/>
            </w:r>
            <w:r>
              <w:br/>
              <w:t>30.0</w:t>
            </w:r>
          </w:p>
        </w:tc>
      </w:tr>
      <w:tr>
        <w:trPr>
          <w:cantSplit/>
        </w:trPr>
        <w:tc>
          <w:tcPr>
            <w:tcW w:w="993" w:type="dxa"/>
          </w:tcPr>
          <w:p>
            <w:pPr>
              <w:pStyle w:val="yTableNAm"/>
            </w:pPr>
            <w:r>
              <w:rPr>
                <w:spacing w:val="-8"/>
              </w:rPr>
              <w:t>52A</w:t>
            </w:r>
            <w:r>
              <w:rPr>
                <w:spacing w:val="-12"/>
              </w:rPr>
              <w:t>.</w:t>
            </w:r>
          </w:p>
        </w:tc>
        <w:tc>
          <w:tcPr>
            <w:tcW w:w="4963" w:type="dxa"/>
            <w:gridSpan w:val="2"/>
          </w:tcPr>
          <w:p>
            <w:pPr>
              <w:pStyle w:val="yTableNAm"/>
            </w:pPr>
            <w:r>
              <w:t>EPHEDRINE</w:t>
            </w:r>
          </w:p>
        </w:tc>
        <w:tc>
          <w:tcPr>
            <w:tcW w:w="1240" w:type="dxa"/>
            <w:gridSpan w:val="2"/>
          </w:tcPr>
          <w:p>
            <w:pPr>
              <w:pStyle w:val="yTableNAm"/>
              <w:tabs>
                <w:tab w:val="clear" w:pos="567"/>
                <w:tab w:val="decimal" w:pos="463"/>
              </w:tabs>
            </w:pPr>
            <w:r>
              <w:t>4.0</w:t>
            </w:r>
          </w:p>
        </w:tc>
      </w:tr>
      <w:tr>
        <w:tc>
          <w:tcPr>
            <w:tcW w:w="993" w:type="dxa"/>
          </w:tcPr>
          <w:p>
            <w:pPr>
              <w:pStyle w:val="yTableNAm"/>
            </w:pPr>
            <w:r>
              <w:t>53.</w:t>
            </w:r>
          </w:p>
        </w:tc>
        <w:tc>
          <w:tcPr>
            <w:tcW w:w="4963" w:type="dxa"/>
            <w:gridSpan w:val="2"/>
          </w:tcPr>
          <w:p>
            <w:pPr>
              <w:pStyle w:val="yTableNAm"/>
            </w:pPr>
            <w:r>
              <w:t>ETHYLMETHYLTHIAMBUTENE</w:t>
            </w:r>
          </w:p>
        </w:tc>
        <w:tc>
          <w:tcPr>
            <w:tcW w:w="1240" w:type="dxa"/>
            <w:gridSpan w:val="2"/>
          </w:tcPr>
          <w:p>
            <w:pPr>
              <w:pStyle w:val="yTableNAm"/>
              <w:tabs>
                <w:tab w:val="clear" w:pos="567"/>
                <w:tab w:val="decimal" w:pos="463"/>
              </w:tabs>
            </w:pPr>
            <w:r>
              <w:t>30.0</w:t>
            </w:r>
          </w:p>
        </w:tc>
      </w:tr>
      <w:tr>
        <w:tc>
          <w:tcPr>
            <w:tcW w:w="993" w:type="dxa"/>
          </w:tcPr>
          <w:p>
            <w:pPr>
              <w:pStyle w:val="yTableNAm"/>
            </w:pPr>
            <w:r>
              <w:t>54.</w:t>
            </w:r>
          </w:p>
        </w:tc>
        <w:tc>
          <w:tcPr>
            <w:tcW w:w="4963" w:type="dxa"/>
            <w:gridSpan w:val="2"/>
          </w:tcPr>
          <w:p>
            <w:pPr>
              <w:pStyle w:val="yTableNAm"/>
            </w:pPr>
            <w:r>
              <w:t>ETHYLMORPHINE (and substances containing more than 2.5% of ethylmorphine)</w:t>
            </w:r>
          </w:p>
        </w:tc>
        <w:tc>
          <w:tcPr>
            <w:tcW w:w="1240" w:type="dxa"/>
            <w:gridSpan w:val="2"/>
          </w:tcPr>
          <w:p>
            <w:pPr>
              <w:pStyle w:val="yTableNAm"/>
              <w:tabs>
                <w:tab w:val="clear" w:pos="567"/>
                <w:tab w:val="decimal" w:pos="463"/>
              </w:tabs>
            </w:pPr>
            <w:r>
              <w:br/>
              <w:t>6.0</w:t>
            </w:r>
          </w:p>
        </w:tc>
      </w:tr>
      <w:tr>
        <w:tc>
          <w:tcPr>
            <w:tcW w:w="993" w:type="dxa"/>
          </w:tcPr>
          <w:p>
            <w:pPr>
              <w:pStyle w:val="yTableNAm"/>
            </w:pPr>
            <w:r>
              <w:t>55.</w:t>
            </w:r>
          </w:p>
        </w:tc>
        <w:tc>
          <w:tcPr>
            <w:tcW w:w="4963" w:type="dxa"/>
            <w:gridSpan w:val="2"/>
          </w:tcPr>
          <w:p>
            <w:pPr>
              <w:pStyle w:val="yTableNAm"/>
            </w:pPr>
            <w:r>
              <w:t>ETONITAZENE</w:t>
            </w:r>
          </w:p>
        </w:tc>
        <w:tc>
          <w:tcPr>
            <w:tcW w:w="1240" w:type="dxa"/>
            <w:gridSpan w:val="2"/>
          </w:tcPr>
          <w:p>
            <w:pPr>
              <w:pStyle w:val="yTableNAm"/>
              <w:tabs>
                <w:tab w:val="clear" w:pos="567"/>
                <w:tab w:val="decimal" w:pos="463"/>
              </w:tabs>
            </w:pPr>
            <w:r>
              <w:t>15.0</w:t>
            </w:r>
          </w:p>
        </w:tc>
      </w:tr>
      <w:tr>
        <w:tc>
          <w:tcPr>
            <w:tcW w:w="993" w:type="dxa"/>
          </w:tcPr>
          <w:p>
            <w:pPr>
              <w:pStyle w:val="yTableNAm"/>
            </w:pPr>
            <w:r>
              <w:t>56.</w:t>
            </w:r>
          </w:p>
        </w:tc>
        <w:tc>
          <w:tcPr>
            <w:tcW w:w="4963" w:type="dxa"/>
            <w:gridSpan w:val="2"/>
          </w:tcPr>
          <w:p>
            <w:pPr>
              <w:pStyle w:val="yTableNAm"/>
            </w:pPr>
            <w:r>
              <w:t>ETORPHINE</w:t>
            </w:r>
          </w:p>
        </w:tc>
        <w:tc>
          <w:tcPr>
            <w:tcW w:w="1240" w:type="dxa"/>
            <w:gridSpan w:val="2"/>
          </w:tcPr>
          <w:p>
            <w:pPr>
              <w:pStyle w:val="yTableNAm"/>
              <w:tabs>
                <w:tab w:val="clear" w:pos="567"/>
                <w:tab w:val="decimal" w:pos="463"/>
              </w:tabs>
            </w:pPr>
            <w:r>
              <w:t>15.0</w:t>
            </w:r>
          </w:p>
        </w:tc>
      </w:tr>
      <w:tr>
        <w:tc>
          <w:tcPr>
            <w:tcW w:w="993" w:type="dxa"/>
          </w:tcPr>
          <w:p>
            <w:pPr>
              <w:pStyle w:val="yTableNAm"/>
            </w:pPr>
            <w:r>
              <w:t>57.</w:t>
            </w:r>
          </w:p>
        </w:tc>
        <w:tc>
          <w:tcPr>
            <w:tcW w:w="4963" w:type="dxa"/>
            <w:gridSpan w:val="2"/>
          </w:tcPr>
          <w:p>
            <w:pPr>
              <w:pStyle w:val="yTableNAm"/>
            </w:pPr>
            <w:r>
              <w:t>ETOXERIDINE</w:t>
            </w:r>
          </w:p>
        </w:tc>
        <w:tc>
          <w:tcPr>
            <w:tcW w:w="1240" w:type="dxa"/>
            <w:gridSpan w:val="2"/>
          </w:tcPr>
          <w:p>
            <w:pPr>
              <w:pStyle w:val="yTableNAm"/>
              <w:tabs>
                <w:tab w:val="clear" w:pos="567"/>
                <w:tab w:val="decimal" w:pos="463"/>
              </w:tabs>
            </w:pPr>
            <w:r>
              <w:t>15.0</w:t>
            </w:r>
          </w:p>
        </w:tc>
      </w:tr>
      <w:tr>
        <w:tc>
          <w:tcPr>
            <w:tcW w:w="993" w:type="dxa"/>
          </w:tcPr>
          <w:p>
            <w:pPr>
              <w:pStyle w:val="yTableNAm"/>
            </w:pPr>
            <w:r>
              <w:t>58.</w:t>
            </w:r>
          </w:p>
        </w:tc>
        <w:tc>
          <w:tcPr>
            <w:tcW w:w="4963" w:type="dxa"/>
            <w:gridSpan w:val="2"/>
          </w:tcPr>
          <w:p>
            <w:pPr>
              <w:pStyle w:val="yTableNAm"/>
            </w:pPr>
            <w:r>
              <w:t>FENTANYL</w:t>
            </w:r>
          </w:p>
        </w:tc>
        <w:tc>
          <w:tcPr>
            <w:tcW w:w="1240" w:type="dxa"/>
            <w:gridSpan w:val="2"/>
          </w:tcPr>
          <w:p>
            <w:pPr>
              <w:pStyle w:val="yTableNAm"/>
              <w:tabs>
                <w:tab w:val="clear" w:pos="567"/>
                <w:tab w:val="decimal" w:pos="463"/>
              </w:tabs>
            </w:pPr>
            <w:r>
              <w:t>0.015</w:t>
            </w:r>
          </w:p>
        </w:tc>
      </w:tr>
      <w:tr>
        <w:tc>
          <w:tcPr>
            <w:tcW w:w="993" w:type="dxa"/>
          </w:tcPr>
          <w:p>
            <w:pPr>
              <w:pStyle w:val="yTableNAm"/>
            </w:pPr>
            <w:r>
              <w:t>59A.</w:t>
            </w:r>
          </w:p>
        </w:tc>
        <w:tc>
          <w:tcPr>
            <w:tcW w:w="4963"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40" w:type="dxa"/>
            <w:gridSpan w:val="2"/>
          </w:tcPr>
          <w:p>
            <w:pPr>
              <w:pStyle w:val="yTableNAm"/>
              <w:tabs>
                <w:tab w:val="clear" w:pos="567"/>
                <w:tab w:val="decimal" w:pos="463"/>
              </w:tabs>
            </w:pPr>
            <w:r>
              <w:br/>
              <w:t>500.0</w:t>
            </w:r>
          </w:p>
        </w:tc>
      </w:tr>
      <w:tr>
        <w:tc>
          <w:tcPr>
            <w:tcW w:w="993" w:type="dxa"/>
          </w:tcPr>
          <w:p>
            <w:pPr>
              <w:pStyle w:val="yTableNAm"/>
            </w:pPr>
            <w:r>
              <w:t>59B.</w:t>
            </w:r>
          </w:p>
        </w:tc>
        <w:tc>
          <w:tcPr>
            <w:tcW w:w="4963"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40" w:type="dxa"/>
            <w:gridSpan w:val="2"/>
          </w:tcPr>
          <w:p>
            <w:pPr>
              <w:pStyle w:val="yTableNAm"/>
              <w:tabs>
                <w:tab w:val="clear" w:pos="567"/>
                <w:tab w:val="decimal" w:pos="463"/>
              </w:tabs>
            </w:pPr>
            <w:r>
              <w:br/>
              <w:t>500.0</w:t>
            </w:r>
          </w:p>
        </w:tc>
      </w:tr>
      <w:tr>
        <w:tc>
          <w:tcPr>
            <w:tcW w:w="993" w:type="dxa"/>
          </w:tcPr>
          <w:p>
            <w:pPr>
              <w:pStyle w:val="yTableNAm"/>
            </w:pPr>
            <w:r>
              <w:t>59.</w:t>
            </w:r>
          </w:p>
        </w:tc>
        <w:tc>
          <w:tcPr>
            <w:tcW w:w="4963" w:type="dxa"/>
            <w:gridSpan w:val="2"/>
          </w:tcPr>
          <w:p>
            <w:pPr>
              <w:pStyle w:val="yTableNAm"/>
            </w:pPr>
            <w:r>
              <w:t>FURETHIDINE</w:t>
            </w:r>
          </w:p>
        </w:tc>
        <w:tc>
          <w:tcPr>
            <w:tcW w:w="1240" w:type="dxa"/>
            <w:gridSpan w:val="2"/>
          </w:tcPr>
          <w:p>
            <w:pPr>
              <w:pStyle w:val="yTableNAm"/>
              <w:tabs>
                <w:tab w:val="clear" w:pos="567"/>
                <w:tab w:val="decimal" w:pos="463"/>
              </w:tabs>
            </w:pPr>
            <w:r>
              <w:t>3.0</w:t>
            </w:r>
          </w:p>
        </w:tc>
      </w:tr>
      <w:tr>
        <w:tc>
          <w:tcPr>
            <w:tcW w:w="993" w:type="dxa"/>
          </w:tcPr>
          <w:p>
            <w:pPr>
              <w:pStyle w:val="yTableNAm"/>
            </w:pPr>
            <w:r>
              <w:t>60.</w:t>
            </w:r>
          </w:p>
        </w:tc>
        <w:tc>
          <w:tcPr>
            <w:tcW w:w="4963" w:type="dxa"/>
            <w:gridSpan w:val="2"/>
          </w:tcPr>
          <w:p>
            <w:pPr>
              <w:pStyle w:val="yTableNAm"/>
            </w:pPr>
            <w:r>
              <w:t>HALLUCINOGENIC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61.</w:t>
            </w:r>
          </w:p>
        </w:tc>
        <w:tc>
          <w:tcPr>
            <w:tcW w:w="4963" w:type="dxa"/>
            <w:gridSpan w:val="2"/>
          </w:tcPr>
          <w:p>
            <w:pPr>
              <w:pStyle w:val="yTableNAm"/>
            </w:pPr>
            <w:r>
              <w:t>HEPTABARBITONE</w:t>
            </w:r>
          </w:p>
        </w:tc>
        <w:tc>
          <w:tcPr>
            <w:tcW w:w="1240" w:type="dxa"/>
            <w:gridSpan w:val="2"/>
          </w:tcPr>
          <w:p>
            <w:pPr>
              <w:pStyle w:val="yTableNAm"/>
              <w:tabs>
                <w:tab w:val="clear" w:pos="567"/>
                <w:tab w:val="decimal" w:pos="463"/>
              </w:tabs>
            </w:pPr>
            <w:r>
              <w:t>30.0</w:t>
            </w:r>
          </w:p>
        </w:tc>
      </w:tr>
      <w:tr>
        <w:tc>
          <w:tcPr>
            <w:tcW w:w="993" w:type="dxa"/>
          </w:tcPr>
          <w:p>
            <w:pPr>
              <w:pStyle w:val="yTableNAm"/>
            </w:pPr>
            <w:r>
              <w:t>62.</w:t>
            </w:r>
          </w:p>
        </w:tc>
        <w:tc>
          <w:tcPr>
            <w:tcW w:w="4963" w:type="dxa"/>
            <w:gridSpan w:val="2"/>
          </w:tcPr>
          <w:p>
            <w:pPr>
              <w:pStyle w:val="yTableNAm"/>
            </w:pPr>
            <w:r>
              <w:t>HEXOBARBITONE</w:t>
            </w:r>
          </w:p>
        </w:tc>
        <w:tc>
          <w:tcPr>
            <w:tcW w:w="1240" w:type="dxa"/>
            <w:gridSpan w:val="2"/>
          </w:tcPr>
          <w:p>
            <w:pPr>
              <w:pStyle w:val="yTableNAm"/>
              <w:tabs>
                <w:tab w:val="clear" w:pos="567"/>
                <w:tab w:val="decimal" w:pos="463"/>
              </w:tabs>
            </w:pPr>
            <w:r>
              <w:t>30.0</w:t>
            </w:r>
          </w:p>
        </w:tc>
      </w:tr>
      <w:tr>
        <w:tc>
          <w:tcPr>
            <w:tcW w:w="993" w:type="dxa"/>
          </w:tcPr>
          <w:p>
            <w:pPr>
              <w:pStyle w:val="yTableNAm"/>
            </w:pPr>
            <w:r>
              <w:t>63A.</w:t>
            </w:r>
          </w:p>
        </w:tc>
        <w:tc>
          <w:tcPr>
            <w:tcW w:w="4963" w:type="dxa"/>
            <w:gridSpan w:val="2"/>
          </w:tcPr>
          <w:p>
            <w:pPr>
              <w:pStyle w:val="yTableNAm"/>
            </w:pPr>
            <w:r>
              <w:t>1</w:t>
            </w:r>
            <w:r>
              <w:noBreakHyphen/>
              <w:t>HEXYL</w:t>
            </w:r>
            <w:r>
              <w:noBreakHyphen/>
              <w:t>3</w:t>
            </w:r>
            <w:r>
              <w:noBreakHyphen/>
              <w:t>(1</w:t>
            </w:r>
            <w:r>
              <w:noBreakHyphen/>
              <w:t>NAPHTHOYL) INDOLE (JWH</w:t>
            </w:r>
            <w:r>
              <w:noBreakHyphen/>
              <w:t>019)</w:t>
            </w:r>
          </w:p>
        </w:tc>
        <w:tc>
          <w:tcPr>
            <w:tcW w:w="1240" w:type="dxa"/>
            <w:gridSpan w:val="2"/>
          </w:tcPr>
          <w:p>
            <w:pPr>
              <w:pStyle w:val="yTableNAm"/>
              <w:tabs>
                <w:tab w:val="clear" w:pos="567"/>
                <w:tab w:val="decimal" w:pos="463"/>
              </w:tabs>
            </w:pPr>
            <w:r>
              <w:br/>
              <w:t>500.0</w:t>
            </w:r>
          </w:p>
        </w:tc>
      </w:tr>
      <w:tr>
        <w:tc>
          <w:tcPr>
            <w:tcW w:w="993" w:type="dxa"/>
          </w:tcPr>
          <w:p>
            <w:pPr>
              <w:pStyle w:val="yTableNAm"/>
            </w:pPr>
            <w:r>
              <w:t>63.</w:t>
            </w:r>
          </w:p>
        </w:tc>
        <w:tc>
          <w:tcPr>
            <w:tcW w:w="4963" w:type="dxa"/>
            <w:gridSpan w:val="2"/>
          </w:tcPr>
          <w:p>
            <w:pPr>
              <w:pStyle w:val="yTableNAm"/>
            </w:pPr>
            <w:r>
              <w:t>HYDROCODONE</w:t>
            </w:r>
          </w:p>
        </w:tc>
        <w:tc>
          <w:tcPr>
            <w:tcW w:w="1240" w:type="dxa"/>
            <w:gridSpan w:val="2"/>
          </w:tcPr>
          <w:p>
            <w:pPr>
              <w:pStyle w:val="yTableNAm"/>
              <w:tabs>
                <w:tab w:val="clear" w:pos="567"/>
                <w:tab w:val="decimal" w:pos="463"/>
              </w:tabs>
            </w:pPr>
            <w:r>
              <w:t>6.0</w:t>
            </w:r>
          </w:p>
        </w:tc>
      </w:tr>
      <w:tr>
        <w:tc>
          <w:tcPr>
            <w:tcW w:w="993" w:type="dxa"/>
          </w:tcPr>
          <w:p>
            <w:pPr>
              <w:pStyle w:val="yTableNAm"/>
            </w:pPr>
            <w:r>
              <w:t>64.</w:t>
            </w:r>
          </w:p>
        </w:tc>
        <w:tc>
          <w:tcPr>
            <w:tcW w:w="4963" w:type="dxa"/>
            <w:gridSpan w:val="2"/>
          </w:tcPr>
          <w:p>
            <w:pPr>
              <w:pStyle w:val="yTableNAm"/>
            </w:pPr>
            <w:r>
              <w:t>HYDROMORPHINOL</w:t>
            </w:r>
          </w:p>
        </w:tc>
        <w:tc>
          <w:tcPr>
            <w:tcW w:w="1240" w:type="dxa"/>
            <w:gridSpan w:val="2"/>
          </w:tcPr>
          <w:p>
            <w:pPr>
              <w:pStyle w:val="yTableNAm"/>
              <w:tabs>
                <w:tab w:val="clear" w:pos="567"/>
                <w:tab w:val="decimal" w:pos="463"/>
              </w:tabs>
            </w:pPr>
            <w:r>
              <w:t>6.0</w:t>
            </w:r>
          </w:p>
        </w:tc>
      </w:tr>
      <w:tr>
        <w:tc>
          <w:tcPr>
            <w:tcW w:w="993" w:type="dxa"/>
          </w:tcPr>
          <w:p>
            <w:pPr>
              <w:pStyle w:val="yTableNAm"/>
            </w:pPr>
            <w:r>
              <w:t>65.</w:t>
            </w:r>
          </w:p>
        </w:tc>
        <w:tc>
          <w:tcPr>
            <w:tcW w:w="4963" w:type="dxa"/>
            <w:gridSpan w:val="2"/>
          </w:tcPr>
          <w:p>
            <w:pPr>
              <w:pStyle w:val="yTableNAm"/>
            </w:pPr>
            <w:r>
              <w:t>HYDROMORPHONE</w:t>
            </w:r>
          </w:p>
        </w:tc>
        <w:tc>
          <w:tcPr>
            <w:tcW w:w="1240" w:type="dxa"/>
            <w:gridSpan w:val="2"/>
          </w:tcPr>
          <w:p>
            <w:pPr>
              <w:pStyle w:val="yTableNAm"/>
              <w:tabs>
                <w:tab w:val="clear" w:pos="567"/>
                <w:tab w:val="decimal" w:pos="463"/>
              </w:tabs>
            </w:pPr>
            <w:r>
              <w:t>6.0</w:t>
            </w:r>
          </w:p>
        </w:tc>
      </w:tr>
      <w:tr>
        <w:tc>
          <w:tcPr>
            <w:tcW w:w="993" w:type="dxa"/>
          </w:tcPr>
          <w:p>
            <w:pPr>
              <w:pStyle w:val="yTableNAm"/>
            </w:pPr>
            <w:r>
              <w:t>66A.</w:t>
            </w:r>
          </w:p>
        </w:tc>
        <w:tc>
          <w:tcPr>
            <w:tcW w:w="4963" w:type="dxa"/>
            <w:gridSpan w:val="2"/>
          </w:tcPr>
          <w:p>
            <w:pPr>
              <w:pStyle w:val="yTableNAm"/>
              <w:ind w:right="-140"/>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66.</w:t>
            </w:r>
          </w:p>
        </w:tc>
        <w:tc>
          <w:tcPr>
            <w:tcW w:w="4963" w:type="dxa"/>
            <w:gridSpan w:val="2"/>
          </w:tcPr>
          <w:p>
            <w:pPr>
              <w:pStyle w:val="yTableNAm"/>
            </w:pPr>
            <w:r>
              <w:t>HYDROXYPETHIDINE</w:t>
            </w:r>
          </w:p>
        </w:tc>
        <w:tc>
          <w:tcPr>
            <w:tcW w:w="1240" w:type="dxa"/>
            <w:gridSpan w:val="2"/>
          </w:tcPr>
          <w:p>
            <w:pPr>
              <w:pStyle w:val="yTableNAm"/>
              <w:tabs>
                <w:tab w:val="clear" w:pos="567"/>
                <w:tab w:val="decimal" w:pos="463"/>
              </w:tabs>
            </w:pPr>
            <w:r>
              <w:t>15.0</w:t>
            </w:r>
          </w:p>
        </w:tc>
      </w:tr>
      <w:tr>
        <w:tc>
          <w:tcPr>
            <w:tcW w:w="993" w:type="dxa"/>
          </w:tcPr>
          <w:p>
            <w:pPr>
              <w:pStyle w:val="yTableNAm"/>
            </w:pPr>
            <w:r>
              <w:t>67.</w:t>
            </w:r>
          </w:p>
        </w:tc>
        <w:tc>
          <w:tcPr>
            <w:tcW w:w="4963" w:type="dxa"/>
            <w:gridSpan w:val="2"/>
          </w:tcPr>
          <w:p>
            <w:pPr>
              <w:pStyle w:val="yTableNAm"/>
            </w:pPr>
            <w:r>
              <w:t>ISOMETHADONE</w:t>
            </w:r>
          </w:p>
        </w:tc>
        <w:tc>
          <w:tcPr>
            <w:tcW w:w="1240" w:type="dxa"/>
            <w:gridSpan w:val="2"/>
          </w:tcPr>
          <w:p>
            <w:pPr>
              <w:pStyle w:val="yTableNAm"/>
              <w:tabs>
                <w:tab w:val="clear" w:pos="567"/>
                <w:tab w:val="decimal" w:pos="463"/>
              </w:tabs>
            </w:pPr>
            <w:r>
              <w:t>0.6</w:t>
            </w:r>
          </w:p>
        </w:tc>
      </w:tr>
      <w:tr>
        <w:tc>
          <w:tcPr>
            <w:tcW w:w="993" w:type="dxa"/>
          </w:tcPr>
          <w:p>
            <w:pPr>
              <w:pStyle w:val="yTableNAm"/>
            </w:pPr>
            <w:r>
              <w:t>68.</w:t>
            </w:r>
          </w:p>
        </w:tc>
        <w:tc>
          <w:tcPr>
            <w:tcW w:w="4963" w:type="dxa"/>
            <w:gridSpan w:val="2"/>
          </w:tcPr>
          <w:p>
            <w:pPr>
              <w:pStyle w:val="yTableNAm"/>
            </w:pPr>
            <w:r>
              <w:t>KETOBEMIDONE</w:t>
            </w:r>
          </w:p>
        </w:tc>
        <w:tc>
          <w:tcPr>
            <w:tcW w:w="1240" w:type="dxa"/>
            <w:gridSpan w:val="2"/>
          </w:tcPr>
          <w:p>
            <w:pPr>
              <w:pStyle w:val="yTableNAm"/>
              <w:tabs>
                <w:tab w:val="clear" w:pos="567"/>
                <w:tab w:val="decimal" w:pos="463"/>
              </w:tabs>
            </w:pPr>
            <w:r>
              <w:t>0.6</w:t>
            </w:r>
          </w:p>
        </w:tc>
      </w:tr>
      <w:tr>
        <w:tc>
          <w:tcPr>
            <w:tcW w:w="993" w:type="dxa"/>
          </w:tcPr>
          <w:p>
            <w:pPr>
              <w:pStyle w:val="yTableNAm"/>
            </w:pPr>
            <w:r>
              <w:t>69.</w:t>
            </w:r>
          </w:p>
        </w:tc>
        <w:tc>
          <w:tcPr>
            <w:tcW w:w="4963" w:type="dxa"/>
            <w:gridSpan w:val="2"/>
          </w:tcPr>
          <w:p>
            <w:pPr>
              <w:pStyle w:val="yTableNAm"/>
            </w:pPr>
            <w:r>
              <w:t>LEVOMETHORPHAN</w:t>
            </w:r>
          </w:p>
        </w:tc>
        <w:tc>
          <w:tcPr>
            <w:tcW w:w="1240" w:type="dxa"/>
            <w:gridSpan w:val="2"/>
          </w:tcPr>
          <w:p>
            <w:pPr>
              <w:pStyle w:val="yTableNAm"/>
              <w:tabs>
                <w:tab w:val="clear" w:pos="567"/>
                <w:tab w:val="decimal" w:pos="463"/>
              </w:tabs>
            </w:pPr>
            <w:r>
              <w:t>3.0</w:t>
            </w:r>
          </w:p>
        </w:tc>
      </w:tr>
      <w:tr>
        <w:tc>
          <w:tcPr>
            <w:tcW w:w="993" w:type="dxa"/>
          </w:tcPr>
          <w:p>
            <w:pPr>
              <w:pStyle w:val="yTableNAm"/>
            </w:pPr>
            <w:r>
              <w:t>70.</w:t>
            </w:r>
          </w:p>
        </w:tc>
        <w:tc>
          <w:tcPr>
            <w:tcW w:w="4963" w:type="dxa"/>
            <w:gridSpan w:val="2"/>
          </w:tcPr>
          <w:p>
            <w:pPr>
              <w:pStyle w:val="yTableNAm"/>
            </w:pPr>
            <w:r>
              <w:t>LEVOMORAMIDE</w:t>
            </w:r>
          </w:p>
        </w:tc>
        <w:tc>
          <w:tcPr>
            <w:tcW w:w="1240" w:type="dxa"/>
            <w:gridSpan w:val="2"/>
          </w:tcPr>
          <w:p>
            <w:pPr>
              <w:pStyle w:val="yTableNAm"/>
              <w:tabs>
                <w:tab w:val="clear" w:pos="567"/>
                <w:tab w:val="decimal" w:pos="463"/>
              </w:tabs>
            </w:pPr>
            <w:r>
              <w:t>6.0</w:t>
            </w:r>
          </w:p>
        </w:tc>
      </w:tr>
      <w:tr>
        <w:tc>
          <w:tcPr>
            <w:tcW w:w="993" w:type="dxa"/>
          </w:tcPr>
          <w:p>
            <w:pPr>
              <w:pStyle w:val="yTableNAm"/>
            </w:pPr>
            <w:r>
              <w:t>71.</w:t>
            </w:r>
          </w:p>
        </w:tc>
        <w:tc>
          <w:tcPr>
            <w:tcW w:w="4963" w:type="dxa"/>
            <w:gridSpan w:val="2"/>
          </w:tcPr>
          <w:p>
            <w:pPr>
              <w:pStyle w:val="yTableNAm"/>
            </w:pPr>
            <w:r>
              <w:t>LEVOPHENACYLMORPHAN</w:t>
            </w:r>
          </w:p>
        </w:tc>
        <w:tc>
          <w:tcPr>
            <w:tcW w:w="1240" w:type="dxa"/>
            <w:gridSpan w:val="2"/>
          </w:tcPr>
          <w:p>
            <w:pPr>
              <w:pStyle w:val="yTableNAm"/>
              <w:tabs>
                <w:tab w:val="clear" w:pos="567"/>
                <w:tab w:val="decimal" w:pos="463"/>
              </w:tabs>
            </w:pPr>
            <w:r>
              <w:t>6.0</w:t>
            </w:r>
          </w:p>
        </w:tc>
      </w:tr>
      <w:tr>
        <w:tc>
          <w:tcPr>
            <w:tcW w:w="993" w:type="dxa"/>
          </w:tcPr>
          <w:p>
            <w:pPr>
              <w:pStyle w:val="yTableNAm"/>
            </w:pPr>
            <w:r>
              <w:t>72.</w:t>
            </w:r>
          </w:p>
        </w:tc>
        <w:tc>
          <w:tcPr>
            <w:tcW w:w="4963" w:type="dxa"/>
            <w:gridSpan w:val="2"/>
          </w:tcPr>
          <w:p>
            <w:pPr>
              <w:pStyle w:val="yTableNAm"/>
            </w:pPr>
            <w:r>
              <w:t>LEVORPHANOL</w:t>
            </w:r>
          </w:p>
        </w:tc>
        <w:tc>
          <w:tcPr>
            <w:tcW w:w="1240" w:type="dxa"/>
            <w:gridSpan w:val="2"/>
          </w:tcPr>
          <w:p>
            <w:pPr>
              <w:pStyle w:val="yTableNAm"/>
              <w:tabs>
                <w:tab w:val="clear" w:pos="567"/>
                <w:tab w:val="decimal" w:pos="463"/>
              </w:tabs>
            </w:pPr>
            <w:r>
              <w:t>3.0</w:t>
            </w:r>
          </w:p>
        </w:tc>
      </w:tr>
      <w:tr>
        <w:tc>
          <w:tcPr>
            <w:tcW w:w="993" w:type="dxa"/>
          </w:tcPr>
          <w:p>
            <w:pPr>
              <w:pStyle w:val="yTableNAm"/>
            </w:pPr>
            <w:r>
              <w:t>73.</w:t>
            </w:r>
          </w:p>
        </w:tc>
        <w:tc>
          <w:tcPr>
            <w:tcW w:w="4963" w:type="dxa"/>
            <w:gridSpan w:val="2"/>
          </w:tcPr>
          <w:p>
            <w:pPr>
              <w:pStyle w:val="yTableNAm"/>
            </w:pPr>
            <w:r>
              <w:t>LYSERGIC ACID DIETHYLAMIDE (LSD)</w:t>
            </w:r>
          </w:p>
        </w:tc>
        <w:tc>
          <w:tcPr>
            <w:tcW w:w="1240" w:type="dxa"/>
            <w:gridSpan w:val="2"/>
          </w:tcPr>
          <w:p>
            <w:pPr>
              <w:pStyle w:val="yTableNAm"/>
              <w:tabs>
                <w:tab w:val="clear" w:pos="567"/>
                <w:tab w:val="decimal" w:pos="463"/>
              </w:tabs>
            </w:pPr>
            <w:r>
              <w:t>0.004</w:t>
            </w:r>
          </w:p>
        </w:tc>
      </w:tr>
      <w:tr>
        <w:tc>
          <w:tcPr>
            <w:tcW w:w="993" w:type="dxa"/>
          </w:tcPr>
          <w:p>
            <w:pPr>
              <w:pStyle w:val="yTableNAm"/>
            </w:pPr>
            <w:r>
              <w:t>74.</w:t>
            </w:r>
          </w:p>
        </w:tc>
        <w:tc>
          <w:tcPr>
            <w:tcW w:w="4963" w:type="dxa"/>
            <w:gridSpan w:val="2"/>
          </w:tcPr>
          <w:p>
            <w:pPr>
              <w:pStyle w:val="yTableNAm"/>
            </w:pPr>
            <w:r>
              <w:t>MESCALINE</w:t>
            </w:r>
          </w:p>
        </w:tc>
        <w:tc>
          <w:tcPr>
            <w:tcW w:w="1240" w:type="dxa"/>
            <w:gridSpan w:val="2"/>
          </w:tcPr>
          <w:p>
            <w:pPr>
              <w:pStyle w:val="yTableNAm"/>
              <w:tabs>
                <w:tab w:val="clear" w:pos="567"/>
                <w:tab w:val="decimal" w:pos="463"/>
              </w:tabs>
            </w:pPr>
            <w:r>
              <w:t>22.5</w:t>
            </w:r>
          </w:p>
        </w:tc>
      </w:tr>
      <w:tr>
        <w:tc>
          <w:tcPr>
            <w:tcW w:w="993" w:type="dxa"/>
          </w:tcPr>
          <w:p>
            <w:pPr>
              <w:pStyle w:val="yTableNAm"/>
            </w:pPr>
            <w:r>
              <w:t>75.</w:t>
            </w:r>
          </w:p>
        </w:tc>
        <w:tc>
          <w:tcPr>
            <w:tcW w:w="4963" w:type="dxa"/>
            <w:gridSpan w:val="2"/>
          </w:tcPr>
          <w:p>
            <w:pPr>
              <w:pStyle w:val="yTableNAm"/>
            </w:pPr>
            <w:r>
              <w:t>METAZOCINE</w:t>
            </w:r>
          </w:p>
        </w:tc>
        <w:tc>
          <w:tcPr>
            <w:tcW w:w="1240" w:type="dxa"/>
            <w:gridSpan w:val="2"/>
          </w:tcPr>
          <w:p>
            <w:pPr>
              <w:pStyle w:val="yTableNAm"/>
              <w:tabs>
                <w:tab w:val="clear" w:pos="567"/>
                <w:tab w:val="decimal" w:pos="463"/>
              </w:tabs>
            </w:pPr>
            <w:r>
              <w:t>21.0</w:t>
            </w:r>
          </w:p>
        </w:tc>
      </w:tr>
      <w:tr>
        <w:tc>
          <w:tcPr>
            <w:tcW w:w="993" w:type="dxa"/>
          </w:tcPr>
          <w:p>
            <w:pPr>
              <w:pStyle w:val="yTableNAm"/>
            </w:pPr>
            <w:r>
              <w:t>76.</w:t>
            </w:r>
          </w:p>
        </w:tc>
        <w:tc>
          <w:tcPr>
            <w:tcW w:w="4963" w:type="dxa"/>
            <w:gridSpan w:val="2"/>
          </w:tcPr>
          <w:p>
            <w:pPr>
              <w:pStyle w:val="yTableNAm"/>
            </w:pPr>
            <w:r>
              <w:t>METHADONE</w:t>
            </w:r>
          </w:p>
        </w:tc>
        <w:tc>
          <w:tcPr>
            <w:tcW w:w="1240" w:type="dxa"/>
            <w:gridSpan w:val="2"/>
          </w:tcPr>
          <w:p>
            <w:pPr>
              <w:pStyle w:val="yTableNAm"/>
              <w:tabs>
                <w:tab w:val="clear" w:pos="567"/>
                <w:tab w:val="decimal" w:pos="463"/>
              </w:tabs>
            </w:pPr>
            <w:r>
              <w:t>0.6</w:t>
            </w:r>
          </w:p>
        </w:tc>
      </w:tr>
      <w:tr>
        <w:tc>
          <w:tcPr>
            <w:tcW w:w="993" w:type="dxa"/>
          </w:tcPr>
          <w:p>
            <w:pPr>
              <w:pStyle w:val="yTableNAm"/>
            </w:pPr>
            <w:r>
              <w:t>77.</w:t>
            </w:r>
          </w:p>
        </w:tc>
        <w:tc>
          <w:tcPr>
            <w:tcW w:w="4963" w:type="dxa"/>
            <w:gridSpan w:val="2"/>
          </w:tcPr>
          <w:p>
            <w:pPr>
              <w:pStyle w:val="yTableNAm"/>
            </w:pPr>
            <w:r>
              <w:t>METHADONE</w:t>
            </w:r>
            <w:r>
              <w:noBreakHyphen/>
              <w:t>INTERMEDIATE</w:t>
            </w:r>
          </w:p>
        </w:tc>
        <w:tc>
          <w:tcPr>
            <w:tcW w:w="1240" w:type="dxa"/>
            <w:gridSpan w:val="2"/>
          </w:tcPr>
          <w:p>
            <w:pPr>
              <w:pStyle w:val="yTableNAm"/>
              <w:tabs>
                <w:tab w:val="clear" w:pos="567"/>
                <w:tab w:val="decimal" w:pos="463"/>
              </w:tabs>
            </w:pPr>
            <w:r>
              <w:t>0.6</w:t>
            </w:r>
          </w:p>
        </w:tc>
      </w:tr>
      <w:tr>
        <w:tc>
          <w:tcPr>
            <w:tcW w:w="993" w:type="dxa"/>
          </w:tcPr>
          <w:p>
            <w:pPr>
              <w:pStyle w:val="yTableNAm"/>
            </w:pPr>
            <w:r>
              <w:t>78.</w:t>
            </w:r>
          </w:p>
        </w:tc>
        <w:tc>
          <w:tcPr>
            <w:tcW w:w="4963" w:type="dxa"/>
            <w:gridSpan w:val="2"/>
          </w:tcPr>
          <w:p>
            <w:pPr>
              <w:pStyle w:val="yTableNAm"/>
            </w:pPr>
            <w:r>
              <w:t>METHAQUALONE</w:t>
            </w:r>
          </w:p>
        </w:tc>
        <w:tc>
          <w:tcPr>
            <w:tcW w:w="1240" w:type="dxa"/>
            <w:gridSpan w:val="2"/>
          </w:tcPr>
          <w:p>
            <w:pPr>
              <w:pStyle w:val="yTableNAm"/>
              <w:tabs>
                <w:tab w:val="clear" w:pos="567"/>
                <w:tab w:val="decimal" w:pos="463"/>
              </w:tabs>
            </w:pPr>
            <w:r>
              <w:t>150.0</w:t>
            </w:r>
          </w:p>
        </w:tc>
      </w:tr>
      <w:tr>
        <w:tc>
          <w:tcPr>
            <w:tcW w:w="993" w:type="dxa"/>
          </w:tcPr>
          <w:p>
            <w:pPr>
              <w:pStyle w:val="yTableNAm"/>
            </w:pPr>
            <w:r>
              <w:t>79.</w:t>
            </w:r>
          </w:p>
        </w:tc>
        <w:tc>
          <w:tcPr>
            <w:tcW w:w="4963" w:type="dxa"/>
            <w:gridSpan w:val="2"/>
          </w:tcPr>
          <w:p>
            <w:pPr>
              <w:pStyle w:val="yTableNAm"/>
            </w:pPr>
            <w:r>
              <w:t>METHARBITONE</w:t>
            </w:r>
          </w:p>
        </w:tc>
        <w:tc>
          <w:tcPr>
            <w:tcW w:w="1240" w:type="dxa"/>
            <w:gridSpan w:val="2"/>
          </w:tcPr>
          <w:p>
            <w:pPr>
              <w:pStyle w:val="yTableNAm"/>
              <w:tabs>
                <w:tab w:val="clear" w:pos="567"/>
                <w:tab w:val="decimal" w:pos="463"/>
              </w:tabs>
            </w:pPr>
            <w:r>
              <w:t>30.0</w:t>
            </w:r>
          </w:p>
        </w:tc>
      </w:tr>
      <w:tr>
        <w:tc>
          <w:tcPr>
            <w:tcW w:w="993" w:type="dxa"/>
          </w:tcPr>
          <w:p>
            <w:pPr>
              <w:pStyle w:val="yTableNAm"/>
            </w:pPr>
            <w:r>
              <w:t>80A.</w:t>
            </w:r>
          </w:p>
        </w:tc>
        <w:tc>
          <w:tcPr>
            <w:tcW w:w="4963" w:type="dxa"/>
            <w:gridSpan w:val="2"/>
          </w:tcPr>
          <w:p>
            <w:pPr>
              <w:pStyle w:val="yTableNAm"/>
            </w:pPr>
            <w:r>
              <w:t>METHCATHINONE</w:t>
            </w:r>
          </w:p>
        </w:tc>
        <w:tc>
          <w:tcPr>
            <w:tcW w:w="1240" w:type="dxa"/>
            <w:gridSpan w:val="2"/>
          </w:tcPr>
          <w:p>
            <w:pPr>
              <w:pStyle w:val="yTableNAm"/>
              <w:tabs>
                <w:tab w:val="clear" w:pos="567"/>
                <w:tab w:val="decimal" w:pos="463"/>
              </w:tabs>
            </w:pPr>
            <w:r>
              <w:t>4.0</w:t>
            </w:r>
          </w:p>
        </w:tc>
      </w:tr>
      <w:tr>
        <w:trPr>
          <w:gridAfter w:val="1"/>
          <w:wAfter w:w="11" w:type="dxa"/>
        </w:trPr>
        <w:tc>
          <w:tcPr>
            <w:tcW w:w="993" w:type="dxa"/>
          </w:tcPr>
          <w:p>
            <w:pPr>
              <w:pStyle w:val="yTableNAm"/>
            </w:pPr>
            <w:r>
              <w:t>80BA.</w:t>
            </w:r>
          </w:p>
        </w:tc>
        <w:tc>
          <w:tcPr>
            <w:tcW w:w="4963"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29" w:type="dxa"/>
          </w:tcPr>
          <w:p>
            <w:pPr>
              <w:pStyle w:val="yTableNAm"/>
              <w:tabs>
                <w:tab w:val="clear" w:pos="567"/>
                <w:tab w:val="decimal" w:pos="463"/>
              </w:tabs>
            </w:pPr>
            <w:r>
              <w:br/>
              <w:t>500.0</w:t>
            </w:r>
          </w:p>
        </w:tc>
      </w:tr>
      <w:tr>
        <w:trPr>
          <w:gridAfter w:val="1"/>
          <w:wAfter w:w="11" w:type="dxa"/>
        </w:trPr>
        <w:tc>
          <w:tcPr>
            <w:tcW w:w="993" w:type="dxa"/>
          </w:tcPr>
          <w:p>
            <w:pPr>
              <w:pStyle w:val="yTableNAm"/>
            </w:pPr>
            <w:r>
              <w:t>80BB.</w:t>
            </w:r>
          </w:p>
        </w:tc>
        <w:tc>
          <w:tcPr>
            <w:tcW w:w="4963"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29" w:type="dxa"/>
          </w:tcPr>
          <w:p>
            <w:pPr>
              <w:pStyle w:val="yTableNAm"/>
              <w:tabs>
                <w:tab w:val="clear" w:pos="567"/>
                <w:tab w:val="decimal" w:pos="463"/>
              </w:tabs>
            </w:pPr>
            <w:r>
              <w:br/>
              <w:t>500.0</w:t>
            </w:r>
          </w:p>
        </w:tc>
      </w:tr>
      <w:tr>
        <w:tc>
          <w:tcPr>
            <w:tcW w:w="993" w:type="dxa"/>
          </w:tcPr>
          <w:p>
            <w:pPr>
              <w:pStyle w:val="yTableNAm"/>
            </w:pPr>
            <w:r>
              <w:t>80B</w:t>
            </w:r>
            <w:r>
              <w:rPr>
                <w:szCs w:val="22"/>
              </w:rPr>
              <w:t>.</w:t>
            </w:r>
          </w:p>
        </w:tc>
        <w:tc>
          <w:tcPr>
            <w:tcW w:w="4963" w:type="dxa"/>
            <w:gridSpan w:val="2"/>
          </w:tcPr>
          <w:p>
            <w:pPr>
              <w:pStyle w:val="yTableNAm"/>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r>
            <w:r>
              <w:t>YL</w:t>
            </w:r>
            <w:r>
              <w:rPr>
                <w:rFonts w:cs="Arial"/>
                <w:color w:val="000000"/>
                <w:szCs w:val="22"/>
              </w:rPr>
              <w:t>)</w:t>
            </w:r>
            <w:r>
              <w:t>ETHANONE</w:t>
            </w:r>
            <w:r>
              <w:rPr>
                <w:rFonts w:cs="Arial"/>
                <w:color w:val="000000"/>
                <w:szCs w:val="22"/>
              </w:rPr>
              <w:t xml:space="preserve"> (JWH-250)</w:t>
            </w:r>
          </w:p>
        </w:tc>
        <w:tc>
          <w:tcPr>
            <w:tcW w:w="1240" w:type="dxa"/>
            <w:gridSpan w:val="2"/>
          </w:tcPr>
          <w:p>
            <w:pPr>
              <w:pStyle w:val="yTableNAm"/>
              <w:tabs>
                <w:tab w:val="clear" w:pos="567"/>
                <w:tab w:val="decimal" w:pos="463"/>
              </w:tabs>
            </w:pPr>
            <w:r>
              <w:br/>
              <w:t>500.0</w:t>
            </w:r>
          </w:p>
        </w:tc>
      </w:tr>
      <w:tr>
        <w:tc>
          <w:tcPr>
            <w:tcW w:w="993" w:type="dxa"/>
          </w:tcPr>
          <w:p>
            <w:pPr>
              <w:pStyle w:val="yTableNAm"/>
            </w:pPr>
            <w:r>
              <w:t>80C.</w:t>
            </w:r>
          </w:p>
        </w:tc>
        <w:tc>
          <w:tcPr>
            <w:tcW w:w="4963" w:type="dxa"/>
            <w:gridSpan w:val="2"/>
          </w:tcPr>
          <w:p>
            <w:pPr>
              <w:pStyle w:val="yTableNAm"/>
            </w:pPr>
            <w:r>
              <w:t>2</w:t>
            </w:r>
            <w:r>
              <w:noBreakHyphen/>
              <w:t>(3</w:t>
            </w:r>
            <w:r>
              <w:noBreakHyphen/>
              <w:t>METHOXYPHENYL)</w:t>
            </w:r>
            <w:r>
              <w:noBreakHyphen/>
              <w:t>1</w:t>
            </w:r>
            <w:r>
              <w:noBreakHyphen/>
              <w:t>(1</w:t>
            </w:r>
            <w:r>
              <w:noBreakHyphen/>
              <w:t>PENTYLINDOL</w:t>
            </w:r>
            <w:r>
              <w:noBreakHyphen/>
              <w:t>3</w:t>
            </w:r>
            <w:r>
              <w:noBreakHyphen/>
              <w:t>YL)ETHANONE (JWH</w:t>
            </w:r>
            <w:r>
              <w:noBreakHyphen/>
              <w:t>302)</w:t>
            </w:r>
          </w:p>
        </w:tc>
        <w:tc>
          <w:tcPr>
            <w:tcW w:w="1240" w:type="dxa"/>
            <w:gridSpan w:val="2"/>
          </w:tcPr>
          <w:p>
            <w:pPr>
              <w:pStyle w:val="yTableNAm"/>
              <w:tabs>
                <w:tab w:val="clear" w:pos="567"/>
                <w:tab w:val="decimal" w:pos="463"/>
              </w:tabs>
            </w:pPr>
            <w:r>
              <w:br/>
              <w:t>500.0</w:t>
            </w:r>
          </w:p>
        </w:tc>
      </w:tr>
      <w:tr>
        <w:tc>
          <w:tcPr>
            <w:tcW w:w="993" w:type="dxa"/>
          </w:tcPr>
          <w:p>
            <w:pPr>
              <w:pStyle w:val="yTableNAm"/>
            </w:pPr>
            <w:r>
              <w:t>80.</w:t>
            </w:r>
          </w:p>
        </w:tc>
        <w:tc>
          <w:tcPr>
            <w:tcW w:w="4963" w:type="dxa"/>
            <w:gridSpan w:val="2"/>
          </w:tcPr>
          <w:p>
            <w:pPr>
              <w:pStyle w:val="yTableNAm"/>
            </w:pPr>
            <w:r>
              <w:t>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81.</w:t>
            </w:r>
          </w:p>
        </w:tc>
        <w:tc>
          <w:tcPr>
            <w:tcW w:w="4963" w:type="dxa"/>
            <w:gridSpan w:val="2"/>
          </w:tcPr>
          <w:p>
            <w:pPr>
              <w:pStyle w:val="yTableNAm"/>
            </w:pPr>
            <w:r>
              <w:t>METHYLDESORPHINE</w:t>
            </w:r>
          </w:p>
        </w:tc>
        <w:tc>
          <w:tcPr>
            <w:tcW w:w="1240" w:type="dxa"/>
            <w:gridSpan w:val="2"/>
          </w:tcPr>
          <w:p>
            <w:pPr>
              <w:pStyle w:val="yTableNAm"/>
              <w:tabs>
                <w:tab w:val="clear" w:pos="567"/>
                <w:tab w:val="decimal" w:pos="463"/>
              </w:tabs>
            </w:pPr>
            <w:r>
              <w:t>6.0</w:t>
            </w:r>
          </w:p>
        </w:tc>
      </w:tr>
      <w:tr>
        <w:tc>
          <w:tcPr>
            <w:tcW w:w="993" w:type="dxa"/>
          </w:tcPr>
          <w:p>
            <w:pPr>
              <w:pStyle w:val="yTableNAm"/>
            </w:pPr>
            <w:r>
              <w:t>82.</w:t>
            </w:r>
          </w:p>
        </w:tc>
        <w:tc>
          <w:tcPr>
            <w:tcW w:w="4963" w:type="dxa"/>
            <w:gridSpan w:val="2"/>
          </w:tcPr>
          <w:p>
            <w:pPr>
              <w:pStyle w:val="yTableNAm"/>
            </w:pPr>
            <w:r>
              <w:t>METHYLDIHYDROMORPHINE</w:t>
            </w:r>
          </w:p>
        </w:tc>
        <w:tc>
          <w:tcPr>
            <w:tcW w:w="1240" w:type="dxa"/>
            <w:gridSpan w:val="2"/>
          </w:tcPr>
          <w:p>
            <w:pPr>
              <w:pStyle w:val="yTableNAm"/>
              <w:tabs>
                <w:tab w:val="clear" w:pos="567"/>
                <w:tab w:val="decimal" w:pos="463"/>
              </w:tabs>
            </w:pPr>
            <w:r>
              <w:t>6.0</w:t>
            </w:r>
          </w:p>
        </w:tc>
      </w:tr>
      <w:tr>
        <w:tc>
          <w:tcPr>
            <w:tcW w:w="993" w:type="dxa"/>
          </w:tcPr>
          <w:p>
            <w:pPr>
              <w:pStyle w:val="yTableNAm"/>
              <w:rPr>
                <w:rFonts w:ascii="Times" w:hAnsi="Times"/>
                <w:spacing w:val="-10"/>
              </w:rPr>
            </w:pPr>
            <w:r>
              <w:rPr>
                <w:rFonts w:ascii="Times" w:hAnsi="Times"/>
                <w:spacing w:val="-10"/>
              </w:rPr>
              <w:t>82A.</w:t>
            </w:r>
          </w:p>
        </w:tc>
        <w:tc>
          <w:tcPr>
            <w:tcW w:w="4963" w:type="dxa"/>
            <w:gridSpan w:val="2"/>
          </w:tcPr>
          <w:p>
            <w:pPr>
              <w:pStyle w:val="yTableNAm"/>
              <w:ind w:right="-140"/>
            </w:pPr>
            <w:r>
              <w:t>3, 4</w:t>
            </w:r>
            <w:r>
              <w:noBreakHyphen/>
              <w:t>METHYLENEDIOXYAMPHETAMINE (MDA)</w:t>
            </w:r>
          </w:p>
        </w:tc>
        <w:tc>
          <w:tcPr>
            <w:tcW w:w="1240" w:type="dxa"/>
            <w:gridSpan w:val="2"/>
          </w:tcPr>
          <w:p>
            <w:pPr>
              <w:pStyle w:val="yTableNAm"/>
              <w:tabs>
                <w:tab w:val="clear" w:pos="567"/>
                <w:tab w:val="decimal" w:pos="463"/>
              </w:tabs>
            </w:pPr>
            <w:r>
              <w:t>4.0</w:t>
            </w:r>
          </w:p>
        </w:tc>
      </w:tr>
      <w:tr>
        <w:tc>
          <w:tcPr>
            <w:tcW w:w="993" w:type="dxa"/>
          </w:tcPr>
          <w:p>
            <w:pPr>
              <w:pStyle w:val="yTableNAm"/>
              <w:rPr>
                <w:rFonts w:ascii="Times" w:hAnsi="Times"/>
                <w:spacing w:val="-10"/>
              </w:rPr>
            </w:pPr>
            <w:r>
              <w:rPr>
                <w:rFonts w:ascii="Times" w:hAnsi="Times"/>
                <w:spacing w:val="-8"/>
              </w:rPr>
              <w:t>82B.</w:t>
            </w:r>
          </w:p>
        </w:tc>
        <w:tc>
          <w:tcPr>
            <w:tcW w:w="4963" w:type="dxa"/>
            <w:gridSpan w:val="2"/>
          </w:tcPr>
          <w:p>
            <w:pPr>
              <w:pStyle w:val="yTableNAm"/>
            </w:pPr>
            <w:r>
              <w:t>3, 4</w:t>
            </w:r>
            <w:r>
              <w:noBreakHyphen/>
            </w:r>
            <w:r>
              <w:rPr>
                <w:rFonts w:cs="Arial"/>
                <w:color w:val="000000"/>
                <w:szCs w:val="22"/>
              </w:rPr>
              <w:t>METHYLENEDIOXY</w:t>
            </w:r>
            <w:r>
              <w:noBreakHyphen/>
              <w:t>N, ALPHA</w:t>
            </w:r>
            <w:r>
              <w:noBreakHyphen/>
              <w:t>DIMETHYLPHENYLETHYLAMINE (MDMA)</w:t>
            </w:r>
          </w:p>
        </w:tc>
        <w:tc>
          <w:tcPr>
            <w:tcW w:w="1240" w:type="dxa"/>
            <w:gridSpan w:val="2"/>
          </w:tcPr>
          <w:p>
            <w:pPr>
              <w:pStyle w:val="yTableNAm"/>
              <w:tabs>
                <w:tab w:val="clear" w:pos="567"/>
                <w:tab w:val="decimal" w:pos="463"/>
              </w:tabs>
            </w:pPr>
            <w:r>
              <w:br/>
            </w:r>
            <w:r>
              <w:br/>
              <w:t>4.0</w:t>
            </w:r>
          </w:p>
        </w:tc>
      </w:tr>
      <w:tr>
        <w:tc>
          <w:tcPr>
            <w:tcW w:w="993" w:type="dxa"/>
          </w:tcPr>
          <w:p>
            <w:pPr>
              <w:pStyle w:val="yTableNAm"/>
              <w:keepNext/>
              <w:keepLines/>
              <w:rPr>
                <w:rFonts w:ascii="Times" w:hAnsi="Times"/>
                <w:spacing w:val="-8"/>
              </w:rPr>
            </w:pPr>
            <w:r>
              <w:t>82C.</w:t>
            </w:r>
          </w:p>
        </w:tc>
        <w:tc>
          <w:tcPr>
            <w:tcW w:w="4963" w:type="dxa"/>
            <w:gridSpan w:val="2"/>
          </w:tcPr>
          <w:p>
            <w:pPr>
              <w:pStyle w:val="yTableNAm"/>
              <w:keepNext/>
              <w:keepLines/>
            </w:pPr>
            <w:r>
              <w:t>3, 4</w:t>
            </w:r>
            <w:r>
              <w:noBreakHyphen/>
            </w:r>
            <w:r>
              <w:rPr>
                <w:rFonts w:cs="Arial"/>
                <w:color w:val="000000"/>
                <w:szCs w:val="22"/>
              </w:rPr>
              <w:t>METHYLENEDIOXYPYROVALERONE</w:t>
            </w:r>
            <w:r>
              <w:t xml:space="preserve"> (MDPV)</w:t>
            </w:r>
          </w:p>
        </w:tc>
        <w:tc>
          <w:tcPr>
            <w:tcW w:w="1240" w:type="dxa"/>
            <w:gridSpan w:val="2"/>
          </w:tcPr>
          <w:p>
            <w:pPr>
              <w:pStyle w:val="yTableNAm"/>
              <w:keepNext/>
              <w:keepLines/>
              <w:tabs>
                <w:tab w:val="clear" w:pos="567"/>
                <w:tab w:val="decimal" w:pos="463"/>
              </w:tabs>
            </w:pPr>
            <w:r>
              <w:br/>
              <w:t>4.0</w:t>
            </w:r>
          </w:p>
        </w:tc>
      </w:tr>
      <w:tr>
        <w:tc>
          <w:tcPr>
            <w:tcW w:w="993" w:type="dxa"/>
          </w:tcPr>
          <w:p>
            <w:pPr>
              <w:pStyle w:val="yTableNAm"/>
            </w:pPr>
            <w:r>
              <w:t>83.</w:t>
            </w:r>
          </w:p>
        </w:tc>
        <w:tc>
          <w:tcPr>
            <w:tcW w:w="4963" w:type="dxa"/>
            <w:gridSpan w:val="2"/>
          </w:tcPr>
          <w:p>
            <w:pPr>
              <w:pStyle w:val="yTableNAm"/>
            </w:pPr>
            <w:r>
              <w:t>METHYLPHENIDATE</w:t>
            </w:r>
          </w:p>
        </w:tc>
        <w:tc>
          <w:tcPr>
            <w:tcW w:w="1240" w:type="dxa"/>
            <w:gridSpan w:val="2"/>
          </w:tcPr>
          <w:p>
            <w:pPr>
              <w:pStyle w:val="yTableNAm"/>
              <w:tabs>
                <w:tab w:val="clear" w:pos="567"/>
                <w:tab w:val="decimal" w:pos="463"/>
              </w:tabs>
            </w:pPr>
            <w:r>
              <w:t>6.0</w:t>
            </w:r>
          </w:p>
        </w:tc>
      </w:tr>
      <w:tr>
        <w:trPr>
          <w:cantSplit/>
        </w:trPr>
        <w:tc>
          <w:tcPr>
            <w:tcW w:w="993" w:type="dxa"/>
          </w:tcPr>
          <w:p>
            <w:pPr>
              <w:pStyle w:val="yTableNAm"/>
            </w:pPr>
            <w:r>
              <w:t>84.</w:t>
            </w:r>
          </w:p>
        </w:tc>
        <w:tc>
          <w:tcPr>
            <w:tcW w:w="4963" w:type="dxa"/>
            <w:gridSpan w:val="2"/>
          </w:tcPr>
          <w:p>
            <w:pPr>
              <w:pStyle w:val="yTableNAm"/>
            </w:pPr>
            <w:r>
              <w:t>METHYLPHENOBARBITONE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85.</w:t>
            </w:r>
          </w:p>
        </w:tc>
        <w:tc>
          <w:tcPr>
            <w:tcW w:w="4963" w:type="dxa"/>
            <w:gridSpan w:val="2"/>
          </w:tcPr>
          <w:p>
            <w:pPr>
              <w:pStyle w:val="yTableNAm"/>
            </w:pPr>
            <w:r>
              <w:t>1</w:t>
            </w:r>
            <w:r>
              <w:noBreakHyphen/>
              <w:t>METHYL</w:t>
            </w:r>
            <w:r>
              <w:noBreakHyphen/>
              <w:t>4</w:t>
            </w:r>
            <w:r>
              <w:noBreakHyphen/>
              <w:t>PHENYLPIPERIDINE</w:t>
            </w:r>
            <w:r>
              <w:noBreakHyphen/>
            </w:r>
            <w:r>
              <w:br/>
              <w:t>4</w:t>
            </w:r>
            <w:r>
              <w:noBreakHyphen/>
              <w:t>CARBOXYLIC ACID ESTERS</w:t>
            </w:r>
          </w:p>
        </w:tc>
        <w:tc>
          <w:tcPr>
            <w:tcW w:w="1240" w:type="dxa"/>
            <w:gridSpan w:val="2"/>
          </w:tcPr>
          <w:p>
            <w:pPr>
              <w:pStyle w:val="yTableNAm"/>
              <w:tabs>
                <w:tab w:val="clear" w:pos="567"/>
                <w:tab w:val="decimal" w:pos="463"/>
              </w:tabs>
            </w:pPr>
            <w:r>
              <w:br/>
              <w:t>6.0</w:t>
            </w:r>
          </w:p>
        </w:tc>
      </w:tr>
      <w:tr>
        <w:tc>
          <w:tcPr>
            <w:tcW w:w="993" w:type="dxa"/>
          </w:tcPr>
          <w:p>
            <w:pPr>
              <w:pStyle w:val="yTableNAm"/>
            </w:pPr>
            <w:r>
              <w:t>86.</w:t>
            </w:r>
          </w:p>
        </w:tc>
        <w:tc>
          <w:tcPr>
            <w:tcW w:w="4963" w:type="dxa"/>
            <w:gridSpan w:val="2"/>
          </w:tcPr>
          <w:p>
            <w:pPr>
              <w:pStyle w:val="yTableNAm"/>
            </w:pPr>
            <w:r>
              <w:t>METOPON</w:t>
            </w:r>
          </w:p>
        </w:tc>
        <w:tc>
          <w:tcPr>
            <w:tcW w:w="1240" w:type="dxa"/>
            <w:gridSpan w:val="2"/>
          </w:tcPr>
          <w:p>
            <w:pPr>
              <w:pStyle w:val="yTableNAm"/>
              <w:tabs>
                <w:tab w:val="clear" w:pos="567"/>
                <w:tab w:val="decimal" w:pos="463"/>
              </w:tabs>
            </w:pPr>
            <w:r>
              <w:t>6.0</w:t>
            </w:r>
          </w:p>
        </w:tc>
      </w:tr>
      <w:tr>
        <w:tc>
          <w:tcPr>
            <w:tcW w:w="993" w:type="dxa"/>
          </w:tcPr>
          <w:p>
            <w:pPr>
              <w:pStyle w:val="yTableNAm"/>
            </w:pPr>
            <w:r>
              <w:t>87.</w:t>
            </w:r>
          </w:p>
        </w:tc>
        <w:tc>
          <w:tcPr>
            <w:tcW w:w="4963" w:type="dxa"/>
            <w:gridSpan w:val="2"/>
          </w:tcPr>
          <w:p>
            <w:pPr>
              <w:pStyle w:val="yTableNAm"/>
            </w:pPr>
            <w:r>
              <w:t>MORAMIDE</w:t>
            </w:r>
            <w:r>
              <w:noBreakHyphen/>
              <w:t>INTERMEDIATE</w:t>
            </w:r>
          </w:p>
        </w:tc>
        <w:tc>
          <w:tcPr>
            <w:tcW w:w="1240" w:type="dxa"/>
            <w:gridSpan w:val="2"/>
          </w:tcPr>
          <w:p>
            <w:pPr>
              <w:pStyle w:val="yTableNAm"/>
              <w:tabs>
                <w:tab w:val="clear" w:pos="567"/>
                <w:tab w:val="decimal" w:pos="463"/>
              </w:tabs>
            </w:pPr>
            <w:r>
              <w:t>3.0</w:t>
            </w:r>
          </w:p>
        </w:tc>
      </w:tr>
      <w:tr>
        <w:tc>
          <w:tcPr>
            <w:tcW w:w="993" w:type="dxa"/>
          </w:tcPr>
          <w:p>
            <w:pPr>
              <w:pStyle w:val="yTableNAm"/>
            </w:pPr>
            <w:r>
              <w:t>88.</w:t>
            </w:r>
          </w:p>
        </w:tc>
        <w:tc>
          <w:tcPr>
            <w:tcW w:w="4963" w:type="dxa"/>
            <w:gridSpan w:val="2"/>
          </w:tcPr>
          <w:p>
            <w:pPr>
              <w:pStyle w:val="yTableNAm"/>
            </w:pPr>
            <w:r>
              <w:t>MORPHERIDINE</w:t>
            </w:r>
          </w:p>
        </w:tc>
        <w:tc>
          <w:tcPr>
            <w:tcW w:w="1240" w:type="dxa"/>
            <w:gridSpan w:val="2"/>
          </w:tcPr>
          <w:p>
            <w:pPr>
              <w:pStyle w:val="yTableNAm"/>
              <w:tabs>
                <w:tab w:val="clear" w:pos="567"/>
                <w:tab w:val="decimal" w:pos="463"/>
              </w:tabs>
            </w:pPr>
            <w:r>
              <w:t>6.0</w:t>
            </w:r>
          </w:p>
        </w:tc>
      </w:tr>
      <w:tr>
        <w:tc>
          <w:tcPr>
            <w:tcW w:w="993" w:type="dxa"/>
          </w:tcPr>
          <w:p>
            <w:pPr>
              <w:pStyle w:val="yTableNAm"/>
            </w:pPr>
            <w:r>
              <w:t>89.</w:t>
            </w:r>
          </w:p>
        </w:tc>
        <w:tc>
          <w:tcPr>
            <w:tcW w:w="4963" w:type="dxa"/>
            <w:gridSpan w:val="2"/>
          </w:tcPr>
          <w:p>
            <w:pPr>
              <w:pStyle w:val="yTableNAm"/>
            </w:pPr>
            <w:r>
              <w:t>MORPHINE</w:t>
            </w:r>
          </w:p>
        </w:tc>
        <w:tc>
          <w:tcPr>
            <w:tcW w:w="1240" w:type="dxa"/>
            <w:gridSpan w:val="2"/>
          </w:tcPr>
          <w:p>
            <w:pPr>
              <w:pStyle w:val="yTableNAm"/>
              <w:tabs>
                <w:tab w:val="clear" w:pos="567"/>
                <w:tab w:val="decimal" w:pos="463"/>
              </w:tabs>
            </w:pPr>
            <w:r>
              <w:t>6.0</w:t>
            </w:r>
          </w:p>
        </w:tc>
      </w:tr>
      <w:tr>
        <w:tc>
          <w:tcPr>
            <w:tcW w:w="993" w:type="dxa"/>
          </w:tcPr>
          <w:p>
            <w:pPr>
              <w:pStyle w:val="yTableNAm"/>
            </w:pPr>
            <w:r>
              <w:t>90.</w:t>
            </w:r>
          </w:p>
        </w:tc>
        <w:tc>
          <w:tcPr>
            <w:tcW w:w="4963" w:type="dxa"/>
            <w:gridSpan w:val="2"/>
          </w:tcPr>
          <w:p>
            <w:pPr>
              <w:pStyle w:val="yTableNAm"/>
            </w:pPr>
            <w:r>
              <w:t xml:space="preserve">MORPHINE DERIVATIVES (not specifically included elsewhere in this Schedule or in any Schedule in Appendix A to the </w:t>
            </w:r>
            <w:r>
              <w:rPr>
                <w:i/>
                <w:iCs/>
              </w:rPr>
              <w:t>Poisons Act 1964</w:t>
            </w:r>
            <w:r>
              <w:t>)</w:t>
            </w:r>
          </w:p>
        </w:tc>
        <w:tc>
          <w:tcPr>
            <w:tcW w:w="1240" w:type="dxa"/>
            <w:gridSpan w:val="2"/>
          </w:tcPr>
          <w:p>
            <w:pPr>
              <w:pStyle w:val="yTableNAm"/>
              <w:tabs>
                <w:tab w:val="clear" w:pos="567"/>
                <w:tab w:val="decimal" w:pos="463"/>
              </w:tabs>
            </w:pPr>
            <w:r>
              <w:br/>
            </w:r>
            <w:r>
              <w:br/>
              <w:t>6.0</w:t>
            </w:r>
          </w:p>
        </w:tc>
      </w:tr>
      <w:tr>
        <w:trPr>
          <w:cantSplit/>
        </w:trPr>
        <w:tc>
          <w:tcPr>
            <w:tcW w:w="993" w:type="dxa"/>
          </w:tcPr>
          <w:p>
            <w:pPr>
              <w:pStyle w:val="yTableNAm"/>
            </w:pPr>
            <w:r>
              <w:t>91.</w:t>
            </w:r>
          </w:p>
        </w:tc>
        <w:tc>
          <w:tcPr>
            <w:tcW w:w="4963" w:type="dxa"/>
            <w:gridSpan w:val="2"/>
          </w:tcPr>
          <w:p>
            <w:pPr>
              <w:pStyle w:val="yTableNAm"/>
            </w:pPr>
            <w:r>
              <w:t>MORPHINE METHOBROMIDE AND OTHER PENTAVALENT NITROGEN MORPHINE DERIVATIVES</w:t>
            </w:r>
          </w:p>
        </w:tc>
        <w:tc>
          <w:tcPr>
            <w:tcW w:w="1240" w:type="dxa"/>
            <w:gridSpan w:val="2"/>
          </w:tcPr>
          <w:p>
            <w:pPr>
              <w:pStyle w:val="yTableNAm"/>
              <w:tabs>
                <w:tab w:val="clear" w:pos="567"/>
                <w:tab w:val="decimal" w:pos="463"/>
              </w:tabs>
            </w:pPr>
            <w:r>
              <w:br/>
            </w:r>
            <w:r>
              <w:br/>
              <w:t>6.0</w:t>
            </w:r>
          </w:p>
        </w:tc>
      </w:tr>
      <w:tr>
        <w:tc>
          <w:tcPr>
            <w:tcW w:w="993" w:type="dxa"/>
          </w:tcPr>
          <w:p>
            <w:pPr>
              <w:pStyle w:val="yTableNAm"/>
            </w:pPr>
            <w:r>
              <w:t>92.</w:t>
            </w:r>
          </w:p>
        </w:tc>
        <w:tc>
          <w:tcPr>
            <w:tcW w:w="4963" w:type="dxa"/>
            <w:gridSpan w:val="2"/>
          </w:tcPr>
          <w:p>
            <w:pPr>
              <w:pStyle w:val="yTableNAm"/>
            </w:pPr>
            <w:r>
              <w:t>MORPHINE</w:t>
            </w:r>
            <w:r>
              <w:noBreakHyphen/>
              <w:t>N</w:t>
            </w:r>
            <w:r>
              <w:noBreakHyphen/>
              <w:t>OXIDE</w:t>
            </w:r>
          </w:p>
        </w:tc>
        <w:tc>
          <w:tcPr>
            <w:tcW w:w="1240" w:type="dxa"/>
            <w:gridSpan w:val="2"/>
          </w:tcPr>
          <w:p>
            <w:pPr>
              <w:pStyle w:val="yTableNAm"/>
              <w:tabs>
                <w:tab w:val="clear" w:pos="567"/>
                <w:tab w:val="decimal" w:pos="463"/>
              </w:tabs>
            </w:pPr>
            <w:r>
              <w:t>6.0</w:t>
            </w:r>
          </w:p>
        </w:tc>
      </w:tr>
      <w:tr>
        <w:tc>
          <w:tcPr>
            <w:tcW w:w="993" w:type="dxa"/>
          </w:tcPr>
          <w:p>
            <w:pPr>
              <w:pStyle w:val="yTableNAm"/>
            </w:pPr>
            <w:r>
              <w:t>93.</w:t>
            </w:r>
          </w:p>
        </w:tc>
        <w:tc>
          <w:tcPr>
            <w:tcW w:w="4963" w:type="dxa"/>
            <w:gridSpan w:val="2"/>
          </w:tcPr>
          <w:p>
            <w:pPr>
              <w:pStyle w:val="yTableNAm"/>
            </w:pPr>
            <w:r>
              <w:t>MORPHINE SUBSTITUTES (not specifically included elsewhere in this Schedule)</w:t>
            </w:r>
          </w:p>
        </w:tc>
        <w:tc>
          <w:tcPr>
            <w:tcW w:w="1240" w:type="dxa"/>
            <w:gridSpan w:val="2"/>
          </w:tcPr>
          <w:p>
            <w:pPr>
              <w:pStyle w:val="yTableNAm"/>
              <w:tabs>
                <w:tab w:val="clear" w:pos="567"/>
                <w:tab w:val="decimal" w:pos="463"/>
              </w:tabs>
            </w:pPr>
            <w:r>
              <w:br/>
              <w:t>6.0</w:t>
            </w:r>
          </w:p>
        </w:tc>
      </w:tr>
      <w:tr>
        <w:tc>
          <w:tcPr>
            <w:tcW w:w="993" w:type="dxa"/>
          </w:tcPr>
          <w:p>
            <w:pPr>
              <w:pStyle w:val="yTableNAm"/>
            </w:pPr>
            <w:r>
              <w:t>94A.</w:t>
            </w:r>
          </w:p>
        </w:tc>
        <w:tc>
          <w:tcPr>
            <w:tcW w:w="4963" w:type="dxa"/>
            <w:gridSpan w:val="2"/>
          </w:tcPr>
          <w:p>
            <w:pPr>
              <w:pStyle w:val="yTableNAm"/>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r>
            <w:r>
              <w:t>MORPHOLINYL</w:t>
            </w:r>
            <w:r>
              <w:rPr>
                <w:rFonts w:cs="Arial"/>
                <w:color w:val="000000"/>
                <w:szCs w:val="22"/>
              </w:rPr>
              <w:t>)ETHYL]</w:t>
            </w:r>
            <w:r>
              <w:rPr>
                <w:rFonts w:cs="Arial"/>
                <w:color w:val="000000"/>
                <w:szCs w:val="22"/>
              </w:rPr>
              <w:noBreakHyphen/>
            </w:r>
            <w:r>
              <w:rPr>
                <w:rFonts w:cs="Arial"/>
                <w:color w:val="000000"/>
                <w:szCs w:val="22"/>
              </w:rPr>
              <w:br/>
              <w:t>3</w:t>
            </w:r>
            <w:r>
              <w:rPr>
                <w:rFonts w:cs="Arial"/>
                <w:color w:val="000000"/>
                <w:szCs w:val="22"/>
              </w:rPr>
              <w:noBreakHyphen/>
              <w:t>(1</w:t>
            </w:r>
            <w:r>
              <w:rPr>
                <w:rFonts w:cs="Arial"/>
                <w:color w:val="000000"/>
                <w:szCs w:val="22"/>
              </w:rPr>
              <w:noBreakHyphen/>
            </w:r>
            <w:r>
              <w:t>NAPHTHOYL</w:t>
            </w:r>
            <w:r>
              <w:rPr>
                <w:rFonts w:cs="Arial"/>
                <w:color w:val="000000"/>
                <w:szCs w:val="22"/>
              </w:rPr>
              <w:t>) INDOLE (JWH-200)</w:t>
            </w:r>
          </w:p>
        </w:tc>
        <w:tc>
          <w:tcPr>
            <w:tcW w:w="1240" w:type="dxa"/>
            <w:gridSpan w:val="2"/>
          </w:tcPr>
          <w:p>
            <w:pPr>
              <w:pStyle w:val="yTableNAm"/>
              <w:tabs>
                <w:tab w:val="clear" w:pos="567"/>
                <w:tab w:val="decimal" w:pos="463"/>
              </w:tabs>
            </w:pPr>
            <w:r>
              <w:br/>
              <w:t>500.0</w:t>
            </w:r>
          </w:p>
        </w:tc>
      </w:tr>
      <w:tr>
        <w:tc>
          <w:tcPr>
            <w:tcW w:w="993" w:type="dxa"/>
          </w:tcPr>
          <w:p>
            <w:pPr>
              <w:pStyle w:val="yTableNAm"/>
            </w:pPr>
            <w:r>
              <w:t>94.</w:t>
            </w:r>
          </w:p>
        </w:tc>
        <w:tc>
          <w:tcPr>
            <w:tcW w:w="4963" w:type="dxa"/>
            <w:gridSpan w:val="2"/>
          </w:tcPr>
          <w:p>
            <w:pPr>
              <w:pStyle w:val="yTableNAm"/>
            </w:pPr>
            <w:r>
              <w:t>MYROPHINE</w:t>
            </w:r>
          </w:p>
        </w:tc>
        <w:tc>
          <w:tcPr>
            <w:tcW w:w="1240" w:type="dxa"/>
            <w:gridSpan w:val="2"/>
          </w:tcPr>
          <w:p>
            <w:pPr>
              <w:pStyle w:val="yTableNAm"/>
              <w:tabs>
                <w:tab w:val="clear" w:pos="567"/>
                <w:tab w:val="decimal" w:pos="463"/>
              </w:tabs>
            </w:pPr>
            <w:r>
              <w:t>60.0</w:t>
            </w:r>
          </w:p>
        </w:tc>
      </w:tr>
      <w:tr>
        <w:tc>
          <w:tcPr>
            <w:tcW w:w="993" w:type="dxa"/>
          </w:tcPr>
          <w:p>
            <w:pPr>
              <w:pStyle w:val="yTableNAm"/>
            </w:pPr>
            <w:r>
              <w:t>95A.</w:t>
            </w:r>
          </w:p>
        </w:tc>
        <w:tc>
          <w:tcPr>
            <w:tcW w:w="4963" w:type="dxa"/>
            <w:gridSpan w:val="2"/>
          </w:tcPr>
          <w:p>
            <w:pPr>
              <w:pStyle w:val="yTableNAm"/>
            </w:pPr>
            <w:r>
              <w:t>NAPHTHOYLINDOLES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95B.</w:t>
            </w:r>
          </w:p>
        </w:tc>
        <w:tc>
          <w:tcPr>
            <w:tcW w:w="4963" w:type="dxa"/>
            <w:gridSpan w:val="2"/>
          </w:tcPr>
          <w:p>
            <w:pPr>
              <w:pStyle w:val="yTableNAm"/>
            </w:pPr>
            <w:r>
              <w:t>NAPHTHYLMETHYLINDOLES</w:t>
            </w:r>
          </w:p>
        </w:tc>
        <w:tc>
          <w:tcPr>
            <w:tcW w:w="1240" w:type="dxa"/>
            <w:gridSpan w:val="2"/>
          </w:tcPr>
          <w:p>
            <w:pPr>
              <w:pStyle w:val="yTableNAm"/>
              <w:tabs>
                <w:tab w:val="clear" w:pos="567"/>
                <w:tab w:val="decimal" w:pos="463"/>
              </w:tabs>
            </w:pPr>
            <w:r>
              <w:t>500.0</w:t>
            </w:r>
          </w:p>
        </w:tc>
      </w:tr>
      <w:tr>
        <w:tc>
          <w:tcPr>
            <w:tcW w:w="993" w:type="dxa"/>
          </w:tcPr>
          <w:p>
            <w:pPr>
              <w:pStyle w:val="yTableNAm"/>
            </w:pPr>
            <w:r>
              <w:t>95C.</w:t>
            </w:r>
          </w:p>
        </w:tc>
        <w:tc>
          <w:tcPr>
            <w:tcW w:w="4963" w:type="dxa"/>
            <w:gridSpan w:val="2"/>
          </w:tcPr>
          <w:p>
            <w:pPr>
              <w:pStyle w:val="yTableNAm"/>
            </w:pPr>
            <w:r>
              <w:t>NAPHTHOYLPYRROLES</w:t>
            </w:r>
          </w:p>
        </w:tc>
        <w:tc>
          <w:tcPr>
            <w:tcW w:w="1240" w:type="dxa"/>
            <w:gridSpan w:val="2"/>
          </w:tcPr>
          <w:p>
            <w:pPr>
              <w:pStyle w:val="yTableNAm"/>
              <w:tabs>
                <w:tab w:val="clear" w:pos="567"/>
                <w:tab w:val="decimal" w:pos="463"/>
              </w:tabs>
            </w:pPr>
            <w:r>
              <w:t>500.0</w:t>
            </w:r>
          </w:p>
        </w:tc>
      </w:tr>
      <w:tr>
        <w:tc>
          <w:tcPr>
            <w:tcW w:w="993" w:type="dxa"/>
          </w:tcPr>
          <w:p>
            <w:pPr>
              <w:pStyle w:val="yTableNAm"/>
            </w:pPr>
            <w:r>
              <w:t>95D.</w:t>
            </w:r>
          </w:p>
        </w:tc>
        <w:tc>
          <w:tcPr>
            <w:tcW w:w="4963" w:type="dxa"/>
            <w:gridSpan w:val="2"/>
          </w:tcPr>
          <w:p>
            <w:pPr>
              <w:pStyle w:val="yTableNAm"/>
            </w:pPr>
            <w:r>
              <w:t>NAPHTHYLMETHYLINDENES</w:t>
            </w:r>
          </w:p>
        </w:tc>
        <w:tc>
          <w:tcPr>
            <w:tcW w:w="1240" w:type="dxa"/>
            <w:gridSpan w:val="2"/>
          </w:tcPr>
          <w:p>
            <w:pPr>
              <w:pStyle w:val="yTableNAm"/>
              <w:tabs>
                <w:tab w:val="clear" w:pos="567"/>
                <w:tab w:val="decimal" w:pos="463"/>
              </w:tabs>
            </w:pPr>
            <w:r>
              <w:t>500.0</w:t>
            </w:r>
          </w:p>
        </w:tc>
      </w:tr>
      <w:tr>
        <w:tc>
          <w:tcPr>
            <w:tcW w:w="993" w:type="dxa"/>
          </w:tcPr>
          <w:p>
            <w:pPr>
              <w:pStyle w:val="yTableNAm"/>
            </w:pPr>
            <w:r>
              <w:t>95.</w:t>
            </w:r>
          </w:p>
        </w:tc>
        <w:tc>
          <w:tcPr>
            <w:tcW w:w="4963" w:type="dxa"/>
            <w:gridSpan w:val="2"/>
          </w:tcPr>
          <w:p>
            <w:pPr>
              <w:pStyle w:val="yTableNAm"/>
            </w:pPr>
            <w:r>
              <w:t>NEALBARBITONE</w:t>
            </w:r>
          </w:p>
        </w:tc>
        <w:tc>
          <w:tcPr>
            <w:tcW w:w="1240" w:type="dxa"/>
            <w:gridSpan w:val="2"/>
          </w:tcPr>
          <w:p>
            <w:pPr>
              <w:pStyle w:val="yTableNAm"/>
              <w:tabs>
                <w:tab w:val="clear" w:pos="567"/>
                <w:tab w:val="decimal" w:pos="463"/>
              </w:tabs>
            </w:pPr>
            <w:r>
              <w:t>30.0</w:t>
            </w:r>
          </w:p>
        </w:tc>
      </w:tr>
      <w:tr>
        <w:trPr>
          <w:cantSplit/>
        </w:trPr>
        <w:tc>
          <w:tcPr>
            <w:tcW w:w="993" w:type="dxa"/>
          </w:tcPr>
          <w:p>
            <w:pPr>
              <w:pStyle w:val="yTableNAm"/>
            </w:pPr>
            <w:r>
              <w:t>96.</w:t>
            </w:r>
          </w:p>
        </w:tc>
        <w:tc>
          <w:tcPr>
            <w:tcW w:w="4963" w:type="dxa"/>
            <w:gridSpan w:val="2"/>
          </w:tcPr>
          <w:p>
            <w:pPr>
              <w:pStyle w:val="yTableNAm"/>
            </w:pPr>
            <w:r>
              <w:t xml:space="preserve">NICOCODINE (except when included in Schedule 2 or 4 in Appendix A to the </w:t>
            </w:r>
            <w:r>
              <w:rPr>
                <w:i/>
                <w:iCs/>
              </w:rPr>
              <w:t>Poisons </w:t>
            </w:r>
            <w:r>
              <w:rPr>
                <w:i/>
              </w:rPr>
              <w:t>Act</w:t>
            </w:r>
            <w:r>
              <w:rPr>
                <w:i/>
                <w:iCs/>
              </w:rPr>
              <w:t> 1964</w:t>
            </w:r>
            <w:r>
              <w:t>)</w:t>
            </w:r>
          </w:p>
        </w:tc>
        <w:tc>
          <w:tcPr>
            <w:tcW w:w="1240" w:type="dxa"/>
            <w:gridSpan w:val="2"/>
          </w:tcPr>
          <w:p>
            <w:pPr>
              <w:pStyle w:val="yTableNAm"/>
              <w:tabs>
                <w:tab w:val="clear" w:pos="567"/>
                <w:tab w:val="decimal" w:pos="463"/>
              </w:tabs>
            </w:pPr>
            <w:r>
              <w:br/>
              <w:t>6.0</w:t>
            </w:r>
          </w:p>
        </w:tc>
      </w:tr>
      <w:tr>
        <w:tc>
          <w:tcPr>
            <w:tcW w:w="993" w:type="dxa"/>
          </w:tcPr>
          <w:p>
            <w:pPr>
              <w:pStyle w:val="yTableNAm"/>
            </w:pPr>
            <w:r>
              <w:t>97.</w:t>
            </w:r>
          </w:p>
        </w:tc>
        <w:tc>
          <w:tcPr>
            <w:tcW w:w="4963" w:type="dxa"/>
            <w:gridSpan w:val="2"/>
          </w:tcPr>
          <w:p>
            <w:pPr>
              <w:pStyle w:val="yTableNAm"/>
            </w:pPr>
            <w:r>
              <w:t xml:space="preserve">NICODICODINE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98.</w:t>
            </w:r>
          </w:p>
        </w:tc>
        <w:tc>
          <w:tcPr>
            <w:tcW w:w="4963" w:type="dxa"/>
            <w:gridSpan w:val="2"/>
          </w:tcPr>
          <w:p>
            <w:pPr>
              <w:pStyle w:val="yTableNAm"/>
            </w:pPr>
            <w:r>
              <w:t>NICOMORPHINE</w:t>
            </w:r>
          </w:p>
        </w:tc>
        <w:tc>
          <w:tcPr>
            <w:tcW w:w="1240" w:type="dxa"/>
            <w:gridSpan w:val="2"/>
          </w:tcPr>
          <w:p>
            <w:pPr>
              <w:pStyle w:val="yTableNAm"/>
              <w:tabs>
                <w:tab w:val="clear" w:pos="567"/>
                <w:tab w:val="decimal" w:pos="463"/>
              </w:tabs>
            </w:pPr>
            <w:r>
              <w:t>6.0</w:t>
            </w:r>
          </w:p>
        </w:tc>
      </w:tr>
      <w:tr>
        <w:tc>
          <w:tcPr>
            <w:tcW w:w="993" w:type="dxa"/>
          </w:tcPr>
          <w:p>
            <w:pPr>
              <w:pStyle w:val="yTableNAm"/>
            </w:pPr>
            <w:r>
              <w:t>99.</w:t>
            </w:r>
          </w:p>
        </w:tc>
        <w:tc>
          <w:tcPr>
            <w:tcW w:w="4963" w:type="dxa"/>
            <w:gridSpan w:val="2"/>
          </w:tcPr>
          <w:p>
            <w:pPr>
              <w:pStyle w:val="yTableNAm"/>
            </w:pPr>
            <w:r>
              <w:t>NORACYMETHADOL</w:t>
            </w:r>
          </w:p>
        </w:tc>
        <w:tc>
          <w:tcPr>
            <w:tcW w:w="1240" w:type="dxa"/>
            <w:gridSpan w:val="2"/>
          </w:tcPr>
          <w:p>
            <w:pPr>
              <w:pStyle w:val="yTableNAm"/>
              <w:tabs>
                <w:tab w:val="clear" w:pos="567"/>
                <w:tab w:val="decimal" w:pos="463"/>
              </w:tabs>
            </w:pPr>
            <w:r>
              <w:t>6.0</w:t>
            </w:r>
          </w:p>
        </w:tc>
      </w:tr>
      <w:tr>
        <w:tc>
          <w:tcPr>
            <w:tcW w:w="993" w:type="dxa"/>
          </w:tcPr>
          <w:p>
            <w:pPr>
              <w:pStyle w:val="yTableNAm"/>
            </w:pPr>
            <w:r>
              <w:t>100.</w:t>
            </w:r>
          </w:p>
        </w:tc>
        <w:tc>
          <w:tcPr>
            <w:tcW w:w="4963" w:type="dxa"/>
            <w:gridSpan w:val="2"/>
          </w:tcPr>
          <w:p>
            <w:pPr>
              <w:pStyle w:val="yTableNAm"/>
            </w:pPr>
            <w:r>
              <w:t xml:space="preserve">NORCODEINE (except when included in Schedule 2 or 4 in Appendix A to the </w:t>
            </w:r>
            <w:r>
              <w:rPr>
                <w:i/>
                <w:iCs/>
              </w:rPr>
              <w:t>Poisons Act 1964</w:t>
            </w:r>
            <w:r>
              <w:rPr>
                <w:iCs/>
              </w:rP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101.</w:t>
            </w:r>
          </w:p>
        </w:tc>
        <w:tc>
          <w:tcPr>
            <w:tcW w:w="4963" w:type="dxa"/>
            <w:gridSpan w:val="2"/>
          </w:tcPr>
          <w:p>
            <w:pPr>
              <w:pStyle w:val="yTableNAm"/>
            </w:pPr>
            <w:r>
              <w:t>NORLEVORPHANOL</w:t>
            </w:r>
          </w:p>
        </w:tc>
        <w:tc>
          <w:tcPr>
            <w:tcW w:w="1240" w:type="dxa"/>
            <w:gridSpan w:val="2"/>
          </w:tcPr>
          <w:p>
            <w:pPr>
              <w:pStyle w:val="yTableNAm"/>
              <w:tabs>
                <w:tab w:val="clear" w:pos="567"/>
                <w:tab w:val="decimal" w:pos="463"/>
              </w:tabs>
            </w:pPr>
            <w:r>
              <w:t>6.0</w:t>
            </w:r>
          </w:p>
        </w:tc>
      </w:tr>
      <w:tr>
        <w:tc>
          <w:tcPr>
            <w:tcW w:w="993" w:type="dxa"/>
          </w:tcPr>
          <w:p>
            <w:pPr>
              <w:pStyle w:val="yTableNAm"/>
            </w:pPr>
            <w:r>
              <w:t>102.</w:t>
            </w:r>
          </w:p>
        </w:tc>
        <w:tc>
          <w:tcPr>
            <w:tcW w:w="4963" w:type="dxa"/>
            <w:gridSpan w:val="2"/>
          </w:tcPr>
          <w:p>
            <w:pPr>
              <w:pStyle w:val="yTableNAm"/>
            </w:pPr>
            <w:r>
              <w:t>NORMETHADONE</w:t>
            </w:r>
          </w:p>
        </w:tc>
        <w:tc>
          <w:tcPr>
            <w:tcW w:w="1240" w:type="dxa"/>
            <w:gridSpan w:val="2"/>
          </w:tcPr>
          <w:p>
            <w:pPr>
              <w:pStyle w:val="yTableNAm"/>
              <w:tabs>
                <w:tab w:val="clear" w:pos="567"/>
                <w:tab w:val="decimal" w:pos="463"/>
              </w:tabs>
            </w:pPr>
            <w:r>
              <w:t>1.5</w:t>
            </w:r>
          </w:p>
        </w:tc>
      </w:tr>
      <w:tr>
        <w:tc>
          <w:tcPr>
            <w:tcW w:w="993" w:type="dxa"/>
          </w:tcPr>
          <w:p>
            <w:pPr>
              <w:pStyle w:val="yTableNAm"/>
            </w:pPr>
            <w:r>
              <w:t>103.</w:t>
            </w:r>
          </w:p>
        </w:tc>
        <w:tc>
          <w:tcPr>
            <w:tcW w:w="4963" w:type="dxa"/>
            <w:gridSpan w:val="2"/>
          </w:tcPr>
          <w:p>
            <w:pPr>
              <w:pStyle w:val="yTableNAm"/>
            </w:pPr>
            <w:r>
              <w:t>NORMORPHINE</w:t>
            </w:r>
          </w:p>
        </w:tc>
        <w:tc>
          <w:tcPr>
            <w:tcW w:w="1240" w:type="dxa"/>
            <w:gridSpan w:val="2"/>
          </w:tcPr>
          <w:p>
            <w:pPr>
              <w:pStyle w:val="yTableNAm"/>
              <w:tabs>
                <w:tab w:val="clear" w:pos="567"/>
                <w:tab w:val="decimal" w:pos="463"/>
              </w:tabs>
            </w:pPr>
            <w:r>
              <w:t>60.0</w:t>
            </w:r>
          </w:p>
        </w:tc>
      </w:tr>
      <w:tr>
        <w:tc>
          <w:tcPr>
            <w:tcW w:w="993" w:type="dxa"/>
          </w:tcPr>
          <w:p>
            <w:pPr>
              <w:pStyle w:val="yTableNAm"/>
            </w:pPr>
            <w:r>
              <w:t>104.</w:t>
            </w:r>
          </w:p>
        </w:tc>
        <w:tc>
          <w:tcPr>
            <w:tcW w:w="4963" w:type="dxa"/>
            <w:gridSpan w:val="2"/>
          </w:tcPr>
          <w:p>
            <w:pPr>
              <w:pStyle w:val="yTableNAm"/>
            </w:pPr>
            <w:r>
              <w:t>NORPIPANONE</w:t>
            </w:r>
          </w:p>
        </w:tc>
        <w:tc>
          <w:tcPr>
            <w:tcW w:w="1240" w:type="dxa"/>
            <w:gridSpan w:val="2"/>
          </w:tcPr>
          <w:p>
            <w:pPr>
              <w:pStyle w:val="yTableNAm"/>
              <w:tabs>
                <w:tab w:val="clear" w:pos="567"/>
                <w:tab w:val="decimal" w:pos="463"/>
              </w:tabs>
            </w:pPr>
            <w:r>
              <w:t>30.0</w:t>
            </w:r>
          </w:p>
        </w:tc>
      </w:tr>
      <w:tr>
        <w:tc>
          <w:tcPr>
            <w:tcW w:w="993" w:type="dxa"/>
          </w:tcPr>
          <w:p>
            <w:pPr>
              <w:pStyle w:val="yTableNAm"/>
            </w:pPr>
            <w:r>
              <w:t>105.</w:t>
            </w:r>
          </w:p>
        </w:tc>
        <w:tc>
          <w:tcPr>
            <w:tcW w:w="4963" w:type="dxa"/>
            <w:gridSpan w:val="2"/>
          </w:tcPr>
          <w:p>
            <w:pPr>
              <w:pStyle w:val="yTableNAm"/>
            </w:pPr>
            <w:r>
              <w:t>OPIUM</w:t>
            </w:r>
          </w:p>
        </w:tc>
        <w:tc>
          <w:tcPr>
            <w:tcW w:w="1240" w:type="dxa"/>
            <w:gridSpan w:val="2"/>
          </w:tcPr>
          <w:p>
            <w:pPr>
              <w:pStyle w:val="yTableNAm"/>
              <w:tabs>
                <w:tab w:val="clear" w:pos="567"/>
                <w:tab w:val="decimal" w:pos="463"/>
              </w:tabs>
            </w:pPr>
            <w:r>
              <w:t>40.0</w:t>
            </w:r>
          </w:p>
        </w:tc>
      </w:tr>
      <w:tr>
        <w:tc>
          <w:tcPr>
            <w:tcW w:w="993" w:type="dxa"/>
          </w:tcPr>
          <w:p>
            <w:pPr>
              <w:pStyle w:val="yTableNAm"/>
            </w:pPr>
            <w:r>
              <w:t>106.</w:t>
            </w:r>
          </w:p>
        </w:tc>
        <w:tc>
          <w:tcPr>
            <w:tcW w:w="4963" w:type="dxa"/>
            <w:gridSpan w:val="2"/>
          </w:tcPr>
          <w:p>
            <w:pPr>
              <w:pStyle w:val="yTableNAm"/>
            </w:pPr>
            <w:r>
              <w:t>OXYCODONE</w:t>
            </w:r>
          </w:p>
        </w:tc>
        <w:tc>
          <w:tcPr>
            <w:tcW w:w="1240" w:type="dxa"/>
            <w:gridSpan w:val="2"/>
          </w:tcPr>
          <w:p>
            <w:pPr>
              <w:pStyle w:val="yTableNAm"/>
              <w:tabs>
                <w:tab w:val="clear" w:pos="567"/>
                <w:tab w:val="decimal" w:pos="463"/>
              </w:tabs>
            </w:pPr>
            <w:r>
              <w:t>15.0</w:t>
            </w:r>
          </w:p>
        </w:tc>
      </w:tr>
      <w:tr>
        <w:tc>
          <w:tcPr>
            <w:tcW w:w="993" w:type="dxa"/>
          </w:tcPr>
          <w:p>
            <w:pPr>
              <w:pStyle w:val="yTableNAm"/>
            </w:pPr>
            <w:r>
              <w:t>107.</w:t>
            </w:r>
          </w:p>
        </w:tc>
        <w:tc>
          <w:tcPr>
            <w:tcW w:w="4963" w:type="dxa"/>
            <w:gridSpan w:val="2"/>
          </w:tcPr>
          <w:p>
            <w:pPr>
              <w:pStyle w:val="yTableNAm"/>
            </w:pPr>
            <w:r>
              <w:t>OXYMORPHONE</w:t>
            </w:r>
          </w:p>
        </w:tc>
        <w:tc>
          <w:tcPr>
            <w:tcW w:w="1240" w:type="dxa"/>
            <w:gridSpan w:val="2"/>
          </w:tcPr>
          <w:p>
            <w:pPr>
              <w:pStyle w:val="yTableNAm"/>
              <w:tabs>
                <w:tab w:val="clear" w:pos="567"/>
                <w:tab w:val="decimal" w:pos="463"/>
              </w:tabs>
            </w:pPr>
            <w:r>
              <w:t>6.0</w:t>
            </w:r>
          </w:p>
        </w:tc>
      </w:tr>
      <w:tr>
        <w:tc>
          <w:tcPr>
            <w:tcW w:w="993" w:type="dxa"/>
          </w:tcPr>
          <w:p>
            <w:pPr>
              <w:pStyle w:val="yTableNAm"/>
            </w:pPr>
            <w:r>
              <w:t>108.</w:t>
            </w:r>
          </w:p>
        </w:tc>
        <w:tc>
          <w:tcPr>
            <w:tcW w:w="4963" w:type="dxa"/>
            <w:gridSpan w:val="2"/>
          </w:tcPr>
          <w:p>
            <w:pPr>
              <w:pStyle w:val="yTableNAm"/>
            </w:pPr>
            <w:r>
              <w:t>PENTAZOCINE</w:t>
            </w:r>
          </w:p>
        </w:tc>
        <w:tc>
          <w:tcPr>
            <w:tcW w:w="1240" w:type="dxa"/>
            <w:gridSpan w:val="2"/>
          </w:tcPr>
          <w:p>
            <w:pPr>
              <w:pStyle w:val="yTableNAm"/>
              <w:tabs>
                <w:tab w:val="clear" w:pos="567"/>
                <w:tab w:val="decimal" w:pos="463"/>
              </w:tabs>
            </w:pPr>
            <w:r>
              <w:t>30.0</w:t>
            </w:r>
          </w:p>
        </w:tc>
      </w:tr>
      <w:tr>
        <w:tc>
          <w:tcPr>
            <w:tcW w:w="993" w:type="dxa"/>
          </w:tcPr>
          <w:p>
            <w:pPr>
              <w:pStyle w:val="yTableNAm"/>
            </w:pPr>
            <w:r>
              <w:t>109.</w:t>
            </w:r>
          </w:p>
        </w:tc>
        <w:tc>
          <w:tcPr>
            <w:tcW w:w="4963" w:type="dxa"/>
            <w:gridSpan w:val="2"/>
          </w:tcPr>
          <w:p>
            <w:pPr>
              <w:pStyle w:val="yTableNAm"/>
            </w:pPr>
            <w:r>
              <w:t>PENTOBARBITONE</w:t>
            </w:r>
          </w:p>
        </w:tc>
        <w:tc>
          <w:tcPr>
            <w:tcW w:w="1240" w:type="dxa"/>
            <w:gridSpan w:val="2"/>
          </w:tcPr>
          <w:p>
            <w:pPr>
              <w:pStyle w:val="yTableNAm"/>
              <w:tabs>
                <w:tab w:val="clear" w:pos="567"/>
                <w:tab w:val="decimal" w:pos="463"/>
              </w:tabs>
            </w:pPr>
            <w:r>
              <w:t>30.0</w:t>
            </w:r>
          </w:p>
        </w:tc>
      </w:tr>
      <w:tr>
        <w:tc>
          <w:tcPr>
            <w:tcW w:w="993" w:type="dxa"/>
          </w:tcPr>
          <w:p>
            <w:pPr>
              <w:pStyle w:val="yTableNAm"/>
            </w:pPr>
            <w:r>
              <w:t>110AA.</w:t>
            </w:r>
          </w:p>
        </w:tc>
        <w:tc>
          <w:tcPr>
            <w:tcW w:w="4963"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 xml:space="preserve">398) </w:t>
            </w:r>
          </w:p>
        </w:tc>
        <w:tc>
          <w:tcPr>
            <w:tcW w:w="1240" w:type="dxa"/>
            <w:gridSpan w:val="2"/>
          </w:tcPr>
          <w:p>
            <w:pPr>
              <w:pStyle w:val="yTableNAm"/>
              <w:tabs>
                <w:tab w:val="clear" w:pos="567"/>
                <w:tab w:val="decimal" w:pos="463"/>
              </w:tabs>
            </w:pPr>
            <w:r>
              <w:br/>
              <w:t>500.0</w:t>
            </w:r>
          </w:p>
        </w:tc>
      </w:tr>
      <w:tr>
        <w:tc>
          <w:tcPr>
            <w:tcW w:w="993" w:type="dxa"/>
          </w:tcPr>
          <w:p>
            <w:pPr>
              <w:pStyle w:val="yTableNAm"/>
              <w:keepNext/>
              <w:keepLines/>
            </w:pPr>
            <w:r>
              <w:t>110AB.</w:t>
            </w:r>
          </w:p>
        </w:tc>
        <w:tc>
          <w:tcPr>
            <w:tcW w:w="4963" w:type="dxa"/>
            <w:gridSpan w:val="2"/>
          </w:tcPr>
          <w:p>
            <w:pPr>
              <w:pStyle w:val="yTableNAm"/>
              <w:keepNext/>
              <w:keepLines/>
            </w:pPr>
            <w:r>
              <w:t>1</w:t>
            </w:r>
            <w:r>
              <w:noBreakHyphen/>
              <w:t>PENTYL</w:t>
            </w:r>
            <w:r>
              <w:noBreakHyphen/>
              <w:t>3</w:t>
            </w:r>
            <w:r>
              <w:noBreakHyphen/>
              <w:t>(2</w:t>
            </w:r>
            <w:r>
              <w:noBreakHyphen/>
              <w:t>CHLOROPHENYLACETYL) INDOLE (JWH</w:t>
            </w:r>
            <w:r>
              <w:noBreakHyphen/>
              <w:t>203)</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110AC.</w:t>
            </w:r>
          </w:p>
        </w:tc>
        <w:tc>
          <w:tcPr>
            <w:tcW w:w="4963"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40" w:type="dxa"/>
            <w:gridSpan w:val="2"/>
          </w:tcPr>
          <w:p>
            <w:pPr>
              <w:pStyle w:val="yTableNAm"/>
              <w:tabs>
                <w:tab w:val="clear" w:pos="567"/>
                <w:tab w:val="decimal" w:pos="463"/>
              </w:tabs>
            </w:pPr>
            <w:r>
              <w:br/>
              <w:t>500.0</w:t>
            </w:r>
          </w:p>
        </w:tc>
      </w:tr>
      <w:tr>
        <w:tc>
          <w:tcPr>
            <w:tcW w:w="993" w:type="dxa"/>
          </w:tcPr>
          <w:p>
            <w:pPr>
              <w:pStyle w:val="yTableNAm"/>
            </w:pPr>
            <w:r>
              <w:t>110AD.</w:t>
            </w:r>
          </w:p>
        </w:tc>
        <w:tc>
          <w:tcPr>
            <w:tcW w:w="4963"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40" w:type="dxa"/>
            <w:gridSpan w:val="2"/>
          </w:tcPr>
          <w:p>
            <w:pPr>
              <w:pStyle w:val="yTableNAm"/>
              <w:tabs>
                <w:tab w:val="clear" w:pos="567"/>
                <w:tab w:val="decimal" w:pos="463"/>
              </w:tabs>
            </w:pPr>
            <w:r>
              <w:br/>
              <w:t>500.0</w:t>
            </w:r>
          </w:p>
        </w:tc>
      </w:tr>
      <w:tr>
        <w:tc>
          <w:tcPr>
            <w:tcW w:w="993" w:type="dxa"/>
          </w:tcPr>
          <w:p>
            <w:pPr>
              <w:pStyle w:val="yTableNAm"/>
            </w:pPr>
            <w:r>
              <w:t>110AE.</w:t>
            </w:r>
          </w:p>
        </w:tc>
        <w:tc>
          <w:tcPr>
            <w:tcW w:w="4963"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110A.</w:t>
            </w:r>
          </w:p>
        </w:tc>
        <w:tc>
          <w:tcPr>
            <w:tcW w:w="4963" w:type="dxa"/>
            <w:gridSpan w:val="2"/>
          </w:tcPr>
          <w:p>
            <w:pPr>
              <w:pStyle w:val="yTableNAm"/>
            </w:pPr>
            <w:r>
              <w:t>1</w:t>
            </w:r>
            <w:r>
              <w:noBreakHyphen/>
              <w:t>PENTYL</w:t>
            </w:r>
            <w:r>
              <w:noBreakHyphen/>
              <w:t>3</w:t>
            </w:r>
            <w:r>
              <w:noBreakHyphen/>
              <w:t>(1</w:t>
            </w:r>
            <w:r>
              <w:noBreakHyphen/>
              <w:t>NAPHTHOYL) INDOLE (JWH</w:t>
            </w:r>
            <w:r>
              <w:noBreakHyphen/>
              <w:t>018)</w:t>
            </w:r>
          </w:p>
        </w:tc>
        <w:tc>
          <w:tcPr>
            <w:tcW w:w="1240" w:type="dxa"/>
            <w:gridSpan w:val="2"/>
          </w:tcPr>
          <w:p>
            <w:pPr>
              <w:pStyle w:val="yTableNAm"/>
              <w:tabs>
                <w:tab w:val="clear" w:pos="567"/>
                <w:tab w:val="decimal" w:pos="463"/>
              </w:tabs>
            </w:pPr>
            <w:r>
              <w:br/>
              <w:t>500.0</w:t>
            </w:r>
          </w:p>
        </w:tc>
      </w:tr>
      <w:tr>
        <w:tc>
          <w:tcPr>
            <w:tcW w:w="993" w:type="dxa"/>
          </w:tcPr>
          <w:p>
            <w:pPr>
              <w:pStyle w:val="yTableNAm"/>
            </w:pPr>
            <w:r>
              <w:t>110B.</w:t>
            </w:r>
          </w:p>
        </w:tc>
        <w:tc>
          <w:tcPr>
            <w:tcW w:w="4963"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40" w:type="dxa"/>
            <w:gridSpan w:val="2"/>
          </w:tcPr>
          <w:p>
            <w:pPr>
              <w:pStyle w:val="yTableNAm"/>
              <w:tabs>
                <w:tab w:val="clear" w:pos="567"/>
                <w:tab w:val="decimal" w:pos="463"/>
              </w:tabs>
            </w:pPr>
            <w:r>
              <w:br/>
              <w:t>500.0</w:t>
            </w:r>
          </w:p>
        </w:tc>
      </w:tr>
      <w:tr>
        <w:tc>
          <w:tcPr>
            <w:tcW w:w="993" w:type="dxa"/>
          </w:tcPr>
          <w:p>
            <w:pPr>
              <w:pStyle w:val="yTableNAm"/>
            </w:pPr>
            <w:r>
              <w:t>110.</w:t>
            </w:r>
          </w:p>
        </w:tc>
        <w:tc>
          <w:tcPr>
            <w:tcW w:w="4963" w:type="dxa"/>
            <w:gridSpan w:val="2"/>
          </w:tcPr>
          <w:p>
            <w:pPr>
              <w:pStyle w:val="yTableNAm"/>
            </w:pPr>
            <w:r>
              <w:t>PETHIDINE</w:t>
            </w:r>
          </w:p>
        </w:tc>
        <w:tc>
          <w:tcPr>
            <w:tcW w:w="1240" w:type="dxa"/>
            <w:gridSpan w:val="2"/>
          </w:tcPr>
          <w:p>
            <w:pPr>
              <w:pStyle w:val="yTableNAm"/>
              <w:tabs>
                <w:tab w:val="clear" w:pos="567"/>
                <w:tab w:val="decimal" w:pos="463"/>
              </w:tabs>
            </w:pPr>
            <w:r>
              <w:t>15.0</w:t>
            </w:r>
          </w:p>
        </w:tc>
      </w:tr>
      <w:tr>
        <w:tc>
          <w:tcPr>
            <w:tcW w:w="993" w:type="dxa"/>
          </w:tcPr>
          <w:p>
            <w:pPr>
              <w:pStyle w:val="yTableNAm"/>
            </w:pPr>
            <w:r>
              <w:t>111.</w:t>
            </w:r>
          </w:p>
        </w:tc>
        <w:tc>
          <w:tcPr>
            <w:tcW w:w="4963" w:type="dxa"/>
            <w:gridSpan w:val="2"/>
          </w:tcPr>
          <w:p>
            <w:pPr>
              <w:pStyle w:val="yTableNAm"/>
            </w:pPr>
            <w:r>
              <w:t>PETHIDINE</w:t>
            </w:r>
            <w:r>
              <w:noBreakHyphen/>
              <w:t>INTERMEDIATE A</w:t>
            </w:r>
          </w:p>
        </w:tc>
        <w:tc>
          <w:tcPr>
            <w:tcW w:w="1240" w:type="dxa"/>
            <w:gridSpan w:val="2"/>
          </w:tcPr>
          <w:p>
            <w:pPr>
              <w:pStyle w:val="yTableNAm"/>
              <w:tabs>
                <w:tab w:val="clear" w:pos="567"/>
                <w:tab w:val="decimal" w:pos="463"/>
              </w:tabs>
            </w:pPr>
            <w:r>
              <w:t>15.0</w:t>
            </w:r>
          </w:p>
        </w:tc>
      </w:tr>
      <w:tr>
        <w:tc>
          <w:tcPr>
            <w:tcW w:w="993" w:type="dxa"/>
          </w:tcPr>
          <w:p>
            <w:pPr>
              <w:pStyle w:val="yTableNAm"/>
            </w:pPr>
            <w:r>
              <w:t>112.</w:t>
            </w:r>
          </w:p>
        </w:tc>
        <w:tc>
          <w:tcPr>
            <w:tcW w:w="4963" w:type="dxa"/>
            <w:gridSpan w:val="2"/>
          </w:tcPr>
          <w:p>
            <w:pPr>
              <w:pStyle w:val="yTableNAm"/>
            </w:pPr>
            <w:r>
              <w:t>PETHIDINE</w:t>
            </w:r>
            <w:r>
              <w:noBreakHyphen/>
              <w:t>INTERMEDIATE B</w:t>
            </w:r>
          </w:p>
        </w:tc>
        <w:tc>
          <w:tcPr>
            <w:tcW w:w="1240" w:type="dxa"/>
            <w:gridSpan w:val="2"/>
          </w:tcPr>
          <w:p>
            <w:pPr>
              <w:pStyle w:val="yTableNAm"/>
              <w:tabs>
                <w:tab w:val="clear" w:pos="567"/>
                <w:tab w:val="decimal" w:pos="463"/>
              </w:tabs>
            </w:pPr>
            <w:r>
              <w:t>15.0</w:t>
            </w:r>
          </w:p>
        </w:tc>
      </w:tr>
      <w:tr>
        <w:tc>
          <w:tcPr>
            <w:tcW w:w="993" w:type="dxa"/>
          </w:tcPr>
          <w:p>
            <w:pPr>
              <w:pStyle w:val="yTableNAm"/>
            </w:pPr>
            <w:r>
              <w:t>113.</w:t>
            </w:r>
          </w:p>
        </w:tc>
        <w:tc>
          <w:tcPr>
            <w:tcW w:w="4963" w:type="dxa"/>
            <w:gridSpan w:val="2"/>
          </w:tcPr>
          <w:p>
            <w:pPr>
              <w:pStyle w:val="yTableNAm"/>
            </w:pPr>
            <w:r>
              <w:t>PETHIDINE</w:t>
            </w:r>
            <w:r>
              <w:noBreakHyphen/>
              <w:t>INTERMEDIATE C</w:t>
            </w:r>
          </w:p>
        </w:tc>
        <w:tc>
          <w:tcPr>
            <w:tcW w:w="1240" w:type="dxa"/>
            <w:gridSpan w:val="2"/>
          </w:tcPr>
          <w:p>
            <w:pPr>
              <w:pStyle w:val="yTableNAm"/>
              <w:tabs>
                <w:tab w:val="clear" w:pos="567"/>
                <w:tab w:val="decimal" w:pos="463"/>
              </w:tabs>
            </w:pPr>
            <w:r>
              <w:t>15.0</w:t>
            </w:r>
          </w:p>
        </w:tc>
      </w:tr>
      <w:tr>
        <w:tc>
          <w:tcPr>
            <w:tcW w:w="993" w:type="dxa"/>
          </w:tcPr>
          <w:p>
            <w:pPr>
              <w:pStyle w:val="yTableNAm"/>
            </w:pPr>
            <w:r>
              <w:t>114.</w:t>
            </w:r>
          </w:p>
        </w:tc>
        <w:tc>
          <w:tcPr>
            <w:tcW w:w="4963" w:type="dxa"/>
            <w:gridSpan w:val="2"/>
          </w:tcPr>
          <w:p>
            <w:pPr>
              <w:pStyle w:val="yTableNAm"/>
            </w:pPr>
            <w:r>
              <w:t>PHENADOXONE</w:t>
            </w:r>
          </w:p>
        </w:tc>
        <w:tc>
          <w:tcPr>
            <w:tcW w:w="1240" w:type="dxa"/>
            <w:gridSpan w:val="2"/>
          </w:tcPr>
          <w:p>
            <w:pPr>
              <w:pStyle w:val="yTableNAm"/>
              <w:tabs>
                <w:tab w:val="clear" w:pos="567"/>
                <w:tab w:val="decimal" w:pos="463"/>
              </w:tabs>
            </w:pPr>
            <w:r>
              <w:t>30.0</w:t>
            </w:r>
          </w:p>
        </w:tc>
      </w:tr>
      <w:tr>
        <w:tc>
          <w:tcPr>
            <w:tcW w:w="993" w:type="dxa"/>
          </w:tcPr>
          <w:p>
            <w:pPr>
              <w:pStyle w:val="yTableNAm"/>
            </w:pPr>
            <w:r>
              <w:t>115.</w:t>
            </w:r>
          </w:p>
        </w:tc>
        <w:tc>
          <w:tcPr>
            <w:tcW w:w="4963" w:type="dxa"/>
            <w:gridSpan w:val="2"/>
          </w:tcPr>
          <w:p>
            <w:pPr>
              <w:pStyle w:val="yTableNAm"/>
            </w:pPr>
            <w:r>
              <w:t>PHENAMPROMIDE</w:t>
            </w:r>
          </w:p>
        </w:tc>
        <w:tc>
          <w:tcPr>
            <w:tcW w:w="1240" w:type="dxa"/>
            <w:gridSpan w:val="2"/>
          </w:tcPr>
          <w:p>
            <w:pPr>
              <w:pStyle w:val="yTableNAm"/>
              <w:tabs>
                <w:tab w:val="clear" w:pos="567"/>
                <w:tab w:val="decimal" w:pos="463"/>
              </w:tabs>
            </w:pPr>
            <w:r>
              <w:t>30.0</w:t>
            </w:r>
          </w:p>
        </w:tc>
      </w:tr>
      <w:tr>
        <w:tc>
          <w:tcPr>
            <w:tcW w:w="993" w:type="dxa"/>
          </w:tcPr>
          <w:p>
            <w:pPr>
              <w:pStyle w:val="yTableNAm"/>
            </w:pPr>
            <w:r>
              <w:t>116.</w:t>
            </w:r>
          </w:p>
        </w:tc>
        <w:tc>
          <w:tcPr>
            <w:tcW w:w="4963" w:type="dxa"/>
            <w:gridSpan w:val="2"/>
          </w:tcPr>
          <w:p>
            <w:pPr>
              <w:pStyle w:val="yTableNAm"/>
            </w:pPr>
            <w:r>
              <w:t>PHENAZOCINE</w:t>
            </w:r>
          </w:p>
        </w:tc>
        <w:tc>
          <w:tcPr>
            <w:tcW w:w="1240" w:type="dxa"/>
            <w:gridSpan w:val="2"/>
          </w:tcPr>
          <w:p>
            <w:pPr>
              <w:pStyle w:val="yTableNAm"/>
              <w:tabs>
                <w:tab w:val="clear" w:pos="567"/>
                <w:tab w:val="decimal" w:pos="463"/>
              </w:tabs>
            </w:pPr>
            <w:r>
              <w:t>3.0</w:t>
            </w:r>
          </w:p>
        </w:tc>
      </w:tr>
      <w:tr>
        <w:tc>
          <w:tcPr>
            <w:tcW w:w="993" w:type="dxa"/>
          </w:tcPr>
          <w:p>
            <w:pPr>
              <w:pStyle w:val="yTableNAm"/>
            </w:pPr>
            <w:r>
              <w:t>117.</w:t>
            </w:r>
          </w:p>
        </w:tc>
        <w:tc>
          <w:tcPr>
            <w:tcW w:w="4963" w:type="dxa"/>
            <w:gridSpan w:val="2"/>
          </w:tcPr>
          <w:p>
            <w:pPr>
              <w:pStyle w:val="yTableNAm"/>
            </w:pPr>
            <w:r>
              <w:t>PHENCYCLIDINE</w:t>
            </w:r>
          </w:p>
        </w:tc>
        <w:tc>
          <w:tcPr>
            <w:tcW w:w="1240" w:type="dxa"/>
            <w:gridSpan w:val="2"/>
          </w:tcPr>
          <w:p>
            <w:pPr>
              <w:pStyle w:val="yTableNAm"/>
              <w:tabs>
                <w:tab w:val="clear" w:pos="567"/>
                <w:tab w:val="decimal" w:pos="463"/>
              </w:tabs>
            </w:pPr>
            <w:r>
              <w:t>0.004</w:t>
            </w:r>
          </w:p>
        </w:tc>
      </w:tr>
      <w:tr>
        <w:tc>
          <w:tcPr>
            <w:tcW w:w="993" w:type="dxa"/>
          </w:tcPr>
          <w:p>
            <w:pPr>
              <w:pStyle w:val="yTableNAm"/>
            </w:pPr>
            <w:r>
              <w:t>118.</w:t>
            </w:r>
          </w:p>
        </w:tc>
        <w:tc>
          <w:tcPr>
            <w:tcW w:w="4963" w:type="dxa"/>
            <w:gridSpan w:val="2"/>
          </w:tcPr>
          <w:p>
            <w:pPr>
              <w:pStyle w:val="yTableNAm"/>
            </w:pPr>
            <w:r>
              <w:t>PHENMETRAZINE</w:t>
            </w:r>
          </w:p>
        </w:tc>
        <w:tc>
          <w:tcPr>
            <w:tcW w:w="1240" w:type="dxa"/>
            <w:gridSpan w:val="2"/>
          </w:tcPr>
          <w:p>
            <w:pPr>
              <w:pStyle w:val="yTableNAm"/>
              <w:tabs>
                <w:tab w:val="clear" w:pos="567"/>
                <w:tab w:val="decimal" w:pos="463"/>
              </w:tabs>
            </w:pPr>
            <w:r>
              <w:t>6.0</w:t>
            </w:r>
          </w:p>
        </w:tc>
      </w:tr>
      <w:tr>
        <w:tc>
          <w:tcPr>
            <w:tcW w:w="993" w:type="dxa"/>
          </w:tcPr>
          <w:p>
            <w:pPr>
              <w:pStyle w:val="yTableNAm"/>
            </w:pPr>
            <w:r>
              <w:t>119.</w:t>
            </w:r>
          </w:p>
        </w:tc>
        <w:tc>
          <w:tcPr>
            <w:tcW w:w="4963" w:type="dxa"/>
            <w:gridSpan w:val="2"/>
          </w:tcPr>
          <w:p>
            <w:pPr>
              <w:pStyle w:val="yTableNAm"/>
            </w:pPr>
            <w:r>
              <w:t>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120.</w:t>
            </w:r>
          </w:p>
        </w:tc>
        <w:tc>
          <w:tcPr>
            <w:tcW w:w="4963" w:type="dxa"/>
            <w:gridSpan w:val="2"/>
          </w:tcPr>
          <w:p>
            <w:pPr>
              <w:pStyle w:val="yTableNAm"/>
            </w:pPr>
            <w:r>
              <w:t>PHENOMORPHAN</w:t>
            </w:r>
          </w:p>
        </w:tc>
        <w:tc>
          <w:tcPr>
            <w:tcW w:w="1240" w:type="dxa"/>
            <w:gridSpan w:val="2"/>
          </w:tcPr>
          <w:p>
            <w:pPr>
              <w:pStyle w:val="yTableNAm"/>
              <w:tabs>
                <w:tab w:val="clear" w:pos="567"/>
                <w:tab w:val="decimal" w:pos="463"/>
              </w:tabs>
            </w:pPr>
            <w:r>
              <w:t>15.0</w:t>
            </w:r>
          </w:p>
        </w:tc>
      </w:tr>
      <w:tr>
        <w:tc>
          <w:tcPr>
            <w:tcW w:w="993" w:type="dxa"/>
          </w:tcPr>
          <w:p>
            <w:pPr>
              <w:pStyle w:val="yTableNAm"/>
            </w:pPr>
            <w:r>
              <w:t>121.</w:t>
            </w:r>
          </w:p>
        </w:tc>
        <w:tc>
          <w:tcPr>
            <w:tcW w:w="4963" w:type="dxa"/>
            <w:gridSpan w:val="2"/>
          </w:tcPr>
          <w:p>
            <w:pPr>
              <w:pStyle w:val="yTableNAm"/>
            </w:pPr>
            <w:r>
              <w:t>PHENOPERIDINE</w:t>
            </w:r>
          </w:p>
        </w:tc>
        <w:tc>
          <w:tcPr>
            <w:tcW w:w="1240" w:type="dxa"/>
            <w:gridSpan w:val="2"/>
          </w:tcPr>
          <w:p>
            <w:pPr>
              <w:pStyle w:val="yTableNAm"/>
              <w:tabs>
                <w:tab w:val="clear" w:pos="567"/>
                <w:tab w:val="decimal" w:pos="463"/>
              </w:tabs>
            </w:pPr>
            <w:r>
              <w:t>3.0</w:t>
            </w:r>
          </w:p>
        </w:tc>
      </w:tr>
      <w:tr>
        <w:tc>
          <w:tcPr>
            <w:tcW w:w="993" w:type="dxa"/>
          </w:tcPr>
          <w:p>
            <w:pPr>
              <w:pStyle w:val="yTableNAm"/>
              <w:keepNext/>
              <w:keepLines/>
            </w:pPr>
            <w:r>
              <w:t>122A.</w:t>
            </w:r>
          </w:p>
        </w:tc>
        <w:tc>
          <w:tcPr>
            <w:tcW w:w="4963" w:type="dxa"/>
            <w:gridSpan w:val="2"/>
          </w:tcPr>
          <w:p>
            <w:pPr>
              <w:pStyle w:val="yTableNAm"/>
              <w:keepNext/>
              <w:keepLines/>
            </w:pPr>
            <w:r>
              <w:t>PHENYLACETYLINDOLES (not specifically included elsewhere in this Schedule)</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122.</w:t>
            </w:r>
          </w:p>
        </w:tc>
        <w:tc>
          <w:tcPr>
            <w:tcW w:w="4963" w:type="dxa"/>
            <w:gridSpan w:val="2"/>
          </w:tcPr>
          <w:p>
            <w:pPr>
              <w:pStyle w:val="yTableNAm"/>
            </w:pPr>
            <w:r>
              <w:t>PHENYLMETHYLBARBITURIC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123.</w:t>
            </w:r>
          </w:p>
        </w:tc>
        <w:tc>
          <w:tcPr>
            <w:tcW w:w="4963" w:type="dxa"/>
            <w:gridSpan w:val="2"/>
          </w:tcPr>
          <w:p>
            <w:pPr>
              <w:pStyle w:val="yTableNAm"/>
            </w:pPr>
            <w:r>
              <w:t xml:space="preserve">PHOLCODINE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15.0</w:t>
            </w:r>
          </w:p>
        </w:tc>
      </w:tr>
      <w:tr>
        <w:tc>
          <w:tcPr>
            <w:tcW w:w="993" w:type="dxa"/>
          </w:tcPr>
          <w:p>
            <w:pPr>
              <w:pStyle w:val="yTableNAm"/>
            </w:pPr>
            <w:r>
              <w:t>124.</w:t>
            </w:r>
          </w:p>
        </w:tc>
        <w:tc>
          <w:tcPr>
            <w:tcW w:w="4963" w:type="dxa"/>
            <w:gridSpan w:val="2"/>
          </w:tcPr>
          <w:p>
            <w:pPr>
              <w:pStyle w:val="yTableNAm"/>
            </w:pPr>
            <w:r>
              <w:t>PIMINODINE</w:t>
            </w:r>
          </w:p>
        </w:tc>
        <w:tc>
          <w:tcPr>
            <w:tcW w:w="1240" w:type="dxa"/>
            <w:gridSpan w:val="2"/>
          </w:tcPr>
          <w:p>
            <w:pPr>
              <w:pStyle w:val="yTableNAm"/>
              <w:tabs>
                <w:tab w:val="clear" w:pos="567"/>
                <w:tab w:val="decimal" w:pos="463"/>
              </w:tabs>
            </w:pPr>
            <w:r>
              <w:t>30.0</w:t>
            </w:r>
          </w:p>
        </w:tc>
      </w:tr>
      <w:tr>
        <w:tc>
          <w:tcPr>
            <w:tcW w:w="993" w:type="dxa"/>
          </w:tcPr>
          <w:p>
            <w:pPr>
              <w:pStyle w:val="yTableNAm"/>
            </w:pPr>
            <w:r>
              <w:t>125.</w:t>
            </w:r>
          </w:p>
        </w:tc>
        <w:tc>
          <w:tcPr>
            <w:tcW w:w="4963" w:type="dxa"/>
            <w:gridSpan w:val="2"/>
          </w:tcPr>
          <w:p>
            <w:pPr>
              <w:pStyle w:val="yTableNAm"/>
            </w:pPr>
            <w:r>
              <w:t>PIRITRAMIDE</w:t>
            </w:r>
          </w:p>
        </w:tc>
        <w:tc>
          <w:tcPr>
            <w:tcW w:w="1240" w:type="dxa"/>
            <w:gridSpan w:val="2"/>
          </w:tcPr>
          <w:p>
            <w:pPr>
              <w:pStyle w:val="yTableNAm"/>
              <w:tabs>
                <w:tab w:val="clear" w:pos="567"/>
                <w:tab w:val="decimal" w:pos="463"/>
              </w:tabs>
            </w:pPr>
            <w:r>
              <w:t>3.0</w:t>
            </w:r>
          </w:p>
        </w:tc>
      </w:tr>
      <w:tr>
        <w:tc>
          <w:tcPr>
            <w:tcW w:w="993" w:type="dxa"/>
          </w:tcPr>
          <w:p>
            <w:pPr>
              <w:pStyle w:val="yTableNAm"/>
            </w:pPr>
            <w:r>
              <w:t>126A.</w:t>
            </w:r>
          </w:p>
        </w:tc>
        <w:tc>
          <w:tcPr>
            <w:tcW w:w="4963" w:type="dxa"/>
            <w:gridSpan w:val="2"/>
          </w:tcPr>
          <w:p>
            <w:pPr>
              <w:pStyle w:val="yTableNAm"/>
            </w:pPr>
            <w:r>
              <w:t>PRAVADOLINE (WIN 48098)</w:t>
            </w:r>
          </w:p>
        </w:tc>
        <w:tc>
          <w:tcPr>
            <w:tcW w:w="1240" w:type="dxa"/>
            <w:gridSpan w:val="2"/>
          </w:tcPr>
          <w:p>
            <w:pPr>
              <w:pStyle w:val="yTableNAm"/>
              <w:tabs>
                <w:tab w:val="clear" w:pos="567"/>
                <w:tab w:val="decimal" w:pos="463"/>
              </w:tabs>
            </w:pPr>
            <w:r>
              <w:t>500.0</w:t>
            </w:r>
          </w:p>
        </w:tc>
      </w:tr>
      <w:tr>
        <w:tc>
          <w:tcPr>
            <w:tcW w:w="993" w:type="dxa"/>
          </w:tcPr>
          <w:p>
            <w:pPr>
              <w:pStyle w:val="yTableNAm"/>
            </w:pPr>
            <w:r>
              <w:t>126.</w:t>
            </w:r>
          </w:p>
        </w:tc>
        <w:tc>
          <w:tcPr>
            <w:tcW w:w="4963" w:type="dxa"/>
            <w:gridSpan w:val="2"/>
          </w:tcPr>
          <w:p>
            <w:pPr>
              <w:pStyle w:val="yTableNAm"/>
            </w:pPr>
            <w:r>
              <w:t>PROHEPTAZINE</w:t>
            </w:r>
          </w:p>
        </w:tc>
        <w:tc>
          <w:tcPr>
            <w:tcW w:w="1240" w:type="dxa"/>
            <w:gridSpan w:val="2"/>
          </w:tcPr>
          <w:p>
            <w:pPr>
              <w:pStyle w:val="yTableNAm"/>
              <w:tabs>
                <w:tab w:val="clear" w:pos="567"/>
                <w:tab w:val="decimal" w:pos="463"/>
              </w:tabs>
            </w:pPr>
            <w:r>
              <w:t>3.0</w:t>
            </w:r>
          </w:p>
        </w:tc>
      </w:tr>
      <w:tr>
        <w:tc>
          <w:tcPr>
            <w:tcW w:w="993" w:type="dxa"/>
          </w:tcPr>
          <w:p>
            <w:pPr>
              <w:pStyle w:val="yTableNAm"/>
            </w:pPr>
            <w:r>
              <w:t>127.</w:t>
            </w:r>
          </w:p>
        </w:tc>
        <w:tc>
          <w:tcPr>
            <w:tcW w:w="4963" w:type="dxa"/>
            <w:gridSpan w:val="2"/>
          </w:tcPr>
          <w:p>
            <w:pPr>
              <w:pStyle w:val="yTableNAm"/>
            </w:pPr>
            <w:r>
              <w:t>PROPERIDINE</w:t>
            </w:r>
          </w:p>
        </w:tc>
        <w:tc>
          <w:tcPr>
            <w:tcW w:w="1240" w:type="dxa"/>
            <w:gridSpan w:val="2"/>
          </w:tcPr>
          <w:p>
            <w:pPr>
              <w:pStyle w:val="yTableNAm"/>
              <w:tabs>
                <w:tab w:val="clear" w:pos="567"/>
                <w:tab w:val="decimal" w:pos="463"/>
              </w:tabs>
            </w:pPr>
            <w:r>
              <w:t>75.0</w:t>
            </w:r>
          </w:p>
        </w:tc>
      </w:tr>
      <w:tr>
        <w:tc>
          <w:tcPr>
            <w:tcW w:w="993" w:type="dxa"/>
          </w:tcPr>
          <w:p>
            <w:pPr>
              <w:pStyle w:val="yTableNAm"/>
            </w:pPr>
            <w:r>
              <w:t>128.</w:t>
            </w:r>
          </w:p>
        </w:tc>
        <w:tc>
          <w:tcPr>
            <w:tcW w:w="4963" w:type="dxa"/>
            <w:gridSpan w:val="2"/>
          </w:tcPr>
          <w:p>
            <w:pPr>
              <w:pStyle w:val="yTableNAm"/>
            </w:pPr>
            <w:r>
              <w:t>PROPIRAM</w:t>
            </w:r>
          </w:p>
        </w:tc>
        <w:tc>
          <w:tcPr>
            <w:tcW w:w="1240" w:type="dxa"/>
            <w:gridSpan w:val="2"/>
          </w:tcPr>
          <w:p>
            <w:pPr>
              <w:pStyle w:val="yTableNAm"/>
              <w:tabs>
                <w:tab w:val="clear" w:pos="567"/>
                <w:tab w:val="decimal" w:pos="463"/>
              </w:tabs>
            </w:pPr>
            <w:r>
              <w:t>12.0</w:t>
            </w:r>
          </w:p>
        </w:tc>
      </w:tr>
      <w:tr>
        <w:tc>
          <w:tcPr>
            <w:tcW w:w="993" w:type="dxa"/>
          </w:tcPr>
          <w:p>
            <w:pPr>
              <w:pStyle w:val="yTableNAm"/>
            </w:pPr>
            <w:r>
              <w:t>129A.</w:t>
            </w:r>
          </w:p>
        </w:tc>
        <w:tc>
          <w:tcPr>
            <w:tcW w:w="4963"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40" w:type="dxa"/>
            <w:gridSpan w:val="2"/>
          </w:tcPr>
          <w:p>
            <w:pPr>
              <w:pStyle w:val="yTableNAm"/>
              <w:tabs>
                <w:tab w:val="clear" w:pos="567"/>
                <w:tab w:val="decimal" w:pos="463"/>
              </w:tabs>
            </w:pPr>
            <w:r>
              <w:br/>
              <w:t>500.0</w:t>
            </w:r>
          </w:p>
        </w:tc>
      </w:tr>
      <w:tr>
        <w:tc>
          <w:tcPr>
            <w:tcW w:w="993" w:type="dxa"/>
          </w:tcPr>
          <w:p>
            <w:pPr>
              <w:pStyle w:val="yTableNAm"/>
            </w:pPr>
            <w:r>
              <w:t>129.</w:t>
            </w:r>
          </w:p>
        </w:tc>
        <w:tc>
          <w:tcPr>
            <w:tcW w:w="4963" w:type="dxa"/>
            <w:gridSpan w:val="2"/>
          </w:tcPr>
          <w:p>
            <w:pPr>
              <w:pStyle w:val="yTableNAm"/>
            </w:pPr>
            <w:r>
              <w:t>PSILOCIN</w:t>
            </w:r>
          </w:p>
        </w:tc>
        <w:tc>
          <w:tcPr>
            <w:tcW w:w="1240" w:type="dxa"/>
            <w:gridSpan w:val="2"/>
          </w:tcPr>
          <w:p>
            <w:pPr>
              <w:pStyle w:val="yTableNAm"/>
              <w:tabs>
                <w:tab w:val="clear" w:pos="567"/>
                <w:tab w:val="decimal" w:pos="463"/>
              </w:tabs>
            </w:pPr>
            <w:r>
              <w:t>0.3</w:t>
            </w:r>
          </w:p>
        </w:tc>
      </w:tr>
      <w:tr>
        <w:tc>
          <w:tcPr>
            <w:tcW w:w="993" w:type="dxa"/>
          </w:tcPr>
          <w:p>
            <w:pPr>
              <w:pStyle w:val="yTableNAm"/>
            </w:pPr>
            <w:r>
              <w:t>130.</w:t>
            </w:r>
          </w:p>
        </w:tc>
        <w:tc>
          <w:tcPr>
            <w:tcW w:w="4963" w:type="dxa"/>
            <w:gridSpan w:val="2"/>
          </w:tcPr>
          <w:p>
            <w:pPr>
              <w:pStyle w:val="yTableNAm"/>
            </w:pPr>
            <w:r>
              <w:t>PSILOCYBIN</w:t>
            </w:r>
          </w:p>
        </w:tc>
        <w:tc>
          <w:tcPr>
            <w:tcW w:w="1240" w:type="dxa"/>
            <w:gridSpan w:val="2"/>
          </w:tcPr>
          <w:p>
            <w:pPr>
              <w:pStyle w:val="yTableNAm"/>
              <w:tabs>
                <w:tab w:val="clear" w:pos="567"/>
                <w:tab w:val="decimal" w:pos="463"/>
              </w:tabs>
            </w:pPr>
            <w:r>
              <w:t>0.3</w:t>
            </w:r>
          </w:p>
        </w:tc>
      </w:tr>
      <w:tr>
        <w:trPr>
          <w:cantSplit/>
        </w:trPr>
        <w:tc>
          <w:tcPr>
            <w:tcW w:w="993" w:type="dxa"/>
          </w:tcPr>
          <w:p>
            <w:pPr>
              <w:pStyle w:val="yTableNAm"/>
            </w:pPr>
            <w:r>
              <w:t>131.</w:t>
            </w:r>
          </w:p>
        </w:tc>
        <w:tc>
          <w:tcPr>
            <w:tcW w:w="4963" w:type="dxa"/>
            <w:gridSpan w:val="2"/>
          </w:tcPr>
          <w:p>
            <w:pPr>
              <w:pStyle w:val="yTableNAm"/>
            </w:pPr>
            <w:r>
              <w:t>PSYCHOTOMIMETIC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132.</w:t>
            </w:r>
          </w:p>
        </w:tc>
        <w:tc>
          <w:tcPr>
            <w:tcW w:w="4963" w:type="dxa"/>
            <w:gridSpan w:val="2"/>
          </w:tcPr>
          <w:p>
            <w:pPr>
              <w:pStyle w:val="yTableNAm"/>
            </w:pPr>
            <w:r>
              <w:t>QUINALBARBITONE</w:t>
            </w:r>
          </w:p>
        </w:tc>
        <w:tc>
          <w:tcPr>
            <w:tcW w:w="1240" w:type="dxa"/>
            <w:gridSpan w:val="2"/>
          </w:tcPr>
          <w:p>
            <w:pPr>
              <w:pStyle w:val="yTableNAm"/>
              <w:tabs>
                <w:tab w:val="clear" w:pos="567"/>
                <w:tab w:val="decimal" w:pos="463"/>
              </w:tabs>
            </w:pPr>
            <w:r>
              <w:t>30.0</w:t>
            </w:r>
          </w:p>
        </w:tc>
      </w:tr>
      <w:tr>
        <w:tc>
          <w:tcPr>
            <w:tcW w:w="993" w:type="dxa"/>
          </w:tcPr>
          <w:p>
            <w:pPr>
              <w:pStyle w:val="yTableNAm"/>
            </w:pPr>
            <w:r>
              <w:t>133.</w:t>
            </w:r>
          </w:p>
        </w:tc>
        <w:tc>
          <w:tcPr>
            <w:tcW w:w="4963" w:type="dxa"/>
            <w:gridSpan w:val="2"/>
          </w:tcPr>
          <w:p>
            <w:pPr>
              <w:pStyle w:val="yTableNAm"/>
            </w:pPr>
            <w:r>
              <w:t>RACEMETHORPHAN</w:t>
            </w:r>
          </w:p>
        </w:tc>
        <w:tc>
          <w:tcPr>
            <w:tcW w:w="1240" w:type="dxa"/>
            <w:gridSpan w:val="2"/>
          </w:tcPr>
          <w:p>
            <w:pPr>
              <w:pStyle w:val="yTableNAm"/>
              <w:tabs>
                <w:tab w:val="clear" w:pos="567"/>
                <w:tab w:val="decimal" w:pos="463"/>
              </w:tabs>
            </w:pPr>
            <w:r>
              <w:t>6.0</w:t>
            </w:r>
          </w:p>
        </w:tc>
      </w:tr>
      <w:tr>
        <w:tc>
          <w:tcPr>
            <w:tcW w:w="993" w:type="dxa"/>
          </w:tcPr>
          <w:p>
            <w:pPr>
              <w:pStyle w:val="yTableNAm"/>
            </w:pPr>
            <w:r>
              <w:t>134.</w:t>
            </w:r>
          </w:p>
        </w:tc>
        <w:tc>
          <w:tcPr>
            <w:tcW w:w="4963" w:type="dxa"/>
            <w:gridSpan w:val="2"/>
          </w:tcPr>
          <w:p>
            <w:pPr>
              <w:pStyle w:val="yTableNAm"/>
            </w:pPr>
            <w:r>
              <w:t>RACEMORAMIDE</w:t>
            </w:r>
          </w:p>
        </w:tc>
        <w:tc>
          <w:tcPr>
            <w:tcW w:w="1240" w:type="dxa"/>
            <w:gridSpan w:val="2"/>
          </w:tcPr>
          <w:p>
            <w:pPr>
              <w:pStyle w:val="yTableNAm"/>
              <w:tabs>
                <w:tab w:val="clear" w:pos="567"/>
                <w:tab w:val="decimal" w:pos="463"/>
              </w:tabs>
            </w:pPr>
            <w:r>
              <w:t>3.0</w:t>
            </w:r>
          </w:p>
        </w:tc>
      </w:tr>
      <w:tr>
        <w:tc>
          <w:tcPr>
            <w:tcW w:w="993" w:type="dxa"/>
          </w:tcPr>
          <w:p>
            <w:pPr>
              <w:pStyle w:val="yTableNAm"/>
            </w:pPr>
            <w:r>
              <w:t>135.</w:t>
            </w:r>
          </w:p>
        </w:tc>
        <w:tc>
          <w:tcPr>
            <w:tcW w:w="4963" w:type="dxa"/>
            <w:gridSpan w:val="2"/>
          </w:tcPr>
          <w:p>
            <w:pPr>
              <w:pStyle w:val="yTableNAm"/>
            </w:pPr>
            <w:r>
              <w:t>RACEMORPHAN</w:t>
            </w:r>
          </w:p>
        </w:tc>
        <w:tc>
          <w:tcPr>
            <w:tcW w:w="1240" w:type="dxa"/>
            <w:gridSpan w:val="2"/>
          </w:tcPr>
          <w:p>
            <w:pPr>
              <w:pStyle w:val="yTableNAm"/>
              <w:tabs>
                <w:tab w:val="clear" w:pos="567"/>
                <w:tab w:val="decimal" w:pos="463"/>
              </w:tabs>
            </w:pPr>
            <w:r>
              <w:t>6.0</w:t>
            </w:r>
          </w:p>
        </w:tc>
      </w:tr>
      <w:tr>
        <w:tc>
          <w:tcPr>
            <w:tcW w:w="993" w:type="dxa"/>
          </w:tcPr>
          <w:p>
            <w:pPr>
              <w:pStyle w:val="yTableNAm"/>
            </w:pPr>
            <w:r>
              <w:t>136.</w:t>
            </w:r>
          </w:p>
        </w:tc>
        <w:tc>
          <w:tcPr>
            <w:tcW w:w="4963" w:type="dxa"/>
            <w:gridSpan w:val="2"/>
          </w:tcPr>
          <w:p>
            <w:pPr>
              <w:pStyle w:val="yTableNAm"/>
            </w:pPr>
            <w:r>
              <w:t>SECBUTOBARBITONE</w:t>
            </w:r>
          </w:p>
        </w:tc>
        <w:tc>
          <w:tcPr>
            <w:tcW w:w="1240" w:type="dxa"/>
            <w:gridSpan w:val="2"/>
          </w:tcPr>
          <w:p>
            <w:pPr>
              <w:pStyle w:val="yTableNAm"/>
              <w:tabs>
                <w:tab w:val="clear" w:pos="567"/>
                <w:tab w:val="decimal" w:pos="463"/>
              </w:tabs>
            </w:pPr>
            <w:r>
              <w:t>30.0</w:t>
            </w:r>
          </w:p>
        </w:tc>
      </w:tr>
      <w:tr>
        <w:tc>
          <w:tcPr>
            <w:tcW w:w="993" w:type="dxa"/>
          </w:tcPr>
          <w:p>
            <w:pPr>
              <w:pStyle w:val="yTableNAm"/>
            </w:pPr>
            <w:r>
              <w:t>137.</w:t>
            </w:r>
          </w:p>
        </w:tc>
        <w:tc>
          <w:tcPr>
            <w:tcW w:w="4963" w:type="dxa"/>
            <w:gridSpan w:val="2"/>
          </w:tcPr>
          <w:p>
            <w:pPr>
              <w:pStyle w:val="yTableNAm"/>
            </w:pPr>
            <w:r>
              <w:t>TALBUTAL</w:t>
            </w:r>
          </w:p>
        </w:tc>
        <w:tc>
          <w:tcPr>
            <w:tcW w:w="1240" w:type="dxa"/>
            <w:gridSpan w:val="2"/>
          </w:tcPr>
          <w:p>
            <w:pPr>
              <w:pStyle w:val="yTableNAm"/>
              <w:tabs>
                <w:tab w:val="clear" w:pos="567"/>
                <w:tab w:val="decimal" w:pos="463"/>
              </w:tabs>
            </w:pPr>
            <w:r>
              <w:t>30.0</w:t>
            </w:r>
          </w:p>
        </w:tc>
      </w:tr>
      <w:tr>
        <w:tc>
          <w:tcPr>
            <w:tcW w:w="993" w:type="dxa"/>
          </w:tcPr>
          <w:p>
            <w:pPr>
              <w:pStyle w:val="yTableNAm"/>
            </w:pPr>
            <w:r>
              <w:t>138.</w:t>
            </w:r>
          </w:p>
        </w:tc>
        <w:tc>
          <w:tcPr>
            <w:tcW w:w="4963" w:type="dxa"/>
            <w:gridSpan w:val="2"/>
          </w:tcPr>
          <w:p>
            <w:pPr>
              <w:pStyle w:val="yTableNAm"/>
            </w:pPr>
            <w:r>
              <w:t>TETRAHYDROCANNABINOLS</w:t>
            </w:r>
          </w:p>
        </w:tc>
        <w:tc>
          <w:tcPr>
            <w:tcW w:w="1240" w:type="dxa"/>
            <w:gridSpan w:val="2"/>
          </w:tcPr>
          <w:p>
            <w:pPr>
              <w:pStyle w:val="yTableNAm"/>
              <w:tabs>
                <w:tab w:val="clear" w:pos="567"/>
                <w:tab w:val="decimal" w:pos="463"/>
              </w:tabs>
            </w:pPr>
            <w:r>
              <w:t>4.0</w:t>
            </w:r>
          </w:p>
        </w:tc>
      </w:tr>
      <w:tr>
        <w:tc>
          <w:tcPr>
            <w:tcW w:w="993" w:type="dxa"/>
          </w:tcPr>
          <w:p>
            <w:pPr>
              <w:pStyle w:val="yTableNAm"/>
            </w:pPr>
            <w:r>
              <w:t>139.</w:t>
            </w:r>
          </w:p>
        </w:tc>
        <w:tc>
          <w:tcPr>
            <w:tcW w:w="4963" w:type="dxa"/>
            <w:gridSpan w:val="2"/>
          </w:tcPr>
          <w:p>
            <w:pPr>
              <w:pStyle w:val="yTableNAm"/>
            </w:pPr>
            <w:r>
              <w:t>THEBACON</w:t>
            </w:r>
          </w:p>
        </w:tc>
        <w:tc>
          <w:tcPr>
            <w:tcW w:w="1240" w:type="dxa"/>
            <w:gridSpan w:val="2"/>
          </w:tcPr>
          <w:p>
            <w:pPr>
              <w:pStyle w:val="yTableNAm"/>
              <w:tabs>
                <w:tab w:val="clear" w:pos="567"/>
                <w:tab w:val="decimal" w:pos="463"/>
              </w:tabs>
            </w:pPr>
            <w:r>
              <w:t>6.0</w:t>
            </w:r>
          </w:p>
        </w:tc>
      </w:tr>
      <w:tr>
        <w:tc>
          <w:tcPr>
            <w:tcW w:w="993" w:type="dxa"/>
          </w:tcPr>
          <w:p>
            <w:pPr>
              <w:pStyle w:val="yTableNAm"/>
            </w:pPr>
            <w:r>
              <w:t>140.</w:t>
            </w:r>
          </w:p>
        </w:tc>
        <w:tc>
          <w:tcPr>
            <w:tcW w:w="4963" w:type="dxa"/>
            <w:gridSpan w:val="2"/>
          </w:tcPr>
          <w:p>
            <w:pPr>
              <w:pStyle w:val="yTableNAm"/>
            </w:pPr>
            <w:r>
              <w:t>THEBAINE</w:t>
            </w:r>
          </w:p>
        </w:tc>
        <w:tc>
          <w:tcPr>
            <w:tcW w:w="1240" w:type="dxa"/>
            <w:gridSpan w:val="2"/>
          </w:tcPr>
          <w:p>
            <w:pPr>
              <w:pStyle w:val="yTableNAm"/>
              <w:tabs>
                <w:tab w:val="clear" w:pos="567"/>
                <w:tab w:val="decimal" w:pos="463"/>
              </w:tabs>
            </w:pPr>
            <w:r>
              <w:t>6.0</w:t>
            </w:r>
          </w:p>
        </w:tc>
      </w:tr>
      <w:tr>
        <w:tc>
          <w:tcPr>
            <w:tcW w:w="993" w:type="dxa"/>
          </w:tcPr>
          <w:p>
            <w:pPr>
              <w:pStyle w:val="yTableNAm"/>
            </w:pPr>
            <w:r>
              <w:t>141.</w:t>
            </w:r>
          </w:p>
        </w:tc>
        <w:tc>
          <w:tcPr>
            <w:tcW w:w="4963" w:type="dxa"/>
            <w:gridSpan w:val="2"/>
          </w:tcPr>
          <w:p>
            <w:pPr>
              <w:pStyle w:val="yTableNAm"/>
            </w:pPr>
            <w:r>
              <w:t>TRIMEPERIDINE</w:t>
            </w:r>
          </w:p>
        </w:tc>
        <w:tc>
          <w:tcPr>
            <w:tcW w:w="1240" w:type="dxa"/>
            <w:gridSpan w:val="2"/>
          </w:tcPr>
          <w:p>
            <w:pPr>
              <w:pStyle w:val="yTableNAm"/>
              <w:tabs>
                <w:tab w:val="clear" w:pos="567"/>
                <w:tab w:val="decimal" w:pos="463"/>
              </w:tabs>
            </w:pPr>
            <w:r>
              <w:t>30.0</w:t>
            </w:r>
          </w:p>
        </w:tc>
      </w:tr>
      <w:tr>
        <w:tc>
          <w:tcPr>
            <w:tcW w:w="993" w:type="dxa"/>
          </w:tcPr>
          <w:p>
            <w:pPr>
              <w:pStyle w:val="yTableNAm"/>
            </w:pPr>
            <w:r>
              <w:t>142.</w:t>
            </w:r>
          </w:p>
        </w:tc>
        <w:tc>
          <w:tcPr>
            <w:tcW w:w="4963" w:type="dxa"/>
            <w:gridSpan w:val="2"/>
          </w:tcPr>
          <w:p>
            <w:pPr>
              <w:pStyle w:val="yTableNAm"/>
            </w:pPr>
            <w:r>
              <w:t>VINBARBITONE</w:t>
            </w:r>
          </w:p>
        </w:tc>
        <w:tc>
          <w:tcPr>
            <w:tcW w:w="1240" w:type="dxa"/>
            <w:gridSpan w:val="2"/>
          </w:tcPr>
          <w:p>
            <w:pPr>
              <w:pStyle w:val="yTableNAm"/>
              <w:tabs>
                <w:tab w:val="clear" w:pos="567"/>
                <w:tab w:val="decimal" w:pos="463"/>
              </w:tabs>
            </w:pPr>
            <w:r>
              <w:t>30.0</w:t>
            </w:r>
          </w:p>
        </w:tc>
      </w:tr>
    </w:tbl>
    <w:p>
      <w:pPr>
        <w:pStyle w:val="yFootnotesection"/>
      </w:pPr>
      <w:r>
        <w:tab/>
        <w:t>[Schedule III amended by No. 48 of 1995 s. 43; amended in Gazette 30 Nov 1990 p. 5937; 29 Nov 1991 p. 6041; 7 Dec 2007 p. 5985; 29 Apr 2011 p. 1533; 1 Jul 2011 p. 2743; 11 Oct 2011 p. 4316</w:t>
      </w:r>
      <w:r>
        <w:noBreakHyphen/>
        <w:t>18; 13 Apr 2012 p. 1665; 30 Oct 2012 p. 5194-5.]</w:t>
      </w:r>
    </w:p>
    <w:p>
      <w:pPr>
        <w:pStyle w:val="yScheduleHeading"/>
      </w:pPr>
      <w:bookmarkStart w:id="417" w:name="_Toc392246338"/>
      <w:bookmarkStart w:id="418" w:name="_Toc421283422"/>
      <w:bookmarkStart w:id="419" w:name="_Toc421283520"/>
      <w:bookmarkStart w:id="420" w:name="_Toc433365487"/>
      <w:bookmarkStart w:id="421" w:name="_Toc435452124"/>
      <w:bookmarkStart w:id="422" w:name="_Toc435452232"/>
      <w:bookmarkStart w:id="423" w:name="_Toc435457875"/>
      <w:bookmarkStart w:id="424" w:name="_Toc457316014"/>
      <w:bookmarkStart w:id="425" w:name="_Toc457385078"/>
      <w:bookmarkStart w:id="426" w:name="_Toc457468775"/>
      <w:bookmarkStart w:id="427" w:name="_Toc468199306"/>
      <w:r>
        <w:rPr>
          <w:rStyle w:val="CharSchNo"/>
        </w:rPr>
        <w:t>Schedule IV</w:t>
      </w:r>
      <w:r>
        <w:rPr>
          <w:rStyle w:val="CharSDivNo"/>
        </w:rPr>
        <w:t> </w:t>
      </w:r>
      <w:r>
        <w:t>—</w:t>
      </w:r>
      <w:r>
        <w:rPr>
          <w:rStyle w:val="CharSDivText"/>
        </w:rPr>
        <w:t> </w:t>
      </w:r>
      <w:r>
        <w:rPr>
          <w:rStyle w:val="CharSchText"/>
        </w:rPr>
        <w:t>Numbers of prohibited plants determining court of trial</w:t>
      </w:r>
      <w:bookmarkEnd w:id="417"/>
      <w:bookmarkEnd w:id="418"/>
      <w:bookmarkEnd w:id="419"/>
      <w:bookmarkEnd w:id="420"/>
      <w:bookmarkEnd w:id="421"/>
      <w:bookmarkEnd w:id="422"/>
      <w:bookmarkEnd w:id="423"/>
      <w:bookmarkEnd w:id="424"/>
      <w:bookmarkEnd w:id="425"/>
      <w:bookmarkEnd w:id="426"/>
      <w:bookmarkEnd w:id="427"/>
    </w:p>
    <w:p>
      <w:pPr>
        <w:pStyle w:val="yShoulderClause"/>
        <w:rPr>
          <w:snapToGrid w:val="0"/>
        </w:rPr>
      </w:pPr>
      <w:r>
        <w:rPr>
          <w:snapToGrid w:val="0"/>
        </w:rPr>
        <w:t>[s. 9]</w:t>
      </w:r>
    </w:p>
    <w:p>
      <w:pPr>
        <w:pStyle w:val="yFootnoteheading"/>
        <w:rPr>
          <w:bCs/>
        </w:rPr>
      </w:pPr>
      <w:r>
        <w:tab/>
        <w:t>[Heading amended by No. 19 of 2010 s. 4.]</w:t>
      </w:r>
    </w:p>
    <w:tbl>
      <w:tblPr>
        <w:tblW w:w="7230" w:type="dxa"/>
        <w:tblLayout w:type="fixed"/>
        <w:tblCellMar>
          <w:left w:w="142" w:type="dxa"/>
          <w:right w:w="142" w:type="dxa"/>
        </w:tblCellMar>
        <w:tblLook w:val="0000" w:firstRow="0" w:lastRow="0" w:firstColumn="0" w:lastColumn="0" w:noHBand="0" w:noVBand="0"/>
      </w:tblPr>
      <w:tblGrid>
        <w:gridCol w:w="993"/>
        <w:gridCol w:w="4819"/>
        <w:gridCol w:w="1418"/>
      </w:tblGrid>
      <w:tr>
        <w:tc>
          <w:tcPr>
            <w:tcW w:w="993" w:type="dxa"/>
          </w:tcPr>
          <w:p>
            <w:pPr>
              <w:pStyle w:val="yTableNAm"/>
              <w:rPr>
                <w:i/>
                <w:iCs/>
              </w:rPr>
            </w:pPr>
            <w:r>
              <w:rPr>
                <w:i/>
                <w:iCs/>
              </w:rPr>
              <w:t>Item</w:t>
            </w:r>
          </w:p>
        </w:tc>
        <w:tc>
          <w:tcPr>
            <w:tcW w:w="4819" w:type="dxa"/>
          </w:tcPr>
          <w:p>
            <w:pPr>
              <w:pStyle w:val="yTableNAm"/>
              <w:jc w:val="center"/>
              <w:rPr>
                <w:i/>
                <w:iCs/>
              </w:rPr>
            </w:pPr>
            <w:r>
              <w:rPr>
                <w:i/>
                <w:iCs/>
              </w:rPr>
              <w:t>Prohibited plant</w:t>
            </w:r>
          </w:p>
        </w:tc>
        <w:tc>
          <w:tcPr>
            <w:tcW w:w="1418" w:type="dxa"/>
          </w:tcPr>
          <w:p>
            <w:pPr>
              <w:pStyle w:val="yTableNAm"/>
              <w:jc w:val="center"/>
              <w:rPr>
                <w:i/>
                <w:iCs/>
              </w:rPr>
            </w:pPr>
            <w:r>
              <w:rPr>
                <w:i/>
                <w:iCs/>
              </w:rPr>
              <w:t>Number</w:t>
            </w:r>
          </w:p>
        </w:tc>
      </w:tr>
      <w:tr>
        <w:tc>
          <w:tcPr>
            <w:tcW w:w="993" w:type="dxa"/>
          </w:tcPr>
          <w:p>
            <w:pPr>
              <w:pStyle w:val="yTableNAm"/>
            </w:pPr>
            <w:r>
              <w:t>1.</w:t>
            </w:r>
          </w:p>
        </w:tc>
        <w:tc>
          <w:tcPr>
            <w:tcW w:w="4819" w:type="dxa"/>
          </w:tcPr>
          <w:p>
            <w:pPr>
              <w:pStyle w:val="yTableNAm"/>
            </w:pPr>
            <w:r>
              <w:t>Papaver somniferum</w:t>
            </w:r>
          </w:p>
        </w:tc>
        <w:tc>
          <w:tcPr>
            <w:tcW w:w="1418" w:type="dxa"/>
          </w:tcPr>
          <w:p>
            <w:pPr>
              <w:pStyle w:val="yTableNAm"/>
              <w:jc w:val="center"/>
            </w:pPr>
            <w:r>
              <w:t>100</w:t>
            </w:r>
          </w:p>
        </w:tc>
      </w:tr>
      <w:tr>
        <w:tc>
          <w:tcPr>
            <w:tcW w:w="993" w:type="dxa"/>
          </w:tcPr>
          <w:p>
            <w:pPr>
              <w:pStyle w:val="yTableNAm"/>
            </w:pPr>
            <w:r>
              <w:t>2.</w:t>
            </w:r>
          </w:p>
        </w:tc>
        <w:tc>
          <w:tcPr>
            <w:tcW w:w="4819" w:type="dxa"/>
          </w:tcPr>
          <w:p>
            <w:pPr>
              <w:pStyle w:val="yTableNAm"/>
            </w:pPr>
            <w:r>
              <w:t>Papaver bracteatum</w:t>
            </w:r>
          </w:p>
        </w:tc>
        <w:tc>
          <w:tcPr>
            <w:tcW w:w="1418" w:type="dxa"/>
          </w:tcPr>
          <w:p>
            <w:pPr>
              <w:pStyle w:val="yTableNAm"/>
              <w:jc w:val="center"/>
            </w:pPr>
            <w:r>
              <w:t>100</w:t>
            </w:r>
          </w:p>
        </w:tc>
      </w:tr>
      <w:tr>
        <w:tc>
          <w:tcPr>
            <w:tcW w:w="993" w:type="dxa"/>
          </w:tcPr>
          <w:p>
            <w:pPr>
              <w:pStyle w:val="yTableNAm"/>
            </w:pPr>
            <w:r>
              <w:t>3.</w:t>
            </w:r>
          </w:p>
        </w:tc>
        <w:tc>
          <w:tcPr>
            <w:tcW w:w="4819" w:type="dxa"/>
          </w:tcPr>
          <w:p>
            <w:pPr>
              <w:pStyle w:val="yTableNAm"/>
            </w:pPr>
            <w:r>
              <w:t>Cannabis</w:t>
            </w:r>
          </w:p>
        </w:tc>
        <w:tc>
          <w:tcPr>
            <w:tcW w:w="1418" w:type="dxa"/>
          </w:tcPr>
          <w:p>
            <w:pPr>
              <w:pStyle w:val="yTableNAm"/>
              <w:jc w:val="center"/>
            </w:pPr>
            <w:r>
              <w:t>20</w:t>
            </w:r>
          </w:p>
        </w:tc>
      </w:tr>
    </w:tbl>
    <w:p>
      <w:pPr>
        <w:pStyle w:val="yFootnotesection"/>
      </w:pPr>
      <w:r>
        <w:tab/>
        <w:t>[Schedule IV amended in Gazette 15 Apr 2011 p. 1426.]</w:t>
      </w:r>
    </w:p>
    <w:p>
      <w:pPr>
        <w:pStyle w:val="yScheduleHeading"/>
      </w:pPr>
      <w:bookmarkStart w:id="428" w:name="_Toc392246339"/>
      <w:bookmarkStart w:id="429" w:name="_Toc421283423"/>
      <w:bookmarkStart w:id="430" w:name="_Toc421283521"/>
      <w:bookmarkStart w:id="431" w:name="_Toc433365488"/>
      <w:bookmarkStart w:id="432" w:name="_Toc435452125"/>
      <w:bookmarkStart w:id="433" w:name="_Toc435452233"/>
      <w:bookmarkStart w:id="434" w:name="_Toc435457876"/>
      <w:bookmarkStart w:id="435" w:name="_Toc457316015"/>
      <w:bookmarkStart w:id="436" w:name="_Toc457385079"/>
      <w:bookmarkStart w:id="437" w:name="_Toc457468776"/>
      <w:bookmarkStart w:id="438" w:name="_Toc468199307"/>
      <w:r>
        <w:rPr>
          <w:rStyle w:val="CharSchNo"/>
        </w:rPr>
        <w:t>Schedule V</w:t>
      </w:r>
      <w:r>
        <w:rPr>
          <w:rStyle w:val="CharSDivNo"/>
        </w:rPr>
        <w:t> </w:t>
      </w:r>
      <w:r>
        <w:t>—</w:t>
      </w:r>
      <w:r>
        <w:rPr>
          <w:rStyle w:val="CharSDivText"/>
        </w:rPr>
        <w:t> </w:t>
      </w:r>
      <w:r>
        <w:rPr>
          <w:rStyle w:val="CharSchText"/>
        </w:rPr>
        <w:t>Amounts of prohibited drugs giving rise to presumption of intention to sell or supply same</w:t>
      </w:r>
      <w:bookmarkEnd w:id="428"/>
      <w:bookmarkEnd w:id="429"/>
      <w:bookmarkEnd w:id="430"/>
      <w:bookmarkEnd w:id="431"/>
      <w:bookmarkEnd w:id="432"/>
      <w:bookmarkEnd w:id="433"/>
      <w:bookmarkEnd w:id="434"/>
      <w:bookmarkEnd w:id="435"/>
      <w:bookmarkEnd w:id="436"/>
      <w:bookmarkEnd w:id="437"/>
      <w:bookmarkEnd w:id="438"/>
    </w:p>
    <w:p>
      <w:pPr>
        <w:pStyle w:val="yShoulderClause"/>
        <w:rPr>
          <w:snapToGrid w:val="0"/>
        </w:rPr>
      </w:pPr>
      <w:r>
        <w:rPr>
          <w:snapToGrid w:val="0"/>
        </w:rPr>
        <w:t>[s. 11(a)]</w:t>
      </w:r>
    </w:p>
    <w:p>
      <w:pPr>
        <w:pStyle w:val="yFootnoteheading"/>
      </w:pPr>
      <w:r>
        <w:tab/>
        <w:t>[Heading amended by No. 19 of 2010 s. 4.]</w:t>
      </w:r>
    </w:p>
    <w:tbl>
      <w:tblPr>
        <w:tblW w:w="7438" w:type="dxa"/>
        <w:tblLayout w:type="fixed"/>
        <w:tblCellMar>
          <w:left w:w="142" w:type="dxa"/>
          <w:right w:w="142" w:type="dxa"/>
        </w:tblCellMar>
        <w:tblLook w:val="0000" w:firstRow="0" w:lastRow="0" w:firstColumn="0" w:lastColumn="0" w:noHBand="0" w:noVBand="0"/>
      </w:tblPr>
      <w:tblGrid>
        <w:gridCol w:w="993"/>
        <w:gridCol w:w="4678"/>
        <w:gridCol w:w="513"/>
        <w:gridCol w:w="1254"/>
      </w:tblGrid>
      <w:tr>
        <w:trPr>
          <w:tblHeader/>
        </w:trPr>
        <w:tc>
          <w:tcPr>
            <w:tcW w:w="993" w:type="dxa"/>
          </w:tcPr>
          <w:p>
            <w:pPr>
              <w:pStyle w:val="yTableNAm"/>
              <w:rPr>
                <w:i/>
              </w:rPr>
            </w:pPr>
            <w:r>
              <w:rPr>
                <w:i/>
              </w:rPr>
              <w:t>Item</w:t>
            </w:r>
          </w:p>
        </w:tc>
        <w:tc>
          <w:tcPr>
            <w:tcW w:w="5191" w:type="dxa"/>
            <w:gridSpan w:val="2"/>
          </w:tcPr>
          <w:p>
            <w:pPr>
              <w:pStyle w:val="yTableNAm"/>
              <w:jc w:val="center"/>
              <w:rPr>
                <w:i/>
              </w:rPr>
            </w:pPr>
            <w:r>
              <w:rPr>
                <w:i/>
              </w:rPr>
              <w:t>Prohibited drug</w:t>
            </w:r>
          </w:p>
        </w:tc>
        <w:tc>
          <w:tcPr>
            <w:tcW w:w="1254"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191" w:type="dxa"/>
            <w:gridSpan w:val="2"/>
          </w:tcPr>
          <w:p>
            <w:pPr>
              <w:pStyle w:val="yTableNAm"/>
            </w:pPr>
            <w:r>
              <w:t>ACETORPHINE</w:t>
            </w:r>
          </w:p>
        </w:tc>
        <w:tc>
          <w:tcPr>
            <w:tcW w:w="1254" w:type="dxa"/>
          </w:tcPr>
          <w:p>
            <w:pPr>
              <w:pStyle w:val="yTableNAm"/>
              <w:tabs>
                <w:tab w:val="clear" w:pos="567"/>
                <w:tab w:val="decimal" w:pos="463"/>
              </w:tabs>
            </w:pPr>
            <w:r>
              <w:t>2.0</w:t>
            </w:r>
          </w:p>
        </w:tc>
      </w:tr>
      <w:tr>
        <w:tc>
          <w:tcPr>
            <w:tcW w:w="993" w:type="dxa"/>
          </w:tcPr>
          <w:p>
            <w:pPr>
              <w:pStyle w:val="yTableNAm"/>
            </w:pPr>
            <w:r>
              <w:t>2.</w:t>
            </w:r>
          </w:p>
        </w:tc>
        <w:tc>
          <w:tcPr>
            <w:tcW w:w="5191" w:type="dxa"/>
            <w:gridSpan w:val="2"/>
          </w:tcPr>
          <w:p>
            <w:pPr>
              <w:pStyle w:val="yTableNAm"/>
            </w:pPr>
            <w:r>
              <w:t xml:space="preserve">ACETYLDIHYDROCODEINE (except when included in Schedule 2 or 4 in Appendix A to the </w:t>
            </w:r>
            <w:r>
              <w:rPr>
                <w:i/>
                <w:iCs/>
              </w:rPr>
              <w:t>Poisons Act 1964</w:t>
            </w:r>
            <w:r>
              <w:t>)</w:t>
            </w:r>
          </w:p>
        </w:tc>
        <w:tc>
          <w:tcPr>
            <w:tcW w:w="1254" w:type="dxa"/>
          </w:tcPr>
          <w:p>
            <w:pPr>
              <w:pStyle w:val="yTableNAm"/>
              <w:tabs>
                <w:tab w:val="clear" w:pos="567"/>
                <w:tab w:val="decimal" w:pos="463"/>
              </w:tabs>
            </w:pPr>
            <w:r>
              <w:br/>
            </w:r>
            <w:r>
              <w:br/>
              <w:t>2.0</w:t>
            </w:r>
          </w:p>
        </w:tc>
      </w:tr>
      <w:tr>
        <w:tc>
          <w:tcPr>
            <w:tcW w:w="993" w:type="dxa"/>
          </w:tcPr>
          <w:p>
            <w:pPr>
              <w:pStyle w:val="yTableNAm"/>
            </w:pPr>
            <w:r>
              <w:t>3.</w:t>
            </w:r>
          </w:p>
        </w:tc>
        <w:tc>
          <w:tcPr>
            <w:tcW w:w="5191" w:type="dxa"/>
            <w:gridSpan w:val="2"/>
          </w:tcPr>
          <w:p>
            <w:pPr>
              <w:pStyle w:val="yTableNAm"/>
            </w:pPr>
            <w:r>
              <w:t>ACETYLMETHADOL</w:t>
            </w:r>
          </w:p>
        </w:tc>
        <w:tc>
          <w:tcPr>
            <w:tcW w:w="1254" w:type="dxa"/>
          </w:tcPr>
          <w:p>
            <w:pPr>
              <w:pStyle w:val="yTableNAm"/>
              <w:tabs>
                <w:tab w:val="clear" w:pos="567"/>
                <w:tab w:val="decimal" w:pos="463"/>
              </w:tabs>
            </w:pPr>
            <w:r>
              <w:t>2.0</w:t>
            </w:r>
          </w:p>
        </w:tc>
      </w:tr>
      <w:tr>
        <w:tc>
          <w:tcPr>
            <w:tcW w:w="993" w:type="dxa"/>
          </w:tcPr>
          <w:p>
            <w:pPr>
              <w:pStyle w:val="yTableNAm"/>
            </w:pPr>
            <w:r>
              <w:t>4.</w:t>
            </w:r>
          </w:p>
        </w:tc>
        <w:tc>
          <w:tcPr>
            <w:tcW w:w="5191" w:type="dxa"/>
            <w:gridSpan w:val="2"/>
          </w:tcPr>
          <w:p>
            <w:pPr>
              <w:pStyle w:val="yTableNAm"/>
            </w:pPr>
            <w:r>
              <w:t>ALLOBARBITONE</w:t>
            </w:r>
          </w:p>
        </w:tc>
        <w:tc>
          <w:tcPr>
            <w:tcW w:w="1254" w:type="dxa"/>
          </w:tcPr>
          <w:p>
            <w:pPr>
              <w:pStyle w:val="yTableNAm"/>
              <w:tabs>
                <w:tab w:val="clear" w:pos="567"/>
                <w:tab w:val="decimal" w:pos="463"/>
              </w:tabs>
            </w:pPr>
            <w:r>
              <w:t>10.0</w:t>
            </w:r>
          </w:p>
        </w:tc>
      </w:tr>
      <w:tr>
        <w:tc>
          <w:tcPr>
            <w:tcW w:w="993" w:type="dxa"/>
          </w:tcPr>
          <w:p>
            <w:pPr>
              <w:pStyle w:val="yTableNAm"/>
            </w:pPr>
            <w:r>
              <w:t>5.</w:t>
            </w:r>
          </w:p>
        </w:tc>
        <w:tc>
          <w:tcPr>
            <w:tcW w:w="5191" w:type="dxa"/>
            <w:gridSpan w:val="2"/>
          </w:tcPr>
          <w:p>
            <w:pPr>
              <w:pStyle w:val="yTableNAm"/>
            </w:pPr>
            <w:r>
              <w:t>ALLYLBARBITURIC ACID</w:t>
            </w:r>
          </w:p>
        </w:tc>
        <w:tc>
          <w:tcPr>
            <w:tcW w:w="1254" w:type="dxa"/>
          </w:tcPr>
          <w:p>
            <w:pPr>
              <w:pStyle w:val="yTableNAm"/>
              <w:tabs>
                <w:tab w:val="clear" w:pos="567"/>
                <w:tab w:val="decimal" w:pos="463"/>
              </w:tabs>
            </w:pPr>
            <w:r>
              <w:t>10.0</w:t>
            </w:r>
          </w:p>
        </w:tc>
      </w:tr>
      <w:tr>
        <w:tc>
          <w:tcPr>
            <w:tcW w:w="993" w:type="dxa"/>
          </w:tcPr>
          <w:p>
            <w:pPr>
              <w:pStyle w:val="yTableNAm"/>
            </w:pPr>
            <w:r>
              <w:t>6.</w:t>
            </w:r>
          </w:p>
        </w:tc>
        <w:tc>
          <w:tcPr>
            <w:tcW w:w="5191" w:type="dxa"/>
            <w:gridSpan w:val="2"/>
          </w:tcPr>
          <w:p>
            <w:pPr>
              <w:pStyle w:val="yTableNAm"/>
            </w:pPr>
            <w:r>
              <w:t>ALLYLPRODINE</w:t>
            </w:r>
          </w:p>
        </w:tc>
        <w:tc>
          <w:tcPr>
            <w:tcW w:w="1254" w:type="dxa"/>
          </w:tcPr>
          <w:p>
            <w:pPr>
              <w:pStyle w:val="yTableNAm"/>
              <w:tabs>
                <w:tab w:val="clear" w:pos="567"/>
                <w:tab w:val="decimal" w:pos="463"/>
              </w:tabs>
            </w:pPr>
            <w:r>
              <w:t>2.0</w:t>
            </w:r>
          </w:p>
        </w:tc>
      </w:tr>
      <w:tr>
        <w:tc>
          <w:tcPr>
            <w:tcW w:w="993" w:type="dxa"/>
          </w:tcPr>
          <w:p>
            <w:pPr>
              <w:pStyle w:val="yTableNAm"/>
            </w:pPr>
            <w:r>
              <w:t>7.</w:t>
            </w:r>
          </w:p>
        </w:tc>
        <w:tc>
          <w:tcPr>
            <w:tcW w:w="5191" w:type="dxa"/>
            <w:gridSpan w:val="2"/>
          </w:tcPr>
          <w:p>
            <w:pPr>
              <w:pStyle w:val="yTableNAm"/>
            </w:pPr>
            <w:r>
              <w:t>ALPHACETYLMETHADOL</w:t>
            </w:r>
          </w:p>
        </w:tc>
        <w:tc>
          <w:tcPr>
            <w:tcW w:w="1254" w:type="dxa"/>
          </w:tcPr>
          <w:p>
            <w:pPr>
              <w:pStyle w:val="yTableNAm"/>
              <w:tabs>
                <w:tab w:val="clear" w:pos="567"/>
                <w:tab w:val="decimal" w:pos="463"/>
              </w:tabs>
            </w:pPr>
            <w:r>
              <w:t>10.0</w:t>
            </w:r>
          </w:p>
        </w:tc>
      </w:tr>
      <w:tr>
        <w:tc>
          <w:tcPr>
            <w:tcW w:w="993" w:type="dxa"/>
          </w:tcPr>
          <w:p>
            <w:pPr>
              <w:pStyle w:val="yTableNAm"/>
            </w:pPr>
            <w:r>
              <w:t>8.</w:t>
            </w:r>
          </w:p>
        </w:tc>
        <w:tc>
          <w:tcPr>
            <w:tcW w:w="5191" w:type="dxa"/>
            <w:gridSpan w:val="2"/>
          </w:tcPr>
          <w:p>
            <w:pPr>
              <w:pStyle w:val="yTableNAm"/>
            </w:pPr>
            <w:r>
              <w:t>ALPHAMEPRODINE</w:t>
            </w:r>
          </w:p>
        </w:tc>
        <w:tc>
          <w:tcPr>
            <w:tcW w:w="1254" w:type="dxa"/>
          </w:tcPr>
          <w:p>
            <w:pPr>
              <w:pStyle w:val="yTableNAm"/>
              <w:tabs>
                <w:tab w:val="clear" w:pos="567"/>
                <w:tab w:val="decimal" w:pos="463"/>
              </w:tabs>
            </w:pPr>
            <w:r>
              <w:t>0.2</w:t>
            </w:r>
          </w:p>
        </w:tc>
      </w:tr>
      <w:tr>
        <w:tc>
          <w:tcPr>
            <w:tcW w:w="993" w:type="dxa"/>
          </w:tcPr>
          <w:p>
            <w:pPr>
              <w:pStyle w:val="yTableNAm"/>
            </w:pPr>
            <w:r>
              <w:t>9.</w:t>
            </w:r>
          </w:p>
        </w:tc>
        <w:tc>
          <w:tcPr>
            <w:tcW w:w="5191" w:type="dxa"/>
            <w:gridSpan w:val="2"/>
          </w:tcPr>
          <w:p>
            <w:pPr>
              <w:pStyle w:val="yTableNAm"/>
            </w:pPr>
            <w:r>
              <w:t>ALPHAMETHADOL</w:t>
            </w:r>
          </w:p>
        </w:tc>
        <w:tc>
          <w:tcPr>
            <w:tcW w:w="1254" w:type="dxa"/>
          </w:tcPr>
          <w:p>
            <w:pPr>
              <w:pStyle w:val="yTableNAm"/>
              <w:tabs>
                <w:tab w:val="clear" w:pos="567"/>
                <w:tab w:val="decimal" w:pos="463"/>
              </w:tabs>
            </w:pPr>
            <w:r>
              <w:t>0.2</w:t>
            </w:r>
          </w:p>
        </w:tc>
      </w:tr>
      <w:tr>
        <w:tc>
          <w:tcPr>
            <w:tcW w:w="993" w:type="dxa"/>
          </w:tcPr>
          <w:p>
            <w:pPr>
              <w:pStyle w:val="yTableNAm"/>
            </w:pPr>
            <w:r>
              <w:t>10.</w:t>
            </w:r>
          </w:p>
        </w:tc>
        <w:tc>
          <w:tcPr>
            <w:tcW w:w="5191" w:type="dxa"/>
            <w:gridSpan w:val="2"/>
          </w:tcPr>
          <w:p>
            <w:pPr>
              <w:pStyle w:val="yTableNAm"/>
            </w:pPr>
            <w:r>
              <w:t>ALPHAPRODINE</w:t>
            </w:r>
          </w:p>
        </w:tc>
        <w:tc>
          <w:tcPr>
            <w:tcW w:w="1254" w:type="dxa"/>
          </w:tcPr>
          <w:p>
            <w:pPr>
              <w:pStyle w:val="yTableNAm"/>
              <w:tabs>
                <w:tab w:val="clear" w:pos="567"/>
                <w:tab w:val="decimal" w:pos="463"/>
              </w:tabs>
            </w:pPr>
            <w:r>
              <w:t>25.0</w:t>
            </w:r>
          </w:p>
        </w:tc>
      </w:tr>
      <w:tr>
        <w:tc>
          <w:tcPr>
            <w:tcW w:w="993" w:type="dxa"/>
          </w:tcPr>
          <w:p>
            <w:pPr>
              <w:pStyle w:val="yTableNAm"/>
            </w:pPr>
            <w:r>
              <w:t>11.</w:t>
            </w:r>
          </w:p>
        </w:tc>
        <w:tc>
          <w:tcPr>
            <w:tcW w:w="5191" w:type="dxa"/>
            <w:gridSpan w:val="2"/>
          </w:tcPr>
          <w:p>
            <w:pPr>
              <w:pStyle w:val="yTableNAm"/>
            </w:pPr>
            <w:r>
              <w:t>AMPHETAMINE</w:t>
            </w:r>
          </w:p>
        </w:tc>
        <w:tc>
          <w:tcPr>
            <w:tcW w:w="1254" w:type="dxa"/>
          </w:tcPr>
          <w:p>
            <w:pPr>
              <w:pStyle w:val="yTableNAm"/>
              <w:tabs>
                <w:tab w:val="clear" w:pos="567"/>
                <w:tab w:val="decimal" w:pos="463"/>
              </w:tabs>
            </w:pPr>
            <w:r>
              <w:t>2.0</w:t>
            </w:r>
          </w:p>
        </w:tc>
      </w:tr>
      <w:tr>
        <w:tc>
          <w:tcPr>
            <w:tcW w:w="993" w:type="dxa"/>
          </w:tcPr>
          <w:p>
            <w:pPr>
              <w:pStyle w:val="yTableNAm"/>
            </w:pPr>
            <w:r>
              <w:t>12.</w:t>
            </w:r>
          </w:p>
        </w:tc>
        <w:tc>
          <w:tcPr>
            <w:tcW w:w="5191" w:type="dxa"/>
            <w:gridSpan w:val="2"/>
          </w:tcPr>
          <w:p>
            <w:pPr>
              <w:pStyle w:val="yTableNAm"/>
            </w:pPr>
            <w:r>
              <w:t>AMYLOBARBITONE</w:t>
            </w:r>
          </w:p>
        </w:tc>
        <w:tc>
          <w:tcPr>
            <w:tcW w:w="1254" w:type="dxa"/>
          </w:tcPr>
          <w:p>
            <w:pPr>
              <w:pStyle w:val="yTableNAm"/>
              <w:tabs>
                <w:tab w:val="clear" w:pos="567"/>
                <w:tab w:val="decimal" w:pos="463"/>
              </w:tabs>
            </w:pPr>
            <w:r>
              <w:t>10.0</w:t>
            </w:r>
          </w:p>
        </w:tc>
      </w:tr>
      <w:tr>
        <w:tc>
          <w:tcPr>
            <w:tcW w:w="993" w:type="dxa"/>
          </w:tcPr>
          <w:p>
            <w:pPr>
              <w:pStyle w:val="yTableNAm"/>
            </w:pPr>
            <w:r>
              <w:t>13.</w:t>
            </w:r>
          </w:p>
        </w:tc>
        <w:tc>
          <w:tcPr>
            <w:tcW w:w="5191" w:type="dxa"/>
            <w:gridSpan w:val="2"/>
          </w:tcPr>
          <w:p>
            <w:pPr>
              <w:pStyle w:val="yTableNAm"/>
            </w:pPr>
            <w:r>
              <w:t>ANILERIDINE</w:t>
            </w:r>
          </w:p>
        </w:tc>
        <w:tc>
          <w:tcPr>
            <w:tcW w:w="1254" w:type="dxa"/>
          </w:tcPr>
          <w:p>
            <w:pPr>
              <w:pStyle w:val="yTableNAm"/>
              <w:tabs>
                <w:tab w:val="clear" w:pos="567"/>
                <w:tab w:val="decimal" w:pos="463"/>
              </w:tabs>
            </w:pPr>
            <w:r>
              <w:t>25.0</w:t>
            </w:r>
          </w:p>
        </w:tc>
      </w:tr>
      <w:tr>
        <w:tc>
          <w:tcPr>
            <w:tcW w:w="993" w:type="dxa"/>
          </w:tcPr>
          <w:p>
            <w:pPr>
              <w:pStyle w:val="yTableNAm"/>
            </w:pPr>
            <w:r>
              <w:t>14.</w:t>
            </w:r>
          </w:p>
        </w:tc>
        <w:tc>
          <w:tcPr>
            <w:tcW w:w="5191" w:type="dxa"/>
            <w:gridSpan w:val="2"/>
          </w:tcPr>
          <w:p>
            <w:pPr>
              <w:pStyle w:val="yTableNAm"/>
            </w:pPr>
            <w:r>
              <w:t>APROBARBITONE</w:t>
            </w:r>
          </w:p>
        </w:tc>
        <w:tc>
          <w:tcPr>
            <w:tcW w:w="1254" w:type="dxa"/>
          </w:tcPr>
          <w:p>
            <w:pPr>
              <w:pStyle w:val="yTableNAm"/>
              <w:tabs>
                <w:tab w:val="clear" w:pos="567"/>
                <w:tab w:val="decimal" w:pos="463"/>
              </w:tabs>
            </w:pPr>
            <w:r>
              <w:t>10.0</w:t>
            </w:r>
          </w:p>
        </w:tc>
      </w:tr>
      <w:tr>
        <w:tc>
          <w:tcPr>
            <w:tcW w:w="993" w:type="dxa"/>
          </w:tcPr>
          <w:p>
            <w:pPr>
              <w:pStyle w:val="yTableNAm"/>
            </w:pPr>
            <w:r>
              <w:t>15.</w:t>
            </w:r>
          </w:p>
        </w:tc>
        <w:tc>
          <w:tcPr>
            <w:tcW w:w="5191" w:type="dxa"/>
            <w:gridSpan w:val="2"/>
          </w:tcPr>
          <w:p>
            <w:pPr>
              <w:pStyle w:val="yTableNAm"/>
            </w:pPr>
            <w:r>
              <w:t>BARBITONE</w:t>
            </w:r>
          </w:p>
        </w:tc>
        <w:tc>
          <w:tcPr>
            <w:tcW w:w="1254" w:type="dxa"/>
          </w:tcPr>
          <w:p>
            <w:pPr>
              <w:pStyle w:val="yTableNAm"/>
              <w:tabs>
                <w:tab w:val="clear" w:pos="567"/>
                <w:tab w:val="decimal" w:pos="463"/>
              </w:tabs>
            </w:pPr>
            <w:r>
              <w:t>10.0</w:t>
            </w:r>
          </w:p>
        </w:tc>
      </w:tr>
      <w:tr>
        <w:tc>
          <w:tcPr>
            <w:tcW w:w="993" w:type="dxa"/>
          </w:tcPr>
          <w:p>
            <w:pPr>
              <w:pStyle w:val="yTableNAm"/>
            </w:pPr>
            <w:r>
              <w:t>16.</w:t>
            </w:r>
          </w:p>
        </w:tc>
        <w:tc>
          <w:tcPr>
            <w:tcW w:w="5191" w:type="dxa"/>
            <w:gridSpan w:val="2"/>
          </w:tcPr>
          <w:p>
            <w:pPr>
              <w:pStyle w:val="yTableNAm"/>
            </w:pPr>
            <w:r>
              <w:t>BENZETHIDINE</w:t>
            </w:r>
          </w:p>
        </w:tc>
        <w:tc>
          <w:tcPr>
            <w:tcW w:w="1254" w:type="dxa"/>
          </w:tcPr>
          <w:p>
            <w:pPr>
              <w:pStyle w:val="yTableNAm"/>
              <w:tabs>
                <w:tab w:val="clear" w:pos="567"/>
                <w:tab w:val="decimal" w:pos="463"/>
              </w:tabs>
            </w:pPr>
            <w:r>
              <w:t>10.0</w:t>
            </w:r>
          </w:p>
        </w:tc>
      </w:tr>
      <w:tr>
        <w:tc>
          <w:tcPr>
            <w:tcW w:w="993" w:type="dxa"/>
          </w:tcPr>
          <w:p>
            <w:pPr>
              <w:pStyle w:val="yTableNAm"/>
            </w:pPr>
            <w:r>
              <w:t>17.</w:t>
            </w:r>
          </w:p>
        </w:tc>
        <w:tc>
          <w:tcPr>
            <w:tcW w:w="5191" w:type="dxa"/>
            <w:gridSpan w:val="2"/>
          </w:tcPr>
          <w:p>
            <w:pPr>
              <w:pStyle w:val="yTableNAm"/>
            </w:pPr>
            <w:r>
              <w:t>BENZYLMORPHINE</w:t>
            </w:r>
          </w:p>
        </w:tc>
        <w:tc>
          <w:tcPr>
            <w:tcW w:w="1254" w:type="dxa"/>
          </w:tcPr>
          <w:p>
            <w:pPr>
              <w:pStyle w:val="yTableNAm"/>
              <w:tabs>
                <w:tab w:val="clear" w:pos="567"/>
                <w:tab w:val="decimal" w:pos="463"/>
              </w:tabs>
            </w:pPr>
            <w:r>
              <w:t>5.0</w:t>
            </w:r>
          </w:p>
        </w:tc>
      </w:tr>
      <w:tr>
        <w:tc>
          <w:tcPr>
            <w:tcW w:w="993" w:type="dxa"/>
          </w:tcPr>
          <w:p>
            <w:pPr>
              <w:pStyle w:val="yTableNAm"/>
            </w:pPr>
            <w:r>
              <w:t>18A.</w:t>
            </w:r>
          </w:p>
        </w:tc>
        <w:tc>
          <w:tcPr>
            <w:tcW w:w="5191" w:type="dxa"/>
            <w:gridSpan w:val="2"/>
          </w:tcPr>
          <w:p>
            <w:pPr>
              <w:pStyle w:val="yTableNAm"/>
            </w:pPr>
            <w:r>
              <w:t>BENZYLPIPERAZINE (BZP)</w:t>
            </w:r>
          </w:p>
        </w:tc>
        <w:tc>
          <w:tcPr>
            <w:tcW w:w="1254" w:type="dxa"/>
          </w:tcPr>
          <w:p>
            <w:pPr>
              <w:pStyle w:val="yTableNAm"/>
              <w:tabs>
                <w:tab w:val="clear" w:pos="567"/>
                <w:tab w:val="decimal" w:pos="463"/>
              </w:tabs>
            </w:pPr>
            <w:r>
              <w:t>2.0</w:t>
            </w:r>
          </w:p>
        </w:tc>
      </w:tr>
      <w:tr>
        <w:trPr>
          <w:cantSplit/>
        </w:trPr>
        <w:tc>
          <w:tcPr>
            <w:tcW w:w="993" w:type="dxa"/>
          </w:tcPr>
          <w:p>
            <w:pPr>
              <w:pStyle w:val="yTableNAm"/>
            </w:pPr>
            <w:r>
              <w:t>18B.</w:t>
            </w:r>
          </w:p>
        </w:tc>
        <w:tc>
          <w:tcPr>
            <w:tcW w:w="5191" w:type="dxa"/>
            <w:gridSpan w:val="2"/>
          </w:tcPr>
          <w:p>
            <w:pPr>
              <w:pStyle w:val="yTableNAm"/>
            </w:pPr>
            <w:r>
              <w:t>BENZOYLINDOLES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18.</w:t>
            </w:r>
          </w:p>
        </w:tc>
        <w:tc>
          <w:tcPr>
            <w:tcW w:w="5191" w:type="dxa"/>
            <w:gridSpan w:val="2"/>
          </w:tcPr>
          <w:p>
            <w:pPr>
              <w:pStyle w:val="yTableNAm"/>
            </w:pPr>
            <w:r>
              <w:t>BETACETYLMETHADOL</w:t>
            </w:r>
          </w:p>
        </w:tc>
        <w:tc>
          <w:tcPr>
            <w:tcW w:w="1254" w:type="dxa"/>
          </w:tcPr>
          <w:p>
            <w:pPr>
              <w:pStyle w:val="yTableNAm"/>
              <w:tabs>
                <w:tab w:val="clear" w:pos="567"/>
                <w:tab w:val="decimal" w:pos="463"/>
              </w:tabs>
            </w:pPr>
            <w:r>
              <w:t>5.0</w:t>
            </w:r>
          </w:p>
        </w:tc>
      </w:tr>
      <w:tr>
        <w:tc>
          <w:tcPr>
            <w:tcW w:w="993" w:type="dxa"/>
          </w:tcPr>
          <w:p>
            <w:pPr>
              <w:pStyle w:val="yTableNAm"/>
            </w:pPr>
            <w:r>
              <w:t>19.</w:t>
            </w:r>
          </w:p>
        </w:tc>
        <w:tc>
          <w:tcPr>
            <w:tcW w:w="5191" w:type="dxa"/>
            <w:gridSpan w:val="2"/>
          </w:tcPr>
          <w:p>
            <w:pPr>
              <w:pStyle w:val="yTableNAm"/>
            </w:pPr>
            <w:r>
              <w:t>BETAMEPRODINE</w:t>
            </w:r>
          </w:p>
        </w:tc>
        <w:tc>
          <w:tcPr>
            <w:tcW w:w="1254" w:type="dxa"/>
          </w:tcPr>
          <w:p>
            <w:pPr>
              <w:pStyle w:val="yTableNAm"/>
              <w:tabs>
                <w:tab w:val="clear" w:pos="567"/>
                <w:tab w:val="decimal" w:pos="463"/>
              </w:tabs>
            </w:pPr>
            <w:r>
              <w:t>5.0</w:t>
            </w:r>
          </w:p>
        </w:tc>
      </w:tr>
      <w:tr>
        <w:tc>
          <w:tcPr>
            <w:tcW w:w="993" w:type="dxa"/>
          </w:tcPr>
          <w:p>
            <w:pPr>
              <w:pStyle w:val="yTableNAm"/>
            </w:pPr>
            <w:r>
              <w:t>20.</w:t>
            </w:r>
          </w:p>
        </w:tc>
        <w:tc>
          <w:tcPr>
            <w:tcW w:w="5191" w:type="dxa"/>
            <w:gridSpan w:val="2"/>
          </w:tcPr>
          <w:p>
            <w:pPr>
              <w:pStyle w:val="yTableNAm"/>
            </w:pPr>
            <w:r>
              <w:t>BETAMETHADOL</w:t>
            </w:r>
          </w:p>
        </w:tc>
        <w:tc>
          <w:tcPr>
            <w:tcW w:w="1254" w:type="dxa"/>
          </w:tcPr>
          <w:p>
            <w:pPr>
              <w:pStyle w:val="yTableNAm"/>
              <w:tabs>
                <w:tab w:val="clear" w:pos="567"/>
                <w:tab w:val="decimal" w:pos="463"/>
              </w:tabs>
            </w:pPr>
            <w:r>
              <w:t>5.0</w:t>
            </w:r>
          </w:p>
        </w:tc>
      </w:tr>
      <w:tr>
        <w:tc>
          <w:tcPr>
            <w:tcW w:w="993" w:type="dxa"/>
          </w:tcPr>
          <w:p>
            <w:pPr>
              <w:pStyle w:val="yTableNAm"/>
            </w:pPr>
            <w:r>
              <w:t>21.</w:t>
            </w:r>
          </w:p>
        </w:tc>
        <w:tc>
          <w:tcPr>
            <w:tcW w:w="5191" w:type="dxa"/>
            <w:gridSpan w:val="2"/>
          </w:tcPr>
          <w:p>
            <w:pPr>
              <w:pStyle w:val="yTableNAm"/>
            </w:pPr>
            <w:r>
              <w:t>BETAPRODINE</w:t>
            </w:r>
          </w:p>
        </w:tc>
        <w:tc>
          <w:tcPr>
            <w:tcW w:w="1254" w:type="dxa"/>
          </w:tcPr>
          <w:p>
            <w:pPr>
              <w:pStyle w:val="yTableNAm"/>
              <w:tabs>
                <w:tab w:val="clear" w:pos="567"/>
                <w:tab w:val="decimal" w:pos="463"/>
              </w:tabs>
            </w:pPr>
            <w:r>
              <w:t>5.0</w:t>
            </w:r>
          </w:p>
        </w:tc>
      </w:tr>
      <w:tr>
        <w:tc>
          <w:tcPr>
            <w:tcW w:w="993" w:type="dxa"/>
          </w:tcPr>
          <w:p>
            <w:pPr>
              <w:pStyle w:val="yTableNAm"/>
            </w:pPr>
            <w:r>
              <w:t>22.</w:t>
            </w:r>
          </w:p>
        </w:tc>
        <w:tc>
          <w:tcPr>
            <w:tcW w:w="5191" w:type="dxa"/>
            <w:gridSpan w:val="2"/>
          </w:tcPr>
          <w:p>
            <w:pPr>
              <w:pStyle w:val="yTableNAm"/>
            </w:pPr>
            <w:r>
              <w:t>BEZITRAMIDE</w:t>
            </w:r>
          </w:p>
        </w:tc>
        <w:tc>
          <w:tcPr>
            <w:tcW w:w="1254" w:type="dxa"/>
          </w:tcPr>
          <w:p>
            <w:pPr>
              <w:pStyle w:val="yTableNAm"/>
              <w:tabs>
                <w:tab w:val="clear" w:pos="567"/>
                <w:tab w:val="decimal" w:pos="463"/>
              </w:tabs>
            </w:pPr>
            <w:r>
              <w:t>5.0</w:t>
            </w:r>
          </w:p>
        </w:tc>
      </w:tr>
      <w:tr>
        <w:tc>
          <w:tcPr>
            <w:tcW w:w="993" w:type="dxa"/>
          </w:tcPr>
          <w:p>
            <w:pPr>
              <w:pStyle w:val="yTableNAm"/>
            </w:pPr>
            <w:r>
              <w:t>23.</w:t>
            </w:r>
          </w:p>
        </w:tc>
        <w:tc>
          <w:tcPr>
            <w:tcW w:w="5191" w:type="dxa"/>
            <w:gridSpan w:val="2"/>
          </w:tcPr>
          <w:p>
            <w:pPr>
              <w:pStyle w:val="yTableNAm"/>
            </w:pPr>
            <w:r>
              <w:t>BUFOTENINE</w:t>
            </w:r>
          </w:p>
        </w:tc>
        <w:tc>
          <w:tcPr>
            <w:tcW w:w="1254" w:type="dxa"/>
          </w:tcPr>
          <w:p>
            <w:pPr>
              <w:pStyle w:val="yTableNAm"/>
              <w:tabs>
                <w:tab w:val="clear" w:pos="567"/>
                <w:tab w:val="decimal" w:pos="463"/>
              </w:tabs>
            </w:pPr>
            <w:r>
              <w:t>2.0</w:t>
            </w:r>
          </w:p>
        </w:tc>
      </w:tr>
      <w:tr>
        <w:tc>
          <w:tcPr>
            <w:tcW w:w="993" w:type="dxa"/>
          </w:tcPr>
          <w:p>
            <w:pPr>
              <w:pStyle w:val="yTableNAm"/>
            </w:pPr>
            <w:r>
              <w:t>24.</w:t>
            </w:r>
          </w:p>
        </w:tc>
        <w:tc>
          <w:tcPr>
            <w:tcW w:w="5191" w:type="dxa"/>
            <w:gridSpan w:val="2"/>
          </w:tcPr>
          <w:p>
            <w:pPr>
              <w:pStyle w:val="yTableNAm"/>
            </w:pPr>
            <w:r>
              <w:t>BUTOBARBITONE</w:t>
            </w:r>
          </w:p>
        </w:tc>
        <w:tc>
          <w:tcPr>
            <w:tcW w:w="1254" w:type="dxa"/>
          </w:tcPr>
          <w:p>
            <w:pPr>
              <w:pStyle w:val="yTableNAm"/>
              <w:tabs>
                <w:tab w:val="clear" w:pos="567"/>
                <w:tab w:val="decimal" w:pos="463"/>
              </w:tabs>
            </w:pPr>
            <w:r>
              <w:t>10.0</w:t>
            </w:r>
          </w:p>
        </w:tc>
      </w:tr>
      <w:tr>
        <w:tc>
          <w:tcPr>
            <w:tcW w:w="993" w:type="dxa"/>
          </w:tcPr>
          <w:p>
            <w:pPr>
              <w:pStyle w:val="yTableNAm"/>
            </w:pPr>
            <w:r>
              <w:t>25A.</w:t>
            </w:r>
          </w:p>
        </w:tc>
        <w:tc>
          <w:tcPr>
            <w:tcW w:w="5191" w:type="dxa"/>
            <w:gridSpan w:val="2"/>
          </w:tcPr>
          <w:p>
            <w:pPr>
              <w:pStyle w:val="yTableNAm"/>
            </w:pPr>
            <w:r>
              <w:t>1</w:t>
            </w:r>
            <w:r>
              <w:noBreakHyphen/>
              <w:t>BUTYL</w:t>
            </w:r>
            <w:r>
              <w:noBreakHyphen/>
              <w:t>3</w:t>
            </w:r>
            <w:r>
              <w:noBreakHyphen/>
              <w:t>(1</w:t>
            </w:r>
            <w:r>
              <w:noBreakHyphen/>
              <w:t>NAPHTHOYL) INDOLE (JWH-073)</w:t>
            </w:r>
          </w:p>
        </w:tc>
        <w:tc>
          <w:tcPr>
            <w:tcW w:w="1254" w:type="dxa"/>
          </w:tcPr>
          <w:p>
            <w:pPr>
              <w:pStyle w:val="yTableNAm"/>
              <w:tabs>
                <w:tab w:val="clear" w:pos="567"/>
                <w:tab w:val="decimal" w:pos="463"/>
              </w:tabs>
            </w:pPr>
            <w:r>
              <w:t>100.0</w:t>
            </w:r>
          </w:p>
        </w:tc>
      </w:tr>
      <w:tr>
        <w:tc>
          <w:tcPr>
            <w:tcW w:w="993" w:type="dxa"/>
          </w:tcPr>
          <w:p>
            <w:pPr>
              <w:pStyle w:val="yTableNAm"/>
            </w:pPr>
            <w:r>
              <w:t>25.</w:t>
            </w:r>
          </w:p>
        </w:tc>
        <w:tc>
          <w:tcPr>
            <w:tcW w:w="5191" w:type="dxa"/>
            <w:gridSpan w:val="2"/>
          </w:tcPr>
          <w:p>
            <w:pPr>
              <w:pStyle w:val="yTableNAm"/>
            </w:pPr>
            <w:r>
              <w:t>CANNABIS</w:t>
            </w:r>
          </w:p>
        </w:tc>
        <w:tc>
          <w:tcPr>
            <w:tcW w:w="1254" w:type="dxa"/>
          </w:tcPr>
          <w:p>
            <w:pPr>
              <w:pStyle w:val="yTableNAm"/>
              <w:tabs>
                <w:tab w:val="clear" w:pos="567"/>
                <w:tab w:val="decimal" w:pos="463"/>
              </w:tabs>
            </w:pPr>
            <w:r>
              <w:t>100.0</w:t>
            </w:r>
          </w:p>
        </w:tc>
      </w:tr>
      <w:tr>
        <w:tc>
          <w:tcPr>
            <w:tcW w:w="993" w:type="dxa"/>
          </w:tcPr>
          <w:p>
            <w:pPr>
              <w:pStyle w:val="yTableNAm"/>
            </w:pPr>
            <w:r>
              <w:t>26.</w:t>
            </w:r>
          </w:p>
        </w:tc>
        <w:tc>
          <w:tcPr>
            <w:tcW w:w="5191" w:type="dxa"/>
            <w:gridSpan w:val="2"/>
          </w:tcPr>
          <w:p>
            <w:pPr>
              <w:pStyle w:val="yTableNAm"/>
            </w:pPr>
            <w:r>
              <w:t>CANNABIS RESIN</w:t>
            </w:r>
          </w:p>
        </w:tc>
        <w:tc>
          <w:tcPr>
            <w:tcW w:w="1254" w:type="dxa"/>
          </w:tcPr>
          <w:p>
            <w:pPr>
              <w:pStyle w:val="yTableNAm"/>
              <w:tabs>
                <w:tab w:val="clear" w:pos="567"/>
                <w:tab w:val="decimal" w:pos="463"/>
              </w:tabs>
            </w:pPr>
            <w:r>
              <w:t>20.0</w:t>
            </w:r>
          </w:p>
        </w:tc>
      </w:tr>
      <w:tr>
        <w:tc>
          <w:tcPr>
            <w:tcW w:w="993" w:type="dxa"/>
          </w:tcPr>
          <w:p>
            <w:pPr>
              <w:pStyle w:val="yTableNAm"/>
            </w:pPr>
            <w:r>
              <w:t>27.</w:t>
            </w:r>
          </w:p>
        </w:tc>
        <w:tc>
          <w:tcPr>
            <w:tcW w:w="4678" w:type="dxa"/>
          </w:tcPr>
          <w:p>
            <w:pPr>
              <w:pStyle w:val="yTableNAm"/>
            </w:pPr>
            <w:r>
              <w:t>CANNABIS (in cigarette form)</w:t>
            </w:r>
          </w:p>
        </w:tc>
        <w:tc>
          <w:tcPr>
            <w:tcW w:w="1767" w:type="dxa"/>
            <w:gridSpan w:val="2"/>
          </w:tcPr>
          <w:p>
            <w:pPr>
              <w:pStyle w:val="yTableNAm"/>
              <w:tabs>
                <w:tab w:val="clear" w:pos="567"/>
              </w:tabs>
              <w:ind w:right="-76"/>
            </w:pPr>
            <w:r>
              <w:t>80 cigarettes</w:t>
            </w:r>
            <w:r>
              <w:br/>
              <w:t>each containing</w:t>
            </w:r>
            <w:r>
              <w:br/>
              <w:t>any portion of cannabis</w:t>
            </w:r>
          </w:p>
        </w:tc>
      </w:tr>
      <w:tr>
        <w:tc>
          <w:tcPr>
            <w:tcW w:w="993" w:type="dxa"/>
          </w:tcPr>
          <w:p>
            <w:pPr>
              <w:pStyle w:val="yTableNAm"/>
            </w:pPr>
            <w:r>
              <w:t>28.</w:t>
            </w:r>
          </w:p>
        </w:tc>
        <w:tc>
          <w:tcPr>
            <w:tcW w:w="5191" w:type="dxa"/>
            <w:gridSpan w:val="2"/>
          </w:tcPr>
          <w:p>
            <w:pPr>
              <w:pStyle w:val="yTableNAm"/>
            </w:pPr>
            <w:r>
              <w:t>CLONITAZENE</w:t>
            </w:r>
          </w:p>
        </w:tc>
        <w:tc>
          <w:tcPr>
            <w:tcW w:w="1254" w:type="dxa"/>
          </w:tcPr>
          <w:p>
            <w:pPr>
              <w:pStyle w:val="yTableNAm"/>
              <w:tabs>
                <w:tab w:val="clear" w:pos="567"/>
                <w:tab w:val="decimal" w:pos="463"/>
              </w:tabs>
            </w:pPr>
            <w:r>
              <w:t>5.0</w:t>
            </w:r>
          </w:p>
        </w:tc>
      </w:tr>
      <w:tr>
        <w:tc>
          <w:tcPr>
            <w:tcW w:w="993" w:type="dxa"/>
          </w:tcPr>
          <w:p>
            <w:pPr>
              <w:pStyle w:val="yTableNAm"/>
            </w:pPr>
            <w:r>
              <w:t>29.</w:t>
            </w:r>
          </w:p>
        </w:tc>
        <w:tc>
          <w:tcPr>
            <w:tcW w:w="5191" w:type="dxa"/>
            <w:gridSpan w:val="2"/>
          </w:tcPr>
          <w:p>
            <w:pPr>
              <w:pStyle w:val="yTableNAm"/>
            </w:pPr>
            <w:r>
              <w:t>COCAINE</w:t>
            </w:r>
          </w:p>
        </w:tc>
        <w:tc>
          <w:tcPr>
            <w:tcW w:w="1254" w:type="dxa"/>
          </w:tcPr>
          <w:p>
            <w:pPr>
              <w:pStyle w:val="yTableNAm"/>
              <w:tabs>
                <w:tab w:val="clear" w:pos="567"/>
                <w:tab w:val="decimal" w:pos="463"/>
              </w:tabs>
            </w:pPr>
            <w:r>
              <w:t>2.0</w:t>
            </w:r>
          </w:p>
        </w:tc>
      </w:tr>
      <w:tr>
        <w:tc>
          <w:tcPr>
            <w:tcW w:w="993" w:type="dxa"/>
          </w:tcPr>
          <w:p>
            <w:pPr>
              <w:pStyle w:val="yTableNAm"/>
            </w:pPr>
            <w:r>
              <w:t>30.</w:t>
            </w:r>
          </w:p>
        </w:tc>
        <w:tc>
          <w:tcPr>
            <w:tcW w:w="5191" w:type="dxa"/>
            <w:gridSpan w:val="2"/>
          </w:tcPr>
          <w:p>
            <w:pPr>
              <w:pStyle w:val="yTableNAm"/>
            </w:pPr>
            <w:r>
              <w:t xml:space="preserve">CODEINE (except when included in Schedule 2, 3 or 4 in Appendix A to the </w:t>
            </w:r>
            <w:r>
              <w:rPr>
                <w:i/>
                <w:iCs/>
              </w:rPr>
              <w:t>Poisons Act 1964</w:t>
            </w:r>
            <w:r>
              <w:t>)</w:t>
            </w:r>
          </w:p>
        </w:tc>
        <w:tc>
          <w:tcPr>
            <w:tcW w:w="1254" w:type="dxa"/>
          </w:tcPr>
          <w:p>
            <w:pPr>
              <w:pStyle w:val="yTableNAm"/>
              <w:tabs>
                <w:tab w:val="clear" w:pos="567"/>
                <w:tab w:val="decimal" w:pos="463"/>
              </w:tabs>
            </w:pPr>
            <w:r>
              <w:br/>
              <w:t>10.0</w:t>
            </w:r>
          </w:p>
        </w:tc>
      </w:tr>
      <w:tr>
        <w:tc>
          <w:tcPr>
            <w:tcW w:w="993" w:type="dxa"/>
          </w:tcPr>
          <w:p>
            <w:pPr>
              <w:pStyle w:val="yTableNAm"/>
            </w:pPr>
            <w:r>
              <w:t>31.</w:t>
            </w:r>
          </w:p>
        </w:tc>
        <w:tc>
          <w:tcPr>
            <w:tcW w:w="5191" w:type="dxa"/>
            <w:gridSpan w:val="2"/>
          </w:tcPr>
          <w:p>
            <w:pPr>
              <w:pStyle w:val="yTableNAm"/>
            </w:pPr>
            <w:r>
              <w:t>CODEINE</w:t>
            </w:r>
            <w:r>
              <w:noBreakHyphen/>
              <w:t>N</w:t>
            </w:r>
            <w:r>
              <w:noBreakHyphen/>
              <w:t>OXIDE</w:t>
            </w:r>
          </w:p>
        </w:tc>
        <w:tc>
          <w:tcPr>
            <w:tcW w:w="1254" w:type="dxa"/>
          </w:tcPr>
          <w:p>
            <w:pPr>
              <w:pStyle w:val="yTableNAm"/>
              <w:tabs>
                <w:tab w:val="clear" w:pos="567"/>
                <w:tab w:val="decimal" w:pos="463"/>
              </w:tabs>
            </w:pPr>
            <w:r>
              <w:t>10.0</w:t>
            </w:r>
          </w:p>
        </w:tc>
      </w:tr>
      <w:tr>
        <w:tc>
          <w:tcPr>
            <w:tcW w:w="993" w:type="dxa"/>
          </w:tcPr>
          <w:p>
            <w:pPr>
              <w:pStyle w:val="yTableNAm"/>
            </w:pPr>
            <w:r>
              <w:t>32.</w:t>
            </w:r>
          </w:p>
        </w:tc>
        <w:tc>
          <w:tcPr>
            <w:tcW w:w="5191" w:type="dxa"/>
            <w:gridSpan w:val="2"/>
          </w:tcPr>
          <w:p>
            <w:pPr>
              <w:pStyle w:val="yTableNAm"/>
            </w:pPr>
            <w:r>
              <w:t>CODOXINE</w:t>
            </w:r>
          </w:p>
        </w:tc>
        <w:tc>
          <w:tcPr>
            <w:tcW w:w="1254" w:type="dxa"/>
          </w:tcPr>
          <w:p>
            <w:pPr>
              <w:pStyle w:val="yTableNAm"/>
              <w:tabs>
                <w:tab w:val="clear" w:pos="567"/>
                <w:tab w:val="decimal" w:pos="463"/>
              </w:tabs>
            </w:pPr>
            <w:r>
              <w:t>10.0</w:t>
            </w:r>
          </w:p>
        </w:tc>
      </w:tr>
      <w:tr>
        <w:tc>
          <w:tcPr>
            <w:tcW w:w="993" w:type="dxa"/>
          </w:tcPr>
          <w:p>
            <w:pPr>
              <w:pStyle w:val="yTableNAm"/>
            </w:pPr>
            <w:r>
              <w:t>33.</w:t>
            </w:r>
          </w:p>
        </w:tc>
        <w:tc>
          <w:tcPr>
            <w:tcW w:w="5191" w:type="dxa"/>
            <w:gridSpan w:val="2"/>
          </w:tcPr>
          <w:p>
            <w:pPr>
              <w:pStyle w:val="yTableNAm"/>
            </w:pPr>
            <w:r>
              <w:t>CYCLOBARBITONE</w:t>
            </w:r>
          </w:p>
        </w:tc>
        <w:tc>
          <w:tcPr>
            <w:tcW w:w="1254" w:type="dxa"/>
          </w:tcPr>
          <w:p>
            <w:pPr>
              <w:pStyle w:val="yTableNAm"/>
              <w:tabs>
                <w:tab w:val="clear" w:pos="567"/>
                <w:tab w:val="decimal" w:pos="463"/>
              </w:tabs>
            </w:pPr>
            <w:r>
              <w:t>10.0</w:t>
            </w:r>
          </w:p>
        </w:tc>
      </w:tr>
      <w:tr>
        <w:tc>
          <w:tcPr>
            <w:tcW w:w="993" w:type="dxa"/>
          </w:tcPr>
          <w:p>
            <w:pPr>
              <w:pStyle w:val="yTableNAm"/>
            </w:pPr>
            <w:r>
              <w:t>34A.</w:t>
            </w:r>
          </w:p>
        </w:tc>
        <w:tc>
          <w:tcPr>
            <w:tcW w:w="5191"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54" w:type="dxa"/>
          </w:tcPr>
          <w:p>
            <w:pPr>
              <w:pStyle w:val="yTableNAm"/>
              <w:tabs>
                <w:tab w:val="clear" w:pos="567"/>
                <w:tab w:val="decimal" w:pos="463"/>
              </w:tabs>
            </w:pPr>
            <w:r>
              <w:br/>
              <w:t>100.0</w:t>
            </w:r>
          </w:p>
        </w:tc>
      </w:tr>
      <w:tr>
        <w:trPr>
          <w:cantSplit/>
        </w:trPr>
        <w:tc>
          <w:tcPr>
            <w:tcW w:w="993" w:type="dxa"/>
          </w:tcPr>
          <w:p>
            <w:pPr>
              <w:pStyle w:val="yTableNAm"/>
            </w:pPr>
            <w:r>
              <w:rPr>
                <w:szCs w:val="22"/>
              </w:rPr>
              <w:t>34B.</w:t>
            </w:r>
          </w:p>
        </w:tc>
        <w:tc>
          <w:tcPr>
            <w:tcW w:w="5191" w:type="dxa"/>
            <w:gridSpan w:val="2"/>
          </w:tcPr>
          <w:p>
            <w:pPr>
              <w:pStyle w:val="yTableNAm"/>
            </w:pPr>
            <w:r>
              <w:rPr>
                <w:szCs w:val="22"/>
              </w:rPr>
              <w:t>CYCLOHEXYLPHENOLS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34.</w:t>
            </w:r>
          </w:p>
        </w:tc>
        <w:tc>
          <w:tcPr>
            <w:tcW w:w="5191" w:type="dxa"/>
            <w:gridSpan w:val="2"/>
          </w:tcPr>
          <w:p>
            <w:pPr>
              <w:pStyle w:val="yTableNAm"/>
            </w:pPr>
            <w:r>
              <w:t>DESOMORPHINE</w:t>
            </w:r>
          </w:p>
        </w:tc>
        <w:tc>
          <w:tcPr>
            <w:tcW w:w="1254" w:type="dxa"/>
          </w:tcPr>
          <w:p>
            <w:pPr>
              <w:pStyle w:val="yTableNAm"/>
              <w:tabs>
                <w:tab w:val="clear" w:pos="567"/>
                <w:tab w:val="decimal" w:pos="463"/>
              </w:tabs>
            </w:pPr>
            <w:r>
              <w:t>2.0</w:t>
            </w:r>
          </w:p>
        </w:tc>
      </w:tr>
      <w:tr>
        <w:tc>
          <w:tcPr>
            <w:tcW w:w="993" w:type="dxa"/>
          </w:tcPr>
          <w:p>
            <w:pPr>
              <w:pStyle w:val="yTableNAm"/>
            </w:pPr>
            <w:r>
              <w:t>35.</w:t>
            </w:r>
          </w:p>
        </w:tc>
        <w:tc>
          <w:tcPr>
            <w:tcW w:w="5191" w:type="dxa"/>
            <w:gridSpan w:val="2"/>
          </w:tcPr>
          <w:p>
            <w:pPr>
              <w:pStyle w:val="yTableNAm"/>
            </w:pPr>
            <w:r>
              <w:t>DEXAMPHETAMINE</w:t>
            </w:r>
          </w:p>
        </w:tc>
        <w:tc>
          <w:tcPr>
            <w:tcW w:w="1254" w:type="dxa"/>
          </w:tcPr>
          <w:p>
            <w:pPr>
              <w:pStyle w:val="yTableNAm"/>
              <w:tabs>
                <w:tab w:val="clear" w:pos="567"/>
                <w:tab w:val="decimal" w:pos="463"/>
              </w:tabs>
            </w:pPr>
            <w:r>
              <w:t>2.0</w:t>
            </w:r>
          </w:p>
        </w:tc>
      </w:tr>
      <w:tr>
        <w:tc>
          <w:tcPr>
            <w:tcW w:w="993" w:type="dxa"/>
          </w:tcPr>
          <w:p>
            <w:pPr>
              <w:pStyle w:val="yTableNAm"/>
            </w:pPr>
            <w:r>
              <w:t>36.</w:t>
            </w:r>
          </w:p>
        </w:tc>
        <w:tc>
          <w:tcPr>
            <w:tcW w:w="5191" w:type="dxa"/>
            <w:gridSpan w:val="2"/>
          </w:tcPr>
          <w:p>
            <w:pPr>
              <w:pStyle w:val="yTableNAm"/>
            </w:pPr>
            <w:r>
              <w:t>DEXTROMORAMIDE</w:t>
            </w:r>
          </w:p>
        </w:tc>
        <w:tc>
          <w:tcPr>
            <w:tcW w:w="1254" w:type="dxa"/>
          </w:tcPr>
          <w:p>
            <w:pPr>
              <w:pStyle w:val="yTableNAm"/>
              <w:tabs>
                <w:tab w:val="clear" w:pos="567"/>
                <w:tab w:val="decimal" w:pos="463"/>
              </w:tabs>
            </w:pPr>
            <w:r>
              <w:t>1.0</w:t>
            </w:r>
          </w:p>
        </w:tc>
      </w:tr>
      <w:tr>
        <w:tc>
          <w:tcPr>
            <w:tcW w:w="993" w:type="dxa"/>
          </w:tcPr>
          <w:p>
            <w:pPr>
              <w:pStyle w:val="yTableNAm"/>
            </w:pPr>
            <w:r>
              <w:t>37.</w:t>
            </w:r>
          </w:p>
        </w:tc>
        <w:tc>
          <w:tcPr>
            <w:tcW w:w="5191" w:type="dxa"/>
            <w:gridSpan w:val="2"/>
          </w:tcPr>
          <w:p>
            <w:pPr>
              <w:pStyle w:val="yTableNAm"/>
            </w:pPr>
            <w:r>
              <w:t>DIACETYLMORPHINE</w:t>
            </w:r>
          </w:p>
        </w:tc>
        <w:tc>
          <w:tcPr>
            <w:tcW w:w="1254" w:type="dxa"/>
          </w:tcPr>
          <w:p>
            <w:pPr>
              <w:pStyle w:val="yTableNAm"/>
              <w:tabs>
                <w:tab w:val="clear" w:pos="567"/>
                <w:tab w:val="decimal" w:pos="463"/>
              </w:tabs>
            </w:pPr>
            <w:r>
              <w:t>2.0</w:t>
            </w:r>
          </w:p>
        </w:tc>
      </w:tr>
      <w:tr>
        <w:tc>
          <w:tcPr>
            <w:tcW w:w="993" w:type="dxa"/>
          </w:tcPr>
          <w:p>
            <w:pPr>
              <w:pStyle w:val="yTableNAm"/>
            </w:pPr>
            <w:r>
              <w:t>38.</w:t>
            </w:r>
          </w:p>
        </w:tc>
        <w:tc>
          <w:tcPr>
            <w:tcW w:w="5191" w:type="dxa"/>
            <w:gridSpan w:val="2"/>
          </w:tcPr>
          <w:p>
            <w:pPr>
              <w:pStyle w:val="yTableNAm"/>
            </w:pPr>
            <w:r>
              <w:t>DIAMPROMIDE</w:t>
            </w:r>
          </w:p>
        </w:tc>
        <w:tc>
          <w:tcPr>
            <w:tcW w:w="1254" w:type="dxa"/>
          </w:tcPr>
          <w:p>
            <w:pPr>
              <w:pStyle w:val="yTableNAm"/>
              <w:tabs>
                <w:tab w:val="clear" w:pos="567"/>
                <w:tab w:val="decimal" w:pos="463"/>
              </w:tabs>
            </w:pPr>
            <w:r>
              <w:t>5.0</w:t>
            </w:r>
          </w:p>
        </w:tc>
      </w:tr>
      <w:tr>
        <w:tc>
          <w:tcPr>
            <w:tcW w:w="993" w:type="dxa"/>
          </w:tcPr>
          <w:p>
            <w:pPr>
              <w:pStyle w:val="yTableNAm"/>
            </w:pPr>
            <w:r>
              <w:t>39A.</w:t>
            </w:r>
          </w:p>
        </w:tc>
        <w:tc>
          <w:tcPr>
            <w:tcW w:w="5191" w:type="dxa"/>
            <w:gridSpan w:val="2"/>
          </w:tcPr>
          <w:p>
            <w:pPr>
              <w:pStyle w:val="yTableNAm"/>
            </w:pPr>
            <w:r>
              <w:t>DIBENZOPYRANS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39.</w:t>
            </w:r>
          </w:p>
        </w:tc>
        <w:tc>
          <w:tcPr>
            <w:tcW w:w="5191" w:type="dxa"/>
            <w:gridSpan w:val="2"/>
          </w:tcPr>
          <w:p>
            <w:pPr>
              <w:pStyle w:val="yTableNAm"/>
            </w:pPr>
            <w:r>
              <w:t>DIETHYLTHIAMBUTENE</w:t>
            </w:r>
          </w:p>
        </w:tc>
        <w:tc>
          <w:tcPr>
            <w:tcW w:w="1254" w:type="dxa"/>
          </w:tcPr>
          <w:p>
            <w:pPr>
              <w:pStyle w:val="yTableNAm"/>
              <w:tabs>
                <w:tab w:val="clear" w:pos="567"/>
                <w:tab w:val="decimal" w:pos="463"/>
              </w:tabs>
            </w:pPr>
            <w:r>
              <w:t>5.0</w:t>
            </w:r>
          </w:p>
        </w:tc>
      </w:tr>
      <w:tr>
        <w:trPr>
          <w:cantSplit/>
        </w:trPr>
        <w:tc>
          <w:tcPr>
            <w:tcW w:w="993" w:type="dxa"/>
          </w:tcPr>
          <w:p>
            <w:pPr>
              <w:pStyle w:val="yTableNAm"/>
            </w:pPr>
            <w:r>
              <w:t>40.</w:t>
            </w:r>
          </w:p>
        </w:tc>
        <w:tc>
          <w:tcPr>
            <w:tcW w:w="5191"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54" w:type="dxa"/>
          </w:tcPr>
          <w:p>
            <w:pPr>
              <w:pStyle w:val="yTableNAm"/>
              <w:tabs>
                <w:tab w:val="clear" w:pos="567"/>
                <w:tab w:val="decimal" w:pos="463"/>
              </w:tabs>
            </w:pPr>
            <w:r>
              <w:br/>
            </w:r>
            <w:r>
              <w:br/>
            </w:r>
            <w:r>
              <w:br/>
              <w:t>10.0</w:t>
            </w:r>
          </w:p>
        </w:tc>
      </w:tr>
      <w:tr>
        <w:trPr>
          <w:cantSplit/>
        </w:trPr>
        <w:tc>
          <w:tcPr>
            <w:tcW w:w="993" w:type="dxa"/>
          </w:tcPr>
          <w:p>
            <w:pPr>
              <w:pStyle w:val="yTableNAm"/>
            </w:pPr>
            <w:r>
              <w:t>41.</w:t>
            </w:r>
          </w:p>
        </w:tc>
        <w:tc>
          <w:tcPr>
            <w:tcW w:w="5191" w:type="dxa"/>
            <w:gridSpan w:val="2"/>
          </w:tcPr>
          <w:p>
            <w:pPr>
              <w:pStyle w:val="yTableNAm"/>
            </w:pPr>
            <w:r>
              <w:t xml:space="preserve">DIHYDROCODEINE (except when included in Schedule 2 or 4 in Appendix A to the </w:t>
            </w:r>
            <w:r>
              <w:rPr>
                <w:i/>
                <w:iCs/>
              </w:rPr>
              <w:t>Poisons Act 1964</w:t>
            </w:r>
            <w:r>
              <w:t>)</w:t>
            </w:r>
          </w:p>
        </w:tc>
        <w:tc>
          <w:tcPr>
            <w:tcW w:w="1254" w:type="dxa"/>
          </w:tcPr>
          <w:p>
            <w:pPr>
              <w:pStyle w:val="yTableNAm"/>
              <w:tabs>
                <w:tab w:val="clear" w:pos="567"/>
                <w:tab w:val="decimal" w:pos="463"/>
              </w:tabs>
            </w:pPr>
            <w:r>
              <w:br/>
            </w:r>
            <w:r>
              <w:br/>
              <w:t>10.0</w:t>
            </w:r>
          </w:p>
        </w:tc>
      </w:tr>
      <w:tr>
        <w:tc>
          <w:tcPr>
            <w:tcW w:w="993" w:type="dxa"/>
          </w:tcPr>
          <w:p>
            <w:pPr>
              <w:pStyle w:val="yTableNAm"/>
            </w:pPr>
            <w:r>
              <w:t>42.</w:t>
            </w:r>
          </w:p>
        </w:tc>
        <w:tc>
          <w:tcPr>
            <w:tcW w:w="5191" w:type="dxa"/>
            <w:gridSpan w:val="2"/>
          </w:tcPr>
          <w:p>
            <w:pPr>
              <w:pStyle w:val="yTableNAm"/>
            </w:pPr>
            <w:r>
              <w:t>DIHYDROMORPHINE</w:t>
            </w:r>
          </w:p>
        </w:tc>
        <w:tc>
          <w:tcPr>
            <w:tcW w:w="1254" w:type="dxa"/>
          </w:tcPr>
          <w:p>
            <w:pPr>
              <w:pStyle w:val="yTableNAm"/>
              <w:tabs>
                <w:tab w:val="clear" w:pos="567"/>
                <w:tab w:val="decimal" w:pos="463"/>
              </w:tabs>
            </w:pPr>
            <w:r>
              <w:t>10.0</w:t>
            </w:r>
          </w:p>
        </w:tc>
      </w:tr>
      <w:tr>
        <w:tc>
          <w:tcPr>
            <w:tcW w:w="993" w:type="dxa"/>
          </w:tcPr>
          <w:p>
            <w:pPr>
              <w:pStyle w:val="yTableNAm"/>
            </w:pPr>
            <w:r>
              <w:t>43.</w:t>
            </w:r>
          </w:p>
        </w:tc>
        <w:tc>
          <w:tcPr>
            <w:tcW w:w="5191" w:type="dxa"/>
            <w:gridSpan w:val="2"/>
          </w:tcPr>
          <w:p>
            <w:pPr>
              <w:pStyle w:val="yTableNAm"/>
            </w:pPr>
            <w:r>
              <w:t>DIMENOXADOL</w:t>
            </w:r>
          </w:p>
        </w:tc>
        <w:tc>
          <w:tcPr>
            <w:tcW w:w="1254" w:type="dxa"/>
          </w:tcPr>
          <w:p>
            <w:pPr>
              <w:pStyle w:val="yTableNAm"/>
              <w:tabs>
                <w:tab w:val="clear" w:pos="567"/>
                <w:tab w:val="decimal" w:pos="463"/>
              </w:tabs>
            </w:pPr>
            <w:r>
              <w:t>10.0</w:t>
            </w:r>
          </w:p>
        </w:tc>
      </w:tr>
      <w:tr>
        <w:tc>
          <w:tcPr>
            <w:tcW w:w="993" w:type="dxa"/>
          </w:tcPr>
          <w:p>
            <w:pPr>
              <w:pStyle w:val="yTableNAm"/>
            </w:pPr>
            <w:r>
              <w:t>44.</w:t>
            </w:r>
          </w:p>
        </w:tc>
        <w:tc>
          <w:tcPr>
            <w:tcW w:w="5191" w:type="dxa"/>
            <w:gridSpan w:val="2"/>
          </w:tcPr>
          <w:p>
            <w:pPr>
              <w:pStyle w:val="yTableNAm"/>
            </w:pPr>
            <w:r>
              <w:t>DIMEPHEPTANOL</w:t>
            </w:r>
          </w:p>
        </w:tc>
        <w:tc>
          <w:tcPr>
            <w:tcW w:w="1254" w:type="dxa"/>
          </w:tcPr>
          <w:p>
            <w:pPr>
              <w:pStyle w:val="yTableNAm"/>
              <w:tabs>
                <w:tab w:val="clear" w:pos="567"/>
                <w:tab w:val="decimal" w:pos="463"/>
              </w:tabs>
            </w:pPr>
            <w:r>
              <w:t>10.0</w:t>
            </w:r>
          </w:p>
        </w:tc>
      </w:tr>
      <w:tr>
        <w:tc>
          <w:tcPr>
            <w:tcW w:w="993" w:type="dxa"/>
          </w:tcPr>
          <w:p>
            <w:pPr>
              <w:pStyle w:val="yTableNAm"/>
            </w:pPr>
            <w:r>
              <w:t>45.</w:t>
            </w:r>
          </w:p>
        </w:tc>
        <w:tc>
          <w:tcPr>
            <w:tcW w:w="5191" w:type="dxa"/>
            <w:gridSpan w:val="2"/>
          </w:tcPr>
          <w:p>
            <w:pPr>
              <w:pStyle w:val="yTableNAm"/>
            </w:pPr>
            <w:r>
              <w:t>2, 5</w:t>
            </w:r>
            <w:r>
              <w:noBreakHyphen/>
              <w:t>DIMETHOXY</w:t>
            </w:r>
            <w:r>
              <w:noBreakHyphen/>
              <w:t>4</w:t>
            </w:r>
            <w:r>
              <w:noBreakHyphen/>
              <w:t>BROMOAMPHETAMINE</w:t>
            </w:r>
          </w:p>
        </w:tc>
        <w:tc>
          <w:tcPr>
            <w:tcW w:w="1254" w:type="dxa"/>
          </w:tcPr>
          <w:p>
            <w:pPr>
              <w:pStyle w:val="yTableNAm"/>
              <w:tabs>
                <w:tab w:val="clear" w:pos="567"/>
                <w:tab w:val="decimal" w:pos="463"/>
              </w:tabs>
            </w:pPr>
            <w:r>
              <w:t>0.05</w:t>
            </w:r>
          </w:p>
        </w:tc>
      </w:tr>
      <w:tr>
        <w:tc>
          <w:tcPr>
            <w:tcW w:w="993" w:type="dxa"/>
          </w:tcPr>
          <w:p>
            <w:pPr>
              <w:pStyle w:val="yTableNAm"/>
            </w:pPr>
            <w:r>
              <w:t>46.</w:t>
            </w:r>
          </w:p>
        </w:tc>
        <w:tc>
          <w:tcPr>
            <w:tcW w:w="5191" w:type="dxa"/>
            <w:gridSpan w:val="2"/>
          </w:tcPr>
          <w:p>
            <w:pPr>
              <w:pStyle w:val="yTableNAm"/>
            </w:pPr>
            <w:r>
              <w:t>2, 5</w:t>
            </w:r>
            <w:r>
              <w:noBreakHyphen/>
              <w:t>DIMETHOXY</w:t>
            </w:r>
            <w:r>
              <w:noBreakHyphen/>
              <w:t>4</w:t>
            </w:r>
            <w:r>
              <w:noBreakHyphen/>
              <w:t>METHYLAMPHETAMINE</w:t>
            </w:r>
          </w:p>
        </w:tc>
        <w:tc>
          <w:tcPr>
            <w:tcW w:w="1254" w:type="dxa"/>
          </w:tcPr>
          <w:p>
            <w:pPr>
              <w:pStyle w:val="yTableNAm"/>
              <w:tabs>
                <w:tab w:val="clear" w:pos="567"/>
                <w:tab w:val="decimal" w:pos="463"/>
              </w:tabs>
            </w:pPr>
            <w:r>
              <w:t>0.05</w:t>
            </w:r>
          </w:p>
        </w:tc>
      </w:tr>
      <w:tr>
        <w:tc>
          <w:tcPr>
            <w:tcW w:w="993" w:type="dxa"/>
          </w:tcPr>
          <w:p>
            <w:pPr>
              <w:pStyle w:val="yTableNAm"/>
            </w:pPr>
            <w:r>
              <w:t>47A.</w:t>
            </w:r>
          </w:p>
        </w:tc>
        <w:tc>
          <w:tcPr>
            <w:tcW w:w="5191" w:type="dxa"/>
            <w:gridSpan w:val="2"/>
          </w:tcPr>
          <w:p>
            <w:pPr>
              <w:pStyle w:val="yTableNAm"/>
            </w:pPr>
            <w:r>
              <w:t>DIMETHYLAMPHETAMINE</w:t>
            </w:r>
          </w:p>
        </w:tc>
        <w:tc>
          <w:tcPr>
            <w:tcW w:w="1254" w:type="dxa"/>
          </w:tcPr>
          <w:p>
            <w:pPr>
              <w:pStyle w:val="yTableNAm"/>
              <w:tabs>
                <w:tab w:val="clear" w:pos="567"/>
                <w:tab w:val="decimal" w:pos="463"/>
              </w:tabs>
            </w:pPr>
            <w:r>
              <w:t>2.0</w:t>
            </w:r>
          </w:p>
        </w:tc>
      </w:tr>
      <w:tr>
        <w:trPr>
          <w:cantSplit/>
        </w:trPr>
        <w:tc>
          <w:tcPr>
            <w:tcW w:w="993" w:type="dxa"/>
          </w:tcPr>
          <w:p>
            <w:pPr>
              <w:pStyle w:val="yTableNAm"/>
            </w:pPr>
            <w:r>
              <w:t>47B.</w:t>
            </w:r>
          </w:p>
        </w:tc>
        <w:tc>
          <w:tcPr>
            <w:tcW w:w="5191" w:type="dxa"/>
            <w:gridSpan w:val="2"/>
          </w:tcPr>
          <w:p>
            <w:pPr>
              <w:pStyle w:val="yTableNAm"/>
            </w:pPr>
            <w:r>
              <w:t>5</w:t>
            </w:r>
            <w:r>
              <w:noBreakHyphen/>
              <w:t>(1,1</w:t>
            </w:r>
            <w:r>
              <w:noBreakHyphen/>
              <w:t>DIMETHYLHEPTYL)</w:t>
            </w:r>
            <w:r>
              <w:noBreakHyphen/>
              <w:t>2</w:t>
            </w:r>
            <w:r>
              <w:noBreakHyphen/>
              <w:t>[(1R,3S)</w:t>
            </w:r>
            <w:r>
              <w:noBreakHyphen/>
              <w:t>3</w:t>
            </w:r>
            <w:r>
              <w:noBreakHyphen/>
            </w:r>
            <w:r>
              <w:br/>
              <w:t>HYDROXYCYCLOHEXYL]</w:t>
            </w:r>
            <w:r>
              <w:noBreakHyphen/>
              <w:t>PHENOL (CP 47,497)</w:t>
            </w:r>
          </w:p>
        </w:tc>
        <w:tc>
          <w:tcPr>
            <w:tcW w:w="1254" w:type="dxa"/>
          </w:tcPr>
          <w:p>
            <w:pPr>
              <w:pStyle w:val="yTableNAm"/>
              <w:tabs>
                <w:tab w:val="clear" w:pos="567"/>
                <w:tab w:val="decimal" w:pos="463"/>
              </w:tabs>
            </w:pPr>
            <w:r>
              <w:br/>
              <w:t>100.0</w:t>
            </w:r>
          </w:p>
        </w:tc>
      </w:tr>
      <w:tr>
        <w:trPr>
          <w:cantSplit/>
        </w:trPr>
        <w:tc>
          <w:tcPr>
            <w:tcW w:w="993" w:type="dxa"/>
          </w:tcPr>
          <w:p>
            <w:pPr>
              <w:pStyle w:val="yTableNAm"/>
            </w:pPr>
            <w:r>
              <w:t>47C.</w:t>
            </w:r>
          </w:p>
        </w:tc>
        <w:tc>
          <w:tcPr>
            <w:tcW w:w="5191"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54" w:type="dxa"/>
          </w:tcPr>
          <w:p>
            <w:pPr>
              <w:pStyle w:val="yTableNAm"/>
              <w:tabs>
                <w:tab w:val="clear" w:pos="567"/>
                <w:tab w:val="decimal" w:pos="463"/>
              </w:tabs>
            </w:pPr>
            <w:r>
              <w:br/>
            </w:r>
            <w:r>
              <w:br/>
            </w:r>
            <w:r>
              <w:br/>
              <w:t>100.0</w:t>
            </w:r>
          </w:p>
        </w:tc>
      </w:tr>
      <w:tr>
        <w:tc>
          <w:tcPr>
            <w:tcW w:w="993" w:type="dxa"/>
          </w:tcPr>
          <w:p>
            <w:pPr>
              <w:pStyle w:val="yTableNAm"/>
            </w:pPr>
            <w:r>
              <w:t>47.</w:t>
            </w:r>
          </w:p>
        </w:tc>
        <w:tc>
          <w:tcPr>
            <w:tcW w:w="5191" w:type="dxa"/>
            <w:gridSpan w:val="2"/>
          </w:tcPr>
          <w:p>
            <w:pPr>
              <w:pStyle w:val="yTableNAm"/>
            </w:pPr>
            <w:r>
              <w:t>DIMETHYLTHIAMBUTENE</w:t>
            </w:r>
          </w:p>
        </w:tc>
        <w:tc>
          <w:tcPr>
            <w:tcW w:w="1254" w:type="dxa"/>
          </w:tcPr>
          <w:p>
            <w:pPr>
              <w:pStyle w:val="yTableNAm"/>
              <w:tabs>
                <w:tab w:val="clear" w:pos="567"/>
                <w:tab w:val="decimal" w:pos="463"/>
              </w:tabs>
            </w:pPr>
            <w:r>
              <w:t>20.0</w:t>
            </w:r>
          </w:p>
        </w:tc>
      </w:tr>
      <w:tr>
        <w:tc>
          <w:tcPr>
            <w:tcW w:w="993" w:type="dxa"/>
          </w:tcPr>
          <w:p>
            <w:pPr>
              <w:pStyle w:val="yTableNAm"/>
            </w:pPr>
            <w:r>
              <w:t>48.</w:t>
            </w:r>
          </w:p>
        </w:tc>
        <w:tc>
          <w:tcPr>
            <w:tcW w:w="5191" w:type="dxa"/>
            <w:gridSpan w:val="2"/>
          </w:tcPr>
          <w:p>
            <w:pPr>
              <w:pStyle w:val="yTableNAm"/>
            </w:pPr>
            <w:r>
              <w:t>DIMETHYLTRYPTAMINE</w:t>
            </w:r>
          </w:p>
        </w:tc>
        <w:tc>
          <w:tcPr>
            <w:tcW w:w="1254" w:type="dxa"/>
          </w:tcPr>
          <w:p>
            <w:pPr>
              <w:pStyle w:val="yTableNAm"/>
              <w:tabs>
                <w:tab w:val="clear" w:pos="567"/>
                <w:tab w:val="decimal" w:pos="463"/>
              </w:tabs>
            </w:pPr>
            <w:r>
              <w:t>2.0</w:t>
            </w:r>
          </w:p>
        </w:tc>
      </w:tr>
      <w:tr>
        <w:tc>
          <w:tcPr>
            <w:tcW w:w="993" w:type="dxa"/>
          </w:tcPr>
          <w:p>
            <w:pPr>
              <w:pStyle w:val="yTableNAm"/>
            </w:pPr>
            <w:r>
              <w:t>49.</w:t>
            </w:r>
          </w:p>
        </w:tc>
        <w:tc>
          <w:tcPr>
            <w:tcW w:w="5191" w:type="dxa"/>
            <w:gridSpan w:val="2"/>
          </w:tcPr>
          <w:p>
            <w:pPr>
              <w:pStyle w:val="yTableNAm"/>
            </w:pPr>
            <w:r>
              <w:t>DIOXAPHETYL BUTYRATE</w:t>
            </w:r>
          </w:p>
        </w:tc>
        <w:tc>
          <w:tcPr>
            <w:tcW w:w="1254" w:type="dxa"/>
          </w:tcPr>
          <w:p>
            <w:pPr>
              <w:pStyle w:val="yTableNAm"/>
              <w:tabs>
                <w:tab w:val="clear" w:pos="567"/>
                <w:tab w:val="decimal" w:pos="463"/>
              </w:tabs>
            </w:pPr>
            <w:r>
              <w:t>2.0</w:t>
            </w:r>
          </w:p>
        </w:tc>
      </w:tr>
      <w:tr>
        <w:tc>
          <w:tcPr>
            <w:tcW w:w="993" w:type="dxa"/>
          </w:tcPr>
          <w:p>
            <w:pPr>
              <w:pStyle w:val="yTableNAm"/>
            </w:pPr>
            <w:r>
              <w:t>50.</w:t>
            </w:r>
          </w:p>
        </w:tc>
        <w:tc>
          <w:tcPr>
            <w:tcW w:w="5191"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54" w:type="dxa"/>
          </w:tcPr>
          <w:p>
            <w:pPr>
              <w:pStyle w:val="yTableNAm"/>
              <w:tabs>
                <w:tab w:val="clear" w:pos="567"/>
                <w:tab w:val="decimal" w:pos="463"/>
              </w:tabs>
            </w:pPr>
            <w:r>
              <w:br/>
            </w:r>
            <w:r>
              <w:br/>
            </w:r>
            <w:r>
              <w:br/>
            </w:r>
            <w:r>
              <w:br/>
              <w:t>2.0</w:t>
            </w:r>
          </w:p>
        </w:tc>
      </w:tr>
      <w:tr>
        <w:tc>
          <w:tcPr>
            <w:tcW w:w="993" w:type="dxa"/>
          </w:tcPr>
          <w:p>
            <w:pPr>
              <w:pStyle w:val="yTableNAm"/>
            </w:pPr>
            <w:r>
              <w:t>51.</w:t>
            </w:r>
          </w:p>
        </w:tc>
        <w:tc>
          <w:tcPr>
            <w:tcW w:w="5191" w:type="dxa"/>
            <w:gridSpan w:val="2"/>
          </w:tcPr>
          <w:p>
            <w:pPr>
              <w:pStyle w:val="yTableNAm"/>
            </w:pPr>
            <w:r>
              <w:t>DIPIPANONE</w:t>
            </w:r>
          </w:p>
        </w:tc>
        <w:tc>
          <w:tcPr>
            <w:tcW w:w="1254" w:type="dxa"/>
          </w:tcPr>
          <w:p>
            <w:pPr>
              <w:pStyle w:val="yTableNAm"/>
              <w:tabs>
                <w:tab w:val="clear" w:pos="567"/>
                <w:tab w:val="decimal" w:pos="463"/>
              </w:tabs>
            </w:pPr>
            <w:r>
              <w:t>10.0</w:t>
            </w:r>
          </w:p>
        </w:tc>
      </w:tr>
      <w:tr>
        <w:tc>
          <w:tcPr>
            <w:tcW w:w="993" w:type="dxa"/>
          </w:tcPr>
          <w:p>
            <w:pPr>
              <w:pStyle w:val="yTableNAm"/>
            </w:pPr>
            <w:r>
              <w:t>52.</w:t>
            </w:r>
          </w:p>
        </w:tc>
        <w:tc>
          <w:tcPr>
            <w:tcW w:w="5191" w:type="dxa"/>
            <w:gridSpan w:val="2"/>
          </w:tcPr>
          <w:p>
            <w:pPr>
              <w:pStyle w:val="yTableNAm"/>
            </w:pPr>
            <w:r>
              <w:t>DROTEBANOL</w:t>
            </w:r>
          </w:p>
        </w:tc>
        <w:tc>
          <w:tcPr>
            <w:tcW w:w="1254" w:type="dxa"/>
          </w:tcPr>
          <w:p>
            <w:pPr>
              <w:pStyle w:val="yTableNAm"/>
              <w:tabs>
                <w:tab w:val="clear" w:pos="567"/>
                <w:tab w:val="decimal" w:pos="463"/>
              </w:tabs>
            </w:pPr>
            <w:r>
              <w:t>0.1</w:t>
            </w:r>
          </w:p>
        </w:tc>
      </w:tr>
      <w:tr>
        <w:tc>
          <w:tcPr>
            <w:tcW w:w="993" w:type="dxa"/>
          </w:tcPr>
          <w:p>
            <w:pPr>
              <w:pStyle w:val="yTableNAm"/>
            </w:pPr>
            <w:r>
              <w:t>53.</w:t>
            </w:r>
          </w:p>
        </w:tc>
        <w:tc>
          <w:tcPr>
            <w:tcW w:w="5191" w:type="dxa"/>
            <w:gridSpan w:val="2"/>
          </w:tcPr>
          <w:p>
            <w:pPr>
              <w:pStyle w:val="yTableNAm"/>
            </w:pPr>
            <w:r>
              <w:t>ECGONINE, ITS ESTERS AND DERIVATIVES which are convertible to ECGONINE AND COCAINE</w:t>
            </w:r>
          </w:p>
        </w:tc>
        <w:tc>
          <w:tcPr>
            <w:tcW w:w="1254" w:type="dxa"/>
          </w:tcPr>
          <w:p>
            <w:pPr>
              <w:pStyle w:val="yTableNAm"/>
              <w:tabs>
                <w:tab w:val="clear" w:pos="567"/>
                <w:tab w:val="decimal" w:pos="463"/>
              </w:tabs>
            </w:pPr>
            <w:r>
              <w:br/>
              <w:t>10.0</w:t>
            </w:r>
          </w:p>
        </w:tc>
      </w:tr>
      <w:tr>
        <w:trPr>
          <w:cantSplit/>
        </w:trPr>
        <w:tc>
          <w:tcPr>
            <w:tcW w:w="993" w:type="dxa"/>
          </w:tcPr>
          <w:p>
            <w:pPr>
              <w:pStyle w:val="yTableNAm"/>
              <w:rPr>
                <w:rFonts w:ascii="Times" w:hAnsi="Times"/>
                <w:spacing w:val="-6"/>
              </w:rPr>
            </w:pPr>
            <w:r>
              <w:rPr>
                <w:rFonts w:ascii="Times" w:hAnsi="Times"/>
                <w:spacing w:val="-6"/>
              </w:rPr>
              <w:t>53A.</w:t>
            </w:r>
          </w:p>
        </w:tc>
        <w:tc>
          <w:tcPr>
            <w:tcW w:w="5191" w:type="dxa"/>
            <w:gridSpan w:val="2"/>
          </w:tcPr>
          <w:p>
            <w:pPr>
              <w:pStyle w:val="yTableNAm"/>
            </w:pPr>
            <w:r>
              <w:t>EPHEDRINE</w:t>
            </w:r>
          </w:p>
        </w:tc>
        <w:tc>
          <w:tcPr>
            <w:tcW w:w="1254" w:type="dxa"/>
          </w:tcPr>
          <w:p>
            <w:pPr>
              <w:pStyle w:val="yTableNAm"/>
              <w:tabs>
                <w:tab w:val="clear" w:pos="567"/>
                <w:tab w:val="decimal" w:pos="463"/>
              </w:tabs>
            </w:pPr>
            <w:r>
              <w:t>2.0</w:t>
            </w:r>
          </w:p>
        </w:tc>
      </w:tr>
      <w:tr>
        <w:tc>
          <w:tcPr>
            <w:tcW w:w="993" w:type="dxa"/>
          </w:tcPr>
          <w:p>
            <w:pPr>
              <w:pStyle w:val="yTableNAm"/>
            </w:pPr>
            <w:r>
              <w:t>54.</w:t>
            </w:r>
          </w:p>
        </w:tc>
        <w:tc>
          <w:tcPr>
            <w:tcW w:w="5191" w:type="dxa"/>
            <w:gridSpan w:val="2"/>
          </w:tcPr>
          <w:p>
            <w:pPr>
              <w:pStyle w:val="yTableNAm"/>
            </w:pPr>
            <w:r>
              <w:t>ETHYLMETHYLTHIAMBUTENE</w:t>
            </w:r>
          </w:p>
        </w:tc>
        <w:tc>
          <w:tcPr>
            <w:tcW w:w="1254" w:type="dxa"/>
          </w:tcPr>
          <w:p>
            <w:pPr>
              <w:pStyle w:val="yTableNAm"/>
              <w:tabs>
                <w:tab w:val="clear" w:pos="567"/>
                <w:tab w:val="decimal" w:pos="463"/>
              </w:tabs>
            </w:pPr>
            <w:r>
              <w:t>10.0</w:t>
            </w:r>
          </w:p>
        </w:tc>
      </w:tr>
      <w:tr>
        <w:tc>
          <w:tcPr>
            <w:tcW w:w="993" w:type="dxa"/>
          </w:tcPr>
          <w:p>
            <w:pPr>
              <w:pStyle w:val="yTableNAm"/>
            </w:pPr>
            <w:r>
              <w:t>55.</w:t>
            </w:r>
          </w:p>
        </w:tc>
        <w:tc>
          <w:tcPr>
            <w:tcW w:w="5191" w:type="dxa"/>
            <w:gridSpan w:val="2"/>
          </w:tcPr>
          <w:p>
            <w:pPr>
              <w:pStyle w:val="yTableNAm"/>
            </w:pPr>
            <w:r>
              <w:t>ETHYLMORPHINE (and substances containing more than 2.5% of ethylmorphine)</w:t>
            </w:r>
          </w:p>
        </w:tc>
        <w:tc>
          <w:tcPr>
            <w:tcW w:w="1254" w:type="dxa"/>
          </w:tcPr>
          <w:p>
            <w:pPr>
              <w:pStyle w:val="yTableNAm"/>
              <w:tabs>
                <w:tab w:val="clear" w:pos="567"/>
                <w:tab w:val="decimal" w:pos="463"/>
              </w:tabs>
            </w:pPr>
            <w:r>
              <w:br/>
              <w:t>2.0</w:t>
            </w:r>
          </w:p>
        </w:tc>
      </w:tr>
      <w:tr>
        <w:tc>
          <w:tcPr>
            <w:tcW w:w="993" w:type="dxa"/>
          </w:tcPr>
          <w:p>
            <w:pPr>
              <w:pStyle w:val="yTableNAm"/>
            </w:pPr>
            <w:r>
              <w:t>56.</w:t>
            </w:r>
          </w:p>
        </w:tc>
        <w:tc>
          <w:tcPr>
            <w:tcW w:w="5191" w:type="dxa"/>
            <w:gridSpan w:val="2"/>
          </w:tcPr>
          <w:p>
            <w:pPr>
              <w:pStyle w:val="yTableNAm"/>
            </w:pPr>
            <w:r>
              <w:t>ETONITAZENE</w:t>
            </w:r>
          </w:p>
        </w:tc>
        <w:tc>
          <w:tcPr>
            <w:tcW w:w="1254" w:type="dxa"/>
          </w:tcPr>
          <w:p>
            <w:pPr>
              <w:pStyle w:val="yTableNAm"/>
              <w:tabs>
                <w:tab w:val="clear" w:pos="567"/>
                <w:tab w:val="decimal" w:pos="463"/>
              </w:tabs>
            </w:pPr>
            <w:r>
              <w:t>5.0</w:t>
            </w:r>
          </w:p>
        </w:tc>
      </w:tr>
      <w:tr>
        <w:tc>
          <w:tcPr>
            <w:tcW w:w="993" w:type="dxa"/>
          </w:tcPr>
          <w:p>
            <w:pPr>
              <w:pStyle w:val="yTableNAm"/>
            </w:pPr>
            <w:r>
              <w:t>57.</w:t>
            </w:r>
          </w:p>
        </w:tc>
        <w:tc>
          <w:tcPr>
            <w:tcW w:w="5191" w:type="dxa"/>
            <w:gridSpan w:val="2"/>
          </w:tcPr>
          <w:p>
            <w:pPr>
              <w:pStyle w:val="yTableNAm"/>
            </w:pPr>
            <w:r>
              <w:t>ETORPHINE</w:t>
            </w:r>
          </w:p>
        </w:tc>
        <w:tc>
          <w:tcPr>
            <w:tcW w:w="1254" w:type="dxa"/>
          </w:tcPr>
          <w:p>
            <w:pPr>
              <w:pStyle w:val="yTableNAm"/>
              <w:tabs>
                <w:tab w:val="clear" w:pos="567"/>
                <w:tab w:val="decimal" w:pos="463"/>
              </w:tabs>
            </w:pPr>
            <w:r>
              <w:t>5.0</w:t>
            </w:r>
          </w:p>
        </w:tc>
      </w:tr>
      <w:tr>
        <w:tc>
          <w:tcPr>
            <w:tcW w:w="993" w:type="dxa"/>
          </w:tcPr>
          <w:p>
            <w:pPr>
              <w:pStyle w:val="yTableNAm"/>
            </w:pPr>
            <w:r>
              <w:t>58.</w:t>
            </w:r>
          </w:p>
        </w:tc>
        <w:tc>
          <w:tcPr>
            <w:tcW w:w="5191" w:type="dxa"/>
            <w:gridSpan w:val="2"/>
          </w:tcPr>
          <w:p>
            <w:pPr>
              <w:pStyle w:val="yTableNAm"/>
            </w:pPr>
            <w:r>
              <w:t>ETOXERIDINE</w:t>
            </w:r>
          </w:p>
        </w:tc>
        <w:tc>
          <w:tcPr>
            <w:tcW w:w="1254" w:type="dxa"/>
          </w:tcPr>
          <w:p>
            <w:pPr>
              <w:pStyle w:val="yTableNAm"/>
              <w:tabs>
                <w:tab w:val="clear" w:pos="567"/>
                <w:tab w:val="decimal" w:pos="463"/>
              </w:tabs>
            </w:pPr>
            <w:r>
              <w:t>5.0</w:t>
            </w:r>
          </w:p>
        </w:tc>
      </w:tr>
      <w:tr>
        <w:tc>
          <w:tcPr>
            <w:tcW w:w="993" w:type="dxa"/>
          </w:tcPr>
          <w:p>
            <w:pPr>
              <w:pStyle w:val="yTableNAm"/>
            </w:pPr>
            <w:r>
              <w:t>59.</w:t>
            </w:r>
          </w:p>
        </w:tc>
        <w:tc>
          <w:tcPr>
            <w:tcW w:w="5191" w:type="dxa"/>
            <w:gridSpan w:val="2"/>
          </w:tcPr>
          <w:p>
            <w:pPr>
              <w:pStyle w:val="yTableNAm"/>
            </w:pPr>
            <w:r>
              <w:t>FENTANYL</w:t>
            </w:r>
          </w:p>
        </w:tc>
        <w:tc>
          <w:tcPr>
            <w:tcW w:w="1254" w:type="dxa"/>
          </w:tcPr>
          <w:p>
            <w:pPr>
              <w:pStyle w:val="yTableNAm"/>
              <w:tabs>
                <w:tab w:val="clear" w:pos="567"/>
                <w:tab w:val="decimal" w:pos="463"/>
              </w:tabs>
            </w:pPr>
            <w:r>
              <w:t>0.005</w:t>
            </w:r>
          </w:p>
        </w:tc>
      </w:tr>
      <w:tr>
        <w:trPr>
          <w:cantSplit/>
        </w:trPr>
        <w:tc>
          <w:tcPr>
            <w:tcW w:w="993" w:type="dxa"/>
          </w:tcPr>
          <w:p>
            <w:pPr>
              <w:pStyle w:val="yTableNAm"/>
            </w:pPr>
            <w:r>
              <w:t>60A.</w:t>
            </w:r>
          </w:p>
        </w:tc>
        <w:tc>
          <w:tcPr>
            <w:tcW w:w="5191"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54" w:type="dxa"/>
          </w:tcPr>
          <w:p>
            <w:pPr>
              <w:pStyle w:val="yTableNAm"/>
              <w:tabs>
                <w:tab w:val="clear" w:pos="567"/>
                <w:tab w:val="decimal" w:pos="463"/>
              </w:tabs>
            </w:pPr>
            <w:r>
              <w:br/>
              <w:t>100.0</w:t>
            </w:r>
          </w:p>
        </w:tc>
      </w:tr>
      <w:tr>
        <w:trPr>
          <w:cantSplit/>
        </w:trPr>
        <w:tc>
          <w:tcPr>
            <w:tcW w:w="993" w:type="dxa"/>
          </w:tcPr>
          <w:p>
            <w:pPr>
              <w:pStyle w:val="yTableNAm"/>
            </w:pPr>
            <w:r>
              <w:t>60B.</w:t>
            </w:r>
          </w:p>
        </w:tc>
        <w:tc>
          <w:tcPr>
            <w:tcW w:w="5191"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54" w:type="dxa"/>
          </w:tcPr>
          <w:p>
            <w:pPr>
              <w:pStyle w:val="yTableNAm"/>
              <w:tabs>
                <w:tab w:val="clear" w:pos="567"/>
                <w:tab w:val="decimal" w:pos="463"/>
              </w:tabs>
            </w:pPr>
            <w:r>
              <w:br/>
              <w:t>100.0</w:t>
            </w:r>
          </w:p>
        </w:tc>
      </w:tr>
      <w:tr>
        <w:tc>
          <w:tcPr>
            <w:tcW w:w="993" w:type="dxa"/>
          </w:tcPr>
          <w:p>
            <w:pPr>
              <w:pStyle w:val="yTableNAm"/>
            </w:pPr>
            <w:r>
              <w:t>60.</w:t>
            </w:r>
          </w:p>
        </w:tc>
        <w:tc>
          <w:tcPr>
            <w:tcW w:w="5191" w:type="dxa"/>
            <w:gridSpan w:val="2"/>
          </w:tcPr>
          <w:p>
            <w:pPr>
              <w:pStyle w:val="yTableNAm"/>
            </w:pPr>
            <w:r>
              <w:t>FURETHIDINE</w:t>
            </w:r>
          </w:p>
        </w:tc>
        <w:tc>
          <w:tcPr>
            <w:tcW w:w="1254" w:type="dxa"/>
          </w:tcPr>
          <w:p>
            <w:pPr>
              <w:pStyle w:val="yTableNAm"/>
              <w:tabs>
                <w:tab w:val="clear" w:pos="567"/>
                <w:tab w:val="decimal" w:pos="463"/>
              </w:tabs>
            </w:pPr>
            <w:r>
              <w:t>1.0</w:t>
            </w:r>
          </w:p>
        </w:tc>
      </w:tr>
      <w:tr>
        <w:tc>
          <w:tcPr>
            <w:tcW w:w="993" w:type="dxa"/>
          </w:tcPr>
          <w:p>
            <w:pPr>
              <w:pStyle w:val="yTableNAm"/>
            </w:pPr>
            <w:r>
              <w:t>61.</w:t>
            </w:r>
          </w:p>
        </w:tc>
        <w:tc>
          <w:tcPr>
            <w:tcW w:w="5191" w:type="dxa"/>
            <w:gridSpan w:val="2"/>
          </w:tcPr>
          <w:p>
            <w:pPr>
              <w:pStyle w:val="yTableNAm"/>
            </w:pPr>
            <w:r>
              <w:t>HALLUCINOGENIC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62.</w:t>
            </w:r>
          </w:p>
        </w:tc>
        <w:tc>
          <w:tcPr>
            <w:tcW w:w="5191" w:type="dxa"/>
            <w:gridSpan w:val="2"/>
          </w:tcPr>
          <w:p>
            <w:pPr>
              <w:pStyle w:val="yTableNAm"/>
            </w:pPr>
            <w:r>
              <w:t>HEPTABARBITONE</w:t>
            </w:r>
          </w:p>
        </w:tc>
        <w:tc>
          <w:tcPr>
            <w:tcW w:w="1254" w:type="dxa"/>
          </w:tcPr>
          <w:p>
            <w:pPr>
              <w:pStyle w:val="yTableNAm"/>
              <w:tabs>
                <w:tab w:val="clear" w:pos="567"/>
                <w:tab w:val="decimal" w:pos="463"/>
              </w:tabs>
            </w:pPr>
            <w:r>
              <w:t>10.0</w:t>
            </w:r>
          </w:p>
        </w:tc>
      </w:tr>
      <w:tr>
        <w:tc>
          <w:tcPr>
            <w:tcW w:w="993" w:type="dxa"/>
          </w:tcPr>
          <w:p>
            <w:pPr>
              <w:pStyle w:val="yTableNAm"/>
            </w:pPr>
            <w:r>
              <w:t>63.</w:t>
            </w:r>
          </w:p>
        </w:tc>
        <w:tc>
          <w:tcPr>
            <w:tcW w:w="5191" w:type="dxa"/>
            <w:gridSpan w:val="2"/>
          </w:tcPr>
          <w:p>
            <w:pPr>
              <w:pStyle w:val="yTableNAm"/>
            </w:pPr>
            <w:r>
              <w:t>HEROIN</w:t>
            </w:r>
          </w:p>
        </w:tc>
        <w:tc>
          <w:tcPr>
            <w:tcW w:w="1254" w:type="dxa"/>
          </w:tcPr>
          <w:p>
            <w:pPr>
              <w:pStyle w:val="yTableNAm"/>
              <w:tabs>
                <w:tab w:val="clear" w:pos="567"/>
                <w:tab w:val="decimal" w:pos="463"/>
              </w:tabs>
            </w:pPr>
            <w:r>
              <w:t>2.0</w:t>
            </w:r>
          </w:p>
        </w:tc>
      </w:tr>
      <w:tr>
        <w:tc>
          <w:tcPr>
            <w:tcW w:w="993" w:type="dxa"/>
          </w:tcPr>
          <w:p>
            <w:pPr>
              <w:pStyle w:val="yTableNAm"/>
            </w:pPr>
            <w:r>
              <w:t>64.</w:t>
            </w:r>
          </w:p>
        </w:tc>
        <w:tc>
          <w:tcPr>
            <w:tcW w:w="5191" w:type="dxa"/>
            <w:gridSpan w:val="2"/>
          </w:tcPr>
          <w:p>
            <w:pPr>
              <w:pStyle w:val="yTableNAm"/>
            </w:pPr>
            <w:r>
              <w:t>HEXOBARBITONE</w:t>
            </w:r>
          </w:p>
        </w:tc>
        <w:tc>
          <w:tcPr>
            <w:tcW w:w="1254" w:type="dxa"/>
          </w:tcPr>
          <w:p>
            <w:pPr>
              <w:pStyle w:val="yTableNAm"/>
              <w:tabs>
                <w:tab w:val="clear" w:pos="567"/>
                <w:tab w:val="decimal" w:pos="463"/>
              </w:tabs>
            </w:pPr>
            <w:r>
              <w:t>10.0</w:t>
            </w:r>
          </w:p>
        </w:tc>
      </w:tr>
      <w:tr>
        <w:tc>
          <w:tcPr>
            <w:tcW w:w="993" w:type="dxa"/>
          </w:tcPr>
          <w:p>
            <w:pPr>
              <w:pStyle w:val="yTableNAm"/>
            </w:pPr>
            <w:r>
              <w:t>65A.</w:t>
            </w:r>
          </w:p>
        </w:tc>
        <w:tc>
          <w:tcPr>
            <w:tcW w:w="5191" w:type="dxa"/>
            <w:gridSpan w:val="2"/>
          </w:tcPr>
          <w:p>
            <w:pPr>
              <w:pStyle w:val="yTableNAm"/>
            </w:pPr>
            <w:r>
              <w:t>1</w:t>
            </w:r>
            <w:r>
              <w:noBreakHyphen/>
              <w:t>HEXYL</w:t>
            </w:r>
            <w:r>
              <w:noBreakHyphen/>
              <w:t>3</w:t>
            </w:r>
            <w:r>
              <w:noBreakHyphen/>
              <w:t>(1</w:t>
            </w:r>
            <w:r>
              <w:noBreakHyphen/>
              <w:t>NAPHTHOYL) INDOLE (JWH</w:t>
            </w:r>
            <w:r>
              <w:noBreakHyphen/>
              <w:t>019)</w:t>
            </w:r>
          </w:p>
        </w:tc>
        <w:tc>
          <w:tcPr>
            <w:tcW w:w="1254" w:type="dxa"/>
          </w:tcPr>
          <w:p>
            <w:pPr>
              <w:pStyle w:val="yTableNAm"/>
              <w:tabs>
                <w:tab w:val="clear" w:pos="567"/>
                <w:tab w:val="decimal" w:pos="463"/>
              </w:tabs>
            </w:pPr>
            <w:r>
              <w:t>100.0</w:t>
            </w:r>
          </w:p>
        </w:tc>
      </w:tr>
      <w:tr>
        <w:tc>
          <w:tcPr>
            <w:tcW w:w="993" w:type="dxa"/>
          </w:tcPr>
          <w:p>
            <w:pPr>
              <w:pStyle w:val="yTableNAm"/>
            </w:pPr>
            <w:r>
              <w:t>65.</w:t>
            </w:r>
          </w:p>
        </w:tc>
        <w:tc>
          <w:tcPr>
            <w:tcW w:w="5191" w:type="dxa"/>
            <w:gridSpan w:val="2"/>
          </w:tcPr>
          <w:p>
            <w:pPr>
              <w:pStyle w:val="yTableNAm"/>
            </w:pPr>
            <w:r>
              <w:t>HYDROCODONE</w:t>
            </w:r>
          </w:p>
        </w:tc>
        <w:tc>
          <w:tcPr>
            <w:tcW w:w="1254" w:type="dxa"/>
          </w:tcPr>
          <w:p>
            <w:pPr>
              <w:pStyle w:val="yTableNAm"/>
              <w:tabs>
                <w:tab w:val="clear" w:pos="567"/>
                <w:tab w:val="decimal" w:pos="463"/>
              </w:tabs>
            </w:pPr>
            <w:r>
              <w:t>2.0</w:t>
            </w:r>
          </w:p>
        </w:tc>
      </w:tr>
      <w:tr>
        <w:tc>
          <w:tcPr>
            <w:tcW w:w="993" w:type="dxa"/>
          </w:tcPr>
          <w:p>
            <w:pPr>
              <w:pStyle w:val="yTableNAm"/>
            </w:pPr>
            <w:r>
              <w:t>66.</w:t>
            </w:r>
          </w:p>
        </w:tc>
        <w:tc>
          <w:tcPr>
            <w:tcW w:w="5191" w:type="dxa"/>
            <w:gridSpan w:val="2"/>
          </w:tcPr>
          <w:p>
            <w:pPr>
              <w:pStyle w:val="yTableNAm"/>
            </w:pPr>
            <w:r>
              <w:t>HYDROMORPHINOL</w:t>
            </w:r>
          </w:p>
        </w:tc>
        <w:tc>
          <w:tcPr>
            <w:tcW w:w="1254" w:type="dxa"/>
          </w:tcPr>
          <w:p>
            <w:pPr>
              <w:pStyle w:val="yTableNAm"/>
              <w:tabs>
                <w:tab w:val="clear" w:pos="567"/>
                <w:tab w:val="decimal" w:pos="463"/>
              </w:tabs>
            </w:pPr>
            <w:r>
              <w:t>2.0</w:t>
            </w:r>
          </w:p>
        </w:tc>
      </w:tr>
      <w:tr>
        <w:tc>
          <w:tcPr>
            <w:tcW w:w="993" w:type="dxa"/>
          </w:tcPr>
          <w:p>
            <w:pPr>
              <w:pStyle w:val="yTableNAm"/>
            </w:pPr>
            <w:r>
              <w:t>67.</w:t>
            </w:r>
          </w:p>
        </w:tc>
        <w:tc>
          <w:tcPr>
            <w:tcW w:w="5191" w:type="dxa"/>
            <w:gridSpan w:val="2"/>
          </w:tcPr>
          <w:p>
            <w:pPr>
              <w:pStyle w:val="yTableNAm"/>
            </w:pPr>
            <w:r>
              <w:t>HYDROMORPHONE</w:t>
            </w:r>
          </w:p>
        </w:tc>
        <w:tc>
          <w:tcPr>
            <w:tcW w:w="1254" w:type="dxa"/>
          </w:tcPr>
          <w:p>
            <w:pPr>
              <w:pStyle w:val="yTableNAm"/>
              <w:tabs>
                <w:tab w:val="clear" w:pos="567"/>
                <w:tab w:val="decimal" w:pos="463"/>
              </w:tabs>
            </w:pPr>
            <w:r>
              <w:t>2.0</w:t>
            </w:r>
          </w:p>
        </w:tc>
      </w:tr>
      <w:tr>
        <w:tc>
          <w:tcPr>
            <w:tcW w:w="993" w:type="dxa"/>
          </w:tcPr>
          <w:p>
            <w:pPr>
              <w:pStyle w:val="yTableNAm"/>
            </w:pPr>
            <w:r>
              <w:t>68A.</w:t>
            </w:r>
          </w:p>
        </w:tc>
        <w:tc>
          <w:tcPr>
            <w:tcW w:w="5191" w:type="dxa"/>
            <w:gridSpan w:val="2"/>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54" w:type="dxa"/>
          </w:tcPr>
          <w:p>
            <w:pPr>
              <w:pStyle w:val="yTableNAm"/>
              <w:tabs>
                <w:tab w:val="clear" w:pos="567"/>
                <w:tab w:val="decimal" w:pos="463"/>
              </w:tabs>
            </w:pPr>
            <w:r>
              <w:br/>
            </w:r>
            <w:r>
              <w:br/>
            </w:r>
            <w:r>
              <w:br/>
              <w:t>100.0</w:t>
            </w:r>
          </w:p>
        </w:tc>
      </w:tr>
      <w:tr>
        <w:tc>
          <w:tcPr>
            <w:tcW w:w="993" w:type="dxa"/>
          </w:tcPr>
          <w:p>
            <w:pPr>
              <w:pStyle w:val="yTableNAm"/>
            </w:pPr>
            <w:r>
              <w:t>68.</w:t>
            </w:r>
          </w:p>
        </w:tc>
        <w:tc>
          <w:tcPr>
            <w:tcW w:w="5191" w:type="dxa"/>
            <w:gridSpan w:val="2"/>
          </w:tcPr>
          <w:p>
            <w:pPr>
              <w:pStyle w:val="yTableNAm"/>
            </w:pPr>
            <w:r>
              <w:t>HYDROXYPETHIDINE</w:t>
            </w:r>
          </w:p>
        </w:tc>
        <w:tc>
          <w:tcPr>
            <w:tcW w:w="1254" w:type="dxa"/>
          </w:tcPr>
          <w:p>
            <w:pPr>
              <w:pStyle w:val="yTableNAm"/>
              <w:tabs>
                <w:tab w:val="clear" w:pos="567"/>
                <w:tab w:val="decimal" w:pos="463"/>
              </w:tabs>
            </w:pPr>
            <w:r>
              <w:t>5.0</w:t>
            </w:r>
          </w:p>
        </w:tc>
      </w:tr>
      <w:tr>
        <w:tc>
          <w:tcPr>
            <w:tcW w:w="993" w:type="dxa"/>
          </w:tcPr>
          <w:p>
            <w:pPr>
              <w:pStyle w:val="yTableNAm"/>
            </w:pPr>
            <w:r>
              <w:t>69.</w:t>
            </w:r>
          </w:p>
        </w:tc>
        <w:tc>
          <w:tcPr>
            <w:tcW w:w="5191" w:type="dxa"/>
            <w:gridSpan w:val="2"/>
          </w:tcPr>
          <w:p>
            <w:pPr>
              <w:pStyle w:val="yTableNAm"/>
            </w:pPr>
            <w:r>
              <w:t>ISOMETHADONE</w:t>
            </w:r>
          </w:p>
        </w:tc>
        <w:tc>
          <w:tcPr>
            <w:tcW w:w="1254" w:type="dxa"/>
          </w:tcPr>
          <w:p>
            <w:pPr>
              <w:pStyle w:val="yTableNAm"/>
              <w:tabs>
                <w:tab w:val="clear" w:pos="567"/>
                <w:tab w:val="decimal" w:pos="463"/>
              </w:tabs>
            </w:pPr>
            <w:r>
              <w:t>0.2</w:t>
            </w:r>
          </w:p>
        </w:tc>
      </w:tr>
      <w:tr>
        <w:tc>
          <w:tcPr>
            <w:tcW w:w="993" w:type="dxa"/>
          </w:tcPr>
          <w:p>
            <w:pPr>
              <w:pStyle w:val="yTableNAm"/>
            </w:pPr>
            <w:r>
              <w:t>70.</w:t>
            </w:r>
          </w:p>
        </w:tc>
        <w:tc>
          <w:tcPr>
            <w:tcW w:w="5191" w:type="dxa"/>
            <w:gridSpan w:val="2"/>
          </w:tcPr>
          <w:p>
            <w:pPr>
              <w:pStyle w:val="yTableNAm"/>
            </w:pPr>
            <w:r>
              <w:t>KETOBEMIDONE</w:t>
            </w:r>
          </w:p>
        </w:tc>
        <w:tc>
          <w:tcPr>
            <w:tcW w:w="1254" w:type="dxa"/>
          </w:tcPr>
          <w:p>
            <w:pPr>
              <w:pStyle w:val="yTableNAm"/>
              <w:tabs>
                <w:tab w:val="clear" w:pos="567"/>
                <w:tab w:val="decimal" w:pos="463"/>
              </w:tabs>
            </w:pPr>
            <w:r>
              <w:t>0.2</w:t>
            </w:r>
          </w:p>
        </w:tc>
      </w:tr>
      <w:tr>
        <w:tc>
          <w:tcPr>
            <w:tcW w:w="993" w:type="dxa"/>
          </w:tcPr>
          <w:p>
            <w:pPr>
              <w:pStyle w:val="yTableNAm"/>
            </w:pPr>
            <w:r>
              <w:t>71.</w:t>
            </w:r>
          </w:p>
        </w:tc>
        <w:tc>
          <w:tcPr>
            <w:tcW w:w="5191" w:type="dxa"/>
            <w:gridSpan w:val="2"/>
          </w:tcPr>
          <w:p>
            <w:pPr>
              <w:pStyle w:val="yTableNAm"/>
            </w:pPr>
            <w:r>
              <w:t>LEVOMETHORPHAN</w:t>
            </w:r>
          </w:p>
        </w:tc>
        <w:tc>
          <w:tcPr>
            <w:tcW w:w="1254" w:type="dxa"/>
          </w:tcPr>
          <w:p>
            <w:pPr>
              <w:pStyle w:val="yTableNAm"/>
              <w:tabs>
                <w:tab w:val="clear" w:pos="567"/>
                <w:tab w:val="decimal" w:pos="463"/>
              </w:tabs>
            </w:pPr>
            <w:r>
              <w:t>1.0</w:t>
            </w:r>
          </w:p>
        </w:tc>
      </w:tr>
      <w:tr>
        <w:tc>
          <w:tcPr>
            <w:tcW w:w="993" w:type="dxa"/>
          </w:tcPr>
          <w:p>
            <w:pPr>
              <w:pStyle w:val="yTableNAm"/>
            </w:pPr>
            <w:r>
              <w:t>72.</w:t>
            </w:r>
          </w:p>
        </w:tc>
        <w:tc>
          <w:tcPr>
            <w:tcW w:w="5191" w:type="dxa"/>
            <w:gridSpan w:val="2"/>
          </w:tcPr>
          <w:p>
            <w:pPr>
              <w:pStyle w:val="yTableNAm"/>
            </w:pPr>
            <w:r>
              <w:t>LEVOMORAMIDE</w:t>
            </w:r>
          </w:p>
        </w:tc>
        <w:tc>
          <w:tcPr>
            <w:tcW w:w="1254" w:type="dxa"/>
          </w:tcPr>
          <w:p>
            <w:pPr>
              <w:pStyle w:val="yTableNAm"/>
              <w:tabs>
                <w:tab w:val="clear" w:pos="567"/>
                <w:tab w:val="decimal" w:pos="463"/>
              </w:tabs>
            </w:pPr>
            <w:r>
              <w:t>2.0</w:t>
            </w:r>
          </w:p>
        </w:tc>
      </w:tr>
      <w:tr>
        <w:tc>
          <w:tcPr>
            <w:tcW w:w="993" w:type="dxa"/>
          </w:tcPr>
          <w:p>
            <w:pPr>
              <w:pStyle w:val="yTableNAm"/>
            </w:pPr>
            <w:r>
              <w:t>73.</w:t>
            </w:r>
          </w:p>
        </w:tc>
        <w:tc>
          <w:tcPr>
            <w:tcW w:w="5191" w:type="dxa"/>
            <w:gridSpan w:val="2"/>
          </w:tcPr>
          <w:p>
            <w:pPr>
              <w:pStyle w:val="yTableNAm"/>
            </w:pPr>
            <w:r>
              <w:t>LEVOPHENACYLMORPHAN</w:t>
            </w:r>
          </w:p>
        </w:tc>
        <w:tc>
          <w:tcPr>
            <w:tcW w:w="1254" w:type="dxa"/>
          </w:tcPr>
          <w:p>
            <w:pPr>
              <w:pStyle w:val="yTableNAm"/>
              <w:tabs>
                <w:tab w:val="clear" w:pos="567"/>
                <w:tab w:val="decimal" w:pos="463"/>
              </w:tabs>
            </w:pPr>
            <w:r>
              <w:t>2.0</w:t>
            </w:r>
          </w:p>
        </w:tc>
      </w:tr>
      <w:tr>
        <w:tc>
          <w:tcPr>
            <w:tcW w:w="993" w:type="dxa"/>
          </w:tcPr>
          <w:p>
            <w:pPr>
              <w:pStyle w:val="yTableNAm"/>
            </w:pPr>
            <w:r>
              <w:t>74.</w:t>
            </w:r>
          </w:p>
        </w:tc>
        <w:tc>
          <w:tcPr>
            <w:tcW w:w="5191" w:type="dxa"/>
            <w:gridSpan w:val="2"/>
          </w:tcPr>
          <w:p>
            <w:pPr>
              <w:pStyle w:val="yTableNAm"/>
            </w:pPr>
            <w:r>
              <w:t>LEVORPHANOL</w:t>
            </w:r>
          </w:p>
        </w:tc>
        <w:tc>
          <w:tcPr>
            <w:tcW w:w="1254" w:type="dxa"/>
          </w:tcPr>
          <w:p>
            <w:pPr>
              <w:pStyle w:val="yTableNAm"/>
              <w:tabs>
                <w:tab w:val="clear" w:pos="567"/>
                <w:tab w:val="decimal" w:pos="463"/>
              </w:tabs>
            </w:pPr>
            <w:r>
              <w:t>1.0</w:t>
            </w:r>
          </w:p>
        </w:tc>
      </w:tr>
      <w:tr>
        <w:tc>
          <w:tcPr>
            <w:tcW w:w="993" w:type="dxa"/>
          </w:tcPr>
          <w:p>
            <w:pPr>
              <w:pStyle w:val="yTableNAm"/>
            </w:pPr>
            <w:r>
              <w:t>75.</w:t>
            </w:r>
          </w:p>
        </w:tc>
        <w:tc>
          <w:tcPr>
            <w:tcW w:w="5191" w:type="dxa"/>
            <w:gridSpan w:val="2"/>
          </w:tcPr>
          <w:p>
            <w:pPr>
              <w:pStyle w:val="yTableNAm"/>
            </w:pPr>
            <w:r>
              <w:t>LYSERGIC ACID DIETHYLAMIDE (LSD)</w:t>
            </w:r>
          </w:p>
        </w:tc>
        <w:tc>
          <w:tcPr>
            <w:tcW w:w="1254" w:type="dxa"/>
          </w:tcPr>
          <w:p>
            <w:pPr>
              <w:pStyle w:val="yTableNAm"/>
              <w:tabs>
                <w:tab w:val="clear" w:pos="567"/>
                <w:tab w:val="decimal" w:pos="463"/>
              </w:tabs>
            </w:pPr>
            <w:r>
              <w:t>0.002</w:t>
            </w:r>
          </w:p>
        </w:tc>
      </w:tr>
      <w:tr>
        <w:tc>
          <w:tcPr>
            <w:tcW w:w="993" w:type="dxa"/>
          </w:tcPr>
          <w:p>
            <w:pPr>
              <w:pStyle w:val="yTableNAm"/>
            </w:pPr>
            <w:r>
              <w:t>76.</w:t>
            </w:r>
          </w:p>
        </w:tc>
        <w:tc>
          <w:tcPr>
            <w:tcW w:w="5191" w:type="dxa"/>
            <w:gridSpan w:val="2"/>
          </w:tcPr>
          <w:p>
            <w:pPr>
              <w:pStyle w:val="yTableNAm"/>
            </w:pPr>
            <w:r>
              <w:t>MESCALINE</w:t>
            </w:r>
          </w:p>
        </w:tc>
        <w:tc>
          <w:tcPr>
            <w:tcW w:w="1254" w:type="dxa"/>
          </w:tcPr>
          <w:p>
            <w:pPr>
              <w:pStyle w:val="yTableNAm"/>
              <w:tabs>
                <w:tab w:val="clear" w:pos="567"/>
                <w:tab w:val="decimal" w:pos="463"/>
              </w:tabs>
            </w:pPr>
            <w:r>
              <w:t>7.5</w:t>
            </w:r>
          </w:p>
        </w:tc>
      </w:tr>
      <w:tr>
        <w:tc>
          <w:tcPr>
            <w:tcW w:w="993" w:type="dxa"/>
          </w:tcPr>
          <w:p>
            <w:pPr>
              <w:pStyle w:val="yTableNAm"/>
            </w:pPr>
            <w:r>
              <w:t>77.</w:t>
            </w:r>
          </w:p>
        </w:tc>
        <w:tc>
          <w:tcPr>
            <w:tcW w:w="5191" w:type="dxa"/>
            <w:gridSpan w:val="2"/>
          </w:tcPr>
          <w:p>
            <w:pPr>
              <w:pStyle w:val="yTableNAm"/>
            </w:pPr>
            <w:r>
              <w:t>METAZOCINE</w:t>
            </w:r>
          </w:p>
        </w:tc>
        <w:tc>
          <w:tcPr>
            <w:tcW w:w="1254" w:type="dxa"/>
          </w:tcPr>
          <w:p>
            <w:pPr>
              <w:pStyle w:val="yTableNAm"/>
              <w:tabs>
                <w:tab w:val="clear" w:pos="567"/>
                <w:tab w:val="decimal" w:pos="463"/>
              </w:tabs>
            </w:pPr>
            <w:r>
              <w:t>7.0</w:t>
            </w:r>
          </w:p>
        </w:tc>
      </w:tr>
      <w:tr>
        <w:tc>
          <w:tcPr>
            <w:tcW w:w="993" w:type="dxa"/>
          </w:tcPr>
          <w:p>
            <w:pPr>
              <w:pStyle w:val="yTableNAm"/>
            </w:pPr>
            <w:r>
              <w:t>78.</w:t>
            </w:r>
          </w:p>
        </w:tc>
        <w:tc>
          <w:tcPr>
            <w:tcW w:w="5191" w:type="dxa"/>
            <w:gridSpan w:val="2"/>
          </w:tcPr>
          <w:p>
            <w:pPr>
              <w:pStyle w:val="yTableNAm"/>
            </w:pPr>
            <w:r>
              <w:t>METHADONE</w:t>
            </w:r>
          </w:p>
        </w:tc>
        <w:tc>
          <w:tcPr>
            <w:tcW w:w="1254" w:type="dxa"/>
          </w:tcPr>
          <w:p>
            <w:pPr>
              <w:pStyle w:val="yTableNAm"/>
              <w:tabs>
                <w:tab w:val="clear" w:pos="567"/>
                <w:tab w:val="decimal" w:pos="463"/>
              </w:tabs>
            </w:pPr>
            <w:r>
              <w:t>0.2</w:t>
            </w:r>
          </w:p>
        </w:tc>
      </w:tr>
      <w:tr>
        <w:tc>
          <w:tcPr>
            <w:tcW w:w="993" w:type="dxa"/>
          </w:tcPr>
          <w:p>
            <w:pPr>
              <w:pStyle w:val="yTableNAm"/>
            </w:pPr>
            <w:r>
              <w:t>79.</w:t>
            </w:r>
          </w:p>
        </w:tc>
        <w:tc>
          <w:tcPr>
            <w:tcW w:w="5191" w:type="dxa"/>
            <w:gridSpan w:val="2"/>
          </w:tcPr>
          <w:p>
            <w:pPr>
              <w:pStyle w:val="yTableNAm"/>
            </w:pPr>
            <w:r>
              <w:t>METHADONE</w:t>
            </w:r>
            <w:r>
              <w:noBreakHyphen/>
              <w:t>INTERMEDIATE</w:t>
            </w:r>
          </w:p>
        </w:tc>
        <w:tc>
          <w:tcPr>
            <w:tcW w:w="1254" w:type="dxa"/>
          </w:tcPr>
          <w:p>
            <w:pPr>
              <w:pStyle w:val="yTableNAm"/>
              <w:tabs>
                <w:tab w:val="clear" w:pos="567"/>
                <w:tab w:val="decimal" w:pos="463"/>
              </w:tabs>
            </w:pPr>
            <w:r>
              <w:t>0.2</w:t>
            </w:r>
          </w:p>
        </w:tc>
      </w:tr>
      <w:tr>
        <w:tc>
          <w:tcPr>
            <w:tcW w:w="993" w:type="dxa"/>
          </w:tcPr>
          <w:p>
            <w:pPr>
              <w:pStyle w:val="yTableNAm"/>
            </w:pPr>
            <w:r>
              <w:t>80.</w:t>
            </w:r>
          </w:p>
        </w:tc>
        <w:tc>
          <w:tcPr>
            <w:tcW w:w="5191" w:type="dxa"/>
            <w:gridSpan w:val="2"/>
          </w:tcPr>
          <w:p>
            <w:pPr>
              <w:pStyle w:val="yTableNAm"/>
            </w:pPr>
            <w:r>
              <w:t>METHAQUALONE</w:t>
            </w:r>
          </w:p>
        </w:tc>
        <w:tc>
          <w:tcPr>
            <w:tcW w:w="1254" w:type="dxa"/>
          </w:tcPr>
          <w:p>
            <w:pPr>
              <w:pStyle w:val="yTableNAm"/>
              <w:tabs>
                <w:tab w:val="clear" w:pos="567"/>
                <w:tab w:val="decimal" w:pos="463"/>
              </w:tabs>
            </w:pPr>
            <w:r>
              <w:t>50.0</w:t>
            </w:r>
          </w:p>
        </w:tc>
      </w:tr>
      <w:tr>
        <w:tc>
          <w:tcPr>
            <w:tcW w:w="993" w:type="dxa"/>
          </w:tcPr>
          <w:p>
            <w:pPr>
              <w:pStyle w:val="yTableNAm"/>
            </w:pPr>
            <w:r>
              <w:t>81.</w:t>
            </w:r>
          </w:p>
        </w:tc>
        <w:tc>
          <w:tcPr>
            <w:tcW w:w="5191" w:type="dxa"/>
            <w:gridSpan w:val="2"/>
          </w:tcPr>
          <w:p>
            <w:pPr>
              <w:pStyle w:val="yTableNAm"/>
            </w:pPr>
            <w:r>
              <w:t>METHARBITONE</w:t>
            </w:r>
          </w:p>
        </w:tc>
        <w:tc>
          <w:tcPr>
            <w:tcW w:w="1254" w:type="dxa"/>
          </w:tcPr>
          <w:p>
            <w:pPr>
              <w:pStyle w:val="yTableNAm"/>
              <w:tabs>
                <w:tab w:val="clear" w:pos="567"/>
                <w:tab w:val="decimal" w:pos="463"/>
              </w:tabs>
            </w:pPr>
            <w:r>
              <w:t>10.0</w:t>
            </w:r>
          </w:p>
        </w:tc>
      </w:tr>
      <w:tr>
        <w:tc>
          <w:tcPr>
            <w:tcW w:w="993" w:type="dxa"/>
          </w:tcPr>
          <w:p>
            <w:pPr>
              <w:pStyle w:val="yTableNAm"/>
            </w:pPr>
            <w:r>
              <w:t>82A.</w:t>
            </w:r>
          </w:p>
        </w:tc>
        <w:tc>
          <w:tcPr>
            <w:tcW w:w="5191" w:type="dxa"/>
            <w:gridSpan w:val="2"/>
          </w:tcPr>
          <w:p>
            <w:pPr>
              <w:pStyle w:val="yTableNAm"/>
            </w:pPr>
            <w:r>
              <w:t>METHCATHINONE</w:t>
            </w:r>
          </w:p>
        </w:tc>
        <w:tc>
          <w:tcPr>
            <w:tcW w:w="1254" w:type="dxa"/>
          </w:tcPr>
          <w:p>
            <w:pPr>
              <w:pStyle w:val="yTableNAm"/>
              <w:tabs>
                <w:tab w:val="clear" w:pos="567"/>
                <w:tab w:val="decimal" w:pos="463"/>
              </w:tabs>
            </w:pPr>
            <w:r>
              <w:t>2.0</w:t>
            </w:r>
          </w:p>
        </w:tc>
      </w:tr>
      <w:tr>
        <w:tc>
          <w:tcPr>
            <w:tcW w:w="993" w:type="dxa"/>
          </w:tcPr>
          <w:p>
            <w:pPr>
              <w:pStyle w:val="yTableNAm"/>
            </w:pPr>
            <w:r>
              <w:t>82BA.</w:t>
            </w:r>
          </w:p>
        </w:tc>
        <w:tc>
          <w:tcPr>
            <w:tcW w:w="5191"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54" w:type="dxa"/>
          </w:tcPr>
          <w:p>
            <w:pPr>
              <w:pStyle w:val="yTableNAm"/>
              <w:tabs>
                <w:tab w:val="clear" w:pos="567"/>
                <w:tab w:val="decimal" w:pos="463"/>
              </w:tabs>
            </w:pPr>
            <w:r>
              <w:br/>
              <w:t>100.0</w:t>
            </w:r>
          </w:p>
        </w:tc>
      </w:tr>
      <w:tr>
        <w:tc>
          <w:tcPr>
            <w:tcW w:w="993" w:type="dxa"/>
          </w:tcPr>
          <w:p>
            <w:pPr>
              <w:pStyle w:val="yTableNAm"/>
            </w:pPr>
            <w:r>
              <w:t>82BB.</w:t>
            </w:r>
          </w:p>
        </w:tc>
        <w:tc>
          <w:tcPr>
            <w:tcW w:w="5191"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54" w:type="dxa"/>
          </w:tcPr>
          <w:p>
            <w:pPr>
              <w:pStyle w:val="yTableNAm"/>
              <w:tabs>
                <w:tab w:val="clear" w:pos="567"/>
                <w:tab w:val="decimal" w:pos="463"/>
              </w:tabs>
            </w:pPr>
            <w:r>
              <w:br/>
              <w:t>100.0</w:t>
            </w:r>
          </w:p>
        </w:tc>
      </w:tr>
      <w:tr>
        <w:tc>
          <w:tcPr>
            <w:tcW w:w="993" w:type="dxa"/>
          </w:tcPr>
          <w:p>
            <w:pPr>
              <w:pStyle w:val="yTableNAm"/>
            </w:pPr>
            <w:r>
              <w:t>82B.</w:t>
            </w:r>
          </w:p>
        </w:tc>
        <w:tc>
          <w:tcPr>
            <w:tcW w:w="5191" w:type="dxa"/>
            <w:gridSpan w:val="2"/>
          </w:tcPr>
          <w:p>
            <w:pPr>
              <w:pStyle w:val="yTableNAm"/>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r>
              <w:rPr>
                <w:szCs w:val="24"/>
              </w:rPr>
              <w:noBreakHyphen/>
            </w:r>
            <w:r>
              <w:rPr>
                <w:szCs w:val="24"/>
              </w:rPr>
              <w:br/>
              <w:t>3</w:t>
            </w:r>
            <w:r>
              <w:rPr>
                <w:szCs w:val="24"/>
              </w:rPr>
              <w:noBreakHyphen/>
              <w:t>YL)</w:t>
            </w:r>
            <w:r>
              <w:t>ETHANONE</w:t>
            </w:r>
            <w:r>
              <w:rPr>
                <w:szCs w:val="24"/>
              </w:rPr>
              <w:t xml:space="preserve"> (JWH-250)</w:t>
            </w:r>
          </w:p>
        </w:tc>
        <w:tc>
          <w:tcPr>
            <w:tcW w:w="1254" w:type="dxa"/>
          </w:tcPr>
          <w:p>
            <w:pPr>
              <w:pStyle w:val="yTableNAm"/>
              <w:tabs>
                <w:tab w:val="clear" w:pos="567"/>
                <w:tab w:val="decimal" w:pos="463"/>
              </w:tabs>
            </w:pPr>
            <w:r>
              <w:br/>
              <w:t>100.0</w:t>
            </w:r>
          </w:p>
        </w:tc>
      </w:tr>
      <w:tr>
        <w:tc>
          <w:tcPr>
            <w:tcW w:w="993" w:type="dxa"/>
          </w:tcPr>
          <w:p>
            <w:pPr>
              <w:pStyle w:val="yTableNAm"/>
            </w:pPr>
            <w:r>
              <w:t>82C.</w:t>
            </w:r>
          </w:p>
        </w:tc>
        <w:tc>
          <w:tcPr>
            <w:tcW w:w="5191" w:type="dxa"/>
            <w:gridSpan w:val="2"/>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254" w:type="dxa"/>
          </w:tcPr>
          <w:p>
            <w:pPr>
              <w:pStyle w:val="yTableNAm"/>
              <w:tabs>
                <w:tab w:val="clear" w:pos="567"/>
                <w:tab w:val="decimal" w:pos="463"/>
              </w:tabs>
            </w:pPr>
            <w:r>
              <w:br/>
              <w:t>100.0</w:t>
            </w:r>
          </w:p>
        </w:tc>
      </w:tr>
      <w:tr>
        <w:tc>
          <w:tcPr>
            <w:tcW w:w="993" w:type="dxa"/>
          </w:tcPr>
          <w:p>
            <w:pPr>
              <w:pStyle w:val="yTableNAm"/>
            </w:pPr>
            <w:r>
              <w:t>82</w:t>
            </w:r>
          </w:p>
        </w:tc>
        <w:tc>
          <w:tcPr>
            <w:tcW w:w="5191" w:type="dxa"/>
            <w:gridSpan w:val="2"/>
          </w:tcPr>
          <w:p>
            <w:pPr>
              <w:pStyle w:val="yTableNAm"/>
            </w:pPr>
            <w:r>
              <w:t>METHYLAMPHETAMINE</w:t>
            </w:r>
          </w:p>
        </w:tc>
        <w:tc>
          <w:tcPr>
            <w:tcW w:w="1254" w:type="dxa"/>
          </w:tcPr>
          <w:p>
            <w:pPr>
              <w:pStyle w:val="yTableNAm"/>
              <w:tabs>
                <w:tab w:val="clear" w:pos="567"/>
                <w:tab w:val="decimal" w:pos="463"/>
              </w:tabs>
            </w:pPr>
            <w:r>
              <w:t>2.0</w:t>
            </w:r>
          </w:p>
        </w:tc>
      </w:tr>
      <w:tr>
        <w:tc>
          <w:tcPr>
            <w:tcW w:w="993" w:type="dxa"/>
          </w:tcPr>
          <w:p>
            <w:pPr>
              <w:pStyle w:val="yTableNAm"/>
            </w:pPr>
            <w:r>
              <w:t>83.</w:t>
            </w:r>
          </w:p>
        </w:tc>
        <w:tc>
          <w:tcPr>
            <w:tcW w:w="5191" w:type="dxa"/>
            <w:gridSpan w:val="2"/>
          </w:tcPr>
          <w:p>
            <w:pPr>
              <w:pStyle w:val="yTableNAm"/>
            </w:pPr>
            <w:r>
              <w:t>METHYLDESORPHINE</w:t>
            </w:r>
          </w:p>
        </w:tc>
        <w:tc>
          <w:tcPr>
            <w:tcW w:w="1254" w:type="dxa"/>
          </w:tcPr>
          <w:p>
            <w:pPr>
              <w:pStyle w:val="yTableNAm"/>
              <w:tabs>
                <w:tab w:val="clear" w:pos="567"/>
                <w:tab w:val="decimal" w:pos="463"/>
              </w:tabs>
            </w:pPr>
            <w:r>
              <w:t>2.0</w:t>
            </w:r>
          </w:p>
        </w:tc>
      </w:tr>
      <w:tr>
        <w:tc>
          <w:tcPr>
            <w:tcW w:w="993" w:type="dxa"/>
          </w:tcPr>
          <w:p>
            <w:pPr>
              <w:pStyle w:val="yTableNAm"/>
            </w:pPr>
            <w:r>
              <w:t>84.</w:t>
            </w:r>
          </w:p>
        </w:tc>
        <w:tc>
          <w:tcPr>
            <w:tcW w:w="5191" w:type="dxa"/>
            <w:gridSpan w:val="2"/>
          </w:tcPr>
          <w:p>
            <w:pPr>
              <w:pStyle w:val="yTableNAm"/>
            </w:pPr>
            <w:r>
              <w:t>METHYLDIHYDROMORPHINE</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84A.</w:t>
            </w:r>
          </w:p>
        </w:tc>
        <w:tc>
          <w:tcPr>
            <w:tcW w:w="5191" w:type="dxa"/>
            <w:gridSpan w:val="2"/>
          </w:tcPr>
          <w:p>
            <w:pPr>
              <w:pStyle w:val="yTableNAm"/>
            </w:pPr>
            <w:r>
              <w:t>3, 4</w:t>
            </w:r>
            <w:r>
              <w:noBreakHyphen/>
              <w:t>METHYLENEDIOXYAMPHETAMINE (MDA)</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84B.</w:t>
            </w:r>
          </w:p>
        </w:tc>
        <w:tc>
          <w:tcPr>
            <w:tcW w:w="5191" w:type="dxa"/>
            <w:gridSpan w:val="2"/>
          </w:tcPr>
          <w:p>
            <w:pPr>
              <w:pStyle w:val="yTableNAm"/>
            </w:pPr>
            <w:r>
              <w:t>3, 4</w:t>
            </w:r>
            <w:r>
              <w:noBreakHyphen/>
              <w:t>METHYLENEDIOXY</w:t>
            </w:r>
            <w:r>
              <w:noBreakHyphen/>
              <w:t>N, ALPHA</w:t>
            </w:r>
            <w:r>
              <w:noBreakHyphen/>
              <w:t>DIMETHYLPHENYLETHYLAMINE (MDMA)</w:t>
            </w:r>
          </w:p>
        </w:tc>
        <w:tc>
          <w:tcPr>
            <w:tcW w:w="1254" w:type="dxa"/>
          </w:tcPr>
          <w:p>
            <w:pPr>
              <w:pStyle w:val="yTableNAm"/>
              <w:tabs>
                <w:tab w:val="clear" w:pos="567"/>
                <w:tab w:val="decimal" w:pos="463"/>
              </w:tabs>
            </w:pPr>
            <w:r>
              <w:br/>
            </w:r>
            <w:r>
              <w:br/>
              <w:t>2.0</w:t>
            </w:r>
          </w:p>
        </w:tc>
      </w:tr>
      <w:tr>
        <w:tc>
          <w:tcPr>
            <w:tcW w:w="993" w:type="dxa"/>
          </w:tcPr>
          <w:p>
            <w:pPr>
              <w:pStyle w:val="yTableNAm"/>
              <w:keepNext/>
              <w:keepLines/>
            </w:pPr>
            <w:r>
              <w:t>84C.</w:t>
            </w:r>
          </w:p>
        </w:tc>
        <w:tc>
          <w:tcPr>
            <w:tcW w:w="5191" w:type="dxa"/>
            <w:gridSpan w:val="2"/>
          </w:tcPr>
          <w:p>
            <w:pPr>
              <w:pStyle w:val="yTableNAm"/>
              <w:keepNext/>
              <w:keepLines/>
            </w:pPr>
            <w:r>
              <w:t>3, 4</w:t>
            </w:r>
            <w:r>
              <w:noBreakHyphen/>
              <w:t>METHYLENEDIOXYPYROVALERONE (MDPV)</w:t>
            </w:r>
          </w:p>
        </w:tc>
        <w:tc>
          <w:tcPr>
            <w:tcW w:w="1254" w:type="dxa"/>
          </w:tcPr>
          <w:p>
            <w:pPr>
              <w:pStyle w:val="yTableNAm"/>
              <w:keepNext/>
              <w:keepLines/>
              <w:tabs>
                <w:tab w:val="clear" w:pos="567"/>
                <w:tab w:val="decimal" w:pos="463"/>
              </w:tabs>
            </w:pPr>
            <w:r>
              <w:br/>
              <w:t>2.0</w:t>
            </w:r>
          </w:p>
        </w:tc>
      </w:tr>
      <w:tr>
        <w:tc>
          <w:tcPr>
            <w:tcW w:w="993" w:type="dxa"/>
          </w:tcPr>
          <w:p>
            <w:pPr>
              <w:pStyle w:val="yTableNAm"/>
            </w:pPr>
            <w:r>
              <w:t>85.</w:t>
            </w:r>
          </w:p>
        </w:tc>
        <w:tc>
          <w:tcPr>
            <w:tcW w:w="5191" w:type="dxa"/>
            <w:gridSpan w:val="2"/>
          </w:tcPr>
          <w:p>
            <w:pPr>
              <w:pStyle w:val="yTableNAm"/>
            </w:pPr>
            <w:r>
              <w:t>METHYLPHENIDATE</w:t>
            </w:r>
          </w:p>
        </w:tc>
        <w:tc>
          <w:tcPr>
            <w:tcW w:w="1254" w:type="dxa"/>
          </w:tcPr>
          <w:p>
            <w:pPr>
              <w:pStyle w:val="yTableNAm"/>
              <w:tabs>
                <w:tab w:val="clear" w:pos="567"/>
                <w:tab w:val="decimal" w:pos="463"/>
              </w:tabs>
            </w:pPr>
            <w:r>
              <w:t>2.0</w:t>
            </w:r>
          </w:p>
        </w:tc>
      </w:tr>
      <w:tr>
        <w:tc>
          <w:tcPr>
            <w:tcW w:w="993" w:type="dxa"/>
          </w:tcPr>
          <w:p>
            <w:pPr>
              <w:pStyle w:val="yTableNAm"/>
            </w:pPr>
            <w:r>
              <w:t>86.</w:t>
            </w:r>
          </w:p>
        </w:tc>
        <w:tc>
          <w:tcPr>
            <w:tcW w:w="5191" w:type="dxa"/>
            <w:gridSpan w:val="2"/>
          </w:tcPr>
          <w:p>
            <w:pPr>
              <w:pStyle w:val="yTableNAm"/>
            </w:pPr>
            <w:r>
              <w:t>METHYLPHENOBARBITONE</w:t>
            </w:r>
          </w:p>
        </w:tc>
        <w:tc>
          <w:tcPr>
            <w:tcW w:w="1254" w:type="dxa"/>
          </w:tcPr>
          <w:p>
            <w:pPr>
              <w:pStyle w:val="yTableNAm"/>
              <w:tabs>
                <w:tab w:val="clear" w:pos="567"/>
                <w:tab w:val="decimal" w:pos="463"/>
              </w:tabs>
            </w:pPr>
            <w:r>
              <w:t>10.0</w:t>
            </w:r>
          </w:p>
        </w:tc>
      </w:tr>
      <w:tr>
        <w:trPr>
          <w:cantSplit/>
        </w:trPr>
        <w:tc>
          <w:tcPr>
            <w:tcW w:w="993" w:type="dxa"/>
          </w:tcPr>
          <w:p>
            <w:pPr>
              <w:pStyle w:val="yTableNAm"/>
            </w:pPr>
            <w:r>
              <w:t>87.</w:t>
            </w:r>
          </w:p>
        </w:tc>
        <w:tc>
          <w:tcPr>
            <w:tcW w:w="5191" w:type="dxa"/>
            <w:gridSpan w:val="2"/>
          </w:tcPr>
          <w:p>
            <w:pPr>
              <w:pStyle w:val="yTableNAm"/>
            </w:pPr>
            <w:r>
              <w:t>1</w:t>
            </w:r>
            <w:r>
              <w:noBreakHyphen/>
              <w:t>METHYL</w:t>
            </w:r>
            <w:r>
              <w:noBreakHyphen/>
              <w:t>4</w:t>
            </w:r>
            <w:r>
              <w:noBreakHyphen/>
              <w:t>PHENYLPIPERIDINE</w:t>
            </w:r>
            <w:r>
              <w:noBreakHyphen/>
              <w:t>4</w:t>
            </w:r>
            <w:r>
              <w:noBreakHyphen/>
            </w:r>
            <w:r>
              <w:br/>
              <w:t>CARBOXYLIC ACID ESTERS</w:t>
            </w:r>
          </w:p>
        </w:tc>
        <w:tc>
          <w:tcPr>
            <w:tcW w:w="1254" w:type="dxa"/>
          </w:tcPr>
          <w:p>
            <w:pPr>
              <w:pStyle w:val="yTableNAm"/>
              <w:tabs>
                <w:tab w:val="clear" w:pos="567"/>
                <w:tab w:val="decimal" w:pos="463"/>
              </w:tabs>
            </w:pPr>
            <w:r>
              <w:br/>
              <w:t>2.0</w:t>
            </w:r>
          </w:p>
        </w:tc>
      </w:tr>
      <w:tr>
        <w:tc>
          <w:tcPr>
            <w:tcW w:w="993" w:type="dxa"/>
          </w:tcPr>
          <w:p>
            <w:pPr>
              <w:pStyle w:val="yTableNAm"/>
            </w:pPr>
            <w:r>
              <w:t>88.</w:t>
            </w:r>
          </w:p>
        </w:tc>
        <w:tc>
          <w:tcPr>
            <w:tcW w:w="5191" w:type="dxa"/>
            <w:gridSpan w:val="2"/>
          </w:tcPr>
          <w:p>
            <w:pPr>
              <w:pStyle w:val="yTableNAm"/>
            </w:pPr>
            <w:r>
              <w:t>METOPON</w:t>
            </w:r>
          </w:p>
        </w:tc>
        <w:tc>
          <w:tcPr>
            <w:tcW w:w="1254" w:type="dxa"/>
          </w:tcPr>
          <w:p>
            <w:pPr>
              <w:pStyle w:val="yTableNAm"/>
              <w:tabs>
                <w:tab w:val="clear" w:pos="567"/>
                <w:tab w:val="decimal" w:pos="463"/>
              </w:tabs>
            </w:pPr>
            <w:r>
              <w:t>2.0</w:t>
            </w:r>
          </w:p>
        </w:tc>
      </w:tr>
      <w:tr>
        <w:tc>
          <w:tcPr>
            <w:tcW w:w="993" w:type="dxa"/>
          </w:tcPr>
          <w:p>
            <w:pPr>
              <w:pStyle w:val="yTableNAm"/>
            </w:pPr>
            <w:r>
              <w:t>89.</w:t>
            </w:r>
          </w:p>
        </w:tc>
        <w:tc>
          <w:tcPr>
            <w:tcW w:w="5191" w:type="dxa"/>
            <w:gridSpan w:val="2"/>
          </w:tcPr>
          <w:p>
            <w:pPr>
              <w:pStyle w:val="yTableNAm"/>
            </w:pPr>
            <w:r>
              <w:t>MORAMIDE</w:t>
            </w:r>
            <w:r>
              <w:noBreakHyphen/>
              <w:t>INTERMEDIATE</w:t>
            </w:r>
          </w:p>
        </w:tc>
        <w:tc>
          <w:tcPr>
            <w:tcW w:w="1254" w:type="dxa"/>
          </w:tcPr>
          <w:p>
            <w:pPr>
              <w:pStyle w:val="yTableNAm"/>
              <w:tabs>
                <w:tab w:val="clear" w:pos="567"/>
                <w:tab w:val="decimal" w:pos="463"/>
              </w:tabs>
            </w:pPr>
            <w:r>
              <w:t>1.0</w:t>
            </w:r>
          </w:p>
        </w:tc>
      </w:tr>
      <w:tr>
        <w:tc>
          <w:tcPr>
            <w:tcW w:w="993" w:type="dxa"/>
          </w:tcPr>
          <w:p>
            <w:pPr>
              <w:pStyle w:val="yTableNAm"/>
            </w:pPr>
            <w:r>
              <w:t>90.</w:t>
            </w:r>
          </w:p>
        </w:tc>
        <w:tc>
          <w:tcPr>
            <w:tcW w:w="5191" w:type="dxa"/>
            <w:gridSpan w:val="2"/>
          </w:tcPr>
          <w:p>
            <w:pPr>
              <w:pStyle w:val="yTableNAm"/>
            </w:pPr>
            <w:r>
              <w:t>MORPHERIDINE</w:t>
            </w:r>
          </w:p>
        </w:tc>
        <w:tc>
          <w:tcPr>
            <w:tcW w:w="1254" w:type="dxa"/>
          </w:tcPr>
          <w:p>
            <w:pPr>
              <w:pStyle w:val="yTableNAm"/>
              <w:tabs>
                <w:tab w:val="clear" w:pos="567"/>
                <w:tab w:val="decimal" w:pos="463"/>
              </w:tabs>
            </w:pPr>
            <w:r>
              <w:t>2.0</w:t>
            </w:r>
          </w:p>
        </w:tc>
      </w:tr>
      <w:tr>
        <w:tc>
          <w:tcPr>
            <w:tcW w:w="993" w:type="dxa"/>
          </w:tcPr>
          <w:p>
            <w:pPr>
              <w:pStyle w:val="yTableNAm"/>
            </w:pPr>
            <w:r>
              <w:t>91.</w:t>
            </w:r>
          </w:p>
        </w:tc>
        <w:tc>
          <w:tcPr>
            <w:tcW w:w="5191" w:type="dxa"/>
            <w:gridSpan w:val="2"/>
          </w:tcPr>
          <w:p>
            <w:pPr>
              <w:pStyle w:val="yTableNAm"/>
            </w:pPr>
            <w:r>
              <w:t>MORPHINE</w:t>
            </w:r>
          </w:p>
        </w:tc>
        <w:tc>
          <w:tcPr>
            <w:tcW w:w="1254" w:type="dxa"/>
          </w:tcPr>
          <w:p>
            <w:pPr>
              <w:pStyle w:val="yTableNAm"/>
              <w:tabs>
                <w:tab w:val="clear" w:pos="567"/>
                <w:tab w:val="decimal" w:pos="463"/>
              </w:tabs>
            </w:pPr>
            <w:r>
              <w:t>2.0</w:t>
            </w:r>
          </w:p>
        </w:tc>
      </w:tr>
      <w:tr>
        <w:tc>
          <w:tcPr>
            <w:tcW w:w="993" w:type="dxa"/>
          </w:tcPr>
          <w:p>
            <w:pPr>
              <w:pStyle w:val="yTableNAm"/>
            </w:pPr>
            <w:r>
              <w:t>92.</w:t>
            </w:r>
          </w:p>
        </w:tc>
        <w:tc>
          <w:tcPr>
            <w:tcW w:w="5191" w:type="dxa"/>
            <w:gridSpan w:val="2"/>
          </w:tcPr>
          <w:p>
            <w:pPr>
              <w:pStyle w:val="yTableNAm"/>
            </w:pPr>
            <w:r>
              <w:t xml:space="preserve">MORPHINE DERIVATIVES (not specifically included elsewhere in this Schedule or in any Schedule in Appendix A to the </w:t>
            </w:r>
            <w:r>
              <w:rPr>
                <w:i/>
                <w:iCs/>
              </w:rPr>
              <w:t>Poisons Act 1964</w:t>
            </w:r>
            <w:r>
              <w:t>)</w:t>
            </w:r>
          </w:p>
        </w:tc>
        <w:tc>
          <w:tcPr>
            <w:tcW w:w="1254" w:type="dxa"/>
          </w:tcPr>
          <w:p>
            <w:pPr>
              <w:pStyle w:val="yTableNAm"/>
              <w:tabs>
                <w:tab w:val="clear" w:pos="567"/>
                <w:tab w:val="decimal" w:pos="463"/>
              </w:tabs>
            </w:pPr>
            <w:r>
              <w:br/>
            </w:r>
            <w:r>
              <w:br/>
              <w:t>2.0</w:t>
            </w:r>
          </w:p>
        </w:tc>
      </w:tr>
      <w:tr>
        <w:tc>
          <w:tcPr>
            <w:tcW w:w="993" w:type="dxa"/>
          </w:tcPr>
          <w:p>
            <w:pPr>
              <w:pStyle w:val="yTableNAm"/>
            </w:pPr>
            <w:r>
              <w:t>93.</w:t>
            </w:r>
          </w:p>
        </w:tc>
        <w:tc>
          <w:tcPr>
            <w:tcW w:w="5191" w:type="dxa"/>
            <w:gridSpan w:val="2"/>
          </w:tcPr>
          <w:p>
            <w:pPr>
              <w:pStyle w:val="yTableNAm"/>
            </w:pPr>
            <w:r>
              <w:t>MORPHINE METHOBROMIDE AND OTHER PENTAVALENT NITROGEN MORPHINE DERIVATIVES</w:t>
            </w:r>
          </w:p>
        </w:tc>
        <w:tc>
          <w:tcPr>
            <w:tcW w:w="1254" w:type="dxa"/>
          </w:tcPr>
          <w:p>
            <w:pPr>
              <w:pStyle w:val="yTableNAm"/>
              <w:tabs>
                <w:tab w:val="clear" w:pos="567"/>
                <w:tab w:val="decimal" w:pos="463"/>
              </w:tabs>
            </w:pPr>
            <w:r>
              <w:br/>
            </w:r>
            <w:r>
              <w:br/>
              <w:t>2.0</w:t>
            </w:r>
          </w:p>
        </w:tc>
      </w:tr>
      <w:tr>
        <w:tc>
          <w:tcPr>
            <w:tcW w:w="993" w:type="dxa"/>
          </w:tcPr>
          <w:p>
            <w:pPr>
              <w:pStyle w:val="yTableNAm"/>
            </w:pPr>
            <w:r>
              <w:t>94.</w:t>
            </w:r>
          </w:p>
        </w:tc>
        <w:tc>
          <w:tcPr>
            <w:tcW w:w="5191" w:type="dxa"/>
            <w:gridSpan w:val="2"/>
          </w:tcPr>
          <w:p>
            <w:pPr>
              <w:pStyle w:val="yTableNAm"/>
            </w:pPr>
            <w:r>
              <w:t>MORPHINE</w:t>
            </w:r>
            <w:r>
              <w:noBreakHyphen/>
              <w:t>N</w:t>
            </w:r>
            <w:r>
              <w:noBreakHyphen/>
              <w:t>OXIDE</w:t>
            </w:r>
          </w:p>
        </w:tc>
        <w:tc>
          <w:tcPr>
            <w:tcW w:w="1254" w:type="dxa"/>
          </w:tcPr>
          <w:p>
            <w:pPr>
              <w:pStyle w:val="yTableNAm"/>
              <w:tabs>
                <w:tab w:val="clear" w:pos="567"/>
                <w:tab w:val="decimal" w:pos="463"/>
              </w:tabs>
            </w:pPr>
            <w:r>
              <w:t>2.0</w:t>
            </w:r>
          </w:p>
        </w:tc>
      </w:tr>
      <w:tr>
        <w:tc>
          <w:tcPr>
            <w:tcW w:w="993" w:type="dxa"/>
          </w:tcPr>
          <w:p>
            <w:pPr>
              <w:pStyle w:val="yTableNAm"/>
            </w:pPr>
            <w:r>
              <w:t>95.</w:t>
            </w:r>
          </w:p>
        </w:tc>
        <w:tc>
          <w:tcPr>
            <w:tcW w:w="5191" w:type="dxa"/>
            <w:gridSpan w:val="2"/>
          </w:tcPr>
          <w:p>
            <w:pPr>
              <w:pStyle w:val="yTableNAm"/>
            </w:pPr>
            <w:r>
              <w:t>MORPHINE SUBSTITUTES (not specifically included elsewhere in this Schedule)</w:t>
            </w:r>
          </w:p>
        </w:tc>
        <w:tc>
          <w:tcPr>
            <w:tcW w:w="1254" w:type="dxa"/>
          </w:tcPr>
          <w:p>
            <w:pPr>
              <w:pStyle w:val="yTableNAm"/>
              <w:tabs>
                <w:tab w:val="clear" w:pos="567"/>
                <w:tab w:val="decimal" w:pos="463"/>
              </w:tabs>
            </w:pPr>
            <w:r>
              <w:t>2.0</w:t>
            </w:r>
          </w:p>
        </w:tc>
      </w:tr>
      <w:tr>
        <w:tc>
          <w:tcPr>
            <w:tcW w:w="993" w:type="dxa"/>
          </w:tcPr>
          <w:p>
            <w:pPr>
              <w:pStyle w:val="yTableNAm"/>
            </w:pPr>
            <w:r>
              <w:t>96A.</w:t>
            </w:r>
          </w:p>
        </w:tc>
        <w:tc>
          <w:tcPr>
            <w:tcW w:w="5191" w:type="dxa"/>
            <w:gridSpan w:val="2"/>
          </w:tcPr>
          <w:p>
            <w:pPr>
              <w:pStyle w:val="yTableNAm"/>
            </w:pPr>
            <w:r>
              <w:rPr>
                <w:szCs w:val="24"/>
              </w:rPr>
              <w:t>1</w:t>
            </w:r>
            <w:r>
              <w:rPr>
                <w:szCs w:val="24"/>
              </w:rPr>
              <w:noBreakHyphen/>
              <w:t>[2</w:t>
            </w:r>
            <w:r>
              <w:rPr>
                <w:szCs w:val="24"/>
              </w:rPr>
              <w:noBreakHyphen/>
              <w:t>(4</w:t>
            </w:r>
            <w:r>
              <w:rPr>
                <w:szCs w:val="24"/>
              </w:rPr>
              <w:noBreakHyphen/>
              <w:t>MORPHOLINYL)ETHYL]</w:t>
            </w:r>
            <w:r>
              <w:rPr>
                <w:szCs w:val="24"/>
              </w:rPr>
              <w:noBreakHyphen/>
            </w:r>
            <w:r>
              <w:rPr>
                <w:szCs w:val="24"/>
              </w:rPr>
              <w:br/>
              <w:t>3</w:t>
            </w:r>
            <w:r>
              <w:rPr>
                <w:szCs w:val="24"/>
              </w:rPr>
              <w:noBreakHyphen/>
              <w:t>(1</w:t>
            </w:r>
            <w:r>
              <w:rPr>
                <w:szCs w:val="24"/>
              </w:rPr>
              <w:noBreakHyphen/>
              <w:t>NAPHTHOYL) INDOLE (JWH-200)</w:t>
            </w:r>
          </w:p>
        </w:tc>
        <w:tc>
          <w:tcPr>
            <w:tcW w:w="1254" w:type="dxa"/>
          </w:tcPr>
          <w:p>
            <w:pPr>
              <w:pStyle w:val="yTableNAm"/>
              <w:tabs>
                <w:tab w:val="clear" w:pos="567"/>
                <w:tab w:val="decimal" w:pos="463"/>
              </w:tabs>
            </w:pPr>
            <w:r>
              <w:br/>
              <w:t>100.0</w:t>
            </w:r>
          </w:p>
        </w:tc>
      </w:tr>
      <w:tr>
        <w:tc>
          <w:tcPr>
            <w:tcW w:w="993" w:type="dxa"/>
          </w:tcPr>
          <w:p>
            <w:pPr>
              <w:pStyle w:val="yTableNAm"/>
            </w:pPr>
            <w:r>
              <w:t>96.</w:t>
            </w:r>
          </w:p>
        </w:tc>
        <w:tc>
          <w:tcPr>
            <w:tcW w:w="5191" w:type="dxa"/>
            <w:gridSpan w:val="2"/>
          </w:tcPr>
          <w:p>
            <w:pPr>
              <w:pStyle w:val="yTableNAm"/>
            </w:pPr>
            <w:r>
              <w:t>MYROPHINE</w:t>
            </w:r>
          </w:p>
        </w:tc>
        <w:tc>
          <w:tcPr>
            <w:tcW w:w="1254" w:type="dxa"/>
          </w:tcPr>
          <w:p>
            <w:pPr>
              <w:pStyle w:val="yTableNAm"/>
              <w:tabs>
                <w:tab w:val="clear" w:pos="567"/>
                <w:tab w:val="decimal" w:pos="463"/>
              </w:tabs>
            </w:pPr>
            <w:r>
              <w:t>20.0</w:t>
            </w:r>
          </w:p>
        </w:tc>
      </w:tr>
      <w:tr>
        <w:tc>
          <w:tcPr>
            <w:tcW w:w="993" w:type="dxa"/>
          </w:tcPr>
          <w:p>
            <w:pPr>
              <w:pStyle w:val="yTableNAm"/>
              <w:rPr>
                <w:szCs w:val="22"/>
              </w:rPr>
            </w:pPr>
            <w:r>
              <w:rPr>
                <w:szCs w:val="22"/>
              </w:rPr>
              <w:t>97A.</w:t>
            </w:r>
          </w:p>
        </w:tc>
        <w:tc>
          <w:tcPr>
            <w:tcW w:w="5191" w:type="dxa"/>
            <w:gridSpan w:val="2"/>
          </w:tcPr>
          <w:p>
            <w:pPr>
              <w:pStyle w:val="yTableNAm"/>
              <w:rPr>
                <w:szCs w:val="22"/>
              </w:rPr>
            </w:pPr>
            <w:r>
              <w:rPr>
                <w:szCs w:val="22"/>
              </w:rPr>
              <w:t>NAPHTHOYLINDOLES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rPr>
                <w:szCs w:val="22"/>
              </w:rPr>
            </w:pPr>
            <w:r>
              <w:rPr>
                <w:szCs w:val="22"/>
              </w:rPr>
              <w:t>97B.</w:t>
            </w:r>
          </w:p>
        </w:tc>
        <w:tc>
          <w:tcPr>
            <w:tcW w:w="5191" w:type="dxa"/>
            <w:gridSpan w:val="2"/>
          </w:tcPr>
          <w:p>
            <w:pPr>
              <w:pStyle w:val="yTableNAm"/>
              <w:rPr>
                <w:szCs w:val="22"/>
              </w:rPr>
            </w:pPr>
            <w:r>
              <w:rPr>
                <w:szCs w:val="22"/>
              </w:rPr>
              <w:t>NAPHTHYLMETHYLINDOLES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97C.</w:t>
            </w:r>
          </w:p>
        </w:tc>
        <w:tc>
          <w:tcPr>
            <w:tcW w:w="5191" w:type="dxa"/>
            <w:gridSpan w:val="2"/>
          </w:tcPr>
          <w:p>
            <w:pPr>
              <w:pStyle w:val="yTableNAm"/>
              <w:rPr>
                <w:szCs w:val="22"/>
              </w:rPr>
            </w:pPr>
            <w:r>
              <w:rPr>
                <w:szCs w:val="22"/>
              </w:rPr>
              <w:t>NAPHTHOYLPYRROLES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97D.</w:t>
            </w:r>
          </w:p>
        </w:tc>
        <w:tc>
          <w:tcPr>
            <w:tcW w:w="5191" w:type="dxa"/>
            <w:gridSpan w:val="2"/>
          </w:tcPr>
          <w:p>
            <w:pPr>
              <w:pStyle w:val="yTableNAm"/>
              <w:rPr>
                <w:szCs w:val="22"/>
              </w:rPr>
            </w:pPr>
            <w:r>
              <w:rPr>
                <w:szCs w:val="22"/>
              </w:rPr>
              <w:t>NAPHTHYLMETHYLINDENES</w:t>
            </w:r>
          </w:p>
        </w:tc>
        <w:tc>
          <w:tcPr>
            <w:tcW w:w="1254" w:type="dxa"/>
          </w:tcPr>
          <w:p>
            <w:pPr>
              <w:pStyle w:val="yTableNAm"/>
              <w:tabs>
                <w:tab w:val="clear" w:pos="567"/>
                <w:tab w:val="decimal" w:pos="463"/>
              </w:tabs>
            </w:pPr>
            <w:r>
              <w:t>100.0</w:t>
            </w:r>
          </w:p>
        </w:tc>
      </w:tr>
      <w:tr>
        <w:tc>
          <w:tcPr>
            <w:tcW w:w="993" w:type="dxa"/>
          </w:tcPr>
          <w:p>
            <w:pPr>
              <w:pStyle w:val="yTableNAm"/>
            </w:pPr>
            <w:r>
              <w:t>97.</w:t>
            </w:r>
          </w:p>
        </w:tc>
        <w:tc>
          <w:tcPr>
            <w:tcW w:w="5191" w:type="dxa"/>
            <w:gridSpan w:val="2"/>
          </w:tcPr>
          <w:p>
            <w:pPr>
              <w:pStyle w:val="yTableNAm"/>
            </w:pPr>
            <w:r>
              <w:t>NEALBARBITONE</w:t>
            </w:r>
          </w:p>
        </w:tc>
        <w:tc>
          <w:tcPr>
            <w:tcW w:w="1254" w:type="dxa"/>
          </w:tcPr>
          <w:p>
            <w:pPr>
              <w:pStyle w:val="yTableNAm"/>
              <w:tabs>
                <w:tab w:val="clear" w:pos="567"/>
                <w:tab w:val="decimal" w:pos="463"/>
              </w:tabs>
            </w:pPr>
            <w:r>
              <w:t>10.0</w:t>
            </w:r>
          </w:p>
        </w:tc>
      </w:tr>
      <w:tr>
        <w:tc>
          <w:tcPr>
            <w:tcW w:w="993" w:type="dxa"/>
          </w:tcPr>
          <w:p>
            <w:pPr>
              <w:pStyle w:val="yTableNAm"/>
            </w:pPr>
            <w:r>
              <w:t>98.</w:t>
            </w:r>
          </w:p>
        </w:tc>
        <w:tc>
          <w:tcPr>
            <w:tcW w:w="5191" w:type="dxa"/>
            <w:gridSpan w:val="2"/>
          </w:tcPr>
          <w:p>
            <w:pPr>
              <w:pStyle w:val="yTableNAm"/>
            </w:pPr>
            <w:r>
              <w:t xml:space="preserve">NICOCODINE (except when included in Schedule 2 or 4 in Appendix A to the </w:t>
            </w:r>
            <w:r>
              <w:rPr>
                <w:i/>
                <w:iCs/>
              </w:rPr>
              <w:t>Poisons Act 1964</w:t>
            </w:r>
            <w:r>
              <w:t>)</w:t>
            </w:r>
          </w:p>
        </w:tc>
        <w:tc>
          <w:tcPr>
            <w:tcW w:w="1254" w:type="dxa"/>
          </w:tcPr>
          <w:p>
            <w:pPr>
              <w:pStyle w:val="yTableNAm"/>
              <w:tabs>
                <w:tab w:val="clear" w:pos="567"/>
                <w:tab w:val="decimal" w:pos="463"/>
              </w:tabs>
            </w:pPr>
            <w:r>
              <w:br/>
              <w:t>2.0</w:t>
            </w:r>
          </w:p>
        </w:tc>
      </w:tr>
      <w:tr>
        <w:trPr>
          <w:cantSplit/>
        </w:trPr>
        <w:tc>
          <w:tcPr>
            <w:tcW w:w="993" w:type="dxa"/>
          </w:tcPr>
          <w:p>
            <w:pPr>
              <w:pStyle w:val="yTableNAm"/>
            </w:pPr>
            <w:r>
              <w:t>99.</w:t>
            </w:r>
          </w:p>
        </w:tc>
        <w:tc>
          <w:tcPr>
            <w:tcW w:w="5191" w:type="dxa"/>
            <w:gridSpan w:val="2"/>
          </w:tcPr>
          <w:p>
            <w:pPr>
              <w:pStyle w:val="yTableNAm"/>
            </w:pPr>
            <w:r>
              <w:t xml:space="preserve">NICODICODINE (except when included in Schedule 2 or 4 in Appendix A to the </w:t>
            </w:r>
            <w:r>
              <w:rPr>
                <w:i/>
                <w:iCs/>
              </w:rPr>
              <w:t>Poisons</w:t>
            </w:r>
            <w:r>
              <w:rPr>
                <w:i/>
              </w:rPr>
              <w:t xml:space="preserve"> </w:t>
            </w:r>
            <w:r>
              <w:rPr>
                <w:i/>
                <w:iCs/>
              </w:rPr>
              <w:t>Act 1964</w:t>
            </w:r>
            <w:r>
              <w:t>)</w:t>
            </w:r>
          </w:p>
        </w:tc>
        <w:tc>
          <w:tcPr>
            <w:tcW w:w="1254" w:type="dxa"/>
          </w:tcPr>
          <w:p>
            <w:pPr>
              <w:pStyle w:val="yTableNAm"/>
              <w:tabs>
                <w:tab w:val="clear" w:pos="567"/>
                <w:tab w:val="decimal" w:pos="463"/>
              </w:tabs>
            </w:pPr>
            <w:r>
              <w:br/>
              <w:t>2.0</w:t>
            </w:r>
          </w:p>
        </w:tc>
      </w:tr>
      <w:tr>
        <w:tc>
          <w:tcPr>
            <w:tcW w:w="993" w:type="dxa"/>
          </w:tcPr>
          <w:p>
            <w:pPr>
              <w:pStyle w:val="yTableNAm"/>
            </w:pPr>
            <w:r>
              <w:t>100.</w:t>
            </w:r>
          </w:p>
        </w:tc>
        <w:tc>
          <w:tcPr>
            <w:tcW w:w="5191" w:type="dxa"/>
            <w:gridSpan w:val="2"/>
          </w:tcPr>
          <w:p>
            <w:pPr>
              <w:pStyle w:val="yTableNAm"/>
            </w:pPr>
            <w:r>
              <w:t>NICOMORPHINE</w:t>
            </w:r>
          </w:p>
        </w:tc>
        <w:tc>
          <w:tcPr>
            <w:tcW w:w="1254" w:type="dxa"/>
          </w:tcPr>
          <w:p>
            <w:pPr>
              <w:pStyle w:val="yTableNAm"/>
              <w:tabs>
                <w:tab w:val="clear" w:pos="567"/>
                <w:tab w:val="decimal" w:pos="463"/>
              </w:tabs>
            </w:pPr>
            <w:r>
              <w:t>2.0</w:t>
            </w:r>
          </w:p>
        </w:tc>
      </w:tr>
      <w:tr>
        <w:tc>
          <w:tcPr>
            <w:tcW w:w="993" w:type="dxa"/>
          </w:tcPr>
          <w:p>
            <w:pPr>
              <w:pStyle w:val="yTableNAm"/>
            </w:pPr>
            <w:r>
              <w:t>101.</w:t>
            </w:r>
          </w:p>
        </w:tc>
        <w:tc>
          <w:tcPr>
            <w:tcW w:w="5191" w:type="dxa"/>
            <w:gridSpan w:val="2"/>
          </w:tcPr>
          <w:p>
            <w:pPr>
              <w:pStyle w:val="yTableNAm"/>
            </w:pPr>
            <w:r>
              <w:t>NORACYMETHADOL</w:t>
            </w:r>
          </w:p>
        </w:tc>
        <w:tc>
          <w:tcPr>
            <w:tcW w:w="1254" w:type="dxa"/>
          </w:tcPr>
          <w:p>
            <w:pPr>
              <w:pStyle w:val="yTableNAm"/>
              <w:tabs>
                <w:tab w:val="clear" w:pos="567"/>
                <w:tab w:val="decimal" w:pos="463"/>
              </w:tabs>
            </w:pPr>
            <w:r>
              <w:t>2.0</w:t>
            </w:r>
          </w:p>
        </w:tc>
      </w:tr>
      <w:tr>
        <w:tc>
          <w:tcPr>
            <w:tcW w:w="993" w:type="dxa"/>
          </w:tcPr>
          <w:p>
            <w:pPr>
              <w:pStyle w:val="yTableNAm"/>
            </w:pPr>
            <w:r>
              <w:t>102.</w:t>
            </w:r>
          </w:p>
        </w:tc>
        <w:tc>
          <w:tcPr>
            <w:tcW w:w="5191" w:type="dxa"/>
            <w:gridSpan w:val="2"/>
          </w:tcPr>
          <w:p>
            <w:pPr>
              <w:pStyle w:val="yTableNAm"/>
            </w:pPr>
            <w:r>
              <w:t xml:space="preserve">NORCODEINE (except when included in Schedule 2 or 4 in Appendix A to the </w:t>
            </w:r>
            <w:r>
              <w:rPr>
                <w:i/>
                <w:iCs/>
              </w:rPr>
              <w:t>Poisons Act 1964</w:t>
            </w:r>
            <w:r>
              <w:t>)</w:t>
            </w:r>
          </w:p>
        </w:tc>
        <w:tc>
          <w:tcPr>
            <w:tcW w:w="1254" w:type="dxa"/>
          </w:tcPr>
          <w:p>
            <w:pPr>
              <w:pStyle w:val="yTableNAm"/>
              <w:tabs>
                <w:tab w:val="clear" w:pos="567"/>
                <w:tab w:val="decimal" w:pos="463"/>
              </w:tabs>
            </w:pPr>
            <w:r>
              <w:br/>
              <w:t>2.0</w:t>
            </w:r>
          </w:p>
        </w:tc>
      </w:tr>
      <w:tr>
        <w:tc>
          <w:tcPr>
            <w:tcW w:w="993" w:type="dxa"/>
          </w:tcPr>
          <w:p>
            <w:pPr>
              <w:pStyle w:val="yTableNAm"/>
            </w:pPr>
            <w:r>
              <w:t>103.</w:t>
            </w:r>
          </w:p>
        </w:tc>
        <w:tc>
          <w:tcPr>
            <w:tcW w:w="5191" w:type="dxa"/>
            <w:gridSpan w:val="2"/>
          </w:tcPr>
          <w:p>
            <w:pPr>
              <w:pStyle w:val="yTableNAm"/>
            </w:pPr>
            <w:r>
              <w:t>NORLEVORPHANOL</w:t>
            </w:r>
          </w:p>
        </w:tc>
        <w:tc>
          <w:tcPr>
            <w:tcW w:w="1254" w:type="dxa"/>
          </w:tcPr>
          <w:p>
            <w:pPr>
              <w:pStyle w:val="yTableNAm"/>
              <w:tabs>
                <w:tab w:val="clear" w:pos="567"/>
                <w:tab w:val="decimal" w:pos="463"/>
              </w:tabs>
            </w:pPr>
            <w:r>
              <w:t>2.0</w:t>
            </w:r>
          </w:p>
        </w:tc>
      </w:tr>
      <w:tr>
        <w:tc>
          <w:tcPr>
            <w:tcW w:w="993" w:type="dxa"/>
          </w:tcPr>
          <w:p>
            <w:pPr>
              <w:pStyle w:val="yTableNAm"/>
            </w:pPr>
            <w:r>
              <w:t>104.</w:t>
            </w:r>
          </w:p>
        </w:tc>
        <w:tc>
          <w:tcPr>
            <w:tcW w:w="5191" w:type="dxa"/>
            <w:gridSpan w:val="2"/>
          </w:tcPr>
          <w:p>
            <w:pPr>
              <w:pStyle w:val="yTableNAm"/>
            </w:pPr>
            <w:r>
              <w:t>NORMETHADONE</w:t>
            </w:r>
          </w:p>
        </w:tc>
        <w:tc>
          <w:tcPr>
            <w:tcW w:w="1254" w:type="dxa"/>
          </w:tcPr>
          <w:p>
            <w:pPr>
              <w:pStyle w:val="yTableNAm"/>
              <w:tabs>
                <w:tab w:val="clear" w:pos="567"/>
                <w:tab w:val="decimal" w:pos="463"/>
              </w:tabs>
            </w:pPr>
            <w:r>
              <w:t>0.5</w:t>
            </w:r>
          </w:p>
        </w:tc>
      </w:tr>
      <w:tr>
        <w:tc>
          <w:tcPr>
            <w:tcW w:w="993" w:type="dxa"/>
          </w:tcPr>
          <w:p>
            <w:pPr>
              <w:pStyle w:val="yTableNAm"/>
            </w:pPr>
            <w:r>
              <w:t>105.</w:t>
            </w:r>
          </w:p>
        </w:tc>
        <w:tc>
          <w:tcPr>
            <w:tcW w:w="5191" w:type="dxa"/>
            <w:gridSpan w:val="2"/>
          </w:tcPr>
          <w:p>
            <w:pPr>
              <w:pStyle w:val="yTableNAm"/>
            </w:pPr>
            <w:r>
              <w:t>NORMORPHINE</w:t>
            </w:r>
          </w:p>
        </w:tc>
        <w:tc>
          <w:tcPr>
            <w:tcW w:w="1254" w:type="dxa"/>
          </w:tcPr>
          <w:p>
            <w:pPr>
              <w:pStyle w:val="yTableNAm"/>
              <w:tabs>
                <w:tab w:val="clear" w:pos="567"/>
                <w:tab w:val="decimal" w:pos="463"/>
              </w:tabs>
            </w:pPr>
            <w:r>
              <w:t>20.0</w:t>
            </w:r>
          </w:p>
        </w:tc>
      </w:tr>
      <w:tr>
        <w:tc>
          <w:tcPr>
            <w:tcW w:w="993" w:type="dxa"/>
          </w:tcPr>
          <w:p>
            <w:pPr>
              <w:pStyle w:val="yTableNAm"/>
            </w:pPr>
            <w:r>
              <w:t>106.</w:t>
            </w:r>
          </w:p>
        </w:tc>
        <w:tc>
          <w:tcPr>
            <w:tcW w:w="5191" w:type="dxa"/>
            <w:gridSpan w:val="2"/>
          </w:tcPr>
          <w:p>
            <w:pPr>
              <w:pStyle w:val="yTableNAm"/>
            </w:pPr>
            <w:r>
              <w:t>NORPIPANONE</w:t>
            </w:r>
          </w:p>
        </w:tc>
        <w:tc>
          <w:tcPr>
            <w:tcW w:w="1254" w:type="dxa"/>
          </w:tcPr>
          <w:p>
            <w:pPr>
              <w:pStyle w:val="yTableNAm"/>
              <w:tabs>
                <w:tab w:val="clear" w:pos="567"/>
                <w:tab w:val="decimal" w:pos="463"/>
              </w:tabs>
            </w:pPr>
            <w:r>
              <w:t>10.0</w:t>
            </w:r>
          </w:p>
        </w:tc>
      </w:tr>
      <w:tr>
        <w:tc>
          <w:tcPr>
            <w:tcW w:w="993" w:type="dxa"/>
          </w:tcPr>
          <w:p>
            <w:pPr>
              <w:pStyle w:val="yTableNAm"/>
            </w:pPr>
            <w:r>
              <w:t>107.</w:t>
            </w:r>
          </w:p>
        </w:tc>
        <w:tc>
          <w:tcPr>
            <w:tcW w:w="5191" w:type="dxa"/>
            <w:gridSpan w:val="2"/>
          </w:tcPr>
          <w:p>
            <w:pPr>
              <w:pStyle w:val="yTableNAm"/>
            </w:pPr>
            <w:r>
              <w:t>OPIUM</w:t>
            </w:r>
          </w:p>
        </w:tc>
        <w:tc>
          <w:tcPr>
            <w:tcW w:w="1254" w:type="dxa"/>
          </w:tcPr>
          <w:p>
            <w:pPr>
              <w:pStyle w:val="yTableNAm"/>
              <w:tabs>
                <w:tab w:val="clear" w:pos="567"/>
                <w:tab w:val="decimal" w:pos="463"/>
              </w:tabs>
            </w:pPr>
            <w:r>
              <w:t>20.0</w:t>
            </w:r>
          </w:p>
        </w:tc>
      </w:tr>
      <w:tr>
        <w:tc>
          <w:tcPr>
            <w:tcW w:w="993" w:type="dxa"/>
          </w:tcPr>
          <w:p>
            <w:pPr>
              <w:pStyle w:val="yTableNAm"/>
            </w:pPr>
            <w:r>
              <w:t>108.</w:t>
            </w:r>
          </w:p>
        </w:tc>
        <w:tc>
          <w:tcPr>
            <w:tcW w:w="5191" w:type="dxa"/>
            <w:gridSpan w:val="2"/>
          </w:tcPr>
          <w:p>
            <w:pPr>
              <w:pStyle w:val="yTableNAm"/>
            </w:pPr>
            <w:r>
              <w:t>OXYCODONE</w:t>
            </w:r>
          </w:p>
        </w:tc>
        <w:tc>
          <w:tcPr>
            <w:tcW w:w="1254" w:type="dxa"/>
          </w:tcPr>
          <w:p>
            <w:pPr>
              <w:pStyle w:val="yTableNAm"/>
              <w:tabs>
                <w:tab w:val="clear" w:pos="567"/>
                <w:tab w:val="decimal" w:pos="463"/>
              </w:tabs>
            </w:pPr>
            <w:r>
              <w:t>5.0</w:t>
            </w:r>
          </w:p>
        </w:tc>
      </w:tr>
      <w:tr>
        <w:tc>
          <w:tcPr>
            <w:tcW w:w="993" w:type="dxa"/>
          </w:tcPr>
          <w:p>
            <w:pPr>
              <w:pStyle w:val="yTableNAm"/>
            </w:pPr>
            <w:r>
              <w:t>109.</w:t>
            </w:r>
          </w:p>
        </w:tc>
        <w:tc>
          <w:tcPr>
            <w:tcW w:w="5191" w:type="dxa"/>
            <w:gridSpan w:val="2"/>
          </w:tcPr>
          <w:p>
            <w:pPr>
              <w:pStyle w:val="yTableNAm"/>
            </w:pPr>
            <w:r>
              <w:t>OXYMORPHONE</w:t>
            </w:r>
          </w:p>
        </w:tc>
        <w:tc>
          <w:tcPr>
            <w:tcW w:w="1254" w:type="dxa"/>
          </w:tcPr>
          <w:p>
            <w:pPr>
              <w:pStyle w:val="yTableNAm"/>
              <w:tabs>
                <w:tab w:val="clear" w:pos="567"/>
                <w:tab w:val="decimal" w:pos="463"/>
              </w:tabs>
            </w:pPr>
            <w:r>
              <w:t>2.0</w:t>
            </w:r>
          </w:p>
        </w:tc>
      </w:tr>
      <w:tr>
        <w:tc>
          <w:tcPr>
            <w:tcW w:w="993" w:type="dxa"/>
          </w:tcPr>
          <w:p>
            <w:pPr>
              <w:pStyle w:val="yTableNAm"/>
            </w:pPr>
            <w:r>
              <w:t>110.</w:t>
            </w:r>
          </w:p>
        </w:tc>
        <w:tc>
          <w:tcPr>
            <w:tcW w:w="5191" w:type="dxa"/>
            <w:gridSpan w:val="2"/>
          </w:tcPr>
          <w:p>
            <w:pPr>
              <w:pStyle w:val="yTableNAm"/>
            </w:pPr>
            <w:r>
              <w:t>PENTAZOCINE</w:t>
            </w:r>
          </w:p>
        </w:tc>
        <w:tc>
          <w:tcPr>
            <w:tcW w:w="1254" w:type="dxa"/>
          </w:tcPr>
          <w:p>
            <w:pPr>
              <w:pStyle w:val="yTableNAm"/>
              <w:tabs>
                <w:tab w:val="clear" w:pos="567"/>
                <w:tab w:val="decimal" w:pos="463"/>
              </w:tabs>
            </w:pPr>
            <w:r>
              <w:t>10.0</w:t>
            </w:r>
          </w:p>
        </w:tc>
      </w:tr>
      <w:tr>
        <w:tc>
          <w:tcPr>
            <w:tcW w:w="993" w:type="dxa"/>
          </w:tcPr>
          <w:p>
            <w:pPr>
              <w:pStyle w:val="yTableNAm"/>
            </w:pPr>
            <w:r>
              <w:t>111.</w:t>
            </w:r>
          </w:p>
        </w:tc>
        <w:tc>
          <w:tcPr>
            <w:tcW w:w="5191" w:type="dxa"/>
            <w:gridSpan w:val="2"/>
          </w:tcPr>
          <w:p>
            <w:pPr>
              <w:pStyle w:val="yTableNAm"/>
            </w:pPr>
            <w:r>
              <w:t>PENTOBARBITONE</w:t>
            </w:r>
          </w:p>
        </w:tc>
        <w:tc>
          <w:tcPr>
            <w:tcW w:w="1254" w:type="dxa"/>
          </w:tcPr>
          <w:p>
            <w:pPr>
              <w:pStyle w:val="yTableNAm"/>
              <w:tabs>
                <w:tab w:val="clear" w:pos="567"/>
                <w:tab w:val="decimal" w:pos="463"/>
              </w:tabs>
            </w:pPr>
            <w:r>
              <w:t>10.0</w:t>
            </w:r>
          </w:p>
        </w:tc>
      </w:tr>
      <w:tr>
        <w:tc>
          <w:tcPr>
            <w:tcW w:w="993" w:type="dxa"/>
          </w:tcPr>
          <w:p>
            <w:pPr>
              <w:pStyle w:val="yTableNAm"/>
            </w:pPr>
            <w:r>
              <w:t>112AA.</w:t>
            </w:r>
          </w:p>
        </w:tc>
        <w:tc>
          <w:tcPr>
            <w:tcW w:w="5191"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254" w:type="dxa"/>
          </w:tcPr>
          <w:p>
            <w:pPr>
              <w:pStyle w:val="yTableNAm"/>
              <w:tabs>
                <w:tab w:val="clear" w:pos="567"/>
                <w:tab w:val="decimal" w:pos="463"/>
              </w:tabs>
            </w:pPr>
            <w:r>
              <w:br/>
              <w:t>100.0</w:t>
            </w:r>
          </w:p>
        </w:tc>
      </w:tr>
      <w:tr>
        <w:tc>
          <w:tcPr>
            <w:tcW w:w="993" w:type="dxa"/>
          </w:tcPr>
          <w:p>
            <w:pPr>
              <w:pStyle w:val="yTableNAm"/>
            </w:pPr>
            <w:r>
              <w:t>112AB.</w:t>
            </w:r>
          </w:p>
        </w:tc>
        <w:tc>
          <w:tcPr>
            <w:tcW w:w="5191" w:type="dxa"/>
            <w:gridSpan w:val="2"/>
          </w:tcPr>
          <w:p>
            <w:pPr>
              <w:pStyle w:val="yTableNAm"/>
            </w:pPr>
            <w:r>
              <w:t>1</w:t>
            </w:r>
            <w:r>
              <w:noBreakHyphen/>
              <w:t>PENTYL</w:t>
            </w:r>
            <w:r>
              <w:noBreakHyphen/>
              <w:t>3</w:t>
            </w:r>
            <w:r>
              <w:noBreakHyphen/>
              <w:t>(2</w:t>
            </w:r>
            <w:r>
              <w:noBreakHyphen/>
              <w:t>CHLOROPHENYLACETYL) INDOLE (JWH</w:t>
            </w:r>
            <w:r>
              <w:noBreakHyphen/>
              <w:t>203)</w:t>
            </w:r>
          </w:p>
        </w:tc>
        <w:tc>
          <w:tcPr>
            <w:tcW w:w="1254" w:type="dxa"/>
          </w:tcPr>
          <w:p>
            <w:pPr>
              <w:pStyle w:val="yTableNAm"/>
              <w:tabs>
                <w:tab w:val="clear" w:pos="567"/>
                <w:tab w:val="decimal" w:pos="463"/>
              </w:tabs>
            </w:pPr>
            <w:r>
              <w:br/>
              <w:t>100.0</w:t>
            </w:r>
          </w:p>
        </w:tc>
      </w:tr>
      <w:tr>
        <w:tc>
          <w:tcPr>
            <w:tcW w:w="993" w:type="dxa"/>
          </w:tcPr>
          <w:p>
            <w:pPr>
              <w:pStyle w:val="yTableNAm"/>
            </w:pPr>
            <w:r>
              <w:t>112AC.</w:t>
            </w:r>
          </w:p>
        </w:tc>
        <w:tc>
          <w:tcPr>
            <w:tcW w:w="5191"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54" w:type="dxa"/>
          </w:tcPr>
          <w:p>
            <w:pPr>
              <w:pStyle w:val="yTableNAm"/>
              <w:tabs>
                <w:tab w:val="clear" w:pos="567"/>
                <w:tab w:val="decimal" w:pos="463"/>
              </w:tabs>
            </w:pPr>
            <w:r>
              <w:br/>
              <w:t>100.0</w:t>
            </w:r>
          </w:p>
        </w:tc>
      </w:tr>
      <w:tr>
        <w:tc>
          <w:tcPr>
            <w:tcW w:w="993" w:type="dxa"/>
          </w:tcPr>
          <w:p>
            <w:pPr>
              <w:pStyle w:val="yTableNAm"/>
            </w:pPr>
            <w:r>
              <w:t>112AD.</w:t>
            </w:r>
          </w:p>
        </w:tc>
        <w:tc>
          <w:tcPr>
            <w:tcW w:w="5191"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54" w:type="dxa"/>
          </w:tcPr>
          <w:p>
            <w:pPr>
              <w:pStyle w:val="yTableNAm"/>
              <w:tabs>
                <w:tab w:val="clear" w:pos="567"/>
                <w:tab w:val="decimal" w:pos="463"/>
              </w:tabs>
            </w:pPr>
            <w:r>
              <w:br/>
              <w:t>100.0</w:t>
            </w:r>
          </w:p>
        </w:tc>
      </w:tr>
      <w:tr>
        <w:tc>
          <w:tcPr>
            <w:tcW w:w="993" w:type="dxa"/>
          </w:tcPr>
          <w:p>
            <w:pPr>
              <w:pStyle w:val="yTableNAm"/>
            </w:pPr>
            <w:r>
              <w:t>112AE.</w:t>
            </w:r>
          </w:p>
        </w:tc>
        <w:tc>
          <w:tcPr>
            <w:tcW w:w="5191"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54" w:type="dxa"/>
          </w:tcPr>
          <w:p>
            <w:pPr>
              <w:pStyle w:val="yTableNAm"/>
              <w:tabs>
                <w:tab w:val="clear" w:pos="567"/>
                <w:tab w:val="decimal" w:pos="463"/>
              </w:tabs>
            </w:pPr>
            <w:r>
              <w:br/>
              <w:t>100.0</w:t>
            </w:r>
          </w:p>
        </w:tc>
      </w:tr>
      <w:tr>
        <w:trPr>
          <w:cantSplit/>
        </w:trPr>
        <w:tc>
          <w:tcPr>
            <w:tcW w:w="993" w:type="dxa"/>
          </w:tcPr>
          <w:p>
            <w:pPr>
              <w:pStyle w:val="yTableNAm"/>
            </w:pPr>
            <w:r>
              <w:t>112A.</w:t>
            </w:r>
          </w:p>
        </w:tc>
        <w:tc>
          <w:tcPr>
            <w:tcW w:w="5191" w:type="dxa"/>
            <w:gridSpan w:val="2"/>
          </w:tcPr>
          <w:p>
            <w:pPr>
              <w:pStyle w:val="yTableNAm"/>
            </w:pPr>
            <w:r>
              <w:t>1-PENTYL-3-(1-NAPHTHOYL) INDOLE (JWH</w:t>
            </w:r>
            <w:r>
              <w:noBreakHyphen/>
              <w:t>018)</w:t>
            </w:r>
          </w:p>
        </w:tc>
        <w:tc>
          <w:tcPr>
            <w:tcW w:w="1254" w:type="dxa"/>
          </w:tcPr>
          <w:p>
            <w:pPr>
              <w:pStyle w:val="yTableNAm"/>
              <w:tabs>
                <w:tab w:val="clear" w:pos="567"/>
                <w:tab w:val="decimal" w:pos="463"/>
              </w:tabs>
            </w:pPr>
            <w:r>
              <w:t>100.0</w:t>
            </w:r>
          </w:p>
        </w:tc>
      </w:tr>
      <w:tr>
        <w:tc>
          <w:tcPr>
            <w:tcW w:w="993" w:type="dxa"/>
          </w:tcPr>
          <w:p>
            <w:pPr>
              <w:pStyle w:val="yTableNAm"/>
            </w:pPr>
            <w:r>
              <w:t>112B.</w:t>
            </w:r>
          </w:p>
        </w:tc>
        <w:tc>
          <w:tcPr>
            <w:tcW w:w="5191"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54" w:type="dxa"/>
          </w:tcPr>
          <w:p>
            <w:pPr>
              <w:pStyle w:val="yTableNAm"/>
              <w:tabs>
                <w:tab w:val="clear" w:pos="567"/>
                <w:tab w:val="decimal" w:pos="463"/>
              </w:tabs>
            </w:pPr>
            <w:r>
              <w:br/>
              <w:t>100.0</w:t>
            </w:r>
          </w:p>
        </w:tc>
      </w:tr>
      <w:tr>
        <w:tc>
          <w:tcPr>
            <w:tcW w:w="993" w:type="dxa"/>
          </w:tcPr>
          <w:p>
            <w:pPr>
              <w:pStyle w:val="yTableNAm"/>
            </w:pPr>
            <w:r>
              <w:t>112.</w:t>
            </w:r>
          </w:p>
        </w:tc>
        <w:tc>
          <w:tcPr>
            <w:tcW w:w="5191" w:type="dxa"/>
            <w:gridSpan w:val="2"/>
          </w:tcPr>
          <w:p>
            <w:pPr>
              <w:pStyle w:val="yTableNAm"/>
            </w:pPr>
            <w:r>
              <w:t>PETHIDINE</w:t>
            </w:r>
          </w:p>
        </w:tc>
        <w:tc>
          <w:tcPr>
            <w:tcW w:w="1254" w:type="dxa"/>
          </w:tcPr>
          <w:p>
            <w:pPr>
              <w:pStyle w:val="yTableNAm"/>
              <w:tabs>
                <w:tab w:val="clear" w:pos="567"/>
                <w:tab w:val="decimal" w:pos="463"/>
              </w:tabs>
            </w:pPr>
            <w:r>
              <w:t>5.0</w:t>
            </w:r>
          </w:p>
        </w:tc>
      </w:tr>
      <w:tr>
        <w:tc>
          <w:tcPr>
            <w:tcW w:w="993" w:type="dxa"/>
          </w:tcPr>
          <w:p>
            <w:pPr>
              <w:pStyle w:val="yTableNAm"/>
            </w:pPr>
            <w:r>
              <w:t>113.</w:t>
            </w:r>
          </w:p>
        </w:tc>
        <w:tc>
          <w:tcPr>
            <w:tcW w:w="5191" w:type="dxa"/>
            <w:gridSpan w:val="2"/>
          </w:tcPr>
          <w:p>
            <w:pPr>
              <w:pStyle w:val="yTableNAm"/>
            </w:pPr>
            <w:r>
              <w:t>PETHIDINE</w:t>
            </w:r>
            <w:r>
              <w:noBreakHyphen/>
              <w:t>INTERMEDIATE A</w:t>
            </w:r>
          </w:p>
        </w:tc>
        <w:tc>
          <w:tcPr>
            <w:tcW w:w="1254" w:type="dxa"/>
          </w:tcPr>
          <w:p>
            <w:pPr>
              <w:pStyle w:val="yTableNAm"/>
              <w:tabs>
                <w:tab w:val="clear" w:pos="567"/>
                <w:tab w:val="decimal" w:pos="463"/>
              </w:tabs>
            </w:pPr>
            <w:r>
              <w:t>5.0</w:t>
            </w:r>
          </w:p>
        </w:tc>
      </w:tr>
      <w:tr>
        <w:tc>
          <w:tcPr>
            <w:tcW w:w="993" w:type="dxa"/>
          </w:tcPr>
          <w:p>
            <w:pPr>
              <w:pStyle w:val="yTableNAm"/>
            </w:pPr>
            <w:r>
              <w:t>114.</w:t>
            </w:r>
          </w:p>
        </w:tc>
        <w:tc>
          <w:tcPr>
            <w:tcW w:w="5191" w:type="dxa"/>
            <w:gridSpan w:val="2"/>
          </w:tcPr>
          <w:p>
            <w:pPr>
              <w:pStyle w:val="yTableNAm"/>
            </w:pPr>
            <w:r>
              <w:t>PETHIDINE</w:t>
            </w:r>
            <w:r>
              <w:noBreakHyphen/>
              <w:t>INTERMEDIATE B</w:t>
            </w:r>
          </w:p>
        </w:tc>
        <w:tc>
          <w:tcPr>
            <w:tcW w:w="1254" w:type="dxa"/>
          </w:tcPr>
          <w:p>
            <w:pPr>
              <w:pStyle w:val="yTableNAm"/>
              <w:tabs>
                <w:tab w:val="clear" w:pos="567"/>
                <w:tab w:val="decimal" w:pos="463"/>
              </w:tabs>
            </w:pPr>
            <w:r>
              <w:t>5.0</w:t>
            </w:r>
          </w:p>
        </w:tc>
      </w:tr>
      <w:tr>
        <w:tc>
          <w:tcPr>
            <w:tcW w:w="993" w:type="dxa"/>
          </w:tcPr>
          <w:p>
            <w:pPr>
              <w:pStyle w:val="yTableNAm"/>
            </w:pPr>
            <w:r>
              <w:t>115.</w:t>
            </w:r>
          </w:p>
        </w:tc>
        <w:tc>
          <w:tcPr>
            <w:tcW w:w="5191" w:type="dxa"/>
            <w:gridSpan w:val="2"/>
          </w:tcPr>
          <w:p>
            <w:pPr>
              <w:pStyle w:val="yTableNAm"/>
            </w:pPr>
            <w:r>
              <w:t>PETHIDINE</w:t>
            </w:r>
            <w:r>
              <w:noBreakHyphen/>
              <w:t>INTERMEDIATE C</w:t>
            </w:r>
          </w:p>
        </w:tc>
        <w:tc>
          <w:tcPr>
            <w:tcW w:w="1254" w:type="dxa"/>
          </w:tcPr>
          <w:p>
            <w:pPr>
              <w:pStyle w:val="yTableNAm"/>
              <w:tabs>
                <w:tab w:val="clear" w:pos="567"/>
                <w:tab w:val="decimal" w:pos="463"/>
              </w:tabs>
            </w:pPr>
            <w:r>
              <w:t>5.0</w:t>
            </w:r>
          </w:p>
        </w:tc>
      </w:tr>
      <w:tr>
        <w:tc>
          <w:tcPr>
            <w:tcW w:w="993" w:type="dxa"/>
          </w:tcPr>
          <w:p>
            <w:pPr>
              <w:pStyle w:val="yTableNAm"/>
            </w:pPr>
            <w:r>
              <w:t>116.</w:t>
            </w:r>
          </w:p>
        </w:tc>
        <w:tc>
          <w:tcPr>
            <w:tcW w:w="5191" w:type="dxa"/>
            <w:gridSpan w:val="2"/>
          </w:tcPr>
          <w:p>
            <w:pPr>
              <w:pStyle w:val="yTableNAm"/>
            </w:pPr>
            <w:r>
              <w:t>PHENADOXONE</w:t>
            </w:r>
          </w:p>
        </w:tc>
        <w:tc>
          <w:tcPr>
            <w:tcW w:w="1254" w:type="dxa"/>
          </w:tcPr>
          <w:p>
            <w:pPr>
              <w:pStyle w:val="yTableNAm"/>
              <w:tabs>
                <w:tab w:val="clear" w:pos="567"/>
                <w:tab w:val="decimal" w:pos="463"/>
              </w:tabs>
            </w:pPr>
            <w:r>
              <w:t>10.0</w:t>
            </w:r>
          </w:p>
        </w:tc>
      </w:tr>
      <w:tr>
        <w:tc>
          <w:tcPr>
            <w:tcW w:w="993" w:type="dxa"/>
          </w:tcPr>
          <w:p>
            <w:pPr>
              <w:pStyle w:val="yTableNAm"/>
            </w:pPr>
            <w:r>
              <w:t>117.</w:t>
            </w:r>
          </w:p>
        </w:tc>
        <w:tc>
          <w:tcPr>
            <w:tcW w:w="5191" w:type="dxa"/>
            <w:gridSpan w:val="2"/>
          </w:tcPr>
          <w:p>
            <w:pPr>
              <w:pStyle w:val="yTableNAm"/>
            </w:pPr>
            <w:r>
              <w:t>PHENAMPROMIDE</w:t>
            </w:r>
          </w:p>
        </w:tc>
        <w:tc>
          <w:tcPr>
            <w:tcW w:w="1254" w:type="dxa"/>
          </w:tcPr>
          <w:p>
            <w:pPr>
              <w:pStyle w:val="yTableNAm"/>
              <w:tabs>
                <w:tab w:val="clear" w:pos="567"/>
                <w:tab w:val="decimal" w:pos="463"/>
              </w:tabs>
            </w:pPr>
            <w:r>
              <w:t>10.0</w:t>
            </w:r>
          </w:p>
        </w:tc>
      </w:tr>
      <w:tr>
        <w:tc>
          <w:tcPr>
            <w:tcW w:w="993" w:type="dxa"/>
          </w:tcPr>
          <w:p>
            <w:pPr>
              <w:pStyle w:val="yTableNAm"/>
            </w:pPr>
            <w:r>
              <w:t>118.</w:t>
            </w:r>
          </w:p>
        </w:tc>
        <w:tc>
          <w:tcPr>
            <w:tcW w:w="5191" w:type="dxa"/>
            <w:gridSpan w:val="2"/>
          </w:tcPr>
          <w:p>
            <w:pPr>
              <w:pStyle w:val="yTableNAm"/>
            </w:pPr>
            <w:r>
              <w:t>PHENAZOCINE</w:t>
            </w:r>
          </w:p>
        </w:tc>
        <w:tc>
          <w:tcPr>
            <w:tcW w:w="1254" w:type="dxa"/>
          </w:tcPr>
          <w:p>
            <w:pPr>
              <w:pStyle w:val="yTableNAm"/>
              <w:tabs>
                <w:tab w:val="clear" w:pos="567"/>
                <w:tab w:val="decimal" w:pos="463"/>
              </w:tabs>
            </w:pPr>
            <w:r>
              <w:t>1.0</w:t>
            </w:r>
          </w:p>
        </w:tc>
      </w:tr>
      <w:tr>
        <w:tc>
          <w:tcPr>
            <w:tcW w:w="993" w:type="dxa"/>
          </w:tcPr>
          <w:p>
            <w:pPr>
              <w:pStyle w:val="yTableNAm"/>
            </w:pPr>
            <w:r>
              <w:t>119.</w:t>
            </w:r>
          </w:p>
        </w:tc>
        <w:tc>
          <w:tcPr>
            <w:tcW w:w="5191" w:type="dxa"/>
            <w:gridSpan w:val="2"/>
          </w:tcPr>
          <w:p>
            <w:pPr>
              <w:pStyle w:val="yTableNAm"/>
            </w:pPr>
            <w:r>
              <w:t>PHENCYCLIDINE</w:t>
            </w:r>
          </w:p>
        </w:tc>
        <w:tc>
          <w:tcPr>
            <w:tcW w:w="1254" w:type="dxa"/>
          </w:tcPr>
          <w:p>
            <w:pPr>
              <w:pStyle w:val="yTableNAm"/>
              <w:tabs>
                <w:tab w:val="clear" w:pos="567"/>
                <w:tab w:val="decimal" w:pos="463"/>
              </w:tabs>
            </w:pPr>
            <w:r>
              <w:t>0.002</w:t>
            </w:r>
          </w:p>
        </w:tc>
      </w:tr>
      <w:tr>
        <w:tc>
          <w:tcPr>
            <w:tcW w:w="993" w:type="dxa"/>
          </w:tcPr>
          <w:p>
            <w:pPr>
              <w:pStyle w:val="yTableNAm"/>
            </w:pPr>
            <w:r>
              <w:t>120.</w:t>
            </w:r>
          </w:p>
        </w:tc>
        <w:tc>
          <w:tcPr>
            <w:tcW w:w="5191" w:type="dxa"/>
            <w:gridSpan w:val="2"/>
          </w:tcPr>
          <w:p>
            <w:pPr>
              <w:pStyle w:val="yTableNAm"/>
            </w:pPr>
            <w:r>
              <w:t>PHENMETRAZINE</w:t>
            </w:r>
          </w:p>
        </w:tc>
        <w:tc>
          <w:tcPr>
            <w:tcW w:w="1254" w:type="dxa"/>
          </w:tcPr>
          <w:p>
            <w:pPr>
              <w:pStyle w:val="yTableNAm"/>
              <w:tabs>
                <w:tab w:val="clear" w:pos="567"/>
                <w:tab w:val="decimal" w:pos="463"/>
              </w:tabs>
            </w:pPr>
            <w:r>
              <w:t>2.0</w:t>
            </w:r>
          </w:p>
        </w:tc>
      </w:tr>
      <w:tr>
        <w:tc>
          <w:tcPr>
            <w:tcW w:w="993" w:type="dxa"/>
          </w:tcPr>
          <w:p>
            <w:pPr>
              <w:pStyle w:val="yTableNAm"/>
            </w:pPr>
            <w:r>
              <w:t>121.</w:t>
            </w:r>
          </w:p>
        </w:tc>
        <w:tc>
          <w:tcPr>
            <w:tcW w:w="5191" w:type="dxa"/>
            <w:gridSpan w:val="2"/>
          </w:tcPr>
          <w:p>
            <w:pPr>
              <w:pStyle w:val="yTableNAm"/>
            </w:pPr>
            <w:r>
              <w:t>PHENOBARBITONE</w:t>
            </w:r>
          </w:p>
        </w:tc>
        <w:tc>
          <w:tcPr>
            <w:tcW w:w="1254" w:type="dxa"/>
          </w:tcPr>
          <w:p>
            <w:pPr>
              <w:pStyle w:val="yTableNAm"/>
              <w:tabs>
                <w:tab w:val="clear" w:pos="567"/>
                <w:tab w:val="decimal" w:pos="463"/>
              </w:tabs>
            </w:pPr>
            <w:r>
              <w:t>10.0</w:t>
            </w:r>
          </w:p>
        </w:tc>
      </w:tr>
      <w:tr>
        <w:tc>
          <w:tcPr>
            <w:tcW w:w="993" w:type="dxa"/>
          </w:tcPr>
          <w:p>
            <w:pPr>
              <w:pStyle w:val="yTableNAm"/>
            </w:pPr>
            <w:r>
              <w:t>122.</w:t>
            </w:r>
          </w:p>
        </w:tc>
        <w:tc>
          <w:tcPr>
            <w:tcW w:w="5191" w:type="dxa"/>
            <w:gridSpan w:val="2"/>
          </w:tcPr>
          <w:p>
            <w:pPr>
              <w:pStyle w:val="yTableNAm"/>
            </w:pPr>
            <w:r>
              <w:t>PHENOMORPHAN</w:t>
            </w:r>
          </w:p>
        </w:tc>
        <w:tc>
          <w:tcPr>
            <w:tcW w:w="1254" w:type="dxa"/>
          </w:tcPr>
          <w:p>
            <w:pPr>
              <w:pStyle w:val="yTableNAm"/>
              <w:tabs>
                <w:tab w:val="clear" w:pos="567"/>
                <w:tab w:val="decimal" w:pos="463"/>
              </w:tabs>
            </w:pPr>
            <w:r>
              <w:t>5.0</w:t>
            </w:r>
          </w:p>
        </w:tc>
      </w:tr>
      <w:tr>
        <w:tc>
          <w:tcPr>
            <w:tcW w:w="993" w:type="dxa"/>
          </w:tcPr>
          <w:p>
            <w:pPr>
              <w:pStyle w:val="yTableNAm"/>
            </w:pPr>
            <w:r>
              <w:t>123.</w:t>
            </w:r>
          </w:p>
        </w:tc>
        <w:tc>
          <w:tcPr>
            <w:tcW w:w="5191" w:type="dxa"/>
            <w:gridSpan w:val="2"/>
          </w:tcPr>
          <w:p>
            <w:pPr>
              <w:pStyle w:val="yTableNAm"/>
            </w:pPr>
            <w:r>
              <w:t>PHENOPERIDINE</w:t>
            </w:r>
          </w:p>
        </w:tc>
        <w:tc>
          <w:tcPr>
            <w:tcW w:w="1254" w:type="dxa"/>
          </w:tcPr>
          <w:p>
            <w:pPr>
              <w:pStyle w:val="yTableNAm"/>
              <w:tabs>
                <w:tab w:val="clear" w:pos="567"/>
                <w:tab w:val="decimal" w:pos="463"/>
              </w:tabs>
            </w:pPr>
            <w:r>
              <w:t>1.0</w:t>
            </w:r>
          </w:p>
        </w:tc>
      </w:tr>
      <w:tr>
        <w:tc>
          <w:tcPr>
            <w:tcW w:w="993" w:type="dxa"/>
          </w:tcPr>
          <w:p>
            <w:pPr>
              <w:pStyle w:val="yTableNAm"/>
              <w:rPr>
                <w:szCs w:val="22"/>
              </w:rPr>
            </w:pPr>
            <w:r>
              <w:rPr>
                <w:szCs w:val="22"/>
              </w:rPr>
              <w:t>124A.</w:t>
            </w:r>
          </w:p>
        </w:tc>
        <w:tc>
          <w:tcPr>
            <w:tcW w:w="5191" w:type="dxa"/>
            <w:gridSpan w:val="2"/>
          </w:tcPr>
          <w:p>
            <w:pPr>
              <w:pStyle w:val="yTableNAm"/>
              <w:rPr>
                <w:szCs w:val="22"/>
              </w:rPr>
            </w:pPr>
            <w:r>
              <w:rPr>
                <w:szCs w:val="22"/>
              </w:rPr>
              <w:t>PHENYLACETYLINDOLES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124.</w:t>
            </w:r>
          </w:p>
        </w:tc>
        <w:tc>
          <w:tcPr>
            <w:tcW w:w="5191" w:type="dxa"/>
            <w:gridSpan w:val="2"/>
          </w:tcPr>
          <w:p>
            <w:pPr>
              <w:pStyle w:val="yTableNAm"/>
            </w:pPr>
            <w:r>
              <w:t>PHENYLMETHYLBARBITURIC ACID</w:t>
            </w:r>
          </w:p>
        </w:tc>
        <w:tc>
          <w:tcPr>
            <w:tcW w:w="1254" w:type="dxa"/>
          </w:tcPr>
          <w:p>
            <w:pPr>
              <w:pStyle w:val="yTableNAm"/>
              <w:tabs>
                <w:tab w:val="clear" w:pos="567"/>
                <w:tab w:val="decimal" w:pos="463"/>
              </w:tabs>
            </w:pPr>
            <w:r>
              <w:t>10.0</w:t>
            </w:r>
          </w:p>
        </w:tc>
      </w:tr>
      <w:tr>
        <w:tc>
          <w:tcPr>
            <w:tcW w:w="993" w:type="dxa"/>
          </w:tcPr>
          <w:p>
            <w:pPr>
              <w:pStyle w:val="yTableNAm"/>
              <w:keepNext/>
              <w:keepLines/>
            </w:pPr>
            <w:r>
              <w:t>125.</w:t>
            </w:r>
          </w:p>
        </w:tc>
        <w:tc>
          <w:tcPr>
            <w:tcW w:w="5191" w:type="dxa"/>
            <w:gridSpan w:val="2"/>
          </w:tcPr>
          <w:p>
            <w:pPr>
              <w:pStyle w:val="yTableNAm"/>
              <w:keepNext/>
              <w:keepLines/>
            </w:pPr>
            <w:r>
              <w:t xml:space="preserve">PHOLCODINE (except when included in Schedule 2 or 4 in Appendix A to the </w:t>
            </w:r>
            <w:r>
              <w:rPr>
                <w:i/>
                <w:iCs/>
              </w:rPr>
              <w:t>Poisons Act 1964</w:t>
            </w:r>
            <w:r>
              <w:t>)</w:t>
            </w:r>
          </w:p>
        </w:tc>
        <w:tc>
          <w:tcPr>
            <w:tcW w:w="1254" w:type="dxa"/>
          </w:tcPr>
          <w:p>
            <w:pPr>
              <w:pStyle w:val="yTableNAm"/>
              <w:keepNext/>
              <w:keepLines/>
              <w:tabs>
                <w:tab w:val="clear" w:pos="567"/>
                <w:tab w:val="decimal" w:pos="463"/>
              </w:tabs>
            </w:pPr>
            <w:r>
              <w:br/>
              <w:t>5.0</w:t>
            </w:r>
          </w:p>
        </w:tc>
      </w:tr>
      <w:tr>
        <w:tc>
          <w:tcPr>
            <w:tcW w:w="993" w:type="dxa"/>
          </w:tcPr>
          <w:p>
            <w:pPr>
              <w:pStyle w:val="yTableNAm"/>
            </w:pPr>
            <w:r>
              <w:t>126.</w:t>
            </w:r>
          </w:p>
        </w:tc>
        <w:tc>
          <w:tcPr>
            <w:tcW w:w="5191" w:type="dxa"/>
            <w:gridSpan w:val="2"/>
          </w:tcPr>
          <w:p>
            <w:pPr>
              <w:pStyle w:val="yTableNAm"/>
            </w:pPr>
            <w:r>
              <w:t>PIMINODINE</w:t>
            </w:r>
          </w:p>
        </w:tc>
        <w:tc>
          <w:tcPr>
            <w:tcW w:w="1254" w:type="dxa"/>
          </w:tcPr>
          <w:p>
            <w:pPr>
              <w:pStyle w:val="yTableNAm"/>
              <w:tabs>
                <w:tab w:val="clear" w:pos="567"/>
                <w:tab w:val="decimal" w:pos="463"/>
              </w:tabs>
            </w:pPr>
            <w:r>
              <w:t>10.0</w:t>
            </w:r>
          </w:p>
        </w:tc>
      </w:tr>
      <w:tr>
        <w:tc>
          <w:tcPr>
            <w:tcW w:w="993" w:type="dxa"/>
          </w:tcPr>
          <w:p>
            <w:pPr>
              <w:pStyle w:val="yTableNAm"/>
            </w:pPr>
            <w:r>
              <w:t>127.</w:t>
            </w:r>
          </w:p>
        </w:tc>
        <w:tc>
          <w:tcPr>
            <w:tcW w:w="5191" w:type="dxa"/>
            <w:gridSpan w:val="2"/>
          </w:tcPr>
          <w:p>
            <w:pPr>
              <w:pStyle w:val="yTableNAm"/>
            </w:pPr>
            <w:r>
              <w:t>PIRITRAMIDE</w:t>
            </w:r>
          </w:p>
        </w:tc>
        <w:tc>
          <w:tcPr>
            <w:tcW w:w="1254" w:type="dxa"/>
          </w:tcPr>
          <w:p>
            <w:pPr>
              <w:pStyle w:val="yTableNAm"/>
              <w:tabs>
                <w:tab w:val="clear" w:pos="567"/>
                <w:tab w:val="decimal" w:pos="463"/>
              </w:tabs>
            </w:pPr>
            <w:r>
              <w:t>1.0</w:t>
            </w:r>
          </w:p>
        </w:tc>
      </w:tr>
      <w:tr>
        <w:tc>
          <w:tcPr>
            <w:tcW w:w="993" w:type="dxa"/>
          </w:tcPr>
          <w:p>
            <w:pPr>
              <w:pStyle w:val="yTableNAm"/>
            </w:pPr>
            <w:r>
              <w:t>128A.</w:t>
            </w:r>
          </w:p>
        </w:tc>
        <w:tc>
          <w:tcPr>
            <w:tcW w:w="5191" w:type="dxa"/>
            <w:gridSpan w:val="2"/>
          </w:tcPr>
          <w:p>
            <w:pPr>
              <w:pStyle w:val="yTableNAm"/>
            </w:pPr>
            <w:r>
              <w:t>PRAVADOLINE (WIN 48098)</w:t>
            </w:r>
          </w:p>
        </w:tc>
        <w:tc>
          <w:tcPr>
            <w:tcW w:w="1254" w:type="dxa"/>
          </w:tcPr>
          <w:p>
            <w:pPr>
              <w:pStyle w:val="yTableNAm"/>
              <w:tabs>
                <w:tab w:val="clear" w:pos="567"/>
                <w:tab w:val="decimal" w:pos="463"/>
              </w:tabs>
            </w:pPr>
            <w:r>
              <w:t>100.0</w:t>
            </w:r>
          </w:p>
        </w:tc>
      </w:tr>
      <w:tr>
        <w:tc>
          <w:tcPr>
            <w:tcW w:w="993" w:type="dxa"/>
          </w:tcPr>
          <w:p>
            <w:pPr>
              <w:pStyle w:val="yTableNAm"/>
            </w:pPr>
            <w:r>
              <w:t>128.</w:t>
            </w:r>
          </w:p>
        </w:tc>
        <w:tc>
          <w:tcPr>
            <w:tcW w:w="5191" w:type="dxa"/>
            <w:gridSpan w:val="2"/>
          </w:tcPr>
          <w:p>
            <w:pPr>
              <w:pStyle w:val="yTableNAm"/>
            </w:pPr>
            <w:r>
              <w:t>PROHEPTAZINE</w:t>
            </w:r>
          </w:p>
        </w:tc>
        <w:tc>
          <w:tcPr>
            <w:tcW w:w="1254" w:type="dxa"/>
          </w:tcPr>
          <w:p>
            <w:pPr>
              <w:pStyle w:val="yTableNAm"/>
              <w:tabs>
                <w:tab w:val="clear" w:pos="567"/>
                <w:tab w:val="decimal" w:pos="463"/>
              </w:tabs>
            </w:pPr>
            <w:r>
              <w:t>1.0</w:t>
            </w:r>
          </w:p>
        </w:tc>
      </w:tr>
      <w:tr>
        <w:tc>
          <w:tcPr>
            <w:tcW w:w="993" w:type="dxa"/>
          </w:tcPr>
          <w:p>
            <w:pPr>
              <w:pStyle w:val="yTableNAm"/>
            </w:pPr>
            <w:r>
              <w:t>129.</w:t>
            </w:r>
          </w:p>
        </w:tc>
        <w:tc>
          <w:tcPr>
            <w:tcW w:w="5191" w:type="dxa"/>
            <w:gridSpan w:val="2"/>
          </w:tcPr>
          <w:p>
            <w:pPr>
              <w:pStyle w:val="yTableNAm"/>
            </w:pPr>
            <w:r>
              <w:t>PROPERIDINE</w:t>
            </w:r>
          </w:p>
        </w:tc>
        <w:tc>
          <w:tcPr>
            <w:tcW w:w="1254" w:type="dxa"/>
          </w:tcPr>
          <w:p>
            <w:pPr>
              <w:pStyle w:val="yTableNAm"/>
              <w:tabs>
                <w:tab w:val="clear" w:pos="567"/>
                <w:tab w:val="decimal" w:pos="463"/>
              </w:tabs>
            </w:pPr>
            <w:r>
              <w:t>25.0</w:t>
            </w:r>
          </w:p>
        </w:tc>
      </w:tr>
      <w:tr>
        <w:tc>
          <w:tcPr>
            <w:tcW w:w="993" w:type="dxa"/>
          </w:tcPr>
          <w:p>
            <w:pPr>
              <w:pStyle w:val="yTableNAm"/>
            </w:pPr>
            <w:r>
              <w:t>130.</w:t>
            </w:r>
          </w:p>
        </w:tc>
        <w:tc>
          <w:tcPr>
            <w:tcW w:w="5191" w:type="dxa"/>
            <w:gridSpan w:val="2"/>
          </w:tcPr>
          <w:p>
            <w:pPr>
              <w:pStyle w:val="yTableNAm"/>
            </w:pPr>
            <w:r>
              <w:t>PROPIRAM</w:t>
            </w:r>
          </w:p>
        </w:tc>
        <w:tc>
          <w:tcPr>
            <w:tcW w:w="1254" w:type="dxa"/>
          </w:tcPr>
          <w:p>
            <w:pPr>
              <w:pStyle w:val="yTableNAm"/>
              <w:tabs>
                <w:tab w:val="clear" w:pos="567"/>
                <w:tab w:val="decimal" w:pos="463"/>
              </w:tabs>
            </w:pPr>
            <w:r>
              <w:t>4.0</w:t>
            </w:r>
          </w:p>
        </w:tc>
      </w:tr>
      <w:tr>
        <w:tc>
          <w:tcPr>
            <w:tcW w:w="993" w:type="dxa"/>
          </w:tcPr>
          <w:p>
            <w:pPr>
              <w:pStyle w:val="yTableNAm"/>
            </w:pPr>
            <w:r>
              <w:t>131A.</w:t>
            </w:r>
          </w:p>
        </w:tc>
        <w:tc>
          <w:tcPr>
            <w:tcW w:w="5191"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54" w:type="dxa"/>
          </w:tcPr>
          <w:p>
            <w:pPr>
              <w:pStyle w:val="yTableNAm"/>
              <w:tabs>
                <w:tab w:val="clear" w:pos="567"/>
                <w:tab w:val="decimal" w:pos="463"/>
              </w:tabs>
            </w:pPr>
            <w:r>
              <w:br/>
              <w:t>100.0</w:t>
            </w:r>
          </w:p>
        </w:tc>
      </w:tr>
      <w:tr>
        <w:tc>
          <w:tcPr>
            <w:tcW w:w="993" w:type="dxa"/>
          </w:tcPr>
          <w:p>
            <w:pPr>
              <w:pStyle w:val="yTableNAm"/>
            </w:pPr>
            <w:r>
              <w:t>131.</w:t>
            </w:r>
          </w:p>
        </w:tc>
        <w:tc>
          <w:tcPr>
            <w:tcW w:w="5191" w:type="dxa"/>
            <w:gridSpan w:val="2"/>
          </w:tcPr>
          <w:p>
            <w:pPr>
              <w:pStyle w:val="yTableNAm"/>
            </w:pPr>
            <w:r>
              <w:t>PSILOCIN</w:t>
            </w:r>
          </w:p>
        </w:tc>
        <w:tc>
          <w:tcPr>
            <w:tcW w:w="1254" w:type="dxa"/>
          </w:tcPr>
          <w:p>
            <w:pPr>
              <w:pStyle w:val="yTableNAm"/>
              <w:tabs>
                <w:tab w:val="clear" w:pos="567"/>
                <w:tab w:val="decimal" w:pos="463"/>
              </w:tabs>
            </w:pPr>
            <w:r>
              <w:t>0.1</w:t>
            </w:r>
          </w:p>
        </w:tc>
      </w:tr>
      <w:tr>
        <w:tc>
          <w:tcPr>
            <w:tcW w:w="993" w:type="dxa"/>
          </w:tcPr>
          <w:p>
            <w:pPr>
              <w:pStyle w:val="yTableNAm"/>
            </w:pPr>
            <w:r>
              <w:t>132.</w:t>
            </w:r>
          </w:p>
        </w:tc>
        <w:tc>
          <w:tcPr>
            <w:tcW w:w="5191" w:type="dxa"/>
            <w:gridSpan w:val="2"/>
          </w:tcPr>
          <w:p>
            <w:pPr>
              <w:pStyle w:val="yTableNAm"/>
            </w:pPr>
            <w:r>
              <w:t>PSILOCYBIN</w:t>
            </w:r>
          </w:p>
        </w:tc>
        <w:tc>
          <w:tcPr>
            <w:tcW w:w="1254" w:type="dxa"/>
          </w:tcPr>
          <w:p>
            <w:pPr>
              <w:pStyle w:val="yTableNAm"/>
              <w:tabs>
                <w:tab w:val="clear" w:pos="567"/>
                <w:tab w:val="decimal" w:pos="463"/>
              </w:tabs>
            </w:pPr>
            <w:r>
              <w:t>0.1</w:t>
            </w:r>
          </w:p>
        </w:tc>
      </w:tr>
      <w:tr>
        <w:tc>
          <w:tcPr>
            <w:tcW w:w="993" w:type="dxa"/>
          </w:tcPr>
          <w:p>
            <w:pPr>
              <w:pStyle w:val="yTableNAm"/>
            </w:pPr>
            <w:r>
              <w:t>133.</w:t>
            </w:r>
          </w:p>
        </w:tc>
        <w:tc>
          <w:tcPr>
            <w:tcW w:w="5191" w:type="dxa"/>
            <w:gridSpan w:val="2"/>
          </w:tcPr>
          <w:p>
            <w:pPr>
              <w:pStyle w:val="yTableNAm"/>
            </w:pPr>
            <w:r>
              <w:t>PSYCHOTOMIMETIC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134.</w:t>
            </w:r>
          </w:p>
        </w:tc>
        <w:tc>
          <w:tcPr>
            <w:tcW w:w="5191" w:type="dxa"/>
            <w:gridSpan w:val="2"/>
          </w:tcPr>
          <w:p>
            <w:pPr>
              <w:pStyle w:val="yTableNAm"/>
            </w:pPr>
            <w:r>
              <w:t>QUINALBARBITONE</w:t>
            </w:r>
          </w:p>
        </w:tc>
        <w:tc>
          <w:tcPr>
            <w:tcW w:w="1254" w:type="dxa"/>
          </w:tcPr>
          <w:p>
            <w:pPr>
              <w:pStyle w:val="yTableNAm"/>
              <w:tabs>
                <w:tab w:val="clear" w:pos="567"/>
                <w:tab w:val="decimal" w:pos="463"/>
              </w:tabs>
            </w:pPr>
            <w:r>
              <w:t>10.0</w:t>
            </w:r>
          </w:p>
        </w:tc>
      </w:tr>
      <w:tr>
        <w:tc>
          <w:tcPr>
            <w:tcW w:w="993" w:type="dxa"/>
          </w:tcPr>
          <w:p>
            <w:pPr>
              <w:pStyle w:val="yTableNAm"/>
            </w:pPr>
            <w:r>
              <w:t>135.</w:t>
            </w:r>
          </w:p>
        </w:tc>
        <w:tc>
          <w:tcPr>
            <w:tcW w:w="5191" w:type="dxa"/>
            <w:gridSpan w:val="2"/>
          </w:tcPr>
          <w:p>
            <w:pPr>
              <w:pStyle w:val="yTableNAm"/>
            </w:pPr>
            <w:r>
              <w:t>RACEMETHORPHAN</w:t>
            </w:r>
          </w:p>
        </w:tc>
        <w:tc>
          <w:tcPr>
            <w:tcW w:w="1254" w:type="dxa"/>
          </w:tcPr>
          <w:p>
            <w:pPr>
              <w:pStyle w:val="yTableNAm"/>
              <w:tabs>
                <w:tab w:val="clear" w:pos="567"/>
                <w:tab w:val="decimal" w:pos="463"/>
              </w:tabs>
            </w:pPr>
            <w:r>
              <w:t>2.0</w:t>
            </w:r>
          </w:p>
        </w:tc>
      </w:tr>
      <w:tr>
        <w:tc>
          <w:tcPr>
            <w:tcW w:w="993" w:type="dxa"/>
          </w:tcPr>
          <w:p>
            <w:pPr>
              <w:pStyle w:val="yTableNAm"/>
            </w:pPr>
            <w:r>
              <w:t>136.</w:t>
            </w:r>
          </w:p>
        </w:tc>
        <w:tc>
          <w:tcPr>
            <w:tcW w:w="5191" w:type="dxa"/>
            <w:gridSpan w:val="2"/>
          </w:tcPr>
          <w:p>
            <w:pPr>
              <w:pStyle w:val="yTableNAm"/>
            </w:pPr>
            <w:r>
              <w:t>RACEMORAMIDE</w:t>
            </w:r>
          </w:p>
        </w:tc>
        <w:tc>
          <w:tcPr>
            <w:tcW w:w="1254" w:type="dxa"/>
          </w:tcPr>
          <w:p>
            <w:pPr>
              <w:pStyle w:val="yTableNAm"/>
              <w:tabs>
                <w:tab w:val="clear" w:pos="567"/>
                <w:tab w:val="decimal" w:pos="463"/>
              </w:tabs>
            </w:pPr>
            <w:r>
              <w:t>1.0</w:t>
            </w:r>
          </w:p>
        </w:tc>
      </w:tr>
      <w:tr>
        <w:tc>
          <w:tcPr>
            <w:tcW w:w="993" w:type="dxa"/>
          </w:tcPr>
          <w:p>
            <w:pPr>
              <w:pStyle w:val="yTableNAm"/>
            </w:pPr>
            <w:r>
              <w:t>137.</w:t>
            </w:r>
          </w:p>
        </w:tc>
        <w:tc>
          <w:tcPr>
            <w:tcW w:w="5191" w:type="dxa"/>
            <w:gridSpan w:val="2"/>
          </w:tcPr>
          <w:p>
            <w:pPr>
              <w:pStyle w:val="yTableNAm"/>
            </w:pPr>
            <w:r>
              <w:t>RACEMORPHAN</w:t>
            </w:r>
          </w:p>
        </w:tc>
        <w:tc>
          <w:tcPr>
            <w:tcW w:w="1254" w:type="dxa"/>
          </w:tcPr>
          <w:p>
            <w:pPr>
              <w:pStyle w:val="yTableNAm"/>
              <w:tabs>
                <w:tab w:val="clear" w:pos="567"/>
                <w:tab w:val="decimal" w:pos="463"/>
              </w:tabs>
            </w:pPr>
            <w:r>
              <w:t>2.0</w:t>
            </w:r>
          </w:p>
        </w:tc>
      </w:tr>
      <w:tr>
        <w:tc>
          <w:tcPr>
            <w:tcW w:w="993" w:type="dxa"/>
          </w:tcPr>
          <w:p>
            <w:pPr>
              <w:pStyle w:val="yTableNAm"/>
            </w:pPr>
            <w:r>
              <w:t>138.</w:t>
            </w:r>
          </w:p>
        </w:tc>
        <w:tc>
          <w:tcPr>
            <w:tcW w:w="5191" w:type="dxa"/>
            <w:gridSpan w:val="2"/>
          </w:tcPr>
          <w:p>
            <w:pPr>
              <w:pStyle w:val="yTableNAm"/>
            </w:pPr>
            <w:r>
              <w:t>SECBUTOBARBITONE</w:t>
            </w:r>
          </w:p>
        </w:tc>
        <w:tc>
          <w:tcPr>
            <w:tcW w:w="1254" w:type="dxa"/>
          </w:tcPr>
          <w:p>
            <w:pPr>
              <w:pStyle w:val="yTableNAm"/>
              <w:tabs>
                <w:tab w:val="clear" w:pos="567"/>
                <w:tab w:val="decimal" w:pos="463"/>
              </w:tabs>
            </w:pPr>
            <w:r>
              <w:t>10.0</w:t>
            </w:r>
          </w:p>
        </w:tc>
      </w:tr>
      <w:tr>
        <w:tc>
          <w:tcPr>
            <w:tcW w:w="993" w:type="dxa"/>
          </w:tcPr>
          <w:p>
            <w:pPr>
              <w:pStyle w:val="yTableNAm"/>
            </w:pPr>
            <w:r>
              <w:t>139.</w:t>
            </w:r>
          </w:p>
        </w:tc>
        <w:tc>
          <w:tcPr>
            <w:tcW w:w="5191" w:type="dxa"/>
            <w:gridSpan w:val="2"/>
          </w:tcPr>
          <w:p>
            <w:pPr>
              <w:pStyle w:val="yTableNAm"/>
            </w:pPr>
            <w:r>
              <w:t>TALBUTAL</w:t>
            </w:r>
          </w:p>
        </w:tc>
        <w:tc>
          <w:tcPr>
            <w:tcW w:w="1254" w:type="dxa"/>
          </w:tcPr>
          <w:p>
            <w:pPr>
              <w:pStyle w:val="yTableNAm"/>
              <w:tabs>
                <w:tab w:val="clear" w:pos="567"/>
                <w:tab w:val="decimal" w:pos="463"/>
              </w:tabs>
            </w:pPr>
            <w:r>
              <w:t>10.0</w:t>
            </w:r>
          </w:p>
        </w:tc>
      </w:tr>
      <w:tr>
        <w:tc>
          <w:tcPr>
            <w:tcW w:w="993" w:type="dxa"/>
          </w:tcPr>
          <w:p>
            <w:pPr>
              <w:pStyle w:val="yTableNAm"/>
            </w:pPr>
            <w:r>
              <w:t>140.</w:t>
            </w:r>
          </w:p>
        </w:tc>
        <w:tc>
          <w:tcPr>
            <w:tcW w:w="5191" w:type="dxa"/>
            <w:gridSpan w:val="2"/>
          </w:tcPr>
          <w:p>
            <w:pPr>
              <w:pStyle w:val="yTableNAm"/>
            </w:pPr>
            <w:r>
              <w:t>TETRAHYDROCANNABINOLS</w:t>
            </w:r>
          </w:p>
        </w:tc>
        <w:tc>
          <w:tcPr>
            <w:tcW w:w="1254" w:type="dxa"/>
          </w:tcPr>
          <w:p>
            <w:pPr>
              <w:pStyle w:val="yTableNAm"/>
              <w:tabs>
                <w:tab w:val="clear" w:pos="567"/>
                <w:tab w:val="decimal" w:pos="463"/>
              </w:tabs>
            </w:pPr>
            <w:r>
              <w:t>2.0</w:t>
            </w:r>
          </w:p>
        </w:tc>
      </w:tr>
      <w:tr>
        <w:tc>
          <w:tcPr>
            <w:tcW w:w="993" w:type="dxa"/>
          </w:tcPr>
          <w:p>
            <w:pPr>
              <w:pStyle w:val="yTableNAm"/>
            </w:pPr>
            <w:r>
              <w:t>141.</w:t>
            </w:r>
          </w:p>
        </w:tc>
        <w:tc>
          <w:tcPr>
            <w:tcW w:w="5191" w:type="dxa"/>
            <w:gridSpan w:val="2"/>
          </w:tcPr>
          <w:p>
            <w:pPr>
              <w:pStyle w:val="yTableNAm"/>
            </w:pPr>
            <w:r>
              <w:t>THEBACON</w:t>
            </w:r>
          </w:p>
        </w:tc>
        <w:tc>
          <w:tcPr>
            <w:tcW w:w="1254" w:type="dxa"/>
          </w:tcPr>
          <w:p>
            <w:pPr>
              <w:pStyle w:val="yTableNAm"/>
              <w:tabs>
                <w:tab w:val="clear" w:pos="567"/>
                <w:tab w:val="decimal" w:pos="463"/>
              </w:tabs>
            </w:pPr>
            <w:r>
              <w:t>2.0</w:t>
            </w:r>
          </w:p>
        </w:tc>
      </w:tr>
      <w:tr>
        <w:tc>
          <w:tcPr>
            <w:tcW w:w="993" w:type="dxa"/>
          </w:tcPr>
          <w:p>
            <w:pPr>
              <w:pStyle w:val="yTableNAm"/>
            </w:pPr>
            <w:r>
              <w:t>142.</w:t>
            </w:r>
          </w:p>
        </w:tc>
        <w:tc>
          <w:tcPr>
            <w:tcW w:w="5191" w:type="dxa"/>
            <w:gridSpan w:val="2"/>
          </w:tcPr>
          <w:p>
            <w:pPr>
              <w:pStyle w:val="yTableNAm"/>
            </w:pPr>
            <w:r>
              <w:t>THEBAINE</w:t>
            </w:r>
          </w:p>
        </w:tc>
        <w:tc>
          <w:tcPr>
            <w:tcW w:w="1254" w:type="dxa"/>
          </w:tcPr>
          <w:p>
            <w:pPr>
              <w:pStyle w:val="yTableNAm"/>
              <w:tabs>
                <w:tab w:val="clear" w:pos="567"/>
                <w:tab w:val="decimal" w:pos="463"/>
              </w:tabs>
            </w:pPr>
            <w:r>
              <w:t>10.0</w:t>
            </w:r>
          </w:p>
        </w:tc>
      </w:tr>
      <w:tr>
        <w:tc>
          <w:tcPr>
            <w:tcW w:w="993" w:type="dxa"/>
          </w:tcPr>
          <w:p>
            <w:pPr>
              <w:pStyle w:val="yTableNAm"/>
            </w:pPr>
            <w:r>
              <w:t>143.</w:t>
            </w:r>
          </w:p>
        </w:tc>
        <w:tc>
          <w:tcPr>
            <w:tcW w:w="5191" w:type="dxa"/>
            <w:gridSpan w:val="2"/>
          </w:tcPr>
          <w:p>
            <w:pPr>
              <w:pStyle w:val="yTableNAm"/>
            </w:pPr>
            <w:r>
              <w:t>TRIMEPERIDINE</w:t>
            </w:r>
          </w:p>
        </w:tc>
        <w:tc>
          <w:tcPr>
            <w:tcW w:w="1254" w:type="dxa"/>
          </w:tcPr>
          <w:p>
            <w:pPr>
              <w:pStyle w:val="yTableNAm"/>
              <w:tabs>
                <w:tab w:val="clear" w:pos="567"/>
                <w:tab w:val="decimal" w:pos="463"/>
              </w:tabs>
            </w:pPr>
            <w:r>
              <w:t>10.0</w:t>
            </w:r>
          </w:p>
        </w:tc>
      </w:tr>
      <w:tr>
        <w:tc>
          <w:tcPr>
            <w:tcW w:w="993" w:type="dxa"/>
          </w:tcPr>
          <w:p>
            <w:pPr>
              <w:pStyle w:val="yTableNAm"/>
            </w:pPr>
            <w:r>
              <w:t>144.</w:t>
            </w:r>
          </w:p>
        </w:tc>
        <w:tc>
          <w:tcPr>
            <w:tcW w:w="5191" w:type="dxa"/>
            <w:gridSpan w:val="2"/>
          </w:tcPr>
          <w:p>
            <w:pPr>
              <w:pStyle w:val="yTableNAm"/>
            </w:pPr>
            <w:r>
              <w:t>VINBARBITONE</w:t>
            </w:r>
          </w:p>
        </w:tc>
        <w:tc>
          <w:tcPr>
            <w:tcW w:w="1254" w:type="dxa"/>
          </w:tcPr>
          <w:p>
            <w:pPr>
              <w:pStyle w:val="yTableNAm"/>
              <w:tabs>
                <w:tab w:val="clear" w:pos="567"/>
                <w:tab w:val="decimal" w:pos="463"/>
              </w:tabs>
            </w:pPr>
            <w:r>
              <w:t>10.0</w:t>
            </w:r>
          </w:p>
        </w:tc>
      </w:tr>
    </w:tbl>
    <w:p>
      <w:pPr>
        <w:pStyle w:val="yFootnotesection"/>
      </w:pPr>
      <w:r>
        <w:tab/>
        <w:t>[Schedule V amended by No. 48 of 1995 s. 43; amended in Gazette 30 Nov 1990 p. 5937; 29 Nov 1991 p. 6041; 29 Apr 2011 p. 1533; 1 Jul 2011 p. 2743</w:t>
      </w:r>
      <w:r>
        <w:noBreakHyphen/>
        <w:t>4; 11 Oct 2011 p. 4318</w:t>
      </w:r>
      <w:r>
        <w:noBreakHyphen/>
        <w:t>19; 13 Apr 2012 p. 1665; 30 Oct 2012 p. 5195.]</w:t>
      </w:r>
    </w:p>
    <w:p>
      <w:pPr>
        <w:pStyle w:val="yScheduleHeading"/>
      </w:pPr>
      <w:bookmarkStart w:id="439" w:name="_Toc392246340"/>
      <w:bookmarkStart w:id="440" w:name="_Toc421283424"/>
      <w:bookmarkStart w:id="441" w:name="_Toc421283522"/>
      <w:bookmarkStart w:id="442" w:name="_Toc433365489"/>
      <w:bookmarkStart w:id="443" w:name="_Toc435452126"/>
      <w:bookmarkStart w:id="444" w:name="_Toc435452234"/>
      <w:bookmarkStart w:id="445" w:name="_Toc435457877"/>
      <w:bookmarkStart w:id="446" w:name="_Toc457316016"/>
      <w:bookmarkStart w:id="447" w:name="_Toc457385080"/>
      <w:bookmarkStart w:id="448" w:name="_Toc457468777"/>
      <w:bookmarkStart w:id="449" w:name="_Toc468199308"/>
      <w:r>
        <w:rPr>
          <w:rStyle w:val="CharSchNo"/>
        </w:rPr>
        <w:t>Schedule VI</w:t>
      </w:r>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439"/>
      <w:bookmarkEnd w:id="440"/>
      <w:bookmarkEnd w:id="441"/>
      <w:bookmarkEnd w:id="442"/>
      <w:bookmarkEnd w:id="443"/>
      <w:bookmarkEnd w:id="444"/>
      <w:bookmarkEnd w:id="445"/>
      <w:bookmarkEnd w:id="446"/>
      <w:bookmarkEnd w:id="447"/>
      <w:bookmarkEnd w:id="448"/>
      <w:bookmarkEnd w:id="449"/>
    </w:p>
    <w:p>
      <w:pPr>
        <w:pStyle w:val="yShoulderClause"/>
        <w:rPr>
          <w:snapToGrid w:val="0"/>
        </w:rPr>
      </w:pPr>
      <w:r>
        <w:rPr>
          <w:snapToGrid w:val="0"/>
        </w:rPr>
        <w:t>[s. 11(b)]</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Papaver somniferum</w:t>
            </w:r>
          </w:p>
        </w:tc>
        <w:tc>
          <w:tcPr>
            <w:tcW w:w="1350" w:type="dxa"/>
          </w:tcPr>
          <w:p>
            <w:pPr>
              <w:pStyle w:val="yTableNAm"/>
              <w:jc w:val="center"/>
            </w:pPr>
            <w:r>
              <w:t>25</w:t>
            </w:r>
          </w:p>
        </w:tc>
      </w:tr>
      <w:tr>
        <w:tc>
          <w:tcPr>
            <w:tcW w:w="993" w:type="dxa"/>
          </w:tcPr>
          <w:p>
            <w:pPr>
              <w:pStyle w:val="yTableNAm"/>
            </w:pPr>
            <w:r>
              <w:t>2.</w:t>
            </w:r>
          </w:p>
        </w:tc>
        <w:tc>
          <w:tcPr>
            <w:tcW w:w="5089" w:type="dxa"/>
          </w:tcPr>
          <w:p>
            <w:pPr>
              <w:pStyle w:val="yTableNAm"/>
            </w:pPr>
            <w:r>
              <w:t>Papaver bracteatum</w:t>
            </w:r>
          </w:p>
        </w:tc>
        <w:tc>
          <w:tcPr>
            <w:tcW w:w="1350" w:type="dxa"/>
          </w:tcPr>
          <w:p>
            <w:pPr>
              <w:pStyle w:val="yTableNAm"/>
              <w:jc w:val="center"/>
            </w:pPr>
            <w:r>
              <w:t>25</w:t>
            </w:r>
          </w:p>
        </w:tc>
      </w:tr>
      <w:tr>
        <w:tc>
          <w:tcPr>
            <w:tcW w:w="993" w:type="dxa"/>
          </w:tcPr>
          <w:p>
            <w:pPr>
              <w:pStyle w:val="yTableNAm"/>
            </w:pPr>
            <w:r>
              <w:t>3.</w:t>
            </w:r>
          </w:p>
        </w:tc>
        <w:tc>
          <w:tcPr>
            <w:tcW w:w="5089" w:type="dxa"/>
          </w:tcPr>
          <w:p>
            <w:pPr>
              <w:pStyle w:val="yTableNAm"/>
            </w:pPr>
            <w:r>
              <w:t>Cannabis</w:t>
            </w:r>
          </w:p>
        </w:tc>
        <w:tc>
          <w:tcPr>
            <w:tcW w:w="1350" w:type="dxa"/>
          </w:tcPr>
          <w:p>
            <w:pPr>
              <w:pStyle w:val="yTableNAm"/>
              <w:jc w:val="center"/>
            </w:pPr>
            <w:r>
              <w:t>10</w:t>
            </w:r>
          </w:p>
        </w:tc>
      </w:tr>
    </w:tbl>
    <w:p>
      <w:pPr>
        <w:pStyle w:val="yFootnotesection"/>
      </w:pPr>
      <w:r>
        <w:tab/>
        <w:t>[Schedule VI amended by No. 52 of 2003 s. 32.]</w:t>
      </w:r>
    </w:p>
    <w:p>
      <w:pPr>
        <w:pStyle w:val="yScheduleHeading"/>
      </w:pPr>
      <w:bookmarkStart w:id="450" w:name="_Toc392246341"/>
      <w:bookmarkStart w:id="451" w:name="_Toc421283425"/>
      <w:bookmarkStart w:id="452" w:name="_Toc421283523"/>
      <w:bookmarkStart w:id="453" w:name="_Toc433365490"/>
      <w:bookmarkStart w:id="454" w:name="_Toc435452127"/>
      <w:bookmarkStart w:id="455" w:name="_Toc435452235"/>
      <w:bookmarkStart w:id="456" w:name="_Toc435457878"/>
      <w:bookmarkStart w:id="457" w:name="_Toc457316017"/>
      <w:bookmarkStart w:id="458" w:name="_Toc457385081"/>
      <w:bookmarkStart w:id="459" w:name="_Toc457468778"/>
      <w:bookmarkStart w:id="460" w:name="_Toc468199309"/>
      <w:r>
        <w:rPr>
          <w:rStyle w:val="CharSchNo"/>
        </w:rPr>
        <w:t>Schedule VII</w:t>
      </w:r>
      <w:r>
        <w:rPr>
          <w:rStyle w:val="CharSDivNo"/>
        </w:rPr>
        <w:t> </w:t>
      </w:r>
      <w:r>
        <w:t>—</w:t>
      </w:r>
      <w:r>
        <w:rPr>
          <w:rStyle w:val="CharSDivText"/>
        </w:rPr>
        <w:t> </w:t>
      </w:r>
      <w:r>
        <w:rPr>
          <w:rStyle w:val="CharSchText"/>
          <w:bCs/>
        </w:rPr>
        <w:t>Amounts of prohibited drugs for purposes of drug trafficking</w:t>
      </w:r>
      <w:bookmarkEnd w:id="450"/>
      <w:bookmarkEnd w:id="451"/>
      <w:bookmarkEnd w:id="452"/>
      <w:bookmarkEnd w:id="453"/>
      <w:bookmarkEnd w:id="454"/>
      <w:bookmarkEnd w:id="455"/>
      <w:bookmarkEnd w:id="456"/>
      <w:bookmarkEnd w:id="457"/>
      <w:bookmarkEnd w:id="458"/>
      <w:bookmarkEnd w:id="459"/>
      <w:bookmarkEnd w:id="460"/>
    </w:p>
    <w:p>
      <w:pPr>
        <w:pStyle w:val="yShoulderClause"/>
        <w:rPr>
          <w:snapToGrid w:val="0"/>
        </w:rPr>
      </w:pPr>
      <w:r>
        <w:rPr>
          <w:snapToGrid w:val="0"/>
        </w:rPr>
        <w:t>[s. 32A(1)(b)(i)]</w:t>
      </w:r>
    </w:p>
    <w:p>
      <w:pPr>
        <w:pStyle w:val="yFootnoteheading"/>
      </w:pPr>
      <w:r>
        <w:tab/>
        <w:t>[Heading amended by No. 19 of 2010 s. 4.]</w:t>
      </w:r>
    </w:p>
    <w:tbl>
      <w:tblPr>
        <w:tblW w:w="7421" w:type="dxa"/>
        <w:tblLayout w:type="fixed"/>
        <w:tblCellMar>
          <w:left w:w="142" w:type="dxa"/>
          <w:right w:w="142" w:type="dxa"/>
        </w:tblCellMar>
        <w:tblLook w:val="0000" w:firstRow="0" w:lastRow="0" w:firstColumn="0" w:lastColumn="0" w:noHBand="0" w:noVBand="0"/>
      </w:tblPr>
      <w:tblGrid>
        <w:gridCol w:w="993"/>
        <w:gridCol w:w="5070"/>
        <w:gridCol w:w="1358"/>
      </w:tblGrid>
      <w:tr>
        <w:trPr>
          <w:tblHeader/>
        </w:trPr>
        <w:tc>
          <w:tcPr>
            <w:tcW w:w="993" w:type="dxa"/>
          </w:tcPr>
          <w:p>
            <w:pPr>
              <w:pStyle w:val="yTableNAm"/>
              <w:rPr>
                <w:i/>
              </w:rPr>
            </w:pPr>
            <w:r>
              <w:rPr>
                <w:i/>
              </w:rPr>
              <w:t>Item</w:t>
            </w:r>
          </w:p>
        </w:tc>
        <w:tc>
          <w:tcPr>
            <w:tcW w:w="5070" w:type="dxa"/>
          </w:tcPr>
          <w:p>
            <w:pPr>
              <w:pStyle w:val="yTableNAm"/>
              <w:jc w:val="center"/>
              <w:rPr>
                <w:i/>
              </w:rPr>
            </w:pPr>
            <w:r>
              <w:rPr>
                <w:i/>
              </w:rPr>
              <w:t>Prohibited drug</w:t>
            </w:r>
          </w:p>
        </w:tc>
        <w:tc>
          <w:tcPr>
            <w:tcW w:w="1358"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070" w:type="dxa"/>
          </w:tcPr>
          <w:p>
            <w:pPr>
              <w:pStyle w:val="yTableNAm"/>
            </w:pPr>
            <w:r>
              <w:t>AMPHETAMINE</w:t>
            </w:r>
          </w:p>
        </w:tc>
        <w:tc>
          <w:tcPr>
            <w:tcW w:w="1358" w:type="dxa"/>
          </w:tcPr>
          <w:p>
            <w:pPr>
              <w:pStyle w:val="yTableNAm"/>
              <w:tabs>
                <w:tab w:val="clear" w:pos="567"/>
                <w:tab w:val="decimal" w:pos="463"/>
              </w:tabs>
            </w:pPr>
            <w:r>
              <w:t>28.0</w:t>
            </w:r>
          </w:p>
        </w:tc>
      </w:tr>
      <w:tr>
        <w:tc>
          <w:tcPr>
            <w:tcW w:w="993" w:type="dxa"/>
          </w:tcPr>
          <w:p>
            <w:pPr>
              <w:pStyle w:val="yTableNAm"/>
              <w:rPr>
                <w:szCs w:val="22"/>
              </w:rPr>
            </w:pPr>
            <w:r>
              <w:rPr>
                <w:szCs w:val="22"/>
              </w:rPr>
              <w:t>2AA.</w:t>
            </w:r>
          </w:p>
        </w:tc>
        <w:tc>
          <w:tcPr>
            <w:tcW w:w="5070" w:type="dxa"/>
          </w:tcPr>
          <w:p>
            <w:pPr>
              <w:pStyle w:val="yTableNAm"/>
              <w:rPr>
                <w:szCs w:val="22"/>
              </w:rPr>
            </w:pPr>
            <w:r>
              <w:rPr>
                <w:szCs w:val="22"/>
              </w:rPr>
              <w:t>BENZOYLINDOLES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2A.</w:t>
            </w:r>
          </w:p>
        </w:tc>
        <w:tc>
          <w:tcPr>
            <w:tcW w:w="5070" w:type="dxa"/>
          </w:tcPr>
          <w:p>
            <w:pPr>
              <w:pStyle w:val="yTableNAm"/>
            </w:pPr>
            <w:r>
              <w:t>BENZYLPIPERAZINE (BZP)</w:t>
            </w:r>
          </w:p>
        </w:tc>
        <w:tc>
          <w:tcPr>
            <w:tcW w:w="1358" w:type="dxa"/>
          </w:tcPr>
          <w:p>
            <w:pPr>
              <w:pStyle w:val="yTableNAm"/>
              <w:tabs>
                <w:tab w:val="clear" w:pos="567"/>
                <w:tab w:val="decimal" w:pos="463"/>
              </w:tabs>
            </w:pPr>
            <w:r>
              <w:t>28.0</w:t>
            </w:r>
          </w:p>
        </w:tc>
      </w:tr>
      <w:tr>
        <w:tc>
          <w:tcPr>
            <w:tcW w:w="993" w:type="dxa"/>
          </w:tcPr>
          <w:p>
            <w:pPr>
              <w:pStyle w:val="yTableNAm"/>
            </w:pPr>
            <w:r>
              <w:t>2B.</w:t>
            </w:r>
          </w:p>
        </w:tc>
        <w:tc>
          <w:tcPr>
            <w:tcW w:w="5070" w:type="dxa"/>
          </w:tcPr>
          <w:p>
            <w:pPr>
              <w:pStyle w:val="yTableNAm"/>
            </w:pPr>
            <w:r>
              <w:t>1</w:t>
            </w:r>
            <w:r>
              <w:noBreakHyphen/>
              <w:t>BUTYL</w:t>
            </w:r>
            <w:r>
              <w:noBreakHyphen/>
              <w:t>3</w:t>
            </w:r>
            <w:r>
              <w:noBreakHyphen/>
              <w:t>(1</w:t>
            </w:r>
            <w:r>
              <w:noBreakHyphen/>
              <w:t>NAPHTHOYL) INDOLE (JWH-073)</w:t>
            </w:r>
          </w:p>
        </w:tc>
        <w:tc>
          <w:tcPr>
            <w:tcW w:w="1358" w:type="dxa"/>
          </w:tcPr>
          <w:p>
            <w:pPr>
              <w:pStyle w:val="yTableNAm"/>
              <w:tabs>
                <w:tab w:val="clear" w:pos="567"/>
                <w:tab w:val="decimal" w:pos="463"/>
              </w:tabs>
            </w:pPr>
            <w:r>
              <w:t>3.0 kg</w:t>
            </w:r>
          </w:p>
        </w:tc>
      </w:tr>
      <w:tr>
        <w:tc>
          <w:tcPr>
            <w:tcW w:w="993" w:type="dxa"/>
          </w:tcPr>
          <w:p>
            <w:pPr>
              <w:pStyle w:val="yTableNAm"/>
            </w:pPr>
            <w:r>
              <w:t>2.</w:t>
            </w:r>
          </w:p>
        </w:tc>
        <w:tc>
          <w:tcPr>
            <w:tcW w:w="5070" w:type="dxa"/>
          </w:tcPr>
          <w:p>
            <w:pPr>
              <w:pStyle w:val="yTableNAm"/>
            </w:pPr>
            <w:r>
              <w:t>CANNABIS</w:t>
            </w:r>
          </w:p>
        </w:tc>
        <w:tc>
          <w:tcPr>
            <w:tcW w:w="1358" w:type="dxa"/>
          </w:tcPr>
          <w:p>
            <w:pPr>
              <w:pStyle w:val="yTableNAm"/>
              <w:tabs>
                <w:tab w:val="clear" w:pos="567"/>
                <w:tab w:val="decimal" w:pos="463"/>
              </w:tabs>
            </w:pPr>
            <w:r>
              <w:t>3.0 kg</w:t>
            </w:r>
          </w:p>
        </w:tc>
      </w:tr>
      <w:tr>
        <w:tc>
          <w:tcPr>
            <w:tcW w:w="993" w:type="dxa"/>
          </w:tcPr>
          <w:p>
            <w:pPr>
              <w:pStyle w:val="yTableNAm"/>
            </w:pPr>
            <w:r>
              <w:t>3.</w:t>
            </w:r>
          </w:p>
        </w:tc>
        <w:tc>
          <w:tcPr>
            <w:tcW w:w="5070" w:type="dxa"/>
          </w:tcPr>
          <w:p>
            <w:pPr>
              <w:pStyle w:val="yTableNAm"/>
            </w:pPr>
            <w:r>
              <w:t>CANNABIS RESIN</w:t>
            </w:r>
          </w:p>
        </w:tc>
        <w:tc>
          <w:tcPr>
            <w:tcW w:w="1358" w:type="dxa"/>
          </w:tcPr>
          <w:p>
            <w:pPr>
              <w:pStyle w:val="yTableNAm"/>
              <w:tabs>
                <w:tab w:val="clear" w:pos="567"/>
                <w:tab w:val="decimal" w:pos="463"/>
              </w:tabs>
            </w:pPr>
            <w:r>
              <w:t>100.0</w:t>
            </w:r>
          </w:p>
        </w:tc>
      </w:tr>
      <w:tr>
        <w:tc>
          <w:tcPr>
            <w:tcW w:w="993" w:type="dxa"/>
          </w:tcPr>
          <w:p>
            <w:pPr>
              <w:pStyle w:val="yTableNAm"/>
            </w:pPr>
            <w:r>
              <w:t>4.</w:t>
            </w:r>
          </w:p>
        </w:tc>
        <w:tc>
          <w:tcPr>
            <w:tcW w:w="5070" w:type="dxa"/>
          </w:tcPr>
          <w:p>
            <w:pPr>
              <w:pStyle w:val="yTableNAm"/>
            </w:pPr>
            <w:r>
              <w:t>COCAINE</w:t>
            </w:r>
          </w:p>
        </w:tc>
        <w:tc>
          <w:tcPr>
            <w:tcW w:w="1358" w:type="dxa"/>
          </w:tcPr>
          <w:p>
            <w:pPr>
              <w:pStyle w:val="yTableNAm"/>
              <w:tabs>
                <w:tab w:val="clear" w:pos="567"/>
                <w:tab w:val="decimal" w:pos="463"/>
              </w:tabs>
            </w:pPr>
            <w:r>
              <w:t>28.0</w:t>
            </w:r>
          </w:p>
        </w:tc>
      </w:tr>
      <w:tr>
        <w:tc>
          <w:tcPr>
            <w:tcW w:w="993" w:type="dxa"/>
          </w:tcPr>
          <w:p>
            <w:pPr>
              <w:pStyle w:val="yTableNAm"/>
            </w:pPr>
            <w:r>
              <w:t>4A.</w:t>
            </w:r>
          </w:p>
        </w:tc>
        <w:tc>
          <w:tcPr>
            <w:tcW w:w="5070" w:type="dxa"/>
          </w:tcPr>
          <w:p>
            <w:pPr>
              <w:pStyle w:val="yTableNAm"/>
            </w:pPr>
            <w:r>
              <w:t>1</w:t>
            </w:r>
            <w:r>
              <w:noBreakHyphen/>
              <w:t>CYCLOHEXYLETHYL</w:t>
            </w:r>
            <w:r>
              <w:noBreakHyphen/>
              <w:t>3</w:t>
            </w:r>
            <w:r>
              <w:noBreakHyphen/>
              <w:t>(2</w:t>
            </w:r>
            <w:r>
              <w:noBreakHyphen/>
            </w:r>
            <w:r>
              <w:br/>
              <w:t>METHOXYPHENYLACETYL) INDOLE (RCS</w:t>
            </w:r>
            <w:r>
              <w:noBreakHyphen/>
              <w:t>8)</w:t>
            </w:r>
          </w:p>
        </w:tc>
        <w:tc>
          <w:tcPr>
            <w:tcW w:w="1358" w:type="dxa"/>
          </w:tcPr>
          <w:p>
            <w:pPr>
              <w:pStyle w:val="yTableNAm"/>
              <w:tabs>
                <w:tab w:val="clear" w:pos="567"/>
                <w:tab w:val="decimal" w:pos="463"/>
              </w:tabs>
            </w:pPr>
            <w:r>
              <w:br/>
              <w:t>3.0 kg</w:t>
            </w:r>
          </w:p>
        </w:tc>
      </w:tr>
      <w:tr>
        <w:tc>
          <w:tcPr>
            <w:tcW w:w="993" w:type="dxa"/>
          </w:tcPr>
          <w:p>
            <w:pPr>
              <w:pStyle w:val="yTableNAm"/>
            </w:pPr>
            <w:r>
              <w:t>4B.</w:t>
            </w:r>
          </w:p>
        </w:tc>
        <w:tc>
          <w:tcPr>
            <w:tcW w:w="5070" w:type="dxa"/>
          </w:tcPr>
          <w:p>
            <w:pPr>
              <w:pStyle w:val="yTableNAm"/>
            </w:pPr>
            <w:r>
              <w:t>CYCLOHEXYLPHENOLS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w:t>
            </w:r>
          </w:p>
        </w:tc>
        <w:tc>
          <w:tcPr>
            <w:tcW w:w="5070" w:type="dxa"/>
          </w:tcPr>
          <w:p>
            <w:pPr>
              <w:pStyle w:val="yTableNAm"/>
            </w:pPr>
            <w:r>
              <w:t>DIACETYLMORPHINE</w:t>
            </w:r>
          </w:p>
        </w:tc>
        <w:tc>
          <w:tcPr>
            <w:tcW w:w="1358" w:type="dxa"/>
          </w:tcPr>
          <w:p>
            <w:pPr>
              <w:pStyle w:val="yTableNAm"/>
              <w:tabs>
                <w:tab w:val="clear" w:pos="567"/>
                <w:tab w:val="decimal" w:pos="463"/>
              </w:tabs>
            </w:pPr>
            <w:r>
              <w:t>28.0</w:t>
            </w:r>
          </w:p>
        </w:tc>
      </w:tr>
      <w:tr>
        <w:tc>
          <w:tcPr>
            <w:tcW w:w="993" w:type="dxa"/>
          </w:tcPr>
          <w:p>
            <w:pPr>
              <w:pStyle w:val="yTableNAm"/>
            </w:pPr>
            <w:r>
              <w:t>5AAA.</w:t>
            </w:r>
          </w:p>
        </w:tc>
        <w:tc>
          <w:tcPr>
            <w:tcW w:w="5070" w:type="dxa"/>
          </w:tcPr>
          <w:p>
            <w:pPr>
              <w:pStyle w:val="yTableNAm"/>
            </w:pPr>
            <w:r>
              <w:t>DIBENZOPYRANS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5AA.</w:t>
            </w:r>
          </w:p>
        </w:tc>
        <w:tc>
          <w:tcPr>
            <w:tcW w:w="5070" w:type="dxa"/>
          </w:tcPr>
          <w:p>
            <w:pPr>
              <w:pStyle w:val="yTableNAm"/>
            </w:pPr>
            <w:r>
              <w:t>DIMETHYLAMPHETAMINE</w:t>
            </w:r>
          </w:p>
        </w:tc>
        <w:tc>
          <w:tcPr>
            <w:tcW w:w="1358" w:type="dxa"/>
          </w:tcPr>
          <w:p>
            <w:pPr>
              <w:pStyle w:val="yTableNAm"/>
              <w:tabs>
                <w:tab w:val="clear" w:pos="567"/>
                <w:tab w:val="decimal" w:pos="463"/>
              </w:tabs>
            </w:pPr>
            <w:r>
              <w:t>28.0</w:t>
            </w:r>
          </w:p>
        </w:tc>
      </w:tr>
      <w:tr>
        <w:tc>
          <w:tcPr>
            <w:tcW w:w="993" w:type="dxa"/>
          </w:tcPr>
          <w:p>
            <w:pPr>
              <w:pStyle w:val="yTableNAm"/>
            </w:pPr>
            <w:r>
              <w:t>5AB.</w:t>
            </w:r>
          </w:p>
        </w:tc>
        <w:tc>
          <w:tcPr>
            <w:tcW w:w="5070" w:type="dxa"/>
          </w:tcPr>
          <w:p>
            <w:pPr>
              <w:pStyle w:val="yTableNAm"/>
            </w:pPr>
            <w:r>
              <w:t>5</w:t>
            </w:r>
            <w:r>
              <w:noBreakHyphen/>
              <w:t>(1,1</w:t>
            </w:r>
            <w:r>
              <w:noBreakHyphen/>
              <w:t>DIMETHYLHEPTYL)</w:t>
            </w:r>
            <w:r>
              <w:noBreakHyphen/>
              <w:t>2</w:t>
            </w:r>
            <w:r>
              <w:noBreakHyphen/>
              <w:t>[(1R,3S)</w:t>
            </w:r>
            <w:r>
              <w:noBreakHyphen/>
            </w:r>
            <w:r>
              <w:br/>
              <w:t>3</w:t>
            </w:r>
            <w:r>
              <w:noBreakHyphen/>
              <w:t>HY</w:t>
            </w:r>
            <w:r>
              <w:rPr>
                <w:rFonts w:cs="Arial"/>
                <w:color w:val="000000"/>
                <w:szCs w:val="22"/>
              </w:rPr>
              <w:t>D</w:t>
            </w:r>
            <w:r>
              <w:t>ROXYCYCLOHEXYL]</w:t>
            </w:r>
            <w:r>
              <w:noBreakHyphen/>
              <w:t xml:space="preserve">PHENOL </w:t>
            </w:r>
            <w:r>
              <w:br/>
              <w:t>(CP 47,497)</w:t>
            </w:r>
          </w:p>
        </w:tc>
        <w:tc>
          <w:tcPr>
            <w:tcW w:w="1358" w:type="dxa"/>
          </w:tcPr>
          <w:p>
            <w:pPr>
              <w:pStyle w:val="yTableNAm"/>
              <w:tabs>
                <w:tab w:val="clear" w:pos="567"/>
                <w:tab w:val="decimal" w:pos="463"/>
              </w:tabs>
            </w:pPr>
            <w:r>
              <w:br/>
            </w:r>
            <w:r>
              <w:br/>
              <w:t>3.0 kg</w:t>
            </w:r>
          </w:p>
        </w:tc>
      </w:tr>
      <w:tr>
        <w:tc>
          <w:tcPr>
            <w:tcW w:w="993" w:type="dxa"/>
          </w:tcPr>
          <w:p>
            <w:pPr>
              <w:pStyle w:val="yTableNAm"/>
            </w:pPr>
            <w:r>
              <w:t>5AC.</w:t>
            </w:r>
          </w:p>
        </w:tc>
        <w:tc>
          <w:tcPr>
            <w:tcW w:w="5070" w:type="dxa"/>
          </w:tcPr>
          <w:p>
            <w:pPr>
              <w:pStyle w:val="yTableNAm"/>
            </w:pPr>
            <w:r>
              <w:t>5</w:t>
            </w:r>
            <w:r>
              <w:noBreakHyphen/>
              <w:t>(1,1</w:t>
            </w:r>
            <w:r>
              <w:noBreakHyphen/>
              <w:t>DIMETHYLOCTYL)</w:t>
            </w:r>
            <w:r>
              <w:noBreakHyphen/>
              <w:t>2</w:t>
            </w:r>
            <w:r>
              <w:noBreakHyphen/>
              <w:t>[(1R,3S)</w:t>
            </w:r>
            <w:r>
              <w:noBreakHyphen/>
            </w:r>
            <w:r>
              <w:br/>
              <w:t>3</w:t>
            </w:r>
            <w:r>
              <w:noBreakHyphen/>
            </w:r>
            <w:r>
              <w:rPr>
                <w:rFonts w:cs="Arial"/>
                <w:color w:val="000000"/>
                <w:szCs w:val="22"/>
              </w:rPr>
              <w:t>HYDROXYCYCLOHEXYL</w:t>
            </w:r>
            <w:r>
              <w:t>]</w:t>
            </w:r>
            <w:r>
              <w:noBreakHyphen/>
              <w:t>PHENOL (CANNABICYCLOHEXANOL or CP 47,497 C8 HOMOLOGUE)</w:t>
            </w:r>
          </w:p>
        </w:tc>
        <w:tc>
          <w:tcPr>
            <w:tcW w:w="1358" w:type="dxa"/>
          </w:tcPr>
          <w:p>
            <w:pPr>
              <w:pStyle w:val="yTableNAm"/>
              <w:tabs>
                <w:tab w:val="clear" w:pos="567"/>
                <w:tab w:val="decimal" w:pos="463"/>
              </w:tabs>
            </w:pPr>
            <w:r>
              <w:br/>
            </w:r>
            <w:r>
              <w:br/>
            </w:r>
            <w:r>
              <w:br/>
              <w:t>3.0 kg</w:t>
            </w:r>
          </w:p>
        </w:tc>
      </w:tr>
      <w:tr>
        <w:tc>
          <w:tcPr>
            <w:tcW w:w="993" w:type="dxa"/>
          </w:tcPr>
          <w:p>
            <w:pPr>
              <w:pStyle w:val="yTableNAm"/>
            </w:pPr>
            <w:r>
              <w:t>5A.</w:t>
            </w:r>
          </w:p>
        </w:tc>
        <w:tc>
          <w:tcPr>
            <w:tcW w:w="5070" w:type="dxa"/>
          </w:tcPr>
          <w:p>
            <w:pPr>
              <w:pStyle w:val="yTableNAm"/>
            </w:pPr>
            <w:r>
              <w:t>EPHEDRINE</w:t>
            </w:r>
          </w:p>
        </w:tc>
        <w:tc>
          <w:tcPr>
            <w:tcW w:w="1358" w:type="dxa"/>
          </w:tcPr>
          <w:p>
            <w:pPr>
              <w:pStyle w:val="yTableNAm"/>
              <w:tabs>
                <w:tab w:val="clear" w:pos="567"/>
                <w:tab w:val="decimal" w:pos="463"/>
              </w:tabs>
            </w:pPr>
            <w:r>
              <w:t>28.0</w:t>
            </w:r>
          </w:p>
        </w:tc>
      </w:tr>
      <w:tr>
        <w:tc>
          <w:tcPr>
            <w:tcW w:w="993" w:type="dxa"/>
          </w:tcPr>
          <w:p>
            <w:pPr>
              <w:pStyle w:val="yTableNAm"/>
            </w:pPr>
            <w:r>
              <w:t>6A.</w:t>
            </w:r>
          </w:p>
        </w:tc>
        <w:tc>
          <w:tcPr>
            <w:tcW w:w="5070" w:type="dxa"/>
          </w:tcPr>
          <w:p>
            <w:pPr>
              <w:pStyle w:val="yTableNAm"/>
            </w:pPr>
            <w:r>
              <w:t>1</w:t>
            </w:r>
            <w:r>
              <w:noBreakHyphen/>
              <w:t>(5</w:t>
            </w:r>
            <w:r>
              <w:noBreakHyphen/>
              <w:t>FLUOROPENTYL)</w:t>
            </w:r>
            <w:r>
              <w:noBreakHyphen/>
              <w:t>3</w:t>
            </w:r>
            <w:r>
              <w:noBreakHyphen/>
              <w:t>(2</w:t>
            </w:r>
            <w:r>
              <w:noBreakHyphen/>
              <w:t>IODOBENZOYL) INDOLE (AM</w:t>
            </w:r>
            <w:r>
              <w:noBreakHyphen/>
              <w:t>694)</w:t>
            </w:r>
          </w:p>
        </w:tc>
        <w:tc>
          <w:tcPr>
            <w:tcW w:w="1358" w:type="dxa"/>
          </w:tcPr>
          <w:p>
            <w:pPr>
              <w:pStyle w:val="yTableNAm"/>
              <w:tabs>
                <w:tab w:val="clear" w:pos="567"/>
                <w:tab w:val="decimal" w:pos="463"/>
              </w:tabs>
            </w:pPr>
            <w:r>
              <w:br/>
              <w:t>3.0 kg</w:t>
            </w:r>
          </w:p>
        </w:tc>
      </w:tr>
      <w:tr>
        <w:tc>
          <w:tcPr>
            <w:tcW w:w="993" w:type="dxa"/>
          </w:tcPr>
          <w:p>
            <w:pPr>
              <w:pStyle w:val="yTableNAm"/>
            </w:pPr>
            <w:r>
              <w:t>6B.</w:t>
            </w:r>
          </w:p>
        </w:tc>
        <w:tc>
          <w:tcPr>
            <w:tcW w:w="5070" w:type="dxa"/>
          </w:tcPr>
          <w:p>
            <w:pPr>
              <w:pStyle w:val="yTableNAm"/>
            </w:pPr>
            <w:r>
              <w:t>1</w:t>
            </w:r>
            <w:r>
              <w:noBreakHyphen/>
              <w:t>(5</w:t>
            </w:r>
            <w:r>
              <w:noBreakHyphen/>
              <w:t>FLUOROPENTYL)</w:t>
            </w:r>
            <w:r>
              <w:noBreakHyphen/>
              <w:t>3</w:t>
            </w:r>
            <w:r>
              <w:noBreakHyphen/>
              <w:t>(1</w:t>
            </w:r>
            <w:r>
              <w:noBreakHyphen/>
              <w:t>NAPHTHOYL) INDOLE (AM</w:t>
            </w:r>
            <w:r>
              <w:noBreakHyphen/>
              <w:t>2201)</w:t>
            </w:r>
          </w:p>
        </w:tc>
        <w:tc>
          <w:tcPr>
            <w:tcW w:w="1358" w:type="dxa"/>
          </w:tcPr>
          <w:p>
            <w:pPr>
              <w:pStyle w:val="yTableNAm"/>
              <w:tabs>
                <w:tab w:val="clear" w:pos="567"/>
                <w:tab w:val="decimal" w:pos="463"/>
              </w:tabs>
            </w:pPr>
            <w:r>
              <w:br/>
              <w:t>3.0 kg</w:t>
            </w:r>
          </w:p>
        </w:tc>
      </w:tr>
      <w:tr>
        <w:tc>
          <w:tcPr>
            <w:tcW w:w="993" w:type="dxa"/>
          </w:tcPr>
          <w:p>
            <w:pPr>
              <w:pStyle w:val="yTableNAm"/>
            </w:pPr>
            <w:r>
              <w:t>6C.</w:t>
            </w:r>
          </w:p>
        </w:tc>
        <w:tc>
          <w:tcPr>
            <w:tcW w:w="5070" w:type="dxa"/>
          </w:tcPr>
          <w:p>
            <w:pPr>
              <w:pStyle w:val="yTableNAm"/>
            </w:pPr>
            <w:r>
              <w:t>1</w:t>
            </w:r>
            <w:r>
              <w:noBreakHyphen/>
              <w:t>HEXYL</w:t>
            </w:r>
            <w:r>
              <w:noBreakHyphen/>
              <w:t>3</w:t>
            </w:r>
            <w:r>
              <w:noBreakHyphen/>
              <w:t>(1</w:t>
            </w:r>
            <w:r>
              <w:noBreakHyphen/>
              <w:t>NAPHTHOYL) INDOLE (JWH</w:t>
            </w:r>
            <w:r>
              <w:noBreakHyphen/>
              <w:t>019)</w:t>
            </w:r>
          </w:p>
        </w:tc>
        <w:tc>
          <w:tcPr>
            <w:tcW w:w="1358" w:type="dxa"/>
          </w:tcPr>
          <w:p>
            <w:pPr>
              <w:pStyle w:val="yTableNAm"/>
              <w:tabs>
                <w:tab w:val="clear" w:pos="567"/>
                <w:tab w:val="decimal" w:pos="463"/>
              </w:tabs>
            </w:pPr>
            <w:r>
              <w:t>3.0 kg</w:t>
            </w:r>
          </w:p>
        </w:tc>
      </w:tr>
      <w:tr>
        <w:tc>
          <w:tcPr>
            <w:tcW w:w="993" w:type="dxa"/>
          </w:tcPr>
          <w:p>
            <w:pPr>
              <w:pStyle w:val="yTableNAm"/>
            </w:pPr>
            <w:r>
              <w:t>6D.</w:t>
            </w:r>
          </w:p>
        </w:tc>
        <w:tc>
          <w:tcPr>
            <w:tcW w:w="5070" w:type="dxa"/>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358" w:type="dxa"/>
          </w:tcPr>
          <w:p>
            <w:pPr>
              <w:pStyle w:val="yTableNAm"/>
              <w:tabs>
                <w:tab w:val="clear" w:pos="567"/>
                <w:tab w:val="decimal" w:pos="463"/>
              </w:tabs>
            </w:pPr>
            <w:r>
              <w:br/>
            </w:r>
            <w:r>
              <w:br/>
            </w:r>
            <w:r>
              <w:br/>
              <w:t>3.0 kg</w:t>
            </w:r>
          </w:p>
        </w:tc>
      </w:tr>
      <w:tr>
        <w:tc>
          <w:tcPr>
            <w:tcW w:w="993" w:type="dxa"/>
          </w:tcPr>
          <w:p>
            <w:pPr>
              <w:pStyle w:val="yTableNAm"/>
            </w:pPr>
            <w:r>
              <w:t>6.</w:t>
            </w:r>
          </w:p>
        </w:tc>
        <w:tc>
          <w:tcPr>
            <w:tcW w:w="5070" w:type="dxa"/>
          </w:tcPr>
          <w:p>
            <w:pPr>
              <w:pStyle w:val="yTableNAm"/>
            </w:pPr>
            <w:r>
              <w:t>LYSERGIC ACID DIETHYLAMIDE (LSD)</w:t>
            </w:r>
          </w:p>
        </w:tc>
        <w:tc>
          <w:tcPr>
            <w:tcW w:w="1358" w:type="dxa"/>
          </w:tcPr>
          <w:p>
            <w:pPr>
              <w:pStyle w:val="yTableNAm"/>
              <w:tabs>
                <w:tab w:val="clear" w:pos="567"/>
                <w:tab w:val="decimal" w:pos="463"/>
              </w:tabs>
            </w:pPr>
            <w:r>
              <w:t>0.01</w:t>
            </w:r>
          </w:p>
        </w:tc>
      </w:tr>
      <w:tr>
        <w:tc>
          <w:tcPr>
            <w:tcW w:w="993" w:type="dxa"/>
          </w:tcPr>
          <w:p>
            <w:pPr>
              <w:pStyle w:val="yTableNAm"/>
            </w:pPr>
            <w:r>
              <w:t>7.</w:t>
            </w:r>
          </w:p>
        </w:tc>
        <w:tc>
          <w:tcPr>
            <w:tcW w:w="5070" w:type="dxa"/>
          </w:tcPr>
          <w:p>
            <w:pPr>
              <w:pStyle w:val="yTableNAm"/>
            </w:pPr>
            <w:r>
              <w:t>METHADONE</w:t>
            </w:r>
          </w:p>
        </w:tc>
        <w:tc>
          <w:tcPr>
            <w:tcW w:w="1358" w:type="dxa"/>
          </w:tcPr>
          <w:p>
            <w:pPr>
              <w:pStyle w:val="yTableNAm"/>
              <w:tabs>
                <w:tab w:val="clear" w:pos="567"/>
                <w:tab w:val="decimal" w:pos="463"/>
              </w:tabs>
            </w:pPr>
            <w:r>
              <w:t>5.0</w:t>
            </w:r>
          </w:p>
        </w:tc>
      </w:tr>
      <w:tr>
        <w:tc>
          <w:tcPr>
            <w:tcW w:w="993" w:type="dxa"/>
          </w:tcPr>
          <w:p>
            <w:pPr>
              <w:pStyle w:val="yTableNAm"/>
            </w:pPr>
            <w:r>
              <w:t>8A.</w:t>
            </w:r>
          </w:p>
        </w:tc>
        <w:tc>
          <w:tcPr>
            <w:tcW w:w="5070" w:type="dxa"/>
          </w:tcPr>
          <w:p>
            <w:pPr>
              <w:pStyle w:val="yTableNAm"/>
            </w:pPr>
            <w:r>
              <w:t>METHCATHINONE</w:t>
            </w:r>
          </w:p>
        </w:tc>
        <w:tc>
          <w:tcPr>
            <w:tcW w:w="1358" w:type="dxa"/>
          </w:tcPr>
          <w:p>
            <w:pPr>
              <w:pStyle w:val="yTableNAm"/>
              <w:tabs>
                <w:tab w:val="clear" w:pos="567"/>
                <w:tab w:val="decimal" w:pos="463"/>
              </w:tabs>
            </w:pPr>
            <w:r>
              <w:t>28.0</w:t>
            </w:r>
          </w:p>
        </w:tc>
      </w:tr>
      <w:tr>
        <w:tc>
          <w:tcPr>
            <w:tcW w:w="993" w:type="dxa"/>
          </w:tcPr>
          <w:p>
            <w:pPr>
              <w:pStyle w:val="yTableNAm"/>
            </w:pPr>
            <w:r>
              <w:t>8BA.</w:t>
            </w:r>
          </w:p>
        </w:tc>
        <w:tc>
          <w:tcPr>
            <w:tcW w:w="5070" w:type="dxa"/>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358" w:type="dxa"/>
          </w:tcPr>
          <w:p>
            <w:pPr>
              <w:pStyle w:val="yTableNAm"/>
              <w:tabs>
                <w:tab w:val="clear" w:pos="567"/>
                <w:tab w:val="decimal" w:pos="463"/>
              </w:tabs>
            </w:pPr>
            <w:r>
              <w:br/>
              <w:t>3.0 kg</w:t>
            </w:r>
          </w:p>
        </w:tc>
      </w:tr>
      <w:tr>
        <w:tc>
          <w:tcPr>
            <w:tcW w:w="993" w:type="dxa"/>
          </w:tcPr>
          <w:p>
            <w:pPr>
              <w:pStyle w:val="yTableNAm"/>
            </w:pPr>
            <w:r>
              <w:t>8BB.</w:t>
            </w:r>
          </w:p>
        </w:tc>
        <w:tc>
          <w:tcPr>
            <w:tcW w:w="5070" w:type="dxa"/>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358" w:type="dxa"/>
          </w:tcPr>
          <w:p>
            <w:pPr>
              <w:pStyle w:val="yTableNAm"/>
              <w:tabs>
                <w:tab w:val="clear" w:pos="567"/>
                <w:tab w:val="decimal" w:pos="463"/>
              </w:tabs>
            </w:pPr>
            <w:r>
              <w:br/>
              <w:t>3.0 kg</w:t>
            </w:r>
          </w:p>
        </w:tc>
      </w:tr>
      <w:tr>
        <w:tc>
          <w:tcPr>
            <w:tcW w:w="993" w:type="dxa"/>
          </w:tcPr>
          <w:p>
            <w:pPr>
              <w:pStyle w:val="yTableNAm"/>
            </w:pPr>
            <w:r>
              <w:t>8B.</w:t>
            </w:r>
          </w:p>
        </w:tc>
        <w:tc>
          <w:tcPr>
            <w:tcW w:w="5070" w:type="dxa"/>
          </w:tcPr>
          <w:p>
            <w:pPr>
              <w:pStyle w:val="yTableNAm"/>
            </w:pPr>
            <w:r>
              <w:t>2</w:t>
            </w:r>
            <w:r>
              <w:noBreakHyphen/>
              <w:t>(2</w:t>
            </w:r>
            <w:r>
              <w:noBreakHyphen/>
              <w:t>METHOXYPHENYL)</w:t>
            </w:r>
            <w:r>
              <w:noBreakHyphen/>
              <w:t>1</w:t>
            </w:r>
            <w:r>
              <w:noBreakHyphen/>
              <w:t>(1</w:t>
            </w:r>
            <w:r>
              <w:noBreakHyphen/>
              <w:t>PENTYLINDOL</w:t>
            </w:r>
            <w:r>
              <w:noBreakHyphen/>
            </w:r>
            <w:r>
              <w:br/>
              <w:t>3</w:t>
            </w:r>
            <w:r>
              <w:noBreakHyphen/>
              <w:t>YL)ETHANONE (JWH-250)</w:t>
            </w:r>
          </w:p>
        </w:tc>
        <w:tc>
          <w:tcPr>
            <w:tcW w:w="1358" w:type="dxa"/>
          </w:tcPr>
          <w:p>
            <w:pPr>
              <w:pStyle w:val="yTableNAm"/>
              <w:tabs>
                <w:tab w:val="clear" w:pos="567"/>
                <w:tab w:val="decimal" w:pos="463"/>
              </w:tabs>
            </w:pPr>
            <w:r>
              <w:br/>
              <w:t>3.0 kg</w:t>
            </w:r>
          </w:p>
        </w:tc>
      </w:tr>
      <w:tr>
        <w:tc>
          <w:tcPr>
            <w:tcW w:w="993" w:type="dxa"/>
          </w:tcPr>
          <w:p>
            <w:pPr>
              <w:pStyle w:val="yTableNAm"/>
            </w:pPr>
            <w:r>
              <w:t>8C.</w:t>
            </w:r>
          </w:p>
        </w:tc>
        <w:tc>
          <w:tcPr>
            <w:tcW w:w="5070" w:type="dxa"/>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358" w:type="dxa"/>
          </w:tcPr>
          <w:p>
            <w:pPr>
              <w:pStyle w:val="yTableNAm"/>
              <w:tabs>
                <w:tab w:val="clear" w:pos="567"/>
                <w:tab w:val="decimal" w:pos="463"/>
              </w:tabs>
            </w:pPr>
            <w:r>
              <w:br/>
              <w:t>3.0 kg</w:t>
            </w:r>
          </w:p>
        </w:tc>
      </w:tr>
      <w:tr>
        <w:tc>
          <w:tcPr>
            <w:tcW w:w="993" w:type="dxa"/>
          </w:tcPr>
          <w:p>
            <w:pPr>
              <w:pStyle w:val="yTableNAm"/>
            </w:pPr>
            <w:r>
              <w:t>8.</w:t>
            </w:r>
          </w:p>
        </w:tc>
        <w:tc>
          <w:tcPr>
            <w:tcW w:w="5070" w:type="dxa"/>
          </w:tcPr>
          <w:p>
            <w:pPr>
              <w:pStyle w:val="yTableNAm"/>
            </w:pPr>
            <w:r>
              <w:t>METHYLAMPHETAMINE</w:t>
            </w:r>
          </w:p>
        </w:tc>
        <w:tc>
          <w:tcPr>
            <w:tcW w:w="1358" w:type="dxa"/>
          </w:tcPr>
          <w:p>
            <w:pPr>
              <w:pStyle w:val="yTableNAm"/>
              <w:tabs>
                <w:tab w:val="clear" w:pos="567"/>
                <w:tab w:val="decimal" w:pos="463"/>
              </w:tabs>
            </w:pPr>
            <w:r>
              <w:t>28.0</w:t>
            </w:r>
          </w:p>
        </w:tc>
      </w:tr>
      <w:tr>
        <w:trPr>
          <w:cantSplit/>
        </w:trPr>
        <w:tc>
          <w:tcPr>
            <w:tcW w:w="993" w:type="dxa"/>
          </w:tcPr>
          <w:p>
            <w:pPr>
              <w:pStyle w:val="yTableNAm"/>
            </w:pPr>
            <w:r>
              <w:t>9.</w:t>
            </w:r>
          </w:p>
        </w:tc>
        <w:tc>
          <w:tcPr>
            <w:tcW w:w="5070" w:type="dxa"/>
          </w:tcPr>
          <w:p>
            <w:pPr>
              <w:pStyle w:val="yTableNAm"/>
              <w:ind w:right="-175"/>
            </w:pPr>
            <w:r>
              <w:t>3, 4</w:t>
            </w:r>
            <w:r>
              <w:noBreakHyphen/>
              <w:t>METHYLENEDIOXYAMPHETAMINE (MDA)</w:t>
            </w:r>
          </w:p>
        </w:tc>
        <w:tc>
          <w:tcPr>
            <w:tcW w:w="1358" w:type="dxa"/>
          </w:tcPr>
          <w:p>
            <w:pPr>
              <w:pStyle w:val="yTableNAm"/>
              <w:tabs>
                <w:tab w:val="clear" w:pos="567"/>
                <w:tab w:val="decimal" w:pos="463"/>
              </w:tabs>
            </w:pPr>
            <w:r>
              <w:t>28.0</w:t>
            </w:r>
          </w:p>
        </w:tc>
      </w:tr>
      <w:tr>
        <w:tc>
          <w:tcPr>
            <w:tcW w:w="993" w:type="dxa"/>
          </w:tcPr>
          <w:p>
            <w:pPr>
              <w:pStyle w:val="yTableNAm"/>
            </w:pPr>
            <w:r>
              <w:t>10.</w:t>
            </w:r>
          </w:p>
        </w:tc>
        <w:tc>
          <w:tcPr>
            <w:tcW w:w="5070" w:type="dxa"/>
          </w:tcPr>
          <w:p>
            <w:pPr>
              <w:pStyle w:val="yTableNAm"/>
            </w:pPr>
            <w:r>
              <w:t>3, 4</w:t>
            </w:r>
            <w:r>
              <w:noBreakHyphen/>
              <w:t>METHYLENEDIOXY</w:t>
            </w:r>
            <w:r>
              <w:noBreakHyphen/>
              <w:t xml:space="preserve">N, </w:t>
            </w:r>
            <w:r>
              <w:rPr>
                <w:rFonts w:cs="Arial"/>
                <w:color w:val="000000"/>
                <w:szCs w:val="22"/>
              </w:rPr>
              <w:t>ALPHA</w:t>
            </w:r>
            <w:r>
              <w:noBreakHyphen/>
              <w:t>DIMETHYLPHENYLETHYLAMINE (MDMA)</w:t>
            </w:r>
          </w:p>
        </w:tc>
        <w:tc>
          <w:tcPr>
            <w:tcW w:w="1358" w:type="dxa"/>
          </w:tcPr>
          <w:p>
            <w:pPr>
              <w:pStyle w:val="yTableNAm"/>
              <w:tabs>
                <w:tab w:val="clear" w:pos="567"/>
                <w:tab w:val="decimal" w:pos="463"/>
              </w:tabs>
            </w:pPr>
            <w:r>
              <w:br/>
            </w:r>
            <w:r>
              <w:br/>
              <w:t>28.0</w:t>
            </w:r>
          </w:p>
        </w:tc>
      </w:tr>
      <w:tr>
        <w:tc>
          <w:tcPr>
            <w:tcW w:w="993" w:type="dxa"/>
          </w:tcPr>
          <w:p>
            <w:pPr>
              <w:pStyle w:val="yTableNAm"/>
            </w:pPr>
            <w:r>
              <w:t>11A.</w:t>
            </w:r>
          </w:p>
        </w:tc>
        <w:tc>
          <w:tcPr>
            <w:tcW w:w="5070" w:type="dxa"/>
          </w:tcPr>
          <w:p>
            <w:pPr>
              <w:pStyle w:val="yTableNAm"/>
            </w:pPr>
            <w:r>
              <w:t>3, 4</w:t>
            </w:r>
            <w:r>
              <w:noBreakHyphen/>
              <w:t>METHYLENEDIOXYPYROVALERONE (MDPV)</w:t>
            </w:r>
          </w:p>
        </w:tc>
        <w:tc>
          <w:tcPr>
            <w:tcW w:w="1358" w:type="dxa"/>
          </w:tcPr>
          <w:p>
            <w:pPr>
              <w:pStyle w:val="yTableNAm"/>
              <w:tabs>
                <w:tab w:val="clear" w:pos="567"/>
                <w:tab w:val="decimal" w:pos="463"/>
              </w:tabs>
            </w:pPr>
            <w:r>
              <w:br/>
              <w:t>28.0</w:t>
            </w:r>
          </w:p>
        </w:tc>
      </w:tr>
      <w:tr>
        <w:tc>
          <w:tcPr>
            <w:tcW w:w="993" w:type="dxa"/>
          </w:tcPr>
          <w:p>
            <w:pPr>
              <w:pStyle w:val="yTableNAm"/>
            </w:pPr>
            <w:r>
              <w:t>11.</w:t>
            </w:r>
          </w:p>
        </w:tc>
        <w:tc>
          <w:tcPr>
            <w:tcW w:w="5070" w:type="dxa"/>
          </w:tcPr>
          <w:p>
            <w:pPr>
              <w:pStyle w:val="yTableNAm"/>
            </w:pPr>
            <w:r>
              <w:t>MORPHINE</w:t>
            </w:r>
          </w:p>
        </w:tc>
        <w:tc>
          <w:tcPr>
            <w:tcW w:w="1358" w:type="dxa"/>
          </w:tcPr>
          <w:p>
            <w:pPr>
              <w:pStyle w:val="yTableNAm"/>
              <w:tabs>
                <w:tab w:val="clear" w:pos="567"/>
                <w:tab w:val="decimal" w:pos="463"/>
              </w:tabs>
            </w:pPr>
            <w:r>
              <w:t>28.0</w:t>
            </w:r>
          </w:p>
        </w:tc>
      </w:tr>
      <w:tr>
        <w:tc>
          <w:tcPr>
            <w:tcW w:w="993" w:type="dxa"/>
          </w:tcPr>
          <w:p>
            <w:pPr>
              <w:pStyle w:val="yTableNAm"/>
            </w:pPr>
            <w:r>
              <w:t>12A.</w:t>
            </w:r>
          </w:p>
        </w:tc>
        <w:tc>
          <w:tcPr>
            <w:tcW w:w="5070" w:type="dxa"/>
          </w:tcPr>
          <w:p>
            <w:pPr>
              <w:pStyle w:val="yTableNAm"/>
            </w:pPr>
            <w:r>
              <w:rPr>
                <w:szCs w:val="24"/>
              </w:rPr>
              <w:t>1</w:t>
            </w:r>
            <w:r>
              <w:rPr>
                <w:szCs w:val="24"/>
              </w:rPr>
              <w:noBreakHyphen/>
              <w:t>[2</w:t>
            </w:r>
            <w:r>
              <w:rPr>
                <w:szCs w:val="24"/>
              </w:rPr>
              <w:noBreakHyphen/>
              <w:t>(4</w:t>
            </w:r>
            <w:r>
              <w:rPr>
                <w:szCs w:val="24"/>
              </w:rPr>
              <w:noBreakHyphen/>
            </w:r>
            <w:r>
              <w:t>MORPHOLINYL</w:t>
            </w:r>
            <w:r>
              <w:rPr>
                <w:szCs w:val="24"/>
              </w:rPr>
              <w:t>)ETHYL]</w:t>
            </w:r>
            <w:r>
              <w:rPr>
                <w:szCs w:val="24"/>
              </w:rPr>
              <w:noBreakHyphen/>
            </w:r>
            <w:r>
              <w:rPr>
                <w:szCs w:val="24"/>
              </w:rPr>
              <w:br/>
              <w:t>3</w:t>
            </w:r>
            <w:r>
              <w:rPr>
                <w:szCs w:val="24"/>
              </w:rPr>
              <w:noBreakHyphen/>
              <w:t>(1</w:t>
            </w:r>
            <w:r>
              <w:rPr>
                <w:szCs w:val="24"/>
              </w:rPr>
              <w:noBreakHyphen/>
              <w:t>NAPHTHOYL) INDOLE (JWH-200)</w:t>
            </w:r>
          </w:p>
        </w:tc>
        <w:tc>
          <w:tcPr>
            <w:tcW w:w="1358" w:type="dxa"/>
          </w:tcPr>
          <w:p>
            <w:pPr>
              <w:pStyle w:val="yTableNAm"/>
              <w:tabs>
                <w:tab w:val="clear" w:pos="567"/>
                <w:tab w:val="decimal" w:pos="463"/>
              </w:tabs>
            </w:pPr>
            <w:r>
              <w:br/>
              <w:t>3.0 kg</w:t>
            </w:r>
          </w:p>
        </w:tc>
      </w:tr>
      <w:tr>
        <w:tc>
          <w:tcPr>
            <w:tcW w:w="993" w:type="dxa"/>
          </w:tcPr>
          <w:p>
            <w:pPr>
              <w:pStyle w:val="yTableNAm"/>
            </w:pPr>
            <w:r>
              <w:t>12B.</w:t>
            </w:r>
          </w:p>
        </w:tc>
        <w:tc>
          <w:tcPr>
            <w:tcW w:w="5070" w:type="dxa"/>
          </w:tcPr>
          <w:p>
            <w:pPr>
              <w:pStyle w:val="yTableNAm"/>
              <w:rPr>
                <w:szCs w:val="24"/>
              </w:rPr>
            </w:pPr>
            <w:r>
              <w:t>NAPHTHOYLINDOLES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12C.</w:t>
            </w:r>
          </w:p>
        </w:tc>
        <w:tc>
          <w:tcPr>
            <w:tcW w:w="5070" w:type="dxa"/>
          </w:tcPr>
          <w:p>
            <w:pPr>
              <w:pStyle w:val="yTableNAm"/>
              <w:rPr>
                <w:szCs w:val="24"/>
              </w:rPr>
            </w:pPr>
            <w:r>
              <w:t>NAPHTHYLMETHYLINDOLES</w:t>
            </w:r>
          </w:p>
        </w:tc>
        <w:tc>
          <w:tcPr>
            <w:tcW w:w="1358" w:type="dxa"/>
          </w:tcPr>
          <w:p>
            <w:pPr>
              <w:pStyle w:val="yTableNAm"/>
              <w:tabs>
                <w:tab w:val="clear" w:pos="567"/>
                <w:tab w:val="decimal" w:pos="463"/>
              </w:tabs>
            </w:pPr>
            <w:r>
              <w:t>3.0 kg</w:t>
            </w:r>
          </w:p>
        </w:tc>
      </w:tr>
      <w:tr>
        <w:tc>
          <w:tcPr>
            <w:tcW w:w="993" w:type="dxa"/>
          </w:tcPr>
          <w:p>
            <w:pPr>
              <w:pStyle w:val="yTableNAm"/>
            </w:pPr>
            <w:r>
              <w:t>12D.</w:t>
            </w:r>
          </w:p>
        </w:tc>
        <w:tc>
          <w:tcPr>
            <w:tcW w:w="5070" w:type="dxa"/>
          </w:tcPr>
          <w:p>
            <w:pPr>
              <w:pStyle w:val="yTableNAm"/>
              <w:rPr>
                <w:szCs w:val="24"/>
              </w:rPr>
            </w:pPr>
            <w:r>
              <w:t>NAPHTHOYLPYRROLES</w:t>
            </w:r>
          </w:p>
        </w:tc>
        <w:tc>
          <w:tcPr>
            <w:tcW w:w="1358" w:type="dxa"/>
          </w:tcPr>
          <w:p>
            <w:pPr>
              <w:pStyle w:val="yTableNAm"/>
              <w:tabs>
                <w:tab w:val="clear" w:pos="567"/>
                <w:tab w:val="decimal" w:pos="463"/>
              </w:tabs>
            </w:pPr>
            <w:r>
              <w:t>3.0 kg</w:t>
            </w:r>
          </w:p>
        </w:tc>
      </w:tr>
      <w:tr>
        <w:tc>
          <w:tcPr>
            <w:tcW w:w="993" w:type="dxa"/>
          </w:tcPr>
          <w:p>
            <w:pPr>
              <w:pStyle w:val="yTableNAm"/>
            </w:pPr>
            <w:r>
              <w:t>12E.</w:t>
            </w:r>
          </w:p>
        </w:tc>
        <w:tc>
          <w:tcPr>
            <w:tcW w:w="5070" w:type="dxa"/>
          </w:tcPr>
          <w:p>
            <w:pPr>
              <w:pStyle w:val="yTableNAm"/>
              <w:rPr>
                <w:szCs w:val="24"/>
              </w:rPr>
            </w:pPr>
            <w:r>
              <w:t>NAPHTHYLMETHYLINDENES</w:t>
            </w:r>
          </w:p>
        </w:tc>
        <w:tc>
          <w:tcPr>
            <w:tcW w:w="1358" w:type="dxa"/>
          </w:tcPr>
          <w:p>
            <w:pPr>
              <w:pStyle w:val="yTableNAm"/>
              <w:tabs>
                <w:tab w:val="clear" w:pos="567"/>
                <w:tab w:val="decimal" w:pos="463"/>
              </w:tabs>
            </w:pPr>
            <w:r>
              <w:t>3.0 kg</w:t>
            </w:r>
          </w:p>
        </w:tc>
      </w:tr>
      <w:tr>
        <w:tc>
          <w:tcPr>
            <w:tcW w:w="993" w:type="dxa"/>
          </w:tcPr>
          <w:p>
            <w:pPr>
              <w:pStyle w:val="yTableNAm"/>
            </w:pPr>
            <w:r>
              <w:t>12.</w:t>
            </w:r>
          </w:p>
        </w:tc>
        <w:tc>
          <w:tcPr>
            <w:tcW w:w="5070" w:type="dxa"/>
          </w:tcPr>
          <w:p>
            <w:pPr>
              <w:pStyle w:val="yTableNAm"/>
            </w:pPr>
            <w:r>
              <w:t>OPIUM</w:t>
            </w:r>
          </w:p>
        </w:tc>
        <w:tc>
          <w:tcPr>
            <w:tcW w:w="1358" w:type="dxa"/>
          </w:tcPr>
          <w:p>
            <w:pPr>
              <w:pStyle w:val="yTableNAm"/>
              <w:tabs>
                <w:tab w:val="clear" w:pos="567"/>
                <w:tab w:val="decimal" w:pos="463"/>
              </w:tabs>
            </w:pPr>
            <w:r>
              <w:t>100.0</w:t>
            </w:r>
          </w:p>
        </w:tc>
      </w:tr>
      <w:tr>
        <w:tc>
          <w:tcPr>
            <w:tcW w:w="993" w:type="dxa"/>
          </w:tcPr>
          <w:p>
            <w:pPr>
              <w:pStyle w:val="yTableNAm"/>
            </w:pPr>
            <w:r>
              <w:t>13A.</w:t>
            </w:r>
          </w:p>
        </w:tc>
        <w:tc>
          <w:tcPr>
            <w:tcW w:w="5070" w:type="dxa"/>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358" w:type="dxa"/>
          </w:tcPr>
          <w:p>
            <w:pPr>
              <w:pStyle w:val="yTableNAm"/>
              <w:tabs>
                <w:tab w:val="clear" w:pos="567"/>
                <w:tab w:val="decimal" w:pos="463"/>
              </w:tabs>
            </w:pPr>
            <w:r>
              <w:br/>
              <w:t>3.0 kg</w:t>
            </w:r>
          </w:p>
        </w:tc>
      </w:tr>
      <w:tr>
        <w:tc>
          <w:tcPr>
            <w:tcW w:w="993" w:type="dxa"/>
          </w:tcPr>
          <w:p>
            <w:pPr>
              <w:pStyle w:val="yTableNAm"/>
            </w:pPr>
            <w:r>
              <w:t>13B.</w:t>
            </w:r>
          </w:p>
        </w:tc>
        <w:tc>
          <w:tcPr>
            <w:tcW w:w="5070" w:type="dxa"/>
          </w:tcPr>
          <w:p>
            <w:pPr>
              <w:pStyle w:val="yTableNAm"/>
            </w:pPr>
            <w:r>
              <w:t>1</w:t>
            </w:r>
            <w:r>
              <w:noBreakHyphen/>
              <w:t>PENTYL</w:t>
            </w:r>
            <w:r>
              <w:noBreakHyphen/>
              <w:t>3</w:t>
            </w:r>
            <w:r>
              <w:noBreakHyphen/>
              <w:t>(2</w:t>
            </w:r>
            <w:r>
              <w:noBreakHyphen/>
              <w:t>CHLOROPHENYLACETYL) INDOLE (JWH</w:t>
            </w:r>
            <w:r>
              <w:noBreakHyphen/>
              <w:t>203)</w:t>
            </w:r>
          </w:p>
        </w:tc>
        <w:tc>
          <w:tcPr>
            <w:tcW w:w="1358" w:type="dxa"/>
          </w:tcPr>
          <w:p>
            <w:pPr>
              <w:pStyle w:val="yTableNAm"/>
              <w:tabs>
                <w:tab w:val="clear" w:pos="567"/>
                <w:tab w:val="decimal" w:pos="463"/>
              </w:tabs>
            </w:pPr>
            <w:r>
              <w:br/>
              <w:t>3.0 kg</w:t>
            </w:r>
          </w:p>
        </w:tc>
      </w:tr>
      <w:tr>
        <w:tc>
          <w:tcPr>
            <w:tcW w:w="993" w:type="dxa"/>
          </w:tcPr>
          <w:p>
            <w:pPr>
              <w:pStyle w:val="yTableNAm"/>
            </w:pPr>
            <w:r>
              <w:t>13C.</w:t>
            </w:r>
          </w:p>
        </w:tc>
        <w:tc>
          <w:tcPr>
            <w:tcW w:w="5070" w:type="dxa"/>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358" w:type="dxa"/>
          </w:tcPr>
          <w:p>
            <w:pPr>
              <w:pStyle w:val="yTableNAm"/>
              <w:tabs>
                <w:tab w:val="clear" w:pos="567"/>
                <w:tab w:val="decimal" w:pos="463"/>
              </w:tabs>
            </w:pPr>
            <w:r>
              <w:br/>
              <w:t>3.0 kg</w:t>
            </w:r>
          </w:p>
        </w:tc>
      </w:tr>
      <w:tr>
        <w:tc>
          <w:tcPr>
            <w:tcW w:w="993" w:type="dxa"/>
          </w:tcPr>
          <w:p>
            <w:pPr>
              <w:pStyle w:val="yTableNAm"/>
            </w:pPr>
            <w:r>
              <w:t>13D.</w:t>
            </w:r>
          </w:p>
        </w:tc>
        <w:tc>
          <w:tcPr>
            <w:tcW w:w="5070" w:type="dxa"/>
          </w:tcPr>
          <w:p>
            <w:pPr>
              <w:pStyle w:val="yTableNAm"/>
            </w:pPr>
            <w:r>
              <w:t>1</w:t>
            </w:r>
            <w:r>
              <w:noBreakHyphen/>
              <w:t>PENTYL</w:t>
            </w:r>
            <w:r>
              <w:noBreakHyphen/>
              <w:t>3</w:t>
            </w:r>
            <w:r>
              <w:noBreakHyphen/>
              <w:t>[(4</w:t>
            </w:r>
            <w:r>
              <w:noBreakHyphen/>
              <w:t>METHOXY)</w:t>
            </w:r>
            <w:r>
              <w:noBreakHyphen/>
              <w:t>BENZOYL] INDOLE (RCS</w:t>
            </w:r>
            <w:r>
              <w:noBreakHyphen/>
              <w:t>4)</w:t>
            </w:r>
          </w:p>
        </w:tc>
        <w:tc>
          <w:tcPr>
            <w:tcW w:w="1358" w:type="dxa"/>
          </w:tcPr>
          <w:p>
            <w:pPr>
              <w:pStyle w:val="yTableNAm"/>
              <w:tabs>
                <w:tab w:val="clear" w:pos="567"/>
                <w:tab w:val="decimal" w:pos="463"/>
              </w:tabs>
            </w:pPr>
            <w:r>
              <w:br/>
              <w:t>3.0 kg</w:t>
            </w:r>
          </w:p>
        </w:tc>
      </w:tr>
      <w:tr>
        <w:tc>
          <w:tcPr>
            <w:tcW w:w="993" w:type="dxa"/>
          </w:tcPr>
          <w:p>
            <w:pPr>
              <w:pStyle w:val="yTableNAm"/>
            </w:pPr>
            <w:r>
              <w:t>13E.</w:t>
            </w:r>
          </w:p>
        </w:tc>
        <w:tc>
          <w:tcPr>
            <w:tcW w:w="5070" w:type="dxa"/>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358" w:type="dxa"/>
          </w:tcPr>
          <w:p>
            <w:pPr>
              <w:pStyle w:val="yTableNAm"/>
              <w:tabs>
                <w:tab w:val="clear" w:pos="567"/>
                <w:tab w:val="decimal" w:pos="463"/>
              </w:tabs>
            </w:pPr>
            <w:r>
              <w:br/>
              <w:t>3.0 kg</w:t>
            </w:r>
          </w:p>
        </w:tc>
      </w:tr>
      <w:tr>
        <w:tc>
          <w:tcPr>
            <w:tcW w:w="993" w:type="dxa"/>
          </w:tcPr>
          <w:p>
            <w:pPr>
              <w:pStyle w:val="yTableNAm"/>
            </w:pPr>
            <w:r>
              <w:t>13.</w:t>
            </w:r>
          </w:p>
        </w:tc>
        <w:tc>
          <w:tcPr>
            <w:tcW w:w="5070" w:type="dxa"/>
          </w:tcPr>
          <w:p>
            <w:pPr>
              <w:pStyle w:val="yTableNAm"/>
            </w:pPr>
            <w:r>
              <w:t>1</w:t>
            </w:r>
            <w:r>
              <w:noBreakHyphen/>
              <w:t>PENTYL</w:t>
            </w:r>
            <w:r>
              <w:noBreakHyphen/>
              <w:t>3</w:t>
            </w:r>
            <w:r>
              <w:noBreakHyphen/>
              <w:t>(1</w:t>
            </w:r>
            <w:r>
              <w:noBreakHyphen/>
              <w:t xml:space="preserve">NAPHTHOYL) INDOLE </w:t>
            </w:r>
            <w:r>
              <w:br/>
              <w:t>(JWH-018)</w:t>
            </w:r>
          </w:p>
        </w:tc>
        <w:tc>
          <w:tcPr>
            <w:tcW w:w="1358" w:type="dxa"/>
          </w:tcPr>
          <w:p>
            <w:pPr>
              <w:pStyle w:val="yTableNAm"/>
              <w:tabs>
                <w:tab w:val="clear" w:pos="567"/>
                <w:tab w:val="decimal" w:pos="463"/>
              </w:tabs>
            </w:pPr>
            <w:r>
              <w:br/>
              <w:t>3.0 kg</w:t>
            </w:r>
          </w:p>
        </w:tc>
      </w:tr>
      <w:tr>
        <w:trPr>
          <w:cantSplit/>
        </w:trPr>
        <w:tc>
          <w:tcPr>
            <w:tcW w:w="993" w:type="dxa"/>
          </w:tcPr>
          <w:p>
            <w:pPr>
              <w:pStyle w:val="yTableNAm"/>
            </w:pPr>
            <w:r>
              <w:t>14.</w:t>
            </w:r>
          </w:p>
        </w:tc>
        <w:tc>
          <w:tcPr>
            <w:tcW w:w="5070" w:type="dxa"/>
          </w:tcPr>
          <w:p>
            <w:pPr>
              <w:pStyle w:val="yTableNAm"/>
            </w:pPr>
            <w:r>
              <w:t>1</w:t>
            </w:r>
            <w:r>
              <w:noBreakHyphen/>
              <w:t>PENTYL</w:t>
            </w:r>
            <w:r>
              <w:noBreakHyphen/>
              <w:t>3</w:t>
            </w:r>
            <w:r>
              <w:noBreakHyphen/>
              <w:t>(4</w:t>
            </w:r>
            <w:r>
              <w:noBreakHyphen/>
              <w:t>METHYL</w:t>
            </w:r>
            <w:r>
              <w:noBreakHyphen/>
              <w:t>1</w:t>
            </w:r>
            <w:r>
              <w:noBreakHyphen/>
              <w:t>NAPHTHOYL) INDOLE (JWH-122)</w:t>
            </w:r>
          </w:p>
        </w:tc>
        <w:tc>
          <w:tcPr>
            <w:tcW w:w="1358" w:type="dxa"/>
          </w:tcPr>
          <w:p>
            <w:pPr>
              <w:pStyle w:val="yTableNAm"/>
              <w:tabs>
                <w:tab w:val="clear" w:pos="567"/>
                <w:tab w:val="decimal" w:pos="463"/>
              </w:tabs>
            </w:pPr>
            <w:r>
              <w:br/>
              <w:t>3.0 kg</w:t>
            </w:r>
          </w:p>
        </w:tc>
      </w:tr>
      <w:tr>
        <w:tc>
          <w:tcPr>
            <w:tcW w:w="993" w:type="dxa"/>
          </w:tcPr>
          <w:p>
            <w:pPr>
              <w:pStyle w:val="yTableNAm"/>
            </w:pPr>
            <w:r>
              <w:t>15A.</w:t>
            </w:r>
          </w:p>
        </w:tc>
        <w:tc>
          <w:tcPr>
            <w:tcW w:w="5070" w:type="dxa"/>
          </w:tcPr>
          <w:p>
            <w:pPr>
              <w:pStyle w:val="yTableNAm"/>
            </w:pPr>
            <w:r>
              <w:t>PHENYLACETYLINDOLES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15.</w:t>
            </w:r>
          </w:p>
        </w:tc>
        <w:tc>
          <w:tcPr>
            <w:tcW w:w="5070" w:type="dxa"/>
          </w:tcPr>
          <w:p>
            <w:pPr>
              <w:pStyle w:val="yTableNAm"/>
            </w:pPr>
            <w:r>
              <w:t>PRAVADOLINE (WIN 48098)</w:t>
            </w:r>
          </w:p>
        </w:tc>
        <w:tc>
          <w:tcPr>
            <w:tcW w:w="1358" w:type="dxa"/>
          </w:tcPr>
          <w:p>
            <w:pPr>
              <w:pStyle w:val="yTableNAm"/>
              <w:tabs>
                <w:tab w:val="clear" w:pos="567"/>
                <w:tab w:val="decimal" w:pos="463"/>
              </w:tabs>
            </w:pPr>
            <w:r>
              <w:t>3.0 kg</w:t>
            </w:r>
          </w:p>
        </w:tc>
      </w:tr>
      <w:tr>
        <w:tc>
          <w:tcPr>
            <w:tcW w:w="993" w:type="dxa"/>
          </w:tcPr>
          <w:p>
            <w:pPr>
              <w:pStyle w:val="yTableNAm"/>
            </w:pPr>
            <w:r>
              <w:t>16.</w:t>
            </w:r>
          </w:p>
        </w:tc>
        <w:tc>
          <w:tcPr>
            <w:tcW w:w="5070" w:type="dxa"/>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358" w:type="dxa"/>
          </w:tcPr>
          <w:p>
            <w:pPr>
              <w:pStyle w:val="yTableNAm"/>
              <w:tabs>
                <w:tab w:val="clear" w:pos="567"/>
                <w:tab w:val="decimal" w:pos="463"/>
              </w:tabs>
            </w:pPr>
            <w:r>
              <w:br/>
              <w:t>3.0 kg</w:t>
            </w:r>
          </w:p>
        </w:tc>
      </w:tr>
    </w:tbl>
    <w:p>
      <w:pPr>
        <w:pStyle w:val="yFootnotesection"/>
      </w:pPr>
      <w:r>
        <w:tab/>
        <w:t>[Schedule VII inserted by No. 50 of 1990 s. 6; amended in Gazette 29 Nov 1991 p. 6041; 22 Mar 1994 p. 1245; 29 Apr 2011 p. 1533</w:t>
      </w:r>
      <w:r>
        <w:noBreakHyphen/>
        <w:t>4; 1 Jul 2011 p. 2744</w:t>
      </w:r>
      <w:r>
        <w:noBreakHyphen/>
        <w:t>5; 11 Oct 2011 p. 4319</w:t>
      </w:r>
      <w:r>
        <w:noBreakHyphen/>
        <w:t>20; 13 Apr 2012 p. 1665; 30 Oct 2012 p. 5196.]</w:t>
      </w:r>
    </w:p>
    <w:p>
      <w:pPr>
        <w:pStyle w:val="yScheduleHeading"/>
      </w:pPr>
      <w:bookmarkStart w:id="461" w:name="_Toc392246342"/>
      <w:bookmarkStart w:id="462" w:name="_Toc421283426"/>
      <w:bookmarkStart w:id="463" w:name="_Toc421283524"/>
      <w:bookmarkStart w:id="464" w:name="_Toc433365491"/>
      <w:bookmarkStart w:id="465" w:name="_Toc435452128"/>
      <w:bookmarkStart w:id="466" w:name="_Toc435452236"/>
      <w:bookmarkStart w:id="467" w:name="_Toc435457879"/>
      <w:bookmarkStart w:id="468" w:name="_Toc457316018"/>
      <w:bookmarkStart w:id="469" w:name="_Toc457385082"/>
      <w:bookmarkStart w:id="470" w:name="_Toc457468779"/>
      <w:bookmarkStart w:id="471" w:name="_Toc468199310"/>
      <w:r>
        <w:rPr>
          <w:rStyle w:val="CharSchNo"/>
        </w:rPr>
        <w:t>Schedule VIII</w:t>
      </w:r>
      <w:r>
        <w:t> —</w:t>
      </w:r>
      <w:r>
        <w:rPr>
          <w:rStyle w:val="CharSDivText"/>
        </w:rPr>
        <w:t> </w:t>
      </w:r>
      <w:r>
        <w:rPr>
          <w:rStyle w:val="CharSchText"/>
          <w:bCs/>
        </w:rPr>
        <w:t>Numbers of prohibited plants for purposes of drug trafficking</w:t>
      </w:r>
      <w:bookmarkEnd w:id="461"/>
      <w:bookmarkEnd w:id="462"/>
      <w:bookmarkEnd w:id="463"/>
      <w:bookmarkEnd w:id="464"/>
      <w:bookmarkEnd w:id="465"/>
      <w:bookmarkEnd w:id="466"/>
      <w:bookmarkEnd w:id="467"/>
      <w:bookmarkEnd w:id="468"/>
      <w:bookmarkEnd w:id="469"/>
      <w:bookmarkEnd w:id="470"/>
      <w:bookmarkEnd w:id="471"/>
    </w:p>
    <w:p>
      <w:pPr>
        <w:pStyle w:val="yShoulderClause"/>
        <w:rPr>
          <w:snapToGrid w:val="0"/>
        </w:rPr>
      </w:pPr>
      <w:r>
        <w:rPr>
          <w:snapToGrid w:val="0"/>
        </w:rPr>
        <w:t>[s. 32A(1)(b)(ii)]</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yScheduleHeading"/>
      </w:pPr>
      <w:bookmarkStart w:id="473" w:name="_Toc392246343"/>
      <w:bookmarkStart w:id="474" w:name="_Toc421283427"/>
      <w:bookmarkStart w:id="475" w:name="_Toc421283525"/>
      <w:bookmarkStart w:id="476" w:name="_Toc433365492"/>
      <w:bookmarkStart w:id="477" w:name="_Toc435452129"/>
      <w:bookmarkStart w:id="478" w:name="_Toc435452237"/>
      <w:bookmarkStart w:id="479" w:name="_Toc435457880"/>
      <w:bookmarkStart w:id="480" w:name="_Toc457316019"/>
      <w:bookmarkStart w:id="481" w:name="_Toc457385083"/>
      <w:bookmarkStart w:id="482" w:name="_Toc457468780"/>
      <w:bookmarkStart w:id="483" w:name="_Toc468199311"/>
      <w:r>
        <w:rPr>
          <w:rStyle w:val="CharSchNo"/>
        </w:rPr>
        <w:t>Schedule IX</w:t>
      </w:r>
      <w:r>
        <w:t> — </w:t>
      </w:r>
      <w:r>
        <w:rPr>
          <w:rStyle w:val="CharSchText"/>
          <w:bCs/>
        </w:rPr>
        <w:t>Transitional provisions</w:t>
      </w:r>
      <w:bookmarkEnd w:id="473"/>
      <w:bookmarkEnd w:id="474"/>
      <w:bookmarkEnd w:id="475"/>
      <w:bookmarkEnd w:id="476"/>
      <w:bookmarkEnd w:id="477"/>
      <w:bookmarkEnd w:id="478"/>
      <w:bookmarkEnd w:id="479"/>
      <w:bookmarkEnd w:id="480"/>
      <w:bookmarkEnd w:id="481"/>
      <w:bookmarkEnd w:id="482"/>
      <w:bookmarkEnd w:id="483"/>
    </w:p>
    <w:p>
      <w:pPr>
        <w:pStyle w:val="yShoulderClause"/>
      </w:pPr>
      <w:r>
        <w:t>[s. 48]</w:t>
      </w:r>
    </w:p>
    <w:p>
      <w:pPr>
        <w:pStyle w:val="yFootnoteheading"/>
        <w:spacing w:after="60"/>
      </w:pPr>
      <w:r>
        <w:tab/>
        <w:t>[Heading inserted by No. 44 of 2010 s. 10.]</w:t>
      </w:r>
    </w:p>
    <w:p>
      <w:pPr>
        <w:pStyle w:val="yHeading5"/>
      </w:pPr>
      <w:bookmarkStart w:id="484" w:name="_Toc392246344"/>
      <w:bookmarkStart w:id="485" w:name="_Toc468199312"/>
      <w:bookmarkStart w:id="486" w:name="_Toc457468781"/>
      <w:r>
        <w:rPr>
          <w:rStyle w:val="CharSClsNo"/>
        </w:rPr>
        <w:t>1</w:t>
      </w:r>
      <w:r>
        <w:t>.</w:t>
      </w:r>
      <w:r>
        <w:rPr>
          <w:b w:val="0"/>
        </w:rPr>
        <w:tab/>
      </w:r>
      <w:r>
        <w:t>Property subject to holding orders under repealed s. 28</w:t>
      </w:r>
      <w:bookmarkEnd w:id="484"/>
      <w:bookmarkEnd w:id="485"/>
      <w:bookmarkEnd w:id="486"/>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81" w:right="2409" w:bottom="3543" w:left="2409" w:header="720" w:footer="3380" w:gutter="0"/>
          <w:cols w:space="720"/>
          <w:noEndnote/>
          <w:docGrid w:linePitch="326"/>
        </w:sectPr>
      </w:pPr>
    </w:p>
    <w:p>
      <w:pPr>
        <w:pStyle w:val="nHeading2"/>
      </w:pPr>
      <w:bookmarkStart w:id="487" w:name="_Toc392246345"/>
      <w:bookmarkStart w:id="488" w:name="_Toc421283429"/>
      <w:bookmarkStart w:id="489" w:name="_Toc421283527"/>
      <w:bookmarkStart w:id="490" w:name="_Toc433365494"/>
      <w:bookmarkStart w:id="491" w:name="_Toc435452131"/>
      <w:bookmarkStart w:id="492" w:name="_Toc435452239"/>
      <w:bookmarkStart w:id="493" w:name="_Toc435457882"/>
      <w:bookmarkStart w:id="494" w:name="_Toc457316021"/>
      <w:bookmarkStart w:id="495" w:name="_Toc457385085"/>
      <w:bookmarkStart w:id="496" w:name="_Toc457468782"/>
      <w:bookmarkStart w:id="497" w:name="_Toc468199313"/>
      <w:r>
        <w:t>Notes</w:t>
      </w:r>
      <w:bookmarkEnd w:id="487"/>
      <w:bookmarkEnd w:id="488"/>
      <w:bookmarkEnd w:id="489"/>
      <w:bookmarkEnd w:id="490"/>
      <w:bookmarkEnd w:id="491"/>
      <w:bookmarkEnd w:id="492"/>
      <w:bookmarkEnd w:id="493"/>
      <w:bookmarkEnd w:id="494"/>
      <w:bookmarkEnd w:id="495"/>
      <w:bookmarkEnd w:id="496"/>
      <w:bookmarkEnd w:id="497"/>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498" w:name="_Toc392246346"/>
      <w:bookmarkStart w:id="499" w:name="_Toc468199314"/>
      <w:bookmarkStart w:id="500" w:name="_Toc457468783"/>
      <w:r>
        <w:t>Compilation table</w:t>
      </w:r>
      <w:bookmarkEnd w:id="498"/>
      <w:bookmarkEnd w:id="499"/>
      <w:bookmarkEnd w:id="50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Misuse of Drugs Act 1981</w:t>
            </w:r>
          </w:p>
        </w:tc>
        <w:tc>
          <w:tcPr>
            <w:tcW w:w="1134" w:type="dxa"/>
            <w:tcBorders>
              <w:top w:val="single" w:sz="8" w:space="0" w:color="auto"/>
            </w:tcBorders>
          </w:tcPr>
          <w:p>
            <w:pPr>
              <w:pStyle w:val="nTable"/>
              <w:spacing w:after="40"/>
            </w:pPr>
            <w:r>
              <w:t>66 of 1981</w:t>
            </w:r>
          </w:p>
        </w:tc>
        <w:tc>
          <w:tcPr>
            <w:tcW w:w="1136" w:type="dxa"/>
            <w:tcBorders>
              <w:top w:val="single" w:sz="8" w:space="0" w:color="auto"/>
            </w:tcBorders>
          </w:tcPr>
          <w:p>
            <w:pPr>
              <w:pStyle w:val="nTable"/>
              <w:spacing w:after="40"/>
            </w:pPr>
            <w:r>
              <w:t>23 Oct 1981</w:t>
            </w:r>
          </w:p>
        </w:tc>
        <w:tc>
          <w:tcPr>
            <w:tcW w:w="2551" w:type="dxa"/>
            <w:tcBorders>
              <w:top w:val="single" w:sz="8" w:space="0" w:color="auto"/>
            </w:tcBorders>
          </w:tcPr>
          <w:p>
            <w:pPr>
              <w:pStyle w:val="nTable"/>
              <w:spacing w:after="40"/>
            </w:pPr>
            <w:r>
              <w:t xml:space="preserve">1 Sep 1982 (see s. 2 and </w:t>
            </w:r>
            <w:r>
              <w:rPr>
                <w:i/>
              </w:rPr>
              <w:t>Gazette</w:t>
            </w:r>
            <w:r>
              <w:t xml:space="preserve"> 20 Aug 1982 p. 3250)</w:t>
            </w:r>
          </w:p>
        </w:tc>
      </w:tr>
      <w:tr>
        <w:trPr>
          <w:cantSplit/>
        </w:trPr>
        <w:tc>
          <w:tcPr>
            <w:tcW w:w="4538" w:type="dxa"/>
            <w:gridSpan w:val="3"/>
          </w:tcPr>
          <w:p>
            <w:pPr>
              <w:pStyle w:val="nTable"/>
              <w:spacing w:after="40"/>
            </w:pPr>
            <w:r>
              <w:rPr>
                <w:i/>
              </w:rPr>
              <w:t>Misuse of Drugs (Amounts of Prohibited Drugs) Order</w:t>
            </w:r>
            <w:r>
              <w:t> </w:t>
            </w:r>
            <w:r>
              <w:rPr>
                <w:i/>
              </w:rPr>
              <w:t xml:space="preserve">1990 </w:t>
            </w:r>
            <w:r>
              <w:t xml:space="preserve">published in </w:t>
            </w:r>
            <w:r>
              <w:rPr>
                <w:i/>
              </w:rPr>
              <w:t>Gazette</w:t>
            </w:r>
            <w:r>
              <w:t xml:space="preserve"> 30 Nov 1990 p. 5937</w:t>
            </w:r>
          </w:p>
        </w:tc>
        <w:tc>
          <w:tcPr>
            <w:tcW w:w="2551" w:type="dxa"/>
          </w:tcPr>
          <w:p>
            <w:pPr>
              <w:pStyle w:val="nTable"/>
              <w:spacing w:after="40"/>
            </w:pPr>
            <w:r>
              <w:t>30 Nov 1990</w:t>
            </w:r>
          </w:p>
        </w:tc>
      </w:tr>
      <w:tr>
        <w:trPr>
          <w:cantSplit/>
        </w:trPr>
        <w:tc>
          <w:tcPr>
            <w:tcW w:w="2268" w:type="dxa"/>
          </w:tcPr>
          <w:p>
            <w:pPr>
              <w:pStyle w:val="nTable"/>
              <w:spacing w:after="40"/>
              <w:ind w:right="113"/>
            </w:pPr>
            <w:r>
              <w:rPr>
                <w:i/>
              </w:rPr>
              <w:t>Misuse of Drugs Amendment Act 1990</w:t>
            </w:r>
          </w:p>
        </w:tc>
        <w:tc>
          <w:tcPr>
            <w:tcW w:w="1134" w:type="dxa"/>
          </w:tcPr>
          <w:p>
            <w:pPr>
              <w:pStyle w:val="nTable"/>
              <w:spacing w:after="40"/>
            </w:pPr>
            <w:r>
              <w:t>50 of 1990</w:t>
            </w:r>
          </w:p>
        </w:tc>
        <w:tc>
          <w:tcPr>
            <w:tcW w:w="1136" w:type="dxa"/>
          </w:tcPr>
          <w:p>
            <w:pPr>
              <w:pStyle w:val="nTable"/>
              <w:spacing w:after="40"/>
            </w:pPr>
            <w:r>
              <w:t>4 Dec 1990</w:t>
            </w:r>
          </w:p>
        </w:tc>
        <w:tc>
          <w:tcPr>
            <w:tcW w:w="2551" w:type="dxa"/>
          </w:tcPr>
          <w:p>
            <w:pPr>
              <w:pStyle w:val="nTable"/>
              <w:spacing w:after="40"/>
            </w:pPr>
            <w:r>
              <w:t>4 Dec 1990 (see s. 2)</w:t>
            </w:r>
          </w:p>
        </w:tc>
      </w:tr>
      <w:tr>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6" w:type="dxa"/>
          </w:tcPr>
          <w:p>
            <w:pPr>
              <w:pStyle w:val="nTable"/>
              <w:spacing w:after="40"/>
            </w:pPr>
            <w:r>
              <w:t>25 Jun 1991</w:t>
            </w:r>
          </w:p>
        </w:tc>
        <w:tc>
          <w:tcPr>
            <w:tcW w:w="2551" w:type="dxa"/>
          </w:tcPr>
          <w:p>
            <w:pPr>
              <w:pStyle w:val="nTable"/>
              <w:spacing w:after="40"/>
            </w:pPr>
            <w:r>
              <w:t xml:space="preserve">23 Aug 1991 (see s. 2 and </w:t>
            </w:r>
            <w:r>
              <w:rPr>
                <w:i/>
              </w:rPr>
              <w:t>Gazette</w:t>
            </w:r>
            <w:r>
              <w:t xml:space="preserve"> 23 Aug 1991 p. 4353)</w:t>
            </w:r>
          </w:p>
        </w:tc>
      </w:tr>
      <w:tr>
        <w:trPr>
          <w:cantSplit/>
        </w:trPr>
        <w:tc>
          <w:tcPr>
            <w:tcW w:w="4538" w:type="dxa"/>
            <w:gridSpan w:val="3"/>
          </w:tcPr>
          <w:p>
            <w:pPr>
              <w:pStyle w:val="nTable"/>
              <w:spacing w:after="40"/>
            </w:pPr>
            <w:r>
              <w:rPr>
                <w:i/>
              </w:rPr>
              <w:t>Misuse of Drugs (Amounts of Prohibited Drugs) Order</w:t>
            </w:r>
            <w:r>
              <w:t> </w:t>
            </w:r>
            <w:r>
              <w:rPr>
                <w:i/>
              </w:rPr>
              <w:t xml:space="preserve">1991 </w:t>
            </w:r>
            <w:r>
              <w:t xml:space="preserve">published in </w:t>
            </w:r>
            <w:r>
              <w:rPr>
                <w:i/>
              </w:rPr>
              <w:t>Gazette</w:t>
            </w:r>
            <w:r>
              <w:t xml:space="preserve"> 29 Nov 1991 p. 6040</w:t>
            </w:r>
            <w:r>
              <w:noBreakHyphen/>
              <w:t>1</w:t>
            </w:r>
          </w:p>
        </w:tc>
        <w:tc>
          <w:tcPr>
            <w:tcW w:w="2551" w:type="dxa"/>
          </w:tcPr>
          <w:p>
            <w:pPr>
              <w:pStyle w:val="nTable"/>
              <w:spacing w:after="40"/>
            </w:pPr>
            <w:r>
              <w:t>29 Nov 1991</w:t>
            </w:r>
          </w:p>
        </w:tc>
      </w:tr>
      <w:tr>
        <w:trPr>
          <w:cantSplit/>
        </w:trPr>
        <w:tc>
          <w:tcPr>
            <w:tcW w:w="4538" w:type="dxa"/>
            <w:gridSpan w:val="3"/>
          </w:tcPr>
          <w:p>
            <w:pPr>
              <w:pStyle w:val="nTable"/>
              <w:spacing w:after="40"/>
            </w:pPr>
            <w:r>
              <w:rPr>
                <w:i/>
              </w:rPr>
              <w:t xml:space="preserve">Misuse of Drugs (Amounts of Prohibited Drugs) Order 1994 </w:t>
            </w:r>
            <w:r>
              <w:t xml:space="preserve">published in </w:t>
            </w:r>
            <w:r>
              <w:rPr>
                <w:i/>
              </w:rPr>
              <w:t>Gazette</w:t>
            </w:r>
            <w:r>
              <w:t xml:space="preserve"> 22 Mar 1994 p. 1245</w:t>
            </w:r>
          </w:p>
        </w:tc>
        <w:tc>
          <w:tcPr>
            <w:tcW w:w="2551" w:type="dxa"/>
          </w:tcPr>
          <w:p>
            <w:pPr>
              <w:pStyle w:val="nTable"/>
              <w:spacing w:after="40"/>
            </w:pPr>
            <w:r>
              <w:t>22 Mar 1994</w:t>
            </w:r>
          </w:p>
        </w:tc>
      </w:tr>
      <w:tr>
        <w:trPr>
          <w:cantSplit/>
        </w:trPr>
        <w:tc>
          <w:tcPr>
            <w:tcW w:w="2268" w:type="dxa"/>
          </w:tcPr>
          <w:p>
            <w:pPr>
              <w:pStyle w:val="nTable"/>
              <w:spacing w:after="40"/>
              <w:ind w:right="113"/>
            </w:pPr>
            <w:r>
              <w:rPr>
                <w:i/>
              </w:rPr>
              <w:t xml:space="preserve">Poisons Amendment Act 1994 </w:t>
            </w:r>
            <w:r>
              <w:t>s. 11</w:t>
            </w:r>
          </w:p>
        </w:tc>
        <w:tc>
          <w:tcPr>
            <w:tcW w:w="1134" w:type="dxa"/>
          </w:tcPr>
          <w:p>
            <w:pPr>
              <w:pStyle w:val="nTable"/>
              <w:spacing w:after="40"/>
            </w:pPr>
            <w:r>
              <w:t>12 of 1994</w:t>
            </w:r>
          </w:p>
        </w:tc>
        <w:tc>
          <w:tcPr>
            <w:tcW w:w="1136" w:type="dxa"/>
          </w:tcPr>
          <w:p>
            <w:pPr>
              <w:pStyle w:val="nTable"/>
              <w:spacing w:after="40"/>
            </w:pPr>
            <w:r>
              <w:t>15 Apr 1994</w:t>
            </w:r>
          </w:p>
        </w:tc>
        <w:tc>
          <w:tcPr>
            <w:tcW w:w="2551" w:type="dxa"/>
          </w:tcPr>
          <w:p>
            <w:pPr>
              <w:pStyle w:val="nTable"/>
              <w:spacing w:after="40"/>
            </w:pPr>
            <w:r>
              <w:t xml:space="preserve">27 May 1994 (see s. 2 and </w:t>
            </w:r>
            <w:r>
              <w:rPr>
                <w:i/>
              </w:rPr>
              <w:t>Gazette</w:t>
            </w:r>
            <w:r>
              <w:t xml:space="preserve"> 27 May 1994 p. 2205)</w:t>
            </w:r>
          </w:p>
        </w:tc>
      </w:tr>
      <w:tr>
        <w:trPr>
          <w:cantSplit/>
        </w:trPr>
        <w:tc>
          <w:tcPr>
            <w:tcW w:w="2268"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6"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Acts Amendment (Fines, Penalties and Infringement Notices) Act 1994 </w:t>
            </w:r>
            <w:r>
              <w:t>Pt. 15</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 xml:space="preserve">1 Jan 1995 (see s. 2(1) and </w:t>
            </w:r>
            <w:r>
              <w:rPr>
                <w:i/>
              </w:rPr>
              <w:t xml:space="preserve">Gazette </w:t>
            </w:r>
            <w:r>
              <w:t>30 Dec 1994 p. 7211)</w:t>
            </w:r>
          </w:p>
        </w:tc>
      </w:tr>
      <w:tr>
        <w:trPr>
          <w:cantSplit/>
        </w:trPr>
        <w:tc>
          <w:tcPr>
            <w:tcW w:w="2268" w:type="dxa"/>
          </w:tcPr>
          <w:p>
            <w:pPr>
              <w:pStyle w:val="nTable"/>
              <w:keepNext/>
              <w:spacing w:after="40"/>
              <w:ind w:right="113"/>
              <w:rPr>
                <w:vertAlign w:val="superscript"/>
              </w:rPr>
            </w:pPr>
            <w:r>
              <w:rPr>
                <w:i/>
              </w:rPr>
              <w:t>Misuse of Drugs Amendment Act 1995</w:t>
            </w:r>
            <w:r>
              <w:rPr>
                <w:vertAlign w:val="superscript"/>
              </w:rPr>
              <w:t> 3</w:t>
            </w:r>
          </w:p>
        </w:tc>
        <w:tc>
          <w:tcPr>
            <w:tcW w:w="1134" w:type="dxa"/>
          </w:tcPr>
          <w:p>
            <w:pPr>
              <w:pStyle w:val="nTable"/>
              <w:keepNext/>
              <w:spacing w:after="40"/>
            </w:pPr>
            <w:r>
              <w:t>44 of 1995</w:t>
            </w:r>
          </w:p>
        </w:tc>
        <w:tc>
          <w:tcPr>
            <w:tcW w:w="1136" w:type="dxa"/>
          </w:tcPr>
          <w:p>
            <w:pPr>
              <w:pStyle w:val="nTable"/>
              <w:keepNext/>
              <w:spacing w:after="40"/>
            </w:pPr>
            <w:r>
              <w:t>18 Oct 1995</w:t>
            </w:r>
          </w:p>
        </w:tc>
        <w:tc>
          <w:tcPr>
            <w:tcW w:w="2551" w:type="dxa"/>
          </w:tcPr>
          <w:p>
            <w:pPr>
              <w:pStyle w:val="nTable"/>
              <w:keepNext/>
              <w:spacing w:after="40"/>
            </w:pPr>
            <w:r>
              <w:t>s. 1 and 2: 18 Oct 1995;</w:t>
            </w:r>
            <w:r>
              <w:br/>
              <w:t xml:space="preserve">Act other than s. 1 and 2: 16 Aug 1996 (see s. 2 and </w:t>
            </w:r>
            <w:r>
              <w:rPr>
                <w:i/>
              </w:rPr>
              <w:t>Gazette</w:t>
            </w:r>
            <w:r>
              <w:t xml:space="preserve"> 16 Aug 1996 p. 4007)</w:t>
            </w:r>
          </w:p>
        </w:tc>
      </w:tr>
      <w:tr>
        <w:trPr>
          <w:cantSplit/>
        </w:trPr>
        <w:tc>
          <w:tcPr>
            <w:tcW w:w="2268" w:type="dxa"/>
          </w:tcPr>
          <w:p>
            <w:pPr>
              <w:pStyle w:val="nTable"/>
              <w:spacing w:after="40"/>
              <w:ind w:right="113"/>
            </w:pPr>
            <w:r>
              <w:rPr>
                <w:i/>
              </w:rPr>
              <w:t xml:space="preserve">Poisons Amendment Act 1995 </w:t>
            </w:r>
            <w:r>
              <w:t>s. 43</w:t>
            </w:r>
          </w:p>
        </w:tc>
        <w:tc>
          <w:tcPr>
            <w:tcW w:w="1134" w:type="dxa"/>
          </w:tcPr>
          <w:p>
            <w:pPr>
              <w:pStyle w:val="nTable"/>
              <w:spacing w:after="40"/>
            </w:pPr>
            <w:r>
              <w:t>48 of 1995</w:t>
            </w:r>
          </w:p>
        </w:tc>
        <w:tc>
          <w:tcPr>
            <w:tcW w:w="1136" w:type="dxa"/>
          </w:tcPr>
          <w:p>
            <w:pPr>
              <w:pStyle w:val="nTable"/>
              <w:spacing w:after="40"/>
            </w:pPr>
            <w:r>
              <w:t>6 Nov 1995</w:t>
            </w:r>
          </w:p>
        </w:tc>
        <w:tc>
          <w:tcPr>
            <w:tcW w:w="2551" w:type="dxa"/>
          </w:tcPr>
          <w:p>
            <w:pPr>
              <w:pStyle w:val="nTable"/>
              <w:spacing w:after="40"/>
            </w:pPr>
            <w:r>
              <w:t xml:space="preserve">20 Mar 1996 (see s. 2 and </w:t>
            </w:r>
            <w:r>
              <w:rPr>
                <w:i/>
              </w:rPr>
              <w:t>Gazette</w:t>
            </w:r>
            <w:r>
              <w:t xml:space="preserve"> 19 Mar 1996 p. 1203)</w:t>
            </w:r>
          </w:p>
        </w:tc>
      </w:tr>
      <w:tr>
        <w:trPr>
          <w:cantSplit/>
        </w:trPr>
        <w:tc>
          <w:tcPr>
            <w:tcW w:w="7089" w:type="dxa"/>
            <w:gridSpan w:val="4"/>
          </w:tcPr>
          <w:p>
            <w:pPr>
              <w:pStyle w:val="nTable"/>
              <w:spacing w:after="40"/>
            </w:pPr>
            <w:r>
              <w:rPr>
                <w:b/>
              </w:rPr>
              <w:t xml:space="preserve">Reprint of the </w:t>
            </w:r>
            <w:r>
              <w:rPr>
                <w:b/>
                <w:i/>
              </w:rPr>
              <w:t>Misuse of Drugs Act 1981</w:t>
            </w:r>
            <w:r>
              <w:rPr>
                <w:b/>
              </w:rPr>
              <w:t xml:space="preserve"> as at 11 Nov 1996</w:t>
            </w:r>
            <w:r>
              <w:t xml:space="preserve"> (includes amendments listed above)</w:t>
            </w:r>
          </w:p>
        </w:tc>
      </w:tr>
      <w:tr>
        <w:trPr>
          <w:cantSplit/>
        </w:trPr>
        <w:tc>
          <w:tcPr>
            <w:tcW w:w="2268" w:type="dxa"/>
          </w:tcPr>
          <w:p>
            <w:pPr>
              <w:pStyle w:val="nTable"/>
              <w:spacing w:after="40"/>
              <w:ind w:right="113"/>
            </w:pPr>
            <w:r>
              <w:rPr>
                <w:i/>
              </w:rPr>
              <w:t>Misuse of Drugs Amendment Act 1998</w:t>
            </w:r>
          </w:p>
        </w:tc>
        <w:tc>
          <w:tcPr>
            <w:tcW w:w="1134" w:type="dxa"/>
          </w:tcPr>
          <w:p>
            <w:pPr>
              <w:pStyle w:val="nTable"/>
              <w:spacing w:after="40"/>
            </w:pPr>
            <w:r>
              <w:t>3 of 1998</w:t>
            </w:r>
          </w:p>
        </w:tc>
        <w:tc>
          <w:tcPr>
            <w:tcW w:w="1136" w:type="dxa"/>
          </w:tcPr>
          <w:p>
            <w:pPr>
              <w:pStyle w:val="nTable"/>
              <w:spacing w:after="40"/>
            </w:pPr>
            <w:r>
              <w:t>26 Mar 1998</w:t>
            </w:r>
          </w:p>
        </w:tc>
        <w:tc>
          <w:tcPr>
            <w:tcW w:w="2551" w:type="dxa"/>
          </w:tcPr>
          <w:p>
            <w:pPr>
              <w:pStyle w:val="nTable"/>
              <w:spacing w:after="40"/>
            </w:pPr>
            <w:r>
              <w:t>26 Mar 1998 (see s. 2)</w:t>
            </w:r>
          </w:p>
        </w:tc>
      </w:tr>
      <w:tr>
        <w:trPr>
          <w:cantSplit/>
        </w:trPr>
        <w:tc>
          <w:tcPr>
            <w:tcW w:w="2268" w:type="dxa"/>
          </w:tcPr>
          <w:p>
            <w:pPr>
              <w:pStyle w:val="nTable"/>
              <w:spacing w:after="40"/>
              <w:ind w:right="113"/>
              <w:rPr>
                <w:i/>
              </w:rPr>
            </w:pPr>
            <w:r>
              <w:rPr>
                <w:i/>
              </w:rPr>
              <w:t xml:space="preserve">Statutes (Repeals and Minor Amendments) Act 2000 </w:t>
            </w:r>
            <w:r>
              <w:t>s. 27</w:t>
            </w:r>
          </w:p>
        </w:tc>
        <w:tc>
          <w:tcPr>
            <w:tcW w:w="1134" w:type="dxa"/>
          </w:tcPr>
          <w:p>
            <w:pPr>
              <w:pStyle w:val="nTable"/>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2268" w:type="dxa"/>
          </w:tcPr>
          <w:p>
            <w:pPr>
              <w:pStyle w:val="nTable"/>
              <w:spacing w:after="40"/>
              <w:ind w:right="113"/>
              <w:rPr>
                <w:vertAlign w:val="superscript"/>
              </w:rPr>
            </w:pPr>
            <w:r>
              <w:rPr>
                <w:i/>
              </w:rPr>
              <w:t xml:space="preserve">Criminal Property Confiscation (Consequential Provisions) Act 2000 </w:t>
            </w:r>
            <w:r>
              <w:t>s. 5</w:t>
            </w:r>
            <w:r>
              <w:rPr>
                <w:vertAlign w:val="superscript"/>
              </w:rPr>
              <w:t> 4</w:t>
            </w:r>
          </w:p>
        </w:tc>
        <w:tc>
          <w:tcPr>
            <w:tcW w:w="1134" w:type="dxa"/>
          </w:tcPr>
          <w:p>
            <w:pPr>
              <w:pStyle w:val="nTable"/>
              <w:spacing w:after="40"/>
            </w:pPr>
            <w:r>
              <w:t>69 of 2000</w:t>
            </w:r>
          </w:p>
        </w:tc>
        <w:tc>
          <w:tcPr>
            <w:tcW w:w="1136" w:type="dxa"/>
          </w:tcPr>
          <w:p>
            <w:pPr>
              <w:pStyle w:val="nTable"/>
              <w:spacing w:after="40"/>
            </w:pPr>
            <w:r>
              <w:t>6 Dec 2000</w:t>
            </w:r>
          </w:p>
        </w:tc>
        <w:tc>
          <w:tcPr>
            <w:tcW w:w="2551" w:type="dxa"/>
          </w:tcPr>
          <w:p>
            <w:pPr>
              <w:pStyle w:val="nTable"/>
              <w:spacing w:after="40"/>
            </w:pPr>
            <w:r>
              <w:t xml:space="preserve">1 Jan 2001 (see s. 2 and </w:t>
            </w:r>
            <w:r>
              <w:rPr>
                <w:i/>
              </w:rPr>
              <w:t>Gazette</w:t>
            </w:r>
            <w:r>
              <w:t> 29 Dec 2000 p. 7903)</w:t>
            </w:r>
          </w:p>
        </w:tc>
      </w:tr>
      <w:tr>
        <w:trPr>
          <w:cantSplit/>
        </w:trPr>
        <w:tc>
          <w:tcPr>
            <w:tcW w:w="7089" w:type="dxa"/>
            <w:gridSpan w:val="4"/>
          </w:tcPr>
          <w:p>
            <w:pPr>
              <w:pStyle w:val="nTable"/>
              <w:spacing w:after="40"/>
            </w:pPr>
            <w:r>
              <w:rPr>
                <w:b/>
              </w:rPr>
              <w:t xml:space="preserve">Reprint of the </w:t>
            </w:r>
            <w:r>
              <w:rPr>
                <w:b/>
                <w:i/>
              </w:rPr>
              <w:t>Misuse of Drugs Act 1981</w:t>
            </w:r>
            <w:r>
              <w:rPr>
                <w:b/>
              </w:rPr>
              <w:t xml:space="preserve"> as at 11 Jan 2002</w:t>
            </w:r>
            <w:r>
              <w:t xml:space="preserve"> (includes amendments listed above)</w:t>
            </w:r>
          </w:p>
        </w:tc>
      </w:tr>
      <w:tr>
        <w:trPr>
          <w:cantSplit/>
        </w:trPr>
        <w:tc>
          <w:tcPr>
            <w:tcW w:w="2268" w:type="dxa"/>
          </w:tcPr>
          <w:p>
            <w:pPr>
              <w:pStyle w:val="nTable"/>
              <w:spacing w:after="40"/>
            </w:pPr>
            <w:r>
              <w:rPr>
                <w:i/>
              </w:rPr>
              <w:t>Nurses Amendment Act 2003</w:t>
            </w:r>
            <w:r>
              <w:t xml:space="preserve"> Pt. 3 Div. 2</w:t>
            </w:r>
          </w:p>
        </w:tc>
        <w:tc>
          <w:tcPr>
            <w:tcW w:w="1134" w:type="dxa"/>
          </w:tcPr>
          <w:p>
            <w:pPr>
              <w:pStyle w:val="nTable"/>
              <w:spacing w:after="40"/>
            </w:pPr>
            <w:r>
              <w:t>9 of 2003</w:t>
            </w:r>
          </w:p>
        </w:tc>
        <w:tc>
          <w:tcPr>
            <w:tcW w:w="1136" w:type="dxa"/>
          </w:tcPr>
          <w:p>
            <w:pPr>
              <w:pStyle w:val="nTable"/>
              <w:spacing w:after="40"/>
            </w:pPr>
            <w:r>
              <w:t>9 Apr 2003</w:t>
            </w:r>
          </w:p>
        </w:tc>
        <w:tc>
          <w:tcPr>
            <w:tcW w:w="2551" w:type="dxa"/>
          </w:tcPr>
          <w:p>
            <w:pPr>
              <w:pStyle w:val="nTable"/>
              <w:spacing w:after="40"/>
            </w:pPr>
            <w:r>
              <w:t>9 Apr 2003 (see s. 2)</w:t>
            </w:r>
          </w:p>
        </w:tc>
      </w:tr>
      <w:tr>
        <w:trPr>
          <w:cantSplit/>
        </w:trPr>
        <w:tc>
          <w:tcPr>
            <w:tcW w:w="2268" w:type="dxa"/>
          </w:tcPr>
          <w:p>
            <w:pPr>
              <w:pStyle w:val="nTable"/>
              <w:spacing w:after="40"/>
            </w:pPr>
            <w:r>
              <w:rPr>
                <w:i/>
              </w:rPr>
              <w:t>Cannabis Control Act 2003</w:t>
            </w:r>
            <w:r>
              <w:t xml:space="preserve"> Pt. 5</w:t>
            </w:r>
          </w:p>
        </w:tc>
        <w:tc>
          <w:tcPr>
            <w:tcW w:w="1134" w:type="dxa"/>
          </w:tcPr>
          <w:p>
            <w:pPr>
              <w:pStyle w:val="nTable"/>
              <w:spacing w:after="40"/>
            </w:pPr>
            <w:r>
              <w:t>52 of 2003</w:t>
            </w:r>
          </w:p>
        </w:tc>
        <w:tc>
          <w:tcPr>
            <w:tcW w:w="1136" w:type="dxa"/>
          </w:tcPr>
          <w:p>
            <w:pPr>
              <w:pStyle w:val="nTable"/>
              <w:spacing w:after="40"/>
            </w:pPr>
            <w:r>
              <w:t>1 Oct 2003</w:t>
            </w:r>
          </w:p>
        </w:tc>
        <w:tc>
          <w:tcPr>
            <w:tcW w:w="2551" w:type="dxa"/>
          </w:tcPr>
          <w:p>
            <w:pPr>
              <w:pStyle w:val="nTable"/>
              <w:spacing w:after="40"/>
            </w:pPr>
            <w:r>
              <w:t xml:space="preserve">22 Mar 2004 (see s. 2 and </w:t>
            </w:r>
            <w:r>
              <w:rPr>
                <w:i/>
              </w:rPr>
              <w:t>Gazette</w:t>
            </w:r>
            <w:r>
              <w:t xml:space="preserve"> 9 Mar 2004 p. 733)</w:t>
            </w:r>
          </w:p>
        </w:tc>
      </w:tr>
      <w:tr>
        <w:trPr>
          <w:cantSplit/>
        </w:trPr>
        <w:tc>
          <w:tcPr>
            <w:tcW w:w="2268" w:type="dxa"/>
          </w:tcPr>
          <w:p>
            <w:pPr>
              <w:pStyle w:val="nTable"/>
              <w:spacing w:after="40"/>
            </w:pPr>
            <w:r>
              <w:rPr>
                <w:i/>
              </w:rPr>
              <w:t>Industrial Hemp Act 2004</w:t>
            </w:r>
            <w:r>
              <w:t xml:space="preserve"> Pt. 7</w:t>
            </w:r>
          </w:p>
        </w:tc>
        <w:tc>
          <w:tcPr>
            <w:tcW w:w="1134" w:type="dxa"/>
          </w:tcPr>
          <w:p>
            <w:pPr>
              <w:pStyle w:val="nTable"/>
              <w:spacing w:after="40"/>
            </w:pPr>
            <w:r>
              <w:t>1 of 2004</w:t>
            </w:r>
          </w:p>
        </w:tc>
        <w:tc>
          <w:tcPr>
            <w:tcW w:w="1136" w:type="dxa"/>
          </w:tcPr>
          <w:p>
            <w:pPr>
              <w:pStyle w:val="nTable"/>
              <w:spacing w:after="40"/>
            </w:pPr>
            <w:r>
              <w:t>12 Mar 2004</w:t>
            </w:r>
          </w:p>
        </w:tc>
        <w:tc>
          <w:tcPr>
            <w:tcW w:w="2551" w:type="dxa"/>
          </w:tcPr>
          <w:p>
            <w:pPr>
              <w:pStyle w:val="nTable"/>
              <w:spacing w:after="40"/>
            </w:pPr>
            <w:r>
              <w:t xml:space="preserve">19 May 2004 (see s. 2 and </w:t>
            </w:r>
            <w:r>
              <w:rPr>
                <w:i/>
              </w:rPr>
              <w:t>Gazette</w:t>
            </w:r>
            <w:r>
              <w:t xml:space="preserve"> 18 May 2004 p. 1561)</w:t>
            </w:r>
          </w:p>
        </w:tc>
      </w:tr>
      <w:tr>
        <w:trPr>
          <w:cantSplit/>
        </w:trPr>
        <w:tc>
          <w:tcPr>
            <w:tcW w:w="2268" w:type="dxa"/>
          </w:tcPr>
          <w:p>
            <w:pPr>
              <w:pStyle w:val="nTable"/>
              <w:spacing w:after="40"/>
              <w:rPr>
                <w:i/>
              </w:rPr>
            </w:pPr>
            <w:r>
              <w:rPr>
                <w:i/>
                <w:noProof/>
                <w:snapToGrid w:val="0"/>
              </w:rPr>
              <w:t xml:space="preserve">Criminal Code Amendment Act 2004 </w:t>
            </w:r>
            <w:r>
              <w:rPr>
                <w:noProof/>
                <w:snapToGrid w:val="0"/>
              </w:rPr>
              <w:t>s. 58</w:t>
            </w:r>
          </w:p>
        </w:tc>
        <w:tc>
          <w:tcPr>
            <w:tcW w:w="1134" w:type="dxa"/>
          </w:tcPr>
          <w:p>
            <w:pPr>
              <w:pStyle w:val="nTable"/>
              <w:spacing w:after="40"/>
            </w:pPr>
            <w:r>
              <w:t>4 of 2004</w:t>
            </w:r>
          </w:p>
        </w:tc>
        <w:tc>
          <w:tcPr>
            <w:tcW w:w="1136" w:type="dxa"/>
          </w:tcPr>
          <w:p>
            <w:pPr>
              <w:pStyle w:val="nTable"/>
              <w:spacing w:after="40"/>
            </w:pPr>
            <w:r>
              <w:t>23 Apr 2004</w:t>
            </w:r>
          </w:p>
        </w:tc>
        <w:tc>
          <w:tcPr>
            <w:tcW w:w="2551" w:type="dxa"/>
          </w:tcPr>
          <w:p>
            <w:pPr>
              <w:pStyle w:val="nTable"/>
              <w:spacing w:after="40"/>
            </w:pPr>
            <w:r>
              <w:t>21 May 2004 (see s. 2)</w:t>
            </w:r>
          </w:p>
        </w:tc>
      </w:tr>
      <w:tr>
        <w:trPr>
          <w:cantSplit/>
        </w:trPr>
        <w:tc>
          <w:tcPr>
            <w:tcW w:w="2268" w:type="dxa"/>
          </w:tcPr>
          <w:p>
            <w:pPr>
              <w:pStyle w:val="nTable"/>
              <w:spacing w:after="40"/>
              <w:rPr>
                <w:i/>
                <w:noProof/>
                <w:snapToGrid w:val="0"/>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6" w:type="dxa"/>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noProof/>
                <w:snapToGrid w:val="0"/>
              </w:rPr>
            </w:pPr>
            <w:r>
              <w:rPr>
                <w:i/>
                <w:snapToGrid w:val="0"/>
              </w:rPr>
              <w:t>Misuse of Drugs Amendment Act 2004</w:t>
            </w:r>
            <w:r>
              <w:rPr>
                <w:snapToGrid w:val="0"/>
              </w:rPr>
              <w:t xml:space="preserve"> </w:t>
            </w:r>
          </w:p>
        </w:tc>
        <w:tc>
          <w:tcPr>
            <w:tcW w:w="1134" w:type="dxa"/>
          </w:tcPr>
          <w:p>
            <w:pPr>
              <w:pStyle w:val="nTable"/>
              <w:spacing w:after="40"/>
            </w:pPr>
            <w:r>
              <w:rPr>
                <w:snapToGrid w:val="0"/>
              </w:rPr>
              <w:t>62 of 2004</w:t>
            </w:r>
          </w:p>
        </w:tc>
        <w:tc>
          <w:tcPr>
            <w:tcW w:w="1136" w:type="dxa"/>
          </w:tcPr>
          <w:p>
            <w:pPr>
              <w:pStyle w:val="nTable"/>
              <w:spacing w:after="40"/>
            </w:pPr>
            <w:r>
              <w:t>24 Nov 2004</w:t>
            </w:r>
          </w:p>
        </w:tc>
        <w:tc>
          <w:tcPr>
            <w:tcW w:w="2551" w:type="dxa"/>
          </w:tcPr>
          <w:p>
            <w:pPr>
              <w:pStyle w:val="nTable"/>
              <w:spacing w:after="40"/>
            </w:pPr>
            <w:r>
              <w:t>s. 1 and 2: 24 Nov 2004;</w:t>
            </w:r>
            <w:r>
              <w:br/>
              <w:t xml:space="preserve">Act other than s. 1 and 2: </w:t>
            </w:r>
            <w:r>
              <w:br/>
              <w:t xml:space="preserve">1 Jan 2005 (see s. 2 and </w:t>
            </w:r>
            <w:r>
              <w:rPr>
                <w:i/>
              </w:rPr>
              <w:t xml:space="preserve">Gazette </w:t>
            </w:r>
            <w:r>
              <w:t>10 Dec 2004 p. 5965)</w:t>
            </w:r>
          </w:p>
        </w:tc>
      </w:tr>
      <w:tr>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82</w:t>
            </w:r>
          </w:p>
        </w:tc>
        <w:tc>
          <w:tcPr>
            <w:tcW w:w="1134" w:type="dxa"/>
          </w:tcPr>
          <w:p>
            <w:pPr>
              <w:pStyle w:val="nTable"/>
              <w:spacing w:after="40"/>
              <w:rPr>
                <w:snapToGrid w:val="0"/>
              </w:rPr>
            </w:pPr>
            <w:r>
              <w:rPr>
                <w:snapToGrid w:val="0"/>
              </w:rPr>
              <w:t>84 of 2004</w:t>
            </w:r>
          </w:p>
        </w:tc>
        <w:tc>
          <w:tcPr>
            <w:tcW w:w="1136"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rPr>
              <w:t xml:space="preserve">Reprint 3: The </w:t>
            </w:r>
            <w:r>
              <w:rPr>
                <w:b/>
                <w:i/>
              </w:rPr>
              <w:t>Misuse of Drugs Act 1981</w:t>
            </w:r>
            <w:r>
              <w:rPr>
                <w:b/>
              </w:rPr>
              <w:t xml:space="preserve"> as at 1 Jul 2005</w:t>
            </w:r>
            <w:r>
              <w:t xml:space="preserve"> (includes amendments listed above)</w:t>
            </w:r>
          </w:p>
        </w:tc>
      </w:tr>
      <w:tr>
        <w:trPr>
          <w:cantSplit/>
        </w:trPr>
        <w:tc>
          <w:tcPr>
            <w:tcW w:w="2268" w:type="dxa"/>
          </w:tcPr>
          <w:p>
            <w:pPr>
              <w:pStyle w:val="nTable"/>
              <w:spacing w:after="40"/>
              <w:rPr>
                <w:i/>
                <w:snapToGrid w:val="0"/>
                <w:vertAlign w:val="superscript"/>
              </w:rPr>
            </w:pPr>
            <w:r>
              <w:rPr>
                <w:i/>
                <w:snapToGrid w:val="0"/>
              </w:rPr>
              <w:t xml:space="preserve">Machinery of Government (Miscellaneous Amendments) Act 2006 </w:t>
            </w:r>
            <w:r>
              <w:rPr>
                <w:snapToGrid w:val="0"/>
              </w:rPr>
              <w:t>Pt. 14 Div. 2</w:t>
            </w:r>
          </w:p>
        </w:tc>
        <w:tc>
          <w:tcPr>
            <w:tcW w:w="1134"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551" w:type="dxa"/>
          </w:tcPr>
          <w:p>
            <w:pPr>
              <w:pStyle w:val="nTable"/>
              <w:spacing w:after="40"/>
            </w:pPr>
            <w:r>
              <w:rPr>
                <w:snapToGrid w:val="0"/>
              </w:rPr>
              <w:t xml:space="preserve">1 Jul 2006 (see s. 2 and </w:t>
            </w:r>
            <w:r>
              <w:rPr>
                <w:i/>
                <w:snapToGrid w:val="0"/>
              </w:rPr>
              <w:t>Gazette</w:t>
            </w:r>
            <w:r>
              <w:rPr>
                <w:snapToGrid w:val="0"/>
              </w:rPr>
              <w:t xml:space="preserve"> 27 Jun 2006 p. 2347)</w:t>
            </w:r>
          </w:p>
        </w:tc>
      </w:tr>
      <w:tr>
        <w:trPr>
          <w:cantSplit/>
        </w:trPr>
        <w:tc>
          <w:tcPr>
            <w:tcW w:w="2268" w:type="dxa"/>
          </w:tcPr>
          <w:p>
            <w:pPr>
              <w:pStyle w:val="nTable"/>
              <w:spacing w:after="40"/>
              <w:rPr>
                <w:i/>
                <w:snapToGrid w:val="0"/>
              </w:rPr>
            </w:pPr>
            <w:r>
              <w:rPr>
                <w:i/>
                <w:snapToGrid w:val="0"/>
              </w:rPr>
              <w:t>Misuse of Drugs Amendment Act 2006</w:t>
            </w:r>
            <w:r>
              <w:rPr>
                <w:snapToGrid w:val="0"/>
              </w:rPr>
              <w:t xml:space="preserve"> </w:t>
            </w:r>
          </w:p>
        </w:tc>
        <w:tc>
          <w:tcPr>
            <w:tcW w:w="1134" w:type="dxa"/>
          </w:tcPr>
          <w:p>
            <w:pPr>
              <w:pStyle w:val="nTable"/>
              <w:spacing w:after="40"/>
              <w:rPr>
                <w:snapToGrid w:val="0"/>
              </w:rPr>
            </w:pPr>
            <w:r>
              <w:rPr>
                <w:snapToGrid w:val="0"/>
              </w:rPr>
              <w:t>40 of 2006</w:t>
            </w:r>
          </w:p>
        </w:tc>
        <w:tc>
          <w:tcPr>
            <w:tcW w:w="1136" w:type="dxa"/>
          </w:tcPr>
          <w:p>
            <w:pPr>
              <w:pStyle w:val="nTable"/>
              <w:spacing w:after="40"/>
            </w:pPr>
            <w:r>
              <w:rPr>
                <w:snapToGrid w:val="0"/>
              </w:rPr>
              <w:t>22 Sep 2006</w:t>
            </w:r>
          </w:p>
        </w:tc>
        <w:tc>
          <w:tcPr>
            <w:tcW w:w="2551" w:type="dxa"/>
          </w:tcPr>
          <w:p>
            <w:pPr>
              <w:pStyle w:val="nTable"/>
              <w:spacing w:after="40"/>
              <w:rPr>
                <w:snapToGrid w:val="0"/>
              </w:rPr>
            </w:pPr>
            <w:r>
              <w:t>s. 1 and 2: 22 Sep 2006;</w:t>
            </w:r>
            <w:r>
              <w:br/>
              <w:t xml:space="preserve">Act other than s. 1 and 2: </w:t>
            </w:r>
            <w:r>
              <w:br/>
              <w:t xml:space="preserve">28 Apr 2007 (see s. 2 and </w:t>
            </w:r>
            <w:r>
              <w:rPr>
                <w:i/>
                <w:iCs/>
              </w:rPr>
              <w:t>Gazette</w:t>
            </w:r>
            <w:r>
              <w:t xml:space="preserve"> 27 Apr 2007 p. 1775)</w:t>
            </w:r>
          </w:p>
        </w:tc>
      </w:tr>
      <w:tr>
        <w:trPr>
          <w:cantSplit/>
        </w:trPr>
        <w:tc>
          <w:tcPr>
            <w:tcW w:w="2268" w:type="dxa"/>
          </w:tcPr>
          <w:p>
            <w:pPr>
              <w:pStyle w:val="nTable"/>
              <w:spacing w:after="40"/>
              <w:rPr>
                <w:i/>
                <w:snapToGrid w:val="0"/>
              </w:rPr>
            </w:pPr>
            <w:r>
              <w:rPr>
                <w:i/>
                <w:snapToGrid w:val="0"/>
              </w:rPr>
              <w:t>Nurses and Midwives Act 2006</w:t>
            </w:r>
            <w:r>
              <w:rPr>
                <w:snapToGrid w:val="0"/>
              </w:rPr>
              <w:t xml:space="preserve"> Sch. 3 cl. 15</w:t>
            </w:r>
          </w:p>
        </w:tc>
        <w:tc>
          <w:tcPr>
            <w:tcW w:w="1134" w:type="dxa"/>
          </w:tcPr>
          <w:p>
            <w:pPr>
              <w:pStyle w:val="nTable"/>
              <w:spacing w:after="40"/>
              <w:rPr>
                <w:snapToGrid w:val="0"/>
              </w:rPr>
            </w:pPr>
            <w:r>
              <w:rPr>
                <w:snapToGrid w:val="0"/>
              </w:rPr>
              <w:t>50 of 2006</w:t>
            </w:r>
          </w:p>
        </w:tc>
        <w:tc>
          <w:tcPr>
            <w:tcW w:w="1136" w:type="dxa"/>
          </w:tcPr>
          <w:p>
            <w:pPr>
              <w:pStyle w:val="nTable"/>
              <w:spacing w:after="40"/>
              <w:rPr>
                <w:snapToGrid w:val="0"/>
              </w:rPr>
            </w:pPr>
            <w:r>
              <w:rPr>
                <w:snapToGrid w:val="0"/>
              </w:rPr>
              <w:t>6 Oct 2006</w:t>
            </w:r>
          </w:p>
        </w:tc>
        <w:tc>
          <w:tcPr>
            <w:tcW w:w="2551" w:type="dxa"/>
          </w:tcPr>
          <w:p>
            <w:pPr>
              <w:pStyle w:val="nTable"/>
              <w:spacing w:after="40"/>
            </w:pPr>
            <w:r>
              <w:t xml:space="preserve">19 Sep 2007 (see s. 2 and </w:t>
            </w:r>
            <w:r>
              <w:rPr>
                <w:i/>
                <w:iCs/>
              </w:rPr>
              <w:t>Gazette</w:t>
            </w:r>
            <w:r>
              <w:t xml:space="preserve"> 18 Sep 2007 p. 4711)</w:t>
            </w:r>
          </w:p>
        </w:tc>
      </w:tr>
      <w:tr>
        <w:trPr>
          <w:cantSplit/>
        </w:trPr>
        <w:tc>
          <w:tcPr>
            <w:tcW w:w="4538" w:type="dxa"/>
            <w:gridSpan w:val="3"/>
          </w:tcPr>
          <w:p>
            <w:pPr>
              <w:pStyle w:val="nTable"/>
              <w:spacing w:after="40"/>
              <w:rPr>
                <w:snapToGrid w:val="0"/>
              </w:rPr>
            </w:pPr>
            <w:r>
              <w:rPr>
                <w:i/>
                <w:iCs/>
                <w:snapToGrid w:val="0"/>
              </w:rPr>
              <w:t>Misuse of Drugs (Amounts of Prohibited Drugs) Order 2007</w:t>
            </w:r>
            <w:r>
              <w:rPr>
                <w:snapToGrid w:val="0"/>
              </w:rPr>
              <w:t xml:space="preserve"> published in </w:t>
            </w:r>
            <w:r>
              <w:rPr>
                <w:i/>
                <w:iCs/>
                <w:snapToGrid w:val="0"/>
              </w:rPr>
              <w:t>Gazette</w:t>
            </w:r>
            <w:r>
              <w:rPr>
                <w:snapToGrid w:val="0"/>
              </w:rPr>
              <w:t xml:space="preserve"> 7 Dec 2007 p. 5985</w:t>
            </w:r>
          </w:p>
        </w:tc>
        <w:tc>
          <w:tcPr>
            <w:tcW w:w="2551" w:type="dxa"/>
          </w:tcPr>
          <w:p>
            <w:pPr>
              <w:pStyle w:val="nTable"/>
              <w:spacing w:after="40"/>
            </w:pPr>
            <w:r>
              <w:t>cl. 1 and 2: 7 Dec 2007 (see cl. 2(a));</w:t>
            </w:r>
            <w:r>
              <w:br/>
              <w:t>Order other than cl. 1 and 2: 8 Dec 2007 (see cl. 2(b))</w:t>
            </w:r>
          </w:p>
        </w:tc>
      </w:tr>
      <w:tr>
        <w:trPr>
          <w:cantSplit/>
        </w:trPr>
        <w:tc>
          <w:tcPr>
            <w:tcW w:w="7089" w:type="dxa"/>
            <w:gridSpan w:val="4"/>
          </w:tcPr>
          <w:p>
            <w:pPr>
              <w:pStyle w:val="nTable"/>
              <w:spacing w:after="40"/>
            </w:pPr>
            <w:r>
              <w:rPr>
                <w:b/>
              </w:rPr>
              <w:t xml:space="preserve">Reprint 4: The </w:t>
            </w:r>
            <w:r>
              <w:rPr>
                <w:b/>
                <w:i/>
              </w:rPr>
              <w:t>Misuse of Drugs Act 1981</w:t>
            </w:r>
            <w:r>
              <w:rPr>
                <w:b/>
              </w:rPr>
              <w:t xml:space="preserve"> as at 29 Feb 2008</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37</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21</w:t>
            </w:r>
          </w:p>
        </w:tc>
        <w:tc>
          <w:tcPr>
            <w:tcW w:w="1134" w:type="dxa"/>
            <w:tcBorders>
              <w:top w:val="nil"/>
              <w:bottom w:val="nil"/>
            </w:tcBorders>
          </w:tcPr>
          <w:p>
            <w:pPr>
              <w:pStyle w:val="nTable"/>
              <w:spacing w:after="40"/>
            </w:pPr>
            <w:r>
              <w:rPr>
                <w:snapToGrid w:val="0"/>
              </w:rPr>
              <w:t>42 of 2009</w:t>
            </w:r>
          </w:p>
        </w:tc>
        <w:tc>
          <w:tcPr>
            <w:tcW w:w="1136" w:type="dxa"/>
            <w:tcBorders>
              <w:top w:val="nil"/>
              <w:bottom w:val="nil"/>
            </w:tcBorders>
          </w:tcPr>
          <w:p>
            <w:pPr>
              <w:pStyle w:val="nTable"/>
              <w:spacing w:after="40"/>
            </w:pPr>
            <w:r>
              <w:rPr>
                <w:snapToGrid w:val="0"/>
              </w:rPr>
              <w:t>3 Dec 2009</w:t>
            </w:r>
          </w:p>
        </w:tc>
        <w:tc>
          <w:tcPr>
            <w:tcW w:w="2551"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37</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Cs/>
                <w:snapToGrid w:val="0"/>
              </w:rPr>
            </w:pPr>
            <w:r>
              <w:rPr>
                <w:i/>
                <w:snapToGrid w:val="0"/>
              </w:rPr>
              <w:t>Misuse of Drugs Amendment Act 2010</w:t>
            </w:r>
            <w:r>
              <w:rPr>
                <w:iCs/>
                <w:snapToGrid w:val="0"/>
              </w:rPr>
              <w:t xml:space="preserve"> </w:t>
            </w:r>
          </w:p>
        </w:tc>
        <w:tc>
          <w:tcPr>
            <w:tcW w:w="1134" w:type="dxa"/>
          </w:tcPr>
          <w:p>
            <w:pPr>
              <w:pStyle w:val="nTable"/>
              <w:spacing w:after="40"/>
              <w:rPr>
                <w:snapToGrid w:val="0"/>
              </w:rPr>
            </w:pPr>
            <w:r>
              <w:rPr>
                <w:snapToGrid w:val="0"/>
              </w:rPr>
              <w:t>44 of 2010</w:t>
            </w:r>
          </w:p>
        </w:tc>
        <w:tc>
          <w:tcPr>
            <w:tcW w:w="1136" w:type="dxa"/>
          </w:tcPr>
          <w:p>
            <w:pPr>
              <w:pStyle w:val="nTable"/>
              <w:spacing w:after="40"/>
              <w:rPr>
                <w:snapToGrid w:val="0"/>
              </w:rPr>
            </w:pPr>
            <w:r>
              <w:rPr>
                <w:snapToGrid w:val="0"/>
              </w:rPr>
              <w:t>28 Oct 2010</w:t>
            </w:r>
          </w:p>
        </w:tc>
        <w:tc>
          <w:tcPr>
            <w:tcW w:w="2551" w:type="dxa"/>
          </w:tcPr>
          <w:p>
            <w:pPr>
              <w:pStyle w:val="nTable"/>
              <w:spacing w:after="40"/>
              <w:rPr>
                <w:snapToGrid w:val="0"/>
              </w:rPr>
            </w:pPr>
            <w:r>
              <w:rPr>
                <w:snapToGrid w:val="0"/>
              </w:rPr>
              <w:t>s. 1 and 2: 28 Oct 2010 (see s. 2(a));</w:t>
            </w:r>
            <w:r>
              <w:rPr>
                <w:snapToGrid w:val="0"/>
              </w:rPr>
              <w:br/>
              <w:t xml:space="preserve">s. 3, 4 and 7(3) and (4): 22 Jan 2011 (see s. 2(b) and </w:t>
            </w:r>
            <w:r>
              <w:rPr>
                <w:i/>
                <w:iCs/>
                <w:snapToGrid w:val="0"/>
              </w:rPr>
              <w:t>Gazette</w:t>
            </w:r>
            <w:r>
              <w:rPr>
                <w:snapToGrid w:val="0"/>
              </w:rPr>
              <w:t xml:space="preserve"> 21 Jan 2011 p. 157);</w:t>
            </w:r>
            <w:r>
              <w:rPr>
                <w:snapToGrid w:val="0"/>
              </w:rPr>
              <w:br/>
              <w:t>s. 5</w:t>
            </w:r>
            <w:r>
              <w:rPr>
                <w:snapToGrid w:val="0"/>
              </w:rPr>
              <w:noBreakHyphen/>
              <w:t>7(1) and (2), 8</w:t>
            </w:r>
            <w:r>
              <w:rPr>
                <w:snapToGrid w:val="0"/>
              </w:rPr>
              <w:noBreakHyphen/>
              <w:t xml:space="preserve">10: 9 Jul 2011 (see 2(b) and </w:t>
            </w:r>
            <w:r>
              <w:rPr>
                <w:i/>
                <w:snapToGrid w:val="0"/>
              </w:rPr>
              <w:t>Gazette</w:t>
            </w:r>
            <w:r>
              <w:rPr>
                <w:snapToGrid w:val="0"/>
              </w:rPr>
              <w:t xml:space="preserve"> 8 Jul 2011 p. 2895)</w:t>
            </w:r>
          </w:p>
        </w:tc>
      </w:tr>
      <w:tr>
        <w:trPr>
          <w:cantSplit/>
        </w:trPr>
        <w:tc>
          <w:tcPr>
            <w:tcW w:w="2268" w:type="dxa"/>
          </w:tcPr>
          <w:p>
            <w:pPr>
              <w:pStyle w:val="nTable"/>
              <w:spacing w:after="40"/>
              <w:ind w:right="113"/>
              <w:rPr>
                <w:i/>
                <w:snapToGrid w:val="0"/>
              </w:rPr>
            </w:pPr>
            <w:r>
              <w:rPr>
                <w:i/>
                <w:iCs/>
                <w:snapToGrid w:val="0"/>
              </w:rPr>
              <w:t>Cannabis Law Reform Act 2010</w:t>
            </w:r>
            <w:r>
              <w:rPr>
                <w:snapToGrid w:val="0"/>
              </w:rPr>
              <w:t xml:space="preserve"> Pt. 3 </w:t>
            </w:r>
          </w:p>
        </w:tc>
        <w:tc>
          <w:tcPr>
            <w:tcW w:w="1134" w:type="dxa"/>
          </w:tcPr>
          <w:p>
            <w:pPr>
              <w:pStyle w:val="nTable"/>
              <w:spacing w:after="40"/>
              <w:rPr>
                <w:snapToGrid w:val="0"/>
              </w:rPr>
            </w:pPr>
            <w:r>
              <w:rPr>
                <w:snapToGrid w:val="0"/>
              </w:rPr>
              <w:t>45 of 2010</w:t>
            </w:r>
          </w:p>
        </w:tc>
        <w:tc>
          <w:tcPr>
            <w:tcW w:w="1136" w:type="dxa"/>
          </w:tcPr>
          <w:p>
            <w:pPr>
              <w:pStyle w:val="nTable"/>
              <w:spacing w:after="40"/>
              <w:rPr>
                <w:snapToGrid w:val="0"/>
              </w:rPr>
            </w:pPr>
            <w:r>
              <w:rPr>
                <w:snapToGrid w:val="0"/>
              </w:rP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tcPr>
          <w:p>
            <w:pPr>
              <w:pStyle w:val="nTable"/>
              <w:spacing w:after="40"/>
              <w:ind w:right="113"/>
              <w:rPr>
                <w:i/>
                <w:snapToGrid w:val="0"/>
              </w:rPr>
            </w:pPr>
            <w:r>
              <w:rPr>
                <w:i/>
                <w:iCs/>
                <w:snapToGrid w:val="0"/>
              </w:rPr>
              <w:t>Misuse of Drugs Amendment Act (No. 2) 2010</w:t>
            </w:r>
            <w:r>
              <w:rPr>
                <w:snapToGrid w:val="0"/>
              </w:rPr>
              <w:t xml:space="preserve"> Pt. 2</w:t>
            </w:r>
          </w:p>
        </w:tc>
        <w:tc>
          <w:tcPr>
            <w:tcW w:w="1134" w:type="dxa"/>
          </w:tcPr>
          <w:p>
            <w:pPr>
              <w:pStyle w:val="nTable"/>
              <w:spacing w:after="40"/>
              <w:rPr>
                <w:snapToGrid w:val="0"/>
              </w:rPr>
            </w:pPr>
            <w:r>
              <w:rPr>
                <w:snapToGrid w:val="0"/>
              </w:rPr>
              <w:t>50 of 2010</w:t>
            </w:r>
          </w:p>
        </w:tc>
        <w:tc>
          <w:tcPr>
            <w:tcW w:w="1136" w:type="dxa"/>
          </w:tcPr>
          <w:p>
            <w:pPr>
              <w:pStyle w:val="nTable"/>
              <w:spacing w:after="40"/>
              <w:rPr>
                <w:snapToGrid w:val="0"/>
              </w:rPr>
            </w:pPr>
            <w:r>
              <w:rPr>
                <w:snapToGrid w:val="0"/>
              </w:rPr>
              <w:t>24 Nov 2010</w:t>
            </w:r>
          </w:p>
        </w:tc>
        <w:tc>
          <w:tcPr>
            <w:tcW w:w="2551" w:type="dxa"/>
          </w:tcPr>
          <w:p>
            <w:pPr>
              <w:pStyle w:val="nTable"/>
              <w:spacing w:after="40"/>
              <w:rPr>
                <w:snapToGrid w:val="0"/>
              </w:rPr>
            </w:pPr>
            <w:r>
              <w:rPr>
                <w:snapToGrid w:val="0"/>
              </w:rPr>
              <w:t>25 Nov 2010 (see s. 2(b))</w:t>
            </w:r>
          </w:p>
        </w:tc>
      </w:tr>
      <w:tr>
        <w:trPr>
          <w:cantSplit/>
        </w:trPr>
        <w:tc>
          <w:tcPr>
            <w:tcW w:w="4538" w:type="dxa"/>
            <w:gridSpan w:val="3"/>
          </w:tcPr>
          <w:p>
            <w:pPr>
              <w:pStyle w:val="nTable"/>
              <w:spacing w:after="40"/>
            </w:pPr>
            <w:r>
              <w:rPr>
                <w:i/>
              </w:rPr>
              <w:t xml:space="preserve">Misuse of Drugs (Numbers of Cannabis Plants) Order 2010 </w:t>
            </w:r>
            <w:r>
              <w:t xml:space="preserve">published in </w:t>
            </w:r>
            <w:r>
              <w:rPr>
                <w:i/>
              </w:rPr>
              <w:t>Gazette</w:t>
            </w:r>
            <w:r>
              <w:t xml:space="preserve"> 15 Apr 2011 p. 1425</w:t>
            </w:r>
            <w:r>
              <w:noBreakHyphen/>
              <w:t>6</w:t>
            </w:r>
          </w:p>
        </w:tc>
        <w:tc>
          <w:tcPr>
            <w:tcW w:w="2551" w:type="dxa"/>
          </w:tcPr>
          <w:p>
            <w:pPr>
              <w:pStyle w:val="nTable"/>
              <w:spacing w:after="40"/>
            </w:pPr>
            <w:r>
              <w:t>cl. 1 and 2: 15 Apr 2011 (see cl. 2(a));</w:t>
            </w:r>
            <w:r>
              <w:br/>
              <w:t>Order other than cl. 1 and 2: 16 Apr 2011 (see cl. 2(b))</w:t>
            </w:r>
          </w:p>
        </w:tc>
      </w:tr>
      <w:tr>
        <w:trPr>
          <w:cantSplit/>
        </w:trPr>
        <w:tc>
          <w:tcPr>
            <w:tcW w:w="4538" w:type="dxa"/>
            <w:gridSpan w:val="3"/>
          </w:tcPr>
          <w:p>
            <w:pPr>
              <w:pStyle w:val="nTable"/>
              <w:spacing w:after="40"/>
              <w:rPr>
                <w:i/>
              </w:rPr>
            </w:pPr>
            <w:r>
              <w:rPr>
                <w:i/>
                <w:iCs/>
                <w:snapToGrid w:val="0"/>
              </w:rPr>
              <w:t>Misuse of Drugs (Amounts of Prohibited Drugs) Order 2011</w:t>
            </w:r>
            <w:r>
              <w:rPr>
                <w:snapToGrid w:val="0"/>
              </w:rPr>
              <w:t xml:space="preserve"> </w:t>
            </w:r>
            <w:r>
              <w:t xml:space="preserve">published in </w:t>
            </w:r>
            <w:r>
              <w:rPr>
                <w:i/>
              </w:rPr>
              <w:t>Gazette</w:t>
            </w:r>
            <w:r>
              <w:t xml:space="preserve"> 29 Apr 2011 p. 1532</w:t>
            </w:r>
            <w:r>
              <w:noBreakHyphen/>
              <w:t>4</w:t>
            </w:r>
          </w:p>
        </w:tc>
        <w:tc>
          <w:tcPr>
            <w:tcW w:w="2551" w:type="dxa"/>
          </w:tcPr>
          <w:p>
            <w:pPr>
              <w:pStyle w:val="nTable"/>
              <w:spacing w:after="40"/>
            </w:pPr>
            <w:r>
              <w:t>cl. 1 and 2: 29 Apr 2011 (see cl. 2(a));</w:t>
            </w:r>
            <w:r>
              <w:br/>
              <w:t>Order other than cl. 1 and 2: 30 Apr 2011 (see cl. 2(b))</w:t>
            </w:r>
          </w:p>
        </w:tc>
      </w:tr>
      <w:tr>
        <w:trPr>
          <w:cantSplit/>
        </w:trPr>
        <w:tc>
          <w:tcPr>
            <w:tcW w:w="4538" w:type="dxa"/>
            <w:gridSpan w:val="3"/>
          </w:tcPr>
          <w:p>
            <w:pPr>
              <w:pStyle w:val="nTable"/>
              <w:spacing w:after="40"/>
              <w:rPr>
                <w:i/>
                <w:iCs/>
                <w:snapToGrid w:val="0"/>
              </w:rPr>
            </w:pPr>
            <w:r>
              <w:rPr>
                <w:i/>
                <w:iCs/>
                <w:snapToGrid w:val="0"/>
              </w:rPr>
              <w:t>Misuse of Drugs (Amounts of Prohibited Drugs) Order (No. 2) 2011</w:t>
            </w:r>
            <w:r>
              <w:rPr>
                <w:snapToGrid w:val="0"/>
              </w:rPr>
              <w:t xml:space="preserve"> </w:t>
            </w:r>
            <w:r>
              <w:t xml:space="preserve">published in </w:t>
            </w:r>
            <w:r>
              <w:rPr>
                <w:i/>
              </w:rPr>
              <w:t>Gazette</w:t>
            </w:r>
            <w:r>
              <w:t xml:space="preserve"> 1 Jul 2011 p. 2742</w:t>
            </w:r>
            <w:r>
              <w:noBreakHyphen/>
              <w:t>5</w:t>
            </w:r>
          </w:p>
        </w:tc>
        <w:tc>
          <w:tcPr>
            <w:tcW w:w="2551" w:type="dxa"/>
          </w:tcPr>
          <w:p>
            <w:pPr>
              <w:pStyle w:val="nTable"/>
              <w:spacing w:after="40"/>
            </w:pPr>
            <w:r>
              <w:t>cl. 1 and 2: 1 Jul 2011 (see cl. 2(a));</w:t>
            </w:r>
            <w:r>
              <w:br/>
              <w:t>Order other than cl. 1 and 2: 2 Jul 2011 (see cl. 2(b))</w:t>
            </w:r>
          </w:p>
        </w:tc>
      </w:tr>
      <w:tr>
        <w:trPr>
          <w:cantSplit/>
        </w:trPr>
        <w:tc>
          <w:tcPr>
            <w:tcW w:w="7089" w:type="dxa"/>
            <w:gridSpan w:val="4"/>
          </w:tcPr>
          <w:p>
            <w:pPr>
              <w:pStyle w:val="nTable"/>
              <w:spacing w:after="40"/>
            </w:pPr>
            <w:r>
              <w:rPr>
                <w:b/>
              </w:rPr>
              <w:t xml:space="preserve">Reprint 5: The </w:t>
            </w:r>
            <w:r>
              <w:rPr>
                <w:b/>
                <w:i/>
              </w:rPr>
              <w:t>Misuse of Drugs Act 1981</w:t>
            </w:r>
            <w:r>
              <w:rPr>
                <w:b/>
              </w:rPr>
              <w:t xml:space="preserve"> as at 16 Sep 2011</w:t>
            </w:r>
            <w:r>
              <w:t xml:space="preserve"> (includes amendments listed above)</w:t>
            </w:r>
          </w:p>
        </w:tc>
      </w:tr>
      <w:tr>
        <w:trPr>
          <w:cantSplit/>
        </w:trPr>
        <w:tc>
          <w:tcPr>
            <w:tcW w:w="4538" w:type="dxa"/>
            <w:gridSpan w:val="3"/>
          </w:tcPr>
          <w:p>
            <w:pPr>
              <w:pStyle w:val="nTable"/>
              <w:spacing w:after="40"/>
              <w:rPr>
                <w:i/>
                <w:iCs/>
                <w:snapToGrid w:val="0"/>
              </w:rPr>
            </w:pPr>
            <w:r>
              <w:rPr>
                <w:i/>
                <w:iCs/>
                <w:snapToGrid w:val="0"/>
              </w:rPr>
              <w:t>Misuse of Drugs (Amounts of Prohibited Drugs) Order (No. 3) 2011</w:t>
            </w:r>
            <w:r>
              <w:rPr>
                <w:snapToGrid w:val="0"/>
              </w:rPr>
              <w:t xml:space="preserve"> </w:t>
            </w:r>
            <w:r>
              <w:t xml:space="preserve">published in </w:t>
            </w:r>
            <w:r>
              <w:rPr>
                <w:i/>
              </w:rPr>
              <w:t>Gazette</w:t>
            </w:r>
            <w:r>
              <w:t xml:space="preserve"> 11 Oct 2011 p. 4316</w:t>
            </w:r>
            <w:r>
              <w:noBreakHyphen/>
              <w:t>20</w:t>
            </w:r>
          </w:p>
        </w:tc>
        <w:tc>
          <w:tcPr>
            <w:tcW w:w="2551" w:type="dxa"/>
          </w:tcPr>
          <w:p>
            <w:pPr>
              <w:pStyle w:val="nTable"/>
              <w:spacing w:after="40"/>
            </w:pPr>
            <w:r>
              <w:t>cl. 1 and 2: 11 Oct 2011 (see cl. 2(a));</w:t>
            </w:r>
            <w:r>
              <w:br/>
              <w:t>Order other than cl. 1 and 2: 12 Oct 2011 (see cl. 2(b))</w:t>
            </w:r>
          </w:p>
        </w:tc>
      </w:tr>
      <w:tr>
        <w:trPr>
          <w:cantSplit/>
        </w:trPr>
        <w:tc>
          <w:tcPr>
            <w:tcW w:w="2268" w:type="dxa"/>
          </w:tcPr>
          <w:p>
            <w:pPr>
              <w:pStyle w:val="nTable"/>
              <w:spacing w:after="40"/>
              <w:ind w:right="113"/>
              <w:rPr>
                <w:i/>
                <w:snapToGrid w:val="0"/>
              </w:rPr>
            </w:pPr>
            <w:r>
              <w:rPr>
                <w:i/>
                <w:snapToGrid w:val="0"/>
              </w:rPr>
              <w:t>Misuse of Drugs Amendment Act 2011</w:t>
            </w:r>
            <w:r>
              <w:rPr>
                <w:snapToGrid w:val="0"/>
              </w:rPr>
              <w:t xml:space="preserve"> Pt. 2</w:t>
            </w:r>
          </w:p>
        </w:tc>
        <w:tc>
          <w:tcPr>
            <w:tcW w:w="1134" w:type="dxa"/>
          </w:tcPr>
          <w:p>
            <w:pPr>
              <w:pStyle w:val="nTable"/>
              <w:spacing w:after="40"/>
              <w:rPr>
                <w:snapToGrid w:val="0"/>
              </w:rPr>
            </w:pPr>
            <w:r>
              <w:rPr>
                <w:snapToGrid w:val="0"/>
              </w:rPr>
              <w:t>56 of 2011</w:t>
            </w:r>
          </w:p>
        </w:tc>
        <w:tc>
          <w:tcPr>
            <w:tcW w:w="1136" w:type="dxa"/>
          </w:tcPr>
          <w:p>
            <w:pPr>
              <w:pStyle w:val="nTable"/>
              <w:spacing w:after="40"/>
              <w:rPr>
                <w:snapToGrid w:val="0"/>
              </w:rPr>
            </w:pPr>
            <w:r>
              <w:rPr>
                <w:snapToGrid w:val="0"/>
              </w:rPr>
              <w:t>21 Nov 2011</w:t>
            </w:r>
          </w:p>
        </w:tc>
        <w:tc>
          <w:tcPr>
            <w:tcW w:w="2551" w:type="dxa"/>
          </w:tcPr>
          <w:p>
            <w:pPr>
              <w:pStyle w:val="nTable"/>
              <w:spacing w:after="40"/>
              <w:rPr>
                <w:snapToGrid w:val="0"/>
              </w:rPr>
            </w:pPr>
            <w:r>
              <w:rPr>
                <w:snapToGrid w:val="0"/>
              </w:rPr>
              <w:t xml:space="preserve">s. 3, 4 and 9: 24 Mar 2012 (see s. 2(b) and </w:t>
            </w:r>
            <w:r>
              <w:rPr>
                <w:i/>
                <w:snapToGrid w:val="0"/>
              </w:rPr>
              <w:t xml:space="preserve">Gazette </w:t>
            </w:r>
            <w:r>
              <w:rPr>
                <w:snapToGrid w:val="0"/>
              </w:rPr>
              <w:t>23 Mar 2012 p. 1363);</w:t>
            </w:r>
            <w:r>
              <w:rPr>
                <w:snapToGrid w:val="0"/>
              </w:rPr>
              <w:br/>
              <w:t xml:space="preserve">s. 5-8: 30 Jan 2013 (see s. 2(b) and </w:t>
            </w:r>
            <w:r>
              <w:rPr>
                <w:i/>
                <w:snapToGrid w:val="0"/>
              </w:rPr>
              <w:t xml:space="preserve">Gazette </w:t>
            </w:r>
            <w:r>
              <w:rPr>
                <w:snapToGrid w:val="0"/>
              </w:rPr>
              <w:t>29 Jan 2013 p. 324</w:t>
            </w:r>
            <w:r>
              <w:rPr>
                <w:snapToGrid w:val="0"/>
              </w:rPr>
              <w:noBreakHyphen/>
              <w:t>5)</w:t>
            </w:r>
          </w:p>
        </w:tc>
      </w:tr>
      <w:tr>
        <w:trPr>
          <w:cantSplit/>
        </w:trPr>
        <w:tc>
          <w:tcPr>
            <w:tcW w:w="4538" w:type="dxa"/>
            <w:gridSpan w:val="3"/>
          </w:tcPr>
          <w:p>
            <w:pPr>
              <w:pStyle w:val="nTable"/>
              <w:spacing w:after="40"/>
              <w:rPr>
                <w:i/>
                <w:iCs/>
                <w:snapToGrid w:val="0"/>
              </w:rPr>
            </w:pPr>
            <w:r>
              <w:rPr>
                <w:i/>
                <w:iCs/>
                <w:snapToGrid w:val="0"/>
              </w:rPr>
              <w:t>Misuse of Drugs (Amounts of Prohibited Drugs) Order 2012</w:t>
            </w:r>
            <w:r>
              <w:rPr>
                <w:snapToGrid w:val="0"/>
              </w:rPr>
              <w:t xml:space="preserve"> </w:t>
            </w:r>
            <w:r>
              <w:t xml:space="preserve">published in </w:t>
            </w:r>
            <w:r>
              <w:rPr>
                <w:i/>
              </w:rPr>
              <w:t>Gazette</w:t>
            </w:r>
            <w:r>
              <w:t xml:space="preserve"> 13 Apr 2012 p. 1664</w:t>
            </w:r>
            <w:r>
              <w:noBreakHyphen/>
              <w:t>5</w:t>
            </w:r>
          </w:p>
        </w:tc>
        <w:tc>
          <w:tcPr>
            <w:tcW w:w="2551" w:type="dxa"/>
          </w:tcPr>
          <w:p>
            <w:pPr>
              <w:pStyle w:val="nTable"/>
              <w:spacing w:after="40"/>
            </w:pPr>
            <w:r>
              <w:t>cl. 1 and 2: 13 Apr 2012 (see cl. 2(a));</w:t>
            </w:r>
            <w:r>
              <w:br/>
              <w:t>Order other than cl. 1 and 2: 14 Apr 2012 (see cl. 2(b))</w:t>
            </w:r>
          </w:p>
        </w:tc>
      </w:tr>
      <w:tr>
        <w:trPr>
          <w:cantSplit/>
        </w:trPr>
        <w:tc>
          <w:tcPr>
            <w:tcW w:w="2268" w:type="dxa"/>
          </w:tcPr>
          <w:p>
            <w:pPr>
              <w:pStyle w:val="nTable"/>
              <w:spacing w:after="40"/>
              <w:ind w:right="113"/>
              <w:rPr>
                <w:i/>
                <w:snapToGrid w:val="0"/>
              </w:rPr>
            </w:pPr>
            <w:r>
              <w:rPr>
                <w:i/>
                <w:snapToGrid w:val="0"/>
              </w:rPr>
              <w:t>Criminal Appeals Amendment (Double Jeopardy) Act 2012</w:t>
            </w:r>
            <w:r>
              <w:rPr>
                <w:snapToGrid w:val="0"/>
              </w:rPr>
              <w:t xml:space="preserve"> s. 10</w:t>
            </w:r>
          </w:p>
        </w:tc>
        <w:tc>
          <w:tcPr>
            <w:tcW w:w="1134" w:type="dxa"/>
          </w:tcPr>
          <w:p>
            <w:pPr>
              <w:pStyle w:val="nTable"/>
              <w:spacing w:after="40"/>
              <w:rPr>
                <w:snapToGrid w:val="0"/>
              </w:rPr>
            </w:pPr>
            <w:r>
              <w:rPr>
                <w:snapToGrid w:val="0"/>
              </w:rPr>
              <w:t>9 of 2012</w:t>
            </w:r>
          </w:p>
        </w:tc>
        <w:tc>
          <w:tcPr>
            <w:tcW w:w="1136" w:type="dxa"/>
          </w:tcPr>
          <w:p>
            <w:pPr>
              <w:pStyle w:val="nTable"/>
              <w:spacing w:after="40"/>
              <w:rPr>
                <w:snapToGrid w:val="0"/>
              </w:rPr>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4538" w:type="dxa"/>
            <w:gridSpan w:val="3"/>
          </w:tcPr>
          <w:p>
            <w:pPr>
              <w:pStyle w:val="nTable"/>
              <w:spacing w:after="40"/>
              <w:rPr>
                <w:i/>
                <w:iCs/>
                <w:snapToGrid w:val="0"/>
              </w:rPr>
            </w:pPr>
            <w:r>
              <w:rPr>
                <w:i/>
                <w:iCs/>
                <w:snapToGrid w:val="0"/>
              </w:rPr>
              <w:t>Misuse of Drugs (Amounts of Prohibited Drugs) Order (No. 2) 2012</w:t>
            </w:r>
            <w:r>
              <w:rPr>
                <w:snapToGrid w:val="0"/>
              </w:rPr>
              <w:t xml:space="preserve"> </w:t>
            </w:r>
            <w:r>
              <w:t xml:space="preserve">published in </w:t>
            </w:r>
            <w:r>
              <w:rPr>
                <w:i/>
              </w:rPr>
              <w:t>Gazette</w:t>
            </w:r>
            <w:r>
              <w:t xml:space="preserve"> 30 Oct 2012 p. 5194-6</w:t>
            </w:r>
          </w:p>
        </w:tc>
        <w:tc>
          <w:tcPr>
            <w:tcW w:w="2551" w:type="dxa"/>
          </w:tcPr>
          <w:p>
            <w:pPr>
              <w:pStyle w:val="nTable"/>
              <w:spacing w:after="40"/>
            </w:pPr>
            <w:r>
              <w:t>cl. 1 and 2: 30 Oct 2012 (see cl. 2(a));</w:t>
            </w:r>
            <w:r>
              <w:br/>
              <w:t>Order other than cl. 1 and 2: 31 Oct 2012 (see cl. 2(b))</w:t>
            </w:r>
          </w:p>
        </w:tc>
      </w:tr>
      <w:tr>
        <w:trPr>
          <w:cantSplit/>
        </w:trPr>
        <w:tc>
          <w:tcPr>
            <w:tcW w:w="2268" w:type="dxa"/>
            <w:shd w:val="clear" w:color="auto" w:fill="auto"/>
          </w:tcPr>
          <w:p>
            <w:pPr>
              <w:pStyle w:val="nTable"/>
              <w:spacing w:after="40"/>
              <w:ind w:right="113"/>
              <w:rPr>
                <w:i/>
                <w:snapToGrid w:val="0"/>
              </w:rPr>
            </w:pPr>
            <w:r>
              <w:rPr>
                <w:i/>
                <w:snapToGrid w:val="0"/>
              </w:rPr>
              <w:t>Criminal Organisations Control Act 2012</w:t>
            </w:r>
            <w:r>
              <w:rPr>
                <w:snapToGrid w:val="0"/>
              </w:rPr>
              <w:t xml:space="preserve"> s. 179</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rPr>
                <w:snapToGrid w:val="0"/>
              </w:rP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ind w:right="113"/>
              <w:rPr>
                <w:i/>
                <w:snapToGrid w:val="0"/>
              </w:rPr>
            </w:pPr>
            <w:r>
              <w:rPr>
                <w:i/>
                <w:snapToGrid w:val="0"/>
              </w:rPr>
              <w:t>Criminal Investigation (Covert Powers) Act 2012</w:t>
            </w:r>
            <w:r>
              <w:rPr>
                <w:snapToGrid w:val="0"/>
              </w:rPr>
              <w:t xml:space="preserve"> Pt. 9</w:t>
            </w:r>
            <w:r>
              <w:rPr>
                <w:snapToGrid w:val="0"/>
                <w:vertAlign w:val="superscript"/>
              </w:rPr>
              <w:t> 5</w:t>
            </w:r>
          </w:p>
        </w:tc>
        <w:tc>
          <w:tcPr>
            <w:tcW w:w="1134" w:type="dxa"/>
            <w:shd w:val="clear" w:color="auto" w:fill="auto"/>
          </w:tcPr>
          <w:p>
            <w:pPr>
              <w:pStyle w:val="nTable"/>
              <w:spacing w:after="40"/>
              <w:rPr>
                <w:snapToGrid w:val="0"/>
              </w:rPr>
            </w:pPr>
            <w:r>
              <w:t>55 of 2012</w:t>
            </w:r>
          </w:p>
        </w:tc>
        <w:tc>
          <w:tcPr>
            <w:tcW w:w="1136" w:type="dxa"/>
            <w:shd w:val="clear" w:color="auto" w:fill="auto"/>
          </w:tcPr>
          <w:p>
            <w:pPr>
              <w:pStyle w:val="nTable"/>
              <w:spacing w:after="40"/>
              <w:rPr>
                <w:snapToGrid w:val="0"/>
              </w:rPr>
            </w:pPr>
            <w:r>
              <w:t>3 Dec 2012</w:t>
            </w:r>
          </w:p>
        </w:tc>
        <w:tc>
          <w:tcPr>
            <w:tcW w:w="2551" w:type="dxa"/>
            <w:shd w:val="clear" w:color="auto" w:fill="auto"/>
          </w:tcPr>
          <w:p>
            <w:pPr>
              <w:pStyle w:val="nTable"/>
              <w:spacing w:after="40"/>
              <w:rPr>
                <w:snapToGrid w:val="0"/>
              </w:rPr>
            </w:pPr>
            <w:r>
              <w:t xml:space="preserve">1 Mar 2013 (see s. 2(b) and </w:t>
            </w:r>
            <w:r>
              <w:rPr>
                <w:i/>
              </w:rPr>
              <w:t>Gazette</w:t>
            </w:r>
            <w:r>
              <w:t xml:space="preserve"> 25 Jan 2013 p. 271)</w:t>
            </w:r>
          </w:p>
        </w:tc>
      </w:tr>
      <w:tr>
        <w:trPr>
          <w:cantSplit/>
        </w:trPr>
        <w:tc>
          <w:tcPr>
            <w:tcW w:w="7089" w:type="dxa"/>
            <w:gridSpan w:val="4"/>
            <w:shd w:val="clear" w:color="auto" w:fill="auto"/>
          </w:tcPr>
          <w:p>
            <w:pPr>
              <w:pStyle w:val="nTable"/>
              <w:spacing w:after="40"/>
            </w:pPr>
            <w:r>
              <w:rPr>
                <w:b/>
              </w:rPr>
              <w:t xml:space="preserve">Reprint 6: The </w:t>
            </w:r>
            <w:r>
              <w:rPr>
                <w:b/>
                <w:i/>
              </w:rPr>
              <w:t>Misuse of Drugs Act 1981</w:t>
            </w:r>
            <w:r>
              <w:rPr>
                <w:b/>
              </w:rPr>
              <w:t xml:space="preserve"> as at 19 Apr 2013</w:t>
            </w:r>
            <w:r>
              <w:t xml:space="preserve"> (includes amendments listed above except those in the </w:t>
            </w:r>
            <w:r>
              <w:rPr>
                <w:i/>
                <w:snapToGrid w:val="0"/>
              </w:rPr>
              <w:t>Criminal Organisations Control Act 2012</w:t>
            </w:r>
            <w:r>
              <w:t>)</w:t>
            </w:r>
          </w:p>
        </w:tc>
      </w:tr>
      <w:tr>
        <w:trPr>
          <w:cantSplit/>
        </w:trPr>
        <w:tc>
          <w:tcPr>
            <w:tcW w:w="2268" w:type="dxa"/>
            <w:tcBorders>
              <w:bottom w:val="single" w:sz="4" w:space="0" w:color="auto"/>
            </w:tcBorders>
            <w:shd w:val="clear" w:color="auto" w:fill="auto"/>
          </w:tcPr>
          <w:p>
            <w:pPr>
              <w:pStyle w:val="nTable"/>
              <w:spacing w:after="40"/>
              <w:ind w:right="113"/>
              <w:rPr>
                <w:i/>
                <w:snapToGrid w:val="0"/>
              </w:rPr>
            </w:pPr>
            <w:r>
              <w:rPr>
                <w:i/>
                <w:noProof/>
                <w:snapToGrid w:val="0"/>
              </w:rPr>
              <w:t>Misuse of Drugs Amendment (Psychoactive Substances) Act 2015</w:t>
            </w:r>
          </w:p>
        </w:tc>
        <w:tc>
          <w:tcPr>
            <w:tcW w:w="1134" w:type="dxa"/>
            <w:tcBorders>
              <w:bottom w:val="single" w:sz="4" w:space="0" w:color="auto"/>
            </w:tcBorders>
            <w:shd w:val="clear" w:color="auto" w:fill="auto"/>
          </w:tcPr>
          <w:p>
            <w:pPr>
              <w:pStyle w:val="nTable"/>
              <w:spacing w:after="40"/>
              <w:rPr>
                <w:snapToGrid w:val="0"/>
              </w:rPr>
            </w:pPr>
            <w:r>
              <w:t>29 of 2015</w:t>
            </w:r>
          </w:p>
        </w:tc>
        <w:tc>
          <w:tcPr>
            <w:tcW w:w="1136" w:type="dxa"/>
            <w:tcBorders>
              <w:bottom w:val="single" w:sz="4" w:space="0" w:color="auto"/>
            </w:tcBorders>
            <w:shd w:val="clear" w:color="auto" w:fill="auto"/>
          </w:tcPr>
          <w:p>
            <w:pPr>
              <w:pStyle w:val="nTable"/>
              <w:spacing w:after="40"/>
              <w:rPr>
                <w:snapToGrid w:val="0"/>
              </w:rPr>
            </w:pPr>
            <w:r>
              <w:t>21 Oct 2015</w:t>
            </w:r>
          </w:p>
        </w:tc>
        <w:tc>
          <w:tcPr>
            <w:tcW w:w="2551" w:type="dxa"/>
            <w:tcBorders>
              <w:bottom w:val="single" w:sz="4" w:space="0" w:color="auto"/>
            </w:tcBorders>
            <w:shd w:val="clear" w:color="auto" w:fill="auto"/>
          </w:tcPr>
          <w:p>
            <w:pPr>
              <w:pStyle w:val="nTable"/>
              <w:spacing w:after="40"/>
              <w:rPr>
                <w:snapToGrid w:val="0"/>
              </w:rPr>
            </w:pPr>
            <w:r>
              <w:t>s. 1 and 2: 21 Oct 2015 (see s. 2(a));</w:t>
            </w:r>
            <w:r>
              <w:br/>
              <w:t xml:space="preserve">Act other than s. 1 and 2: 18 Nov 2015 (see s. 2(b) and </w:t>
            </w:r>
            <w:r>
              <w:rPr>
                <w:i/>
              </w:rPr>
              <w:t>Gazette</w:t>
            </w:r>
            <w:r>
              <w:t xml:space="preserve"> 17 Nov 2015 p. 4693</w:t>
            </w:r>
            <w:r>
              <w:noBreakHyphen/>
              <w:t>4)</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01" w:name="_Toc392246347"/>
      <w:bookmarkStart w:id="502" w:name="_Toc468199315"/>
      <w:bookmarkStart w:id="503" w:name="_Toc457468784"/>
      <w:r>
        <w:t>Provisions that have not come into operation</w:t>
      </w:r>
      <w:bookmarkEnd w:id="501"/>
      <w:bookmarkEnd w:id="502"/>
      <w:bookmarkEnd w:id="50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spacing w:after="40"/>
              <w:rPr>
                <w:b/>
                <w:snapToGrid w:val="0"/>
              </w:rPr>
            </w:pPr>
            <w:r>
              <w:rPr>
                <w:b/>
                <w:snapToGrid w:val="0"/>
              </w:rPr>
              <w:t>Short title</w:t>
            </w:r>
          </w:p>
        </w:tc>
        <w:tc>
          <w:tcPr>
            <w:tcW w:w="1118" w:type="dxa"/>
            <w:tcBorders>
              <w:bottom w:val="single" w:sz="4" w:space="0" w:color="auto"/>
            </w:tcBorders>
          </w:tcPr>
          <w:p>
            <w:pPr>
              <w:pStyle w:val="nTable"/>
              <w:spacing w:after="40"/>
              <w:rPr>
                <w:b/>
                <w:snapToGrid w:val="0"/>
              </w:rPr>
            </w:pPr>
            <w:r>
              <w:rPr>
                <w:b/>
                <w:snapToGrid w:val="0"/>
              </w:rPr>
              <w:t>Number and year</w:t>
            </w:r>
          </w:p>
        </w:tc>
        <w:tc>
          <w:tcPr>
            <w:tcW w:w="1134" w:type="dxa"/>
            <w:tcBorders>
              <w:bottom w:val="single" w:sz="4" w:space="0" w:color="auto"/>
            </w:tcBorders>
          </w:tcPr>
          <w:p>
            <w:pPr>
              <w:pStyle w:val="nTable"/>
              <w:spacing w:after="40"/>
              <w:rPr>
                <w:b/>
                <w:snapToGrid w:val="0"/>
              </w:rPr>
            </w:pPr>
            <w:r>
              <w:rPr>
                <w:b/>
                <w:snapToGrid w:val="0"/>
              </w:rPr>
              <w:t>Assent</w:t>
            </w:r>
          </w:p>
        </w:tc>
        <w:tc>
          <w:tcPr>
            <w:tcW w:w="2552" w:type="dxa"/>
            <w:tcBorders>
              <w:bottom w:val="single" w:sz="4" w:space="0" w:color="auto"/>
            </w:tcBorders>
          </w:tcPr>
          <w:p>
            <w:pPr>
              <w:pStyle w:val="nTable"/>
              <w:spacing w:after="40"/>
              <w:rPr>
                <w:b/>
                <w:snapToGrid w:val="0"/>
              </w:rPr>
            </w:pPr>
            <w:r>
              <w:rPr>
                <w:b/>
                <w:snapToGrid w:val="0"/>
              </w:rPr>
              <w:t>Commencement</w:t>
            </w:r>
          </w:p>
        </w:tc>
      </w:tr>
      <w:tr>
        <w:tc>
          <w:tcPr>
            <w:tcW w:w="2268" w:type="dxa"/>
            <w:tcBorders>
              <w:top w:val="single" w:sz="4" w:space="0" w:color="auto"/>
              <w:bottom w:val="nil"/>
            </w:tcBorders>
          </w:tcPr>
          <w:p>
            <w:pPr>
              <w:pStyle w:val="nSubsection"/>
              <w:tabs>
                <w:tab w:val="clear" w:pos="454"/>
              </w:tabs>
              <w:spacing w:before="40" w:after="40"/>
              <w:ind w:left="0" w:firstLine="0"/>
              <w:rPr>
                <w:vertAlign w:val="superscript"/>
              </w:rPr>
            </w:pPr>
            <w:r>
              <w:rPr>
                <w:i/>
                <w:noProof/>
                <w:snapToGrid w:val="0"/>
              </w:rPr>
              <w:t>Medicines and Poisons Act 2014</w:t>
            </w:r>
            <w:r>
              <w:rPr>
                <w:noProof/>
                <w:snapToGrid w:val="0"/>
              </w:rPr>
              <w:t xml:space="preserve"> Pt. 11 Div. 3 </w:t>
            </w:r>
            <w:r>
              <w:rPr>
                <w:noProof/>
                <w:snapToGrid w:val="0"/>
                <w:vertAlign w:val="superscript"/>
              </w:rPr>
              <w:t>6</w:t>
            </w:r>
          </w:p>
        </w:tc>
        <w:tc>
          <w:tcPr>
            <w:tcW w:w="1118" w:type="dxa"/>
            <w:tcBorders>
              <w:top w:val="single" w:sz="4" w:space="0" w:color="auto"/>
              <w:bottom w:val="nil"/>
            </w:tcBorders>
          </w:tcPr>
          <w:p>
            <w:pPr>
              <w:pStyle w:val="nTable"/>
              <w:spacing w:after="40"/>
            </w:pPr>
            <w:r>
              <w:t>13 of 2014</w:t>
            </w:r>
          </w:p>
        </w:tc>
        <w:tc>
          <w:tcPr>
            <w:tcW w:w="1134" w:type="dxa"/>
            <w:tcBorders>
              <w:top w:val="single" w:sz="4" w:space="0" w:color="auto"/>
              <w:bottom w:val="nil"/>
            </w:tcBorders>
          </w:tcPr>
          <w:p>
            <w:pPr>
              <w:pStyle w:val="nTable"/>
              <w:spacing w:after="40"/>
            </w:pPr>
            <w:r>
              <w:t>2 Jul 2014</w:t>
            </w:r>
          </w:p>
        </w:tc>
        <w:tc>
          <w:tcPr>
            <w:tcW w:w="2552" w:type="dxa"/>
            <w:tcBorders>
              <w:top w:val="single" w:sz="4" w:space="0" w:color="auto"/>
              <w:bottom w:val="nil"/>
            </w:tcBorders>
          </w:tcPr>
          <w:p>
            <w:pPr>
              <w:pStyle w:val="nTable"/>
              <w:spacing w:after="40"/>
              <w:rPr>
                <w:snapToGrid w:val="0"/>
              </w:rPr>
            </w:pPr>
            <w:r>
              <w:rPr>
                <w:snapToGrid w:val="0"/>
              </w:rPr>
              <w:t>To be proclaimed (see s. 2(b))</w:t>
            </w:r>
          </w:p>
        </w:tc>
      </w:tr>
      <w:tr>
        <w:tc>
          <w:tcPr>
            <w:tcW w:w="2268" w:type="dxa"/>
            <w:tcBorders>
              <w:top w:val="nil"/>
              <w:bottom w:val="nil"/>
            </w:tcBorders>
          </w:tcPr>
          <w:p>
            <w:pPr>
              <w:pStyle w:val="nSubsection"/>
              <w:tabs>
                <w:tab w:val="clear" w:pos="454"/>
              </w:tabs>
              <w:spacing w:before="40" w:after="40"/>
              <w:ind w:left="0" w:firstLine="0"/>
              <w:rPr>
                <w:i/>
                <w:noProof/>
                <w:snapToGrid w:val="0"/>
              </w:rPr>
            </w:pPr>
            <w:r>
              <w:rPr>
                <w:i/>
              </w:rPr>
              <w:t>Public Health (Consequential Provisions) Act 2016</w:t>
            </w:r>
            <w:r>
              <w:t xml:space="preserve"> Pt. 3 Div. 1 and Pt. 5 Div. 16</w:t>
            </w:r>
            <w:r>
              <w:rPr>
                <w:vertAlign w:val="superscript"/>
              </w:rPr>
              <w:t> 7</w:t>
            </w:r>
          </w:p>
        </w:tc>
        <w:tc>
          <w:tcPr>
            <w:tcW w:w="1118"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rPr>
                <w:snapToGrid w:val="0"/>
              </w:rPr>
            </w:pPr>
            <w:r>
              <w:rPr>
                <w:snapToGrid w:val="0"/>
              </w:rPr>
              <w:t>To be proclaimed (see s. 2(1)(c))</w:t>
            </w:r>
          </w:p>
        </w:tc>
      </w:tr>
      <w:tr>
        <w:trPr>
          <w:ins w:id="504" w:author="svcMRProcess" w:date="2018-09-06T01:04:00Z"/>
        </w:trPr>
        <w:tc>
          <w:tcPr>
            <w:tcW w:w="2268" w:type="dxa"/>
            <w:tcBorders>
              <w:top w:val="nil"/>
              <w:bottom w:val="single" w:sz="4" w:space="0" w:color="auto"/>
            </w:tcBorders>
          </w:tcPr>
          <w:p>
            <w:pPr>
              <w:pStyle w:val="nSubsection"/>
              <w:tabs>
                <w:tab w:val="clear" w:pos="454"/>
              </w:tabs>
              <w:spacing w:before="40" w:after="40"/>
              <w:ind w:left="0" w:firstLine="0"/>
              <w:rPr>
                <w:ins w:id="505" w:author="svcMRProcess" w:date="2018-09-06T01:04:00Z"/>
              </w:rPr>
            </w:pPr>
            <w:ins w:id="506" w:author="svcMRProcess" w:date="2018-09-06T01:04:00Z">
              <w:r>
                <w:rPr>
                  <w:i/>
                </w:rPr>
                <w:t>Misuse of Drugs Amendment (Search Powers) Act 2016</w:t>
              </w:r>
              <w:r>
                <w:t xml:space="preserve"> s. 3</w:t>
              </w:r>
              <w:r>
                <w:noBreakHyphen/>
                <w:t>8</w:t>
              </w:r>
              <w:r>
                <w:rPr>
                  <w:vertAlign w:val="superscript"/>
                </w:rPr>
                <w:t> 8</w:t>
              </w:r>
            </w:ins>
          </w:p>
        </w:tc>
        <w:tc>
          <w:tcPr>
            <w:tcW w:w="1118" w:type="dxa"/>
            <w:tcBorders>
              <w:top w:val="nil"/>
              <w:bottom w:val="single" w:sz="4" w:space="0" w:color="auto"/>
            </w:tcBorders>
          </w:tcPr>
          <w:p>
            <w:pPr>
              <w:pStyle w:val="nTable"/>
              <w:spacing w:after="40"/>
              <w:rPr>
                <w:ins w:id="507" w:author="svcMRProcess" w:date="2018-09-06T01:04:00Z"/>
              </w:rPr>
            </w:pPr>
            <w:ins w:id="508" w:author="svcMRProcess" w:date="2018-09-06T01:04:00Z">
              <w:r>
                <w:t>47 of 2016</w:t>
              </w:r>
            </w:ins>
          </w:p>
        </w:tc>
        <w:tc>
          <w:tcPr>
            <w:tcW w:w="1134" w:type="dxa"/>
            <w:tcBorders>
              <w:top w:val="nil"/>
              <w:bottom w:val="single" w:sz="4" w:space="0" w:color="auto"/>
            </w:tcBorders>
          </w:tcPr>
          <w:p>
            <w:pPr>
              <w:pStyle w:val="nTable"/>
              <w:spacing w:after="40"/>
              <w:rPr>
                <w:ins w:id="509" w:author="svcMRProcess" w:date="2018-09-06T01:04:00Z"/>
              </w:rPr>
            </w:pPr>
            <w:ins w:id="510" w:author="svcMRProcess" w:date="2018-09-06T01:04:00Z">
              <w:r>
                <w:t>28 Nov 2016</w:t>
              </w:r>
            </w:ins>
          </w:p>
        </w:tc>
        <w:tc>
          <w:tcPr>
            <w:tcW w:w="2552" w:type="dxa"/>
            <w:tcBorders>
              <w:top w:val="nil"/>
              <w:bottom w:val="single" w:sz="4" w:space="0" w:color="auto"/>
            </w:tcBorders>
          </w:tcPr>
          <w:p>
            <w:pPr>
              <w:pStyle w:val="nTable"/>
              <w:spacing w:after="40"/>
              <w:rPr>
                <w:ins w:id="511" w:author="svcMRProcess" w:date="2018-09-06T01:04:00Z"/>
                <w:snapToGrid w:val="0"/>
              </w:rPr>
            </w:pPr>
            <w:ins w:id="512" w:author="svcMRProcess" w:date="2018-09-06T01:04:00Z">
              <w:r>
                <w:rPr>
                  <w:snapToGrid w:val="0"/>
                </w:rPr>
                <w:t>To be proclaimed (see s. 2(b))</w:t>
              </w:r>
            </w:ins>
          </w:p>
        </w:tc>
      </w:tr>
    </w:tbl>
    <w:p>
      <w:pPr>
        <w:pStyle w:val="nSubsection"/>
        <w:spacing w:before="140"/>
      </w:pPr>
      <w:r>
        <w:rPr>
          <w:vertAlign w:val="superscript"/>
        </w:rPr>
        <w:t>2</w:t>
      </w:r>
      <w:r>
        <w:tab/>
        <w:t xml:space="preserve">This provision was renumbered under the </w:t>
      </w:r>
      <w:r>
        <w:rPr>
          <w:i/>
        </w:rPr>
        <w:t xml:space="preserve">Reprints Act 1984 </w:t>
      </w:r>
      <w:r>
        <w:t>s. 7(5)(c)(ii).</w:t>
      </w:r>
    </w:p>
    <w:p>
      <w:pPr>
        <w:pStyle w:val="nSubsection"/>
        <w:spacing w:before="140"/>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spacing w:before="140"/>
      </w:pPr>
      <w:r>
        <w:rPr>
          <w:vertAlign w:val="superscript"/>
        </w:rPr>
        <w:t>4</w:t>
      </w:r>
      <w:r>
        <w:tab/>
        <w:t xml:space="preserve">The </w:t>
      </w:r>
      <w:r>
        <w:rPr>
          <w:i/>
        </w:rPr>
        <w:t>Criminal Property Confiscation (Consequential Provisions) Act 2000</w:t>
      </w:r>
      <w:r>
        <w:t xml:space="preserve"> s. 3 and 6</w:t>
      </w:r>
      <w:r>
        <w:noBreakHyphen/>
        <w:t>11 are savings and transitional provisions.</w:t>
      </w:r>
    </w:p>
    <w:p>
      <w:pPr>
        <w:pStyle w:val="nSubsection"/>
        <w:keepNext/>
        <w:spacing w:before="140"/>
        <w:rPr>
          <w:snapToGrid w:val="0"/>
        </w:rPr>
      </w:pPr>
      <w:r>
        <w:rPr>
          <w:vertAlign w:val="superscript"/>
        </w:rPr>
        <w:t>5</w:t>
      </w:r>
      <w:r>
        <w:tab/>
      </w:r>
      <w:r>
        <w:rPr>
          <w:snapToGrid w:val="0"/>
        </w:rPr>
        <w:t xml:space="preserve">The </w:t>
      </w:r>
      <w:r>
        <w:rPr>
          <w:i/>
          <w:snapToGrid w:val="0"/>
        </w:rPr>
        <w:t>Criminal Investigation (Covert Powers) Act 2012</w:t>
      </w:r>
      <w:r>
        <w:rPr>
          <w:snapToGrid w:val="0"/>
        </w:rPr>
        <w:t xml:space="preserve"> s. 108 and 109 read as follows:</w:t>
      </w:r>
    </w:p>
    <w:p>
      <w:pPr>
        <w:pStyle w:val="BlankOpen"/>
      </w:pPr>
    </w:p>
    <w:p>
      <w:pPr>
        <w:pStyle w:val="nzHeading5"/>
      </w:pPr>
      <w:r>
        <w:t>108.</w:t>
      </w:r>
      <w:r>
        <w:tab/>
        <w:t>Term used: commencement day</w:t>
      </w:r>
    </w:p>
    <w:p>
      <w:pPr>
        <w:pStyle w:val="nzSubsection"/>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rPr>
          <w:i/>
        </w:rPr>
      </w:pPr>
      <w:r>
        <w:rPr>
          <w:rStyle w:val="CharSectno"/>
        </w:rPr>
        <w:t>109</w:t>
      </w:r>
      <w:r>
        <w:t>.</w:t>
      </w:r>
      <w:r>
        <w:tab/>
        <w:t xml:space="preserve">Savings provision relating to </w:t>
      </w:r>
      <w:r>
        <w:rPr>
          <w:i/>
        </w:rPr>
        <w:t>Misuse of Drugs Act 1981</w:t>
      </w:r>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nz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BlankClose"/>
      </w:pPr>
    </w:p>
    <w:p>
      <w:pPr>
        <w:pStyle w:val="BlankClose"/>
        <w:rPr>
          <w:sz w:val="20"/>
          <w:szCs w:val="20"/>
        </w:rPr>
      </w:pPr>
    </w:p>
    <w:p>
      <w:pPr>
        <w:pStyle w:val="nSubsection"/>
        <w:keepNext/>
        <w:keepLines/>
        <w:spacing w:before="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Pt. 11 Div. 3</w:t>
      </w:r>
      <w:r>
        <w:rPr>
          <w:snapToGrid w:val="0"/>
        </w:rPr>
        <w:t xml:space="preserve"> had not come into operation.  It reads as follows:</w:t>
      </w:r>
    </w:p>
    <w:p>
      <w:pPr>
        <w:pStyle w:val="BlankOpen"/>
      </w:pPr>
    </w:p>
    <w:p>
      <w:pPr>
        <w:pStyle w:val="nzHeading3"/>
      </w:pPr>
      <w:r>
        <w:rPr>
          <w:rStyle w:val="CharDivNo"/>
        </w:rPr>
        <w:t>Division 3</w:t>
      </w:r>
      <w:r>
        <w:t> — </w:t>
      </w:r>
      <w:r>
        <w:rPr>
          <w:rStyle w:val="CharDivText"/>
          <w:i/>
        </w:rPr>
        <w:t>Misuse of Drugs Act 1981</w:t>
      </w:r>
      <w:r>
        <w:rPr>
          <w:rStyle w:val="CharDivText"/>
        </w:rPr>
        <w:t xml:space="preserve"> amended</w:t>
      </w:r>
    </w:p>
    <w:p>
      <w:pPr>
        <w:pStyle w:val="nzHeading5"/>
      </w:pPr>
      <w:r>
        <w:rPr>
          <w:rStyle w:val="CharSectno"/>
        </w:rPr>
        <w:t>165</w:t>
      </w:r>
      <w:r>
        <w:t>.</w:t>
      </w:r>
      <w:r>
        <w:tab/>
        <w:t>Act amended</w:t>
      </w:r>
    </w:p>
    <w:p>
      <w:pPr>
        <w:pStyle w:val="nzSubsection"/>
      </w:pPr>
      <w:r>
        <w:tab/>
      </w:r>
      <w:r>
        <w:tab/>
        <w:t xml:space="preserve">This Division amends the </w:t>
      </w:r>
      <w:r>
        <w:rPr>
          <w:i/>
        </w:rPr>
        <w:t>Misuse of Drugs Act 1981</w:t>
      </w:r>
      <w:r>
        <w:t>.</w:t>
      </w:r>
    </w:p>
    <w:p>
      <w:pPr>
        <w:pStyle w:val="nzHeading5"/>
      </w:pPr>
      <w:r>
        <w:rPr>
          <w:rStyle w:val="CharSectno"/>
        </w:rPr>
        <w:t>166</w:t>
      </w:r>
      <w:r>
        <w:t>.</w:t>
      </w:r>
      <w:r>
        <w:tab/>
        <w:t>Section 3 amended</w:t>
      </w:r>
    </w:p>
    <w:p>
      <w:pPr>
        <w:pStyle w:val="nzSubsection"/>
      </w:pPr>
      <w:r>
        <w:tab/>
        <w:t>(1)</w:t>
      </w:r>
      <w:r>
        <w:tab/>
        <w:t>In section 3(1) delete the definitions of:</w:t>
      </w:r>
    </w:p>
    <w:p>
      <w:pPr>
        <w:pStyle w:val="DeleteListSub"/>
        <w:ind w:left="1418"/>
        <w:rPr>
          <w:b/>
          <w:i/>
          <w:sz w:val="20"/>
        </w:rPr>
      </w:pPr>
      <w:r>
        <w:rPr>
          <w:b/>
          <w:i/>
          <w:sz w:val="20"/>
        </w:rPr>
        <w:t>authorised prescription</w:t>
      </w:r>
    </w:p>
    <w:p>
      <w:pPr>
        <w:pStyle w:val="DeleteListSub"/>
        <w:ind w:left="1418"/>
        <w:rPr>
          <w:b/>
          <w:i/>
          <w:sz w:val="20"/>
        </w:rPr>
      </w:pPr>
      <w:r>
        <w:rPr>
          <w:b/>
          <w:i/>
          <w:sz w:val="20"/>
        </w:rPr>
        <w:t>dentist</w:t>
      </w:r>
    </w:p>
    <w:p>
      <w:pPr>
        <w:pStyle w:val="DeleteListSub"/>
        <w:ind w:left="1418"/>
        <w:rPr>
          <w:b/>
          <w:i/>
          <w:sz w:val="20"/>
        </w:rPr>
      </w:pPr>
      <w:r>
        <w:rPr>
          <w:b/>
          <w:i/>
          <w:sz w:val="20"/>
        </w:rPr>
        <w:t>drug of addiction</w:t>
      </w:r>
    </w:p>
    <w:p>
      <w:pPr>
        <w:pStyle w:val="DeleteListSub"/>
        <w:ind w:left="1418"/>
        <w:rPr>
          <w:b/>
          <w:i/>
          <w:sz w:val="20"/>
        </w:rPr>
      </w:pPr>
      <w:r>
        <w:rPr>
          <w:b/>
          <w:i/>
          <w:sz w:val="20"/>
        </w:rPr>
        <w:t>nurse practitioner</w:t>
      </w:r>
    </w:p>
    <w:p>
      <w:pPr>
        <w:pStyle w:val="DeleteListSub"/>
        <w:ind w:left="1418"/>
        <w:rPr>
          <w:b/>
          <w:i/>
          <w:sz w:val="20"/>
        </w:rPr>
      </w:pPr>
      <w:r>
        <w:rPr>
          <w:b/>
          <w:i/>
          <w:sz w:val="20"/>
        </w:rPr>
        <w:t>Poisons Act 1964</w:t>
      </w:r>
    </w:p>
    <w:p>
      <w:pPr>
        <w:pStyle w:val="DeleteListSub"/>
        <w:ind w:left="1418"/>
        <w:rPr>
          <w:b/>
          <w:i/>
          <w:sz w:val="20"/>
        </w:rPr>
      </w:pPr>
      <w:r>
        <w:rPr>
          <w:b/>
          <w:i/>
          <w:sz w:val="20"/>
        </w:rPr>
        <w:t>regulations</w:t>
      </w:r>
    </w:p>
    <w:p>
      <w:pPr>
        <w:pStyle w:val="DeleteListSub"/>
        <w:ind w:left="1418"/>
        <w:rPr>
          <w:b/>
          <w:i/>
          <w:sz w:val="20"/>
        </w:rPr>
      </w:pPr>
      <w:r>
        <w:rPr>
          <w:b/>
          <w:i/>
          <w:sz w:val="20"/>
        </w:rPr>
        <w:t>specified drug</w:t>
      </w:r>
    </w:p>
    <w:p>
      <w:pPr>
        <w:pStyle w:val="DeleteListSub"/>
        <w:ind w:left="1418"/>
        <w:rPr>
          <w:sz w:val="20"/>
        </w:rPr>
      </w:pPr>
      <w:r>
        <w:rPr>
          <w:b/>
          <w:i/>
          <w:sz w:val="20"/>
        </w:rPr>
        <w:t>veterinary surgeon</w:t>
      </w:r>
    </w:p>
    <w:p>
      <w:pPr>
        <w:pStyle w:val="nzSubsection"/>
      </w:pPr>
      <w:r>
        <w:tab/>
        <w:t>(2)</w:t>
      </w:r>
      <w:r>
        <w:tab/>
        <w:t>In section 3(1) insert in alphabetical order:</w:t>
      </w:r>
    </w:p>
    <w:p>
      <w:pPr>
        <w:pStyle w:val="BlankOpen"/>
      </w:pPr>
    </w:p>
    <w:p>
      <w:pPr>
        <w:pStyle w:val="nz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nzDefstart"/>
      </w:pPr>
      <w:r>
        <w:tab/>
      </w:r>
      <w:r>
        <w:rPr>
          <w:rStyle w:val="CharDefText"/>
        </w:rPr>
        <w:t>drug of addiction</w:t>
      </w:r>
      <w:r>
        <w:t xml:space="preserve"> means — </w:t>
      </w:r>
    </w:p>
    <w:p>
      <w:pPr>
        <w:pStyle w:val="nzDefpara"/>
      </w:pPr>
      <w:r>
        <w:tab/>
        <w:t>(a)</w:t>
      </w:r>
      <w:r>
        <w:tab/>
        <w:t xml:space="preserve">a Schedule 8 poison as defined in the </w:t>
      </w:r>
      <w:r>
        <w:rPr>
          <w:i/>
        </w:rPr>
        <w:t xml:space="preserve">Medicines and Poisons Act 2014 </w:t>
      </w:r>
      <w:r>
        <w:t>section 3; or</w:t>
      </w:r>
    </w:p>
    <w:p>
      <w:pPr>
        <w:pStyle w:val="nzDefpara"/>
      </w:pPr>
      <w:r>
        <w:tab/>
        <w:t>(b)</w:t>
      </w:r>
      <w:r>
        <w:tab/>
        <w:t xml:space="preserve">a Schedule 9 poison as defined in the </w:t>
      </w:r>
      <w:r>
        <w:rPr>
          <w:i/>
        </w:rPr>
        <w:t xml:space="preserve">Medicines and Poisons Act 2014 </w:t>
      </w:r>
      <w:r>
        <w:t>section 3;</w:t>
      </w:r>
    </w:p>
    <w:p>
      <w:pPr>
        <w:pStyle w:val="nzDefstart"/>
      </w:pPr>
      <w:r>
        <w:tab/>
      </w:r>
      <w:r>
        <w:rPr>
          <w:rStyle w:val="CharDefText"/>
        </w:rPr>
        <w:t>specified drug</w:t>
      </w:r>
      <w:r>
        <w:t xml:space="preserve"> means a substance that is prescribed to be a specified drug by regulations made under section 3B;</w:t>
      </w:r>
    </w:p>
    <w:p>
      <w:pPr>
        <w:pStyle w:val="BlankClose"/>
      </w:pPr>
    </w:p>
    <w:p>
      <w:pPr>
        <w:pStyle w:val="nzSubsection"/>
      </w:pPr>
      <w:r>
        <w:tab/>
        <w:t>(3)</w:t>
      </w:r>
      <w:r>
        <w:tab/>
        <w:t xml:space="preserve">In section 3(1) in the definition of </w:t>
      </w:r>
      <w:r>
        <w:rPr>
          <w:b/>
          <w:i/>
        </w:rPr>
        <w:t>undercover operation</w:t>
      </w:r>
      <w:r>
        <w:t xml:space="preserve"> delete “section 5;” and insert:</w:t>
      </w:r>
    </w:p>
    <w:p>
      <w:pPr>
        <w:pStyle w:val="BlankOpen"/>
      </w:pPr>
    </w:p>
    <w:p>
      <w:pPr>
        <w:pStyle w:val="nzSubsection"/>
      </w:pPr>
      <w:r>
        <w:tab/>
      </w:r>
      <w:r>
        <w:tab/>
        <w:t>section 5.</w:t>
      </w:r>
    </w:p>
    <w:p>
      <w:pPr>
        <w:pStyle w:val="BlankClose"/>
      </w:pPr>
    </w:p>
    <w:p>
      <w:pPr>
        <w:pStyle w:val="nzHeading5"/>
      </w:pPr>
      <w:r>
        <w:rPr>
          <w:rStyle w:val="CharSectno"/>
        </w:rPr>
        <w:t>167</w:t>
      </w:r>
      <w:r>
        <w:t>.</w:t>
      </w:r>
      <w:r>
        <w:tab/>
        <w:t>Section 3B inserted</w:t>
      </w:r>
    </w:p>
    <w:p>
      <w:pPr>
        <w:pStyle w:val="nzSubsection"/>
      </w:pPr>
      <w:r>
        <w:tab/>
      </w:r>
      <w:r>
        <w:tab/>
        <w:t>After section 3A insert:</w:t>
      </w:r>
    </w:p>
    <w:p>
      <w:pPr>
        <w:pStyle w:val="BlankOpen"/>
      </w:pPr>
    </w:p>
    <w:p>
      <w:pPr>
        <w:pStyle w:val="nzHeading5"/>
      </w:pPr>
      <w:r>
        <w:t>3B.</w:t>
      </w:r>
      <w:r>
        <w:tab/>
        <w:t>Specified drugs</w:t>
      </w:r>
    </w:p>
    <w:p>
      <w:pPr>
        <w:pStyle w:val="nz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pPr>
        <w:pStyle w:val="nz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pPr>
        <w:pStyle w:val="BlankClose"/>
      </w:pPr>
    </w:p>
    <w:p>
      <w:pPr>
        <w:pStyle w:val="nzHeading5"/>
      </w:pPr>
      <w:r>
        <w:rPr>
          <w:rStyle w:val="CharSectno"/>
        </w:rPr>
        <w:t>168</w:t>
      </w:r>
      <w:r>
        <w:t>.</w:t>
      </w:r>
      <w:r>
        <w:tab/>
        <w:t>Section 4 amended</w:t>
      </w:r>
    </w:p>
    <w:p>
      <w:pPr>
        <w:pStyle w:val="nzSubsection"/>
      </w:pPr>
      <w:r>
        <w:tab/>
      </w:r>
      <w:r>
        <w:tab/>
        <w:t>Delete section 4(2)(a) and (b) and insert:</w:t>
      </w:r>
    </w:p>
    <w:p>
      <w:pPr>
        <w:pStyle w:val="BlankOpen"/>
        <w:rPr>
          <w:snapToGrid w:val="0"/>
        </w:rPr>
      </w:pPr>
    </w:p>
    <w:p>
      <w:pPr>
        <w:pStyle w:val="nzIndenta"/>
        <w:rPr>
          <w:snapToGrid w:val="0"/>
        </w:rPr>
      </w:pPr>
      <w:r>
        <w:rPr>
          <w:snapToGrid w:val="0"/>
        </w:rPr>
        <w:tab/>
        <w:t>(a)</w:t>
      </w:r>
      <w:r>
        <w:rPr>
          <w:snapToGrid w:val="0"/>
        </w:rPr>
        <w:tab/>
        <w:t>plants from which a drug of addiction may be obtained, derived or manufactured; and</w:t>
      </w:r>
    </w:p>
    <w:p>
      <w:pPr>
        <w:pStyle w:val="nzIndenta"/>
        <w:rPr>
          <w:snapToGrid w:val="0"/>
        </w:rPr>
      </w:pPr>
      <w:r>
        <w:rPr>
          <w:snapToGrid w:val="0"/>
        </w:rPr>
        <w:tab/>
        <w:t>(b)</w:t>
      </w:r>
      <w:r>
        <w:rPr>
          <w:snapToGrid w:val="0"/>
        </w:rPr>
        <w:tab/>
        <w:t>whether or not they are also plants referred to in paragraph (a), the plants specified in Schedule II.</w:t>
      </w:r>
    </w:p>
    <w:p>
      <w:pPr>
        <w:pStyle w:val="BlankClose"/>
      </w:pPr>
    </w:p>
    <w:p>
      <w:pPr>
        <w:pStyle w:val="nzHeading5"/>
      </w:pPr>
      <w:r>
        <w:rPr>
          <w:rStyle w:val="CharSectno"/>
        </w:rPr>
        <w:t>169</w:t>
      </w:r>
      <w:r>
        <w:t>.</w:t>
      </w:r>
      <w:r>
        <w:tab/>
        <w:t>Section 5B inserted</w:t>
      </w:r>
    </w:p>
    <w:p>
      <w:pPr>
        <w:pStyle w:val="nzSubsection"/>
      </w:pPr>
      <w:r>
        <w:tab/>
      </w:r>
      <w:r>
        <w:tab/>
        <w:t>At the end of Part I insert:</w:t>
      </w:r>
    </w:p>
    <w:p>
      <w:pPr>
        <w:pStyle w:val="BlankOpen"/>
      </w:pPr>
    </w:p>
    <w:p>
      <w:pPr>
        <w:pStyle w:val="nzHeading5"/>
      </w:pPr>
      <w:r>
        <w:t>5B.</w:t>
      </w:r>
      <w:r>
        <w:tab/>
        <w:t xml:space="preserve">Authorisation under </w:t>
      </w:r>
      <w:r>
        <w:rPr>
          <w:i/>
        </w:rPr>
        <w:t>Medicines and Poisons Act 2014</w:t>
      </w:r>
    </w:p>
    <w:p>
      <w:pPr>
        <w:pStyle w:val="nzSubsection"/>
      </w:pPr>
      <w:r>
        <w:tab/>
        <w:t>(1)</w:t>
      </w:r>
      <w:r>
        <w:tab/>
        <w:t xml:space="preserve">In this section — </w:t>
      </w:r>
    </w:p>
    <w:p>
      <w:pPr>
        <w:pStyle w:val="nzDefstart"/>
      </w:pPr>
      <w:r>
        <w:tab/>
      </w:r>
      <w:r>
        <w:rPr>
          <w:rStyle w:val="CharDefText"/>
        </w:rPr>
        <w:t>appropriate licence</w:t>
      </w:r>
      <w:r>
        <w:t xml:space="preserve"> has the meaning given in the </w:t>
      </w:r>
      <w:r>
        <w:rPr>
          <w:i/>
        </w:rPr>
        <w:t xml:space="preserve">Medicines and Poisons Act 2014 </w:t>
      </w:r>
      <w:r>
        <w:t>section 12;</w:t>
      </w:r>
    </w:p>
    <w:p>
      <w:pPr>
        <w:pStyle w:val="nzDefstart"/>
      </w:pPr>
      <w:r>
        <w:tab/>
      </w:r>
      <w:r>
        <w:rPr>
          <w:rStyle w:val="CharDefText"/>
        </w:rPr>
        <w:t>appropriate permit</w:t>
      </w:r>
      <w:r>
        <w:t xml:space="preserve"> has the meaning given in the </w:t>
      </w:r>
      <w:r>
        <w:rPr>
          <w:i/>
        </w:rPr>
        <w:t xml:space="preserve">Medicines and Poisons Act 2014 </w:t>
      </w:r>
      <w:r>
        <w:t>section 12;</w:t>
      </w:r>
    </w:p>
    <w:p>
      <w:pPr>
        <w:pStyle w:val="nzDefstart"/>
      </w:pPr>
      <w:r>
        <w:tab/>
      </w:r>
      <w:r>
        <w:rPr>
          <w:rStyle w:val="CharDefText"/>
        </w:rPr>
        <w:t>professional authority</w:t>
      </w:r>
      <w:r>
        <w:t xml:space="preserve"> has the meaning given in the </w:t>
      </w:r>
      <w:r>
        <w:rPr>
          <w:i/>
        </w:rPr>
        <w:t xml:space="preserve">Medicines and Poisons Act 2014 </w:t>
      </w:r>
      <w:r>
        <w:t>section 3.</w:t>
      </w:r>
    </w:p>
    <w:p>
      <w:pPr>
        <w:pStyle w:val="nzSubsection"/>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nzIndenta"/>
      </w:pPr>
      <w:r>
        <w:tab/>
        <w:t>(a)</w:t>
      </w:r>
      <w:r>
        <w:tab/>
        <w:t>under an appropriate licence or a professional authority; and</w:t>
      </w:r>
    </w:p>
    <w:p>
      <w:pPr>
        <w:pStyle w:val="nzIndenta"/>
      </w:pPr>
      <w:r>
        <w:tab/>
        <w:t>(b)</w:t>
      </w:r>
      <w:r>
        <w:tab/>
        <w:t>in accordance with regulations made under that Act.</w:t>
      </w:r>
    </w:p>
    <w:p>
      <w:pPr>
        <w:pStyle w:val="nzSubsection"/>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nzIndenta"/>
      </w:pPr>
      <w:r>
        <w:tab/>
        <w:t>(a)</w:t>
      </w:r>
      <w:r>
        <w:tab/>
        <w:t>under an appropriate licence, an appropriate permit or a professional authority; and</w:t>
      </w:r>
    </w:p>
    <w:p>
      <w:pPr>
        <w:pStyle w:val="nzIndenta"/>
      </w:pPr>
      <w:r>
        <w:tab/>
        <w:t>(b)</w:t>
      </w:r>
      <w:r>
        <w:tab/>
        <w:t>in accordance with regulations made under that Act.</w:t>
      </w:r>
    </w:p>
    <w:p>
      <w:pPr>
        <w:pStyle w:val="nzSubsection"/>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nzIndenta"/>
      </w:pPr>
      <w:r>
        <w:tab/>
        <w:t>(a)</w:t>
      </w:r>
      <w:r>
        <w:tab/>
        <w:t xml:space="preserve">the person — </w:t>
      </w:r>
    </w:p>
    <w:p>
      <w:pPr>
        <w:pStyle w:val="nzIndenti"/>
      </w:pPr>
      <w:r>
        <w:tab/>
        <w:t>(i)</w:t>
      </w:r>
      <w:r>
        <w:tab/>
        <w:t>holds an appropriate licence or an appropriate permit that authorises the manufacture or supply of the drug; or</w:t>
      </w:r>
    </w:p>
    <w:p>
      <w:pPr>
        <w:pStyle w:val="nzIndenti"/>
      </w:pPr>
      <w:r>
        <w:tab/>
        <w:t>(ii)</w:t>
      </w:r>
      <w:r>
        <w:tab/>
        <w:t>is authorised by a professional authority to manufacture or supply the drug; or</w:t>
      </w:r>
    </w:p>
    <w:p>
      <w:pPr>
        <w:pStyle w:val="nzIndenti"/>
      </w:pPr>
      <w:r>
        <w:tab/>
        <w:t>(iii)</w:t>
      </w:r>
      <w:r>
        <w:tab/>
        <w:t>is an employee or agent of a person referred to in subparagraph (i) or (ii);</w:t>
      </w:r>
    </w:p>
    <w:p>
      <w:pPr>
        <w:pStyle w:val="nzIndenta"/>
      </w:pPr>
      <w:r>
        <w:tab/>
      </w:r>
      <w:r>
        <w:tab/>
        <w:t>and</w:t>
      </w:r>
    </w:p>
    <w:p>
      <w:pPr>
        <w:pStyle w:val="nzIndenta"/>
      </w:pPr>
      <w:r>
        <w:tab/>
        <w:t>(b)</w:t>
      </w:r>
      <w:r>
        <w:tab/>
        <w:t>the manufacture, preparation, sale or supply is in accordance with the licence, permit or authority.</w:t>
      </w:r>
    </w:p>
    <w:p>
      <w:pPr>
        <w:pStyle w:val="nzSubsection"/>
      </w:pPr>
      <w:r>
        <w:tab/>
        <w:t>(5)</w:t>
      </w:r>
      <w:r>
        <w:tab/>
        <w:t xml:space="preserve">For the purposes of this Act, a person is authorised under the </w:t>
      </w:r>
      <w:r>
        <w:rPr>
          <w:i/>
        </w:rPr>
        <w:t>Medicines and Poisons Act 2014</w:t>
      </w:r>
      <w:r>
        <w:t xml:space="preserve"> to possess a prohibited drug if — </w:t>
      </w:r>
    </w:p>
    <w:p>
      <w:pPr>
        <w:pStyle w:val="nzIndenta"/>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nz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nz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nz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BlankClose"/>
      </w:pPr>
    </w:p>
    <w:p>
      <w:pPr>
        <w:pStyle w:val="nzHeading5"/>
      </w:pPr>
      <w:r>
        <w:rPr>
          <w:rStyle w:val="CharSectno"/>
        </w:rPr>
        <w:t>170</w:t>
      </w:r>
      <w:r>
        <w:t>.</w:t>
      </w:r>
      <w:r>
        <w:tab/>
        <w:t>Section 5 amended</w:t>
      </w:r>
    </w:p>
    <w:p>
      <w:pPr>
        <w:pStyle w:val="nzSubsection"/>
      </w:pPr>
      <w:r>
        <w:tab/>
        <w:t>(1)</w:t>
      </w:r>
      <w:r>
        <w:tab/>
        <w:t xml:space="preserve">In section 5(1) delete “except when he is authorised by or under this Act or by or under the </w:t>
      </w:r>
      <w:r>
        <w:rPr>
          <w:i/>
        </w:rPr>
        <w:t>Poisons Act 1964</w:t>
      </w:r>
      <w:r>
        <w:t xml:space="preserve"> to do so,”.</w:t>
      </w:r>
    </w:p>
    <w:p>
      <w:pPr>
        <w:pStyle w:val="nzSubsection"/>
      </w:pPr>
      <w:r>
        <w:tab/>
        <w:t>(2)</w:t>
      </w:r>
      <w:r>
        <w:tab/>
        <w:t>After section 5(2) insert:</w:t>
      </w:r>
    </w:p>
    <w:p>
      <w:pPr>
        <w:pStyle w:val="BlankOpen"/>
      </w:pPr>
    </w:p>
    <w:p>
      <w:pPr>
        <w:pStyle w:val="nzSubsection"/>
      </w:pPr>
      <w:r>
        <w:tab/>
      </w:r>
      <w:r>
        <w:tab/>
        <w:t>(3)</w:t>
      </w:r>
      <w:r>
        <w:tab/>
        <w:t xml:space="preserve">A person does not commit a simple offence under </w:t>
      </w:r>
      <w:r>
        <w:tab/>
        <w:t xml:space="preserve">subsection (1)(a), (b) or (c) by reason only that premises </w:t>
      </w:r>
      <w:r>
        <w:tab/>
        <w:t xml:space="preserve">are being used for the purpose of the manufacture, </w:t>
      </w:r>
      <w:r>
        <w:tab/>
        <w:t xml:space="preserve">preparation, sale, supply or use of a prohibited drug or </w:t>
      </w:r>
      <w:r>
        <w:tab/>
        <w:t xml:space="preserve">prohibited plant if the person proves — </w:t>
      </w:r>
    </w:p>
    <w:p>
      <w:pPr>
        <w:pStyle w:val="nzIndenta"/>
      </w:pPr>
      <w:r>
        <w:tab/>
      </w:r>
      <w:r>
        <w:tab/>
        <w:t>(a)</w:t>
      </w:r>
      <w:r>
        <w:tab/>
        <w:t xml:space="preserve">that the manufacture, preparation, sale or supply </w:t>
      </w:r>
      <w:r>
        <w:tab/>
        <w:t xml:space="preserve">of the drug or plant was authorised under this </w:t>
      </w:r>
      <w:r>
        <w:tab/>
        <w:t xml:space="preserve">Act or the </w:t>
      </w:r>
      <w:r>
        <w:rPr>
          <w:i/>
        </w:rPr>
        <w:t>Medicines and Poisons Act 2014</w:t>
      </w:r>
      <w:r>
        <w:t>; or</w:t>
      </w:r>
    </w:p>
    <w:p>
      <w:pPr>
        <w:pStyle w:val="nzIndenta"/>
      </w:pPr>
      <w:r>
        <w:tab/>
      </w:r>
      <w:r>
        <w:tab/>
        <w:t>(b)</w:t>
      </w:r>
      <w:r>
        <w:tab/>
        <w:t xml:space="preserve">that the use of the drug or plant was by a person </w:t>
      </w:r>
      <w:r>
        <w:tab/>
        <w:t xml:space="preserve">authorised under this Act or the </w:t>
      </w:r>
      <w:r>
        <w:rPr>
          <w:i/>
        </w:rPr>
        <w:t xml:space="preserve">Medicines and </w:t>
      </w:r>
      <w:r>
        <w:rPr>
          <w:i/>
        </w:rPr>
        <w:tab/>
        <w:t xml:space="preserve">Poisons Act 2014 </w:t>
      </w:r>
      <w:r>
        <w:t>to use the drug or plant.</w:t>
      </w:r>
    </w:p>
    <w:p>
      <w:pPr>
        <w:pStyle w:val="BlankClose"/>
      </w:pPr>
    </w:p>
    <w:p>
      <w:pPr>
        <w:pStyle w:val="nzHeading5"/>
      </w:pPr>
      <w:r>
        <w:rPr>
          <w:rStyle w:val="CharSectno"/>
        </w:rPr>
        <w:t>171</w:t>
      </w:r>
      <w:r>
        <w:t>.</w:t>
      </w:r>
      <w:r>
        <w:tab/>
        <w:t>Sections 6 and 7 replaced</w:t>
      </w:r>
    </w:p>
    <w:p>
      <w:pPr>
        <w:pStyle w:val="nzSubsection"/>
      </w:pPr>
      <w:r>
        <w:tab/>
      </w:r>
      <w:r>
        <w:tab/>
        <w:t>Delete sections 6 and 7 and insert:</w:t>
      </w:r>
    </w:p>
    <w:p>
      <w:pPr>
        <w:pStyle w:val="BlankOpen"/>
      </w:pPr>
    </w:p>
    <w:p>
      <w:pPr>
        <w:pStyle w:val="nzHeading5"/>
      </w:pPr>
      <w:r>
        <w:t>6.</w:t>
      </w:r>
      <w:r>
        <w:tab/>
        <w:t>Offences concerned with prohibited drugs generally</w:t>
      </w:r>
    </w:p>
    <w:p>
      <w:pPr>
        <w:pStyle w:val="nzSubsection"/>
        <w:rPr>
          <w:snapToGrid w:val="0"/>
        </w:rPr>
      </w:pPr>
      <w:r>
        <w:rPr>
          <w:snapToGrid w:val="0"/>
        </w:rPr>
        <w:tab/>
        <w:t>(1)</w:t>
      </w:r>
      <w:r>
        <w:rPr>
          <w:snapToGrid w:val="0"/>
        </w:rPr>
        <w:tab/>
        <w:t xml:space="preserve"> A person commits a crime if the person — </w:t>
      </w:r>
    </w:p>
    <w:p>
      <w:pPr>
        <w:pStyle w:val="nzIndenta"/>
        <w:rPr>
          <w:snapToGrid w:val="0"/>
        </w:rPr>
      </w:pPr>
      <w:r>
        <w:rPr>
          <w:snapToGrid w:val="0"/>
        </w:rPr>
        <w:tab/>
        <w:t>(a)</w:t>
      </w:r>
      <w:r>
        <w:rPr>
          <w:snapToGrid w:val="0"/>
        </w:rPr>
        <w:tab/>
        <w:t>with intent to sell or supply it to another, has in his or her possession a prohibited drug; or</w:t>
      </w:r>
    </w:p>
    <w:p>
      <w:pPr>
        <w:pStyle w:val="nzIndenta"/>
        <w:rPr>
          <w:snapToGrid w:val="0"/>
        </w:rPr>
      </w:pPr>
      <w:r>
        <w:rPr>
          <w:snapToGrid w:val="0"/>
        </w:rPr>
        <w:tab/>
        <w:t>(b)</w:t>
      </w:r>
      <w:r>
        <w:rPr>
          <w:snapToGrid w:val="0"/>
        </w:rPr>
        <w:tab/>
        <w:t>manufactures or prepares a prohibited drug; or</w:t>
      </w:r>
    </w:p>
    <w:p>
      <w:pPr>
        <w:pStyle w:val="nzIndenta"/>
        <w:rPr>
          <w:snapToGrid w:val="0"/>
        </w:rPr>
      </w:pPr>
      <w:r>
        <w:rPr>
          <w:snapToGrid w:val="0"/>
        </w:rPr>
        <w:tab/>
        <w:t>(c)</w:t>
      </w:r>
      <w:r>
        <w:rPr>
          <w:snapToGrid w:val="0"/>
        </w:rPr>
        <w:tab/>
        <w:t>sells or supplies, or offers to sell or supply, a prohibited drug to another person.</w:t>
      </w:r>
    </w:p>
    <w:p>
      <w:pPr>
        <w:pStyle w:val="nzSubsection"/>
      </w:pPr>
      <w:r>
        <w:tab/>
        <w:t>(2)</w:t>
      </w:r>
      <w:r>
        <w:tab/>
        <w:t>A person who has in his or her possession or uses a prohibited drug commits a simple offence.</w:t>
      </w:r>
    </w:p>
    <w:p>
      <w:pPr>
        <w:pStyle w:val="nzSubsection"/>
        <w:keepNext/>
      </w:pPr>
      <w:r>
        <w:tab/>
        <w:t>(3)</w:t>
      </w:r>
      <w:r>
        <w:tab/>
        <w:t xml:space="preserve">A person does not commit a crime under subsection (1) or a simple offence under subsection (2) by reason only of the person having in his or her possession a prohibited drug if the person proves that — </w:t>
      </w:r>
    </w:p>
    <w:p>
      <w:pPr>
        <w:pStyle w:val="nz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pPr>
        <w:pStyle w:val="nzIndenta"/>
      </w:pPr>
      <w:r>
        <w:tab/>
        <w:t>(b)</w:t>
      </w:r>
      <w:r>
        <w:tab/>
        <w:t xml:space="preserve">he or she had possession of the drug only for the purpose of delivering it to a person 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pPr>
        <w:pStyle w:val="nzIndenta"/>
      </w:pPr>
      <w:r>
        <w:tab/>
        <w:t>(c)</w:t>
      </w:r>
      <w:r>
        <w:tab/>
        <w:t>he or she had possession of the drug for the purpose of analysing, examining or otherwise dealing with it for the purposes of this Act in his or her capacity as an analyst, botanist or other expert.</w:t>
      </w:r>
    </w:p>
    <w:p>
      <w:pPr>
        <w:pStyle w:val="nz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pPr>
        <w:pStyle w:val="nz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pPr>
        <w:pStyle w:val="nzHeading5"/>
        <w:rPr>
          <w:snapToGrid w:val="0"/>
        </w:rPr>
      </w:pPr>
      <w:r>
        <w:rPr>
          <w:snapToGrid w:val="0"/>
        </w:rPr>
        <w:t>7.</w:t>
      </w:r>
      <w:r>
        <w:rPr>
          <w:snapToGrid w:val="0"/>
        </w:rPr>
        <w:tab/>
        <w:t>Offences concerned with prohibited plants generally</w:t>
      </w:r>
    </w:p>
    <w:p>
      <w:pPr>
        <w:pStyle w:val="nzSubsection"/>
        <w:rPr>
          <w:snapToGrid w:val="0"/>
        </w:rPr>
      </w:pPr>
      <w:r>
        <w:rPr>
          <w:snapToGrid w:val="0"/>
        </w:rPr>
        <w:tab/>
        <w:t>(1)</w:t>
      </w:r>
      <w:r>
        <w:rPr>
          <w:snapToGrid w:val="0"/>
        </w:rPr>
        <w:tab/>
        <w:t xml:space="preserve"> A person commits a crime if the person — </w:t>
      </w:r>
    </w:p>
    <w:p>
      <w:pPr>
        <w:pStyle w:val="nz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pPr>
        <w:pStyle w:val="nzIndenta"/>
        <w:rPr>
          <w:snapToGrid w:val="0"/>
        </w:rPr>
      </w:pPr>
      <w:r>
        <w:rPr>
          <w:snapToGrid w:val="0"/>
        </w:rPr>
        <w:tab/>
        <w:t>(b)</w:t>
      </w:r>
      <w:r>
        <w:rPr>
          <w:snapToGrid w:val="0"/>
        </w:rPr>
        <w:tab/>
        <w:t>sells or supplies, or offers to sell or supply, a prohibited plant to another person.</w:t>
      </w:r>
    </w:p>
    <w:p>
      <w:pPr>
        <w:pStyle w:val="nzSubsection"/>
        <w:rPr>
          <w:snapToGrid w:val="0"/>
        </w:rPr>
      </w:pPr>
      <w:r>
        <w:rPr>
          <w:snapToGrid w:val="0"/>
        </w:rPr>
        <w:tab/>
        <w:t>(2)</w:t>
      </w:r>
      <w:r>
        <w:rPr>
          <w:snapToGrid w:val="0"/>
        </w:rPr>
        <w:tab/>
        <w:t xml:space="preserve">A person who has in his or her possession or cultivates a prohibited plant commits a simple offence. </w:t>
      </w:r>
    </w:p>
    <w:p>
      <w:pPr>
        <w:pStyle w:val="nzSubsection"/>
        <w:keepNext/>
      </w:pPr>
      <w:r>
        <w:tab/>
        <w:t>(3)</w:t>
      </w:r>
      <w:r>
        <w:tab/>
        <w:t xml:space="preserve">A person does not commit a crime under subsection (1) or a simple offence under subsection (2) by reason only of the person having in his or her possession a prohibited plant if the person proves that — </w:t>
      </w:r>
    </w:p>
    <w:p>
      <w:pPr>
        <w:pStyle w:val="nz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pPr>
        <w:pStyle w:val="nzIndenta"/>
      </w:pPr>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pPr>
        <w:pStyle w:val="nzIndenta"/>
      </w:pPr>
      <w:r>
        <w:tab/>
        <w:t>(c)</w:t>
      </w:r>
      <w:r>
        <w:tab/>
        <w:t>he or she had possession of the plant for the purpose of analysing, examining or otherwise dealing with it for the purposes of this Act in his or her capacity as an analyst, botanist or other expert.</w:t>
      </w:r>
    </w:p>
    <w:p>
      <w:pPr>
        <w:pStyle w:val="BlankClose"/>
      </w:pPr>
    </w:p>
    <w:p>
      <w:pPr>
        <w:pStyle w:val="nzHeading5"/>
      </w:pPr>
      <w:r>
        <w:rPr>
          <w:rStyle w:val="CharSectno"/>
        </w:rPr>
        <w:t>172</w:t>
      </w:r>
      <w:r>
        <w:t>.</w:t>
      </w:r>
      <w:r>
        <w:tab/>
        <w:t>Section 7B amended</w:t>
      </w:r>
    </w:p>
    <w:p>
      <w:pPr>
        <w:pStyle w:val="nzSubsection"/>
      </w:pPr>
      <w:r>
        <w:tab/>
      </w:r>
      <w:r>
        <w:tab/>
        <w:t>In section 7B(7) delete “</w:t>
      </w:r>
      <w:r>
        <w:rPr>
          <w:i/>
        </w:rPr>
        <w:t>Poisons Act 1964</w:t>
      </w:r>
      <w:r>
        <w:t>” (each occurrence) and insert:</w:t>
      </w:r>
    </w:p>
    <w:p>
      <w:pPr>
        <w:pStyle w:val="BlankOpen"/>
      </w:pPr>
    </w:p>
    <w:p>
      <w:pPr>
        <w:pStyle w:val="nzSubsection"/>
      </w:pPr>
      <w:r>
        <w:tab/>
      </w:r>
      <w:r>
        <w:tab/>
      </w:r>
      <w:r>
        <w:rPr>
          <w:i/>
        </w:rPr>
        <w:t>Medicines and Poisons Act 2014</w:t>
      </w:r>
    </w:p>
    <w:p>
      <w:pPr>
        <w:pStyle w:val="BlankClose"/>
      </w:pPr>
    </w:p>
    <w:p>
      <w:pPr>
        <w:pStyle w:val="nzHeading5"/>
      </w:pPr>
      <w:r>
        <w:rPr>
          <w:rStyle w:val="CharSectno"/>
        </w:rPr>
        <w:t>173</w:t>
      </w:r>
      <w:r>
        <w:t>.</w:t>
      </w:r>
      <w:r>
        <w:tab/>
        <w:t>Section 8 deleted</w:t>
      </w:r>
    </w:p>
    <w:p>
      <w:pPr>
        <w:pStyle w:val="nzSubsection"/>
      </w:pPr>
      <w:r>
        <w:tab/>
      </w:r>
      <w:r>
        <w:tab/>
        <w:t>Delete section 8.</w:t>
      </w:r>
    </w:p>
    <w:p>
      <w:pPr>
        <w:pStyle w:val="nzHeading5"/>
      </w:pPr>
      <w:r>
        <w:rPr>
          <w:rStyle w:val="CharSectno"/>
        </w:rPr>
        <w:t>174</w:t>
      </w:r>
      <w:r>
        <w:t>.</w:t>
      </w:r>
      <w:r>
        <w:tab/>
        <w:t>Section 14 amended</w:t>
      </w:r>
    </w:p>
    <w:p>
      <w:pPr>
        <w:pStyle w:val="nzSubsection"/>
      </w:pPr>
      <w:r>
        <w:tab/>
        <w:t>(1)</w:t>
      </w:r>
      <w:r>
        <w:tab/>
        <w:t>In section 14(3) delete “</w:t>
      </w:r>
      <w:r>
        <w:rPr>
          <w:i/>
        </w:rPr>
        <w:t>Poisons Act 196</w:t>
      </w:r>
      <w:r>
        <w:rPr>
          <w:i/>
          <w:spacing w:val="40"/>
        </w:rPr>
        <w:t>4</w:t>
      </w:r>
      <w:r>
        <w:t>” and insert:</w:t>
      </w:r>
    </w:p>
    <w:p>
      <w:pPr>
        <w:pStyle w:val="BlankOpen"/>
      </w:pPr>
    </w:p>
    <w:p>
      <w:pPr>
        <w:pStyle w:val="nzSubsection"/>
      </w:pPr>
      <w:r>
        <w:tab/>
      </w:r>
      <w:r>
        <w:tab/>
      </w:r>
      <w:r>
        <w:rPr>
          <w:i/>
        </w:rPr>
        <w:t>Medicines and Poisons Act 2014</w:t>
      </w:r>
    </w:p>
    <w:p>
      <w:pPr>
        <w:pStyle w:val="BlankClose"/>
      </w:pPr>
    </w:p>
    <w:p>
      <w:pPr>
        <w:pStyle w:val="nzSubsection"/>
      </w:pPr>
      <w:r>
        <w:tab/>
        <w:t>(2)</w:t>
      </w:r>
      <w:r>
        <w:tab/>
        <w:t>Delete section 14(4) and insert:</w:t>
      </w:r>
    </w:p>
    <w:p>
      <w:pPr>
        <w:pStyle w:val="BlankOpen"/>
      </w:pPr>
    </w:p>
    <w:p>
      <w:pPr>
        <w:pStyle w:val="nz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pPr>
        <w:pStyle w:val="nz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pPr>
        <w:pStyle w:val="nzIndenta"/>
      </w:pPr>
      <w:r>
        <w:tab/>
        <w:t xml:space="preserve">(b)he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pPr>
        <w:pStyle w:val="nzIndenta"/>
      </w:pPr>
      <w:r>
        <w:tab/>
        <w:t>(c)</w:t>
      </w:r>
      <w:r>
        <w:tab/>
        <w:t>he or she had possession of the item or substance for the purpose of analysing, examining or otherwise dealing with it for the purposes of this Act in his or her capacity as an analyst, botanist or other expert.</w:t>
      </w:r>
    </w:p>
    <w:p>
      <w:pPr>
        <w:pStyle w:val="BlankClose"/>
      </w:pPr>
    </w:p>
    <w:p>
      <w:pPr>
        <w:pStyle w:val="nzHeading5"/>
      </w:pPr>
      <w:r>
        <w:rPr>
          <w:rStyle w:val="CharSectno"/>
        </w:rPr>
        <w:t>175</w:t>
      </w:r>
      <w:r>
        <w:t>.</w:t>
      </w:r>
      <w:r>
        <w:tab/>
        <w:t>Section 27 amended</w:t>
      </w:r>
    </w:p>
    <w:p>
      <w:pPr>
        <w:pStyle w:val="nzSubsection"/>
      </w:pPr>
      <w:r>
        <w:tab/>
      </w:r>
      <w:r>
        <w:tab/>
        <w:t>In section 27(1):</w:t>
      </w:r>
    </w:p>
    <w:p>
      <w:pPr>
        <w:pStyle w:val="nzIndenta"/>
      </w:pPr>
      <w:r>
        <w:tab/>
        <w:t>(a)</w:t>
      </w:r>
      <w:r>
        <w:tab/>
        <w:t>delete paragraph (a)(ii) and insert:</w:t>
      </w:r>
    </w:p>
    <w:p>
      <w:pPr>
        <w:pStyle w:val="BlankOpen"/>
        <w:rPr>
          <w:snapToGrid w:val="0"/>
        </w:rPr>
      </w:pPr>
    </w:p>
    <w:p>
      <w:pPr>
        <w:pStyle w:val="nz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pPr>
        <w:pStyle w:val="BlankClose"/>
      </w:pPr>
    </w:p>
    <w:p>
      <w:pPr>
        <w:pStyle w:val="nzIndenta"/>
      </w:pPr>
      <w:r>
        <w:tab/>
        <w:t>(b)</w:t>
      </w:r>
      <w:r>
        <w:tab/>
        <w:t>in paragraph (b) delete the passage that begins with “Act,” and ends with “prescription” and insert:</w:t>
      </w:r>
    </w:p>
    <w:p>
      <w:pPr>
        <w:pStyle w:val="BlankOpen"/>
      </w:pPr>
    </w:p>
    <w:p>
      <w:pPr>
        <w:pStyle w:val="nzIndenta"/>
      </w:pPr>
      <w:r>
        <w:tab/>
      </w:r>
      <w:r>
        <w:tab/>
      </w:r>
      <w:r>
        <w:tab/>
        <w:t xml:space="preserve">Act or by or under the </w:t>
      </w:r>
      <w:r>
        <w:rPr>
          <w:i/>
        </w:rPr>
        <w:t xml:space="preserve">Medicines and Poisons </w:t>
      </w:r>
      <w:r>
        <w:rPr>
          <w:i/>
        </w:rPr>
        <w:tab/>
        <w:t>Act 2014</w:t>
      </w:r>
    </w:p>
    <w:p>
      <w:pPr>
        <w:pStyle w:val="BlankClose"/>
      </w:pPr>
    </w:p>
    <w:p>
      <w:pPr>
        <w:pStyle w:val="nzHeading5"/>
      </w:pPr>
      <w:r>
        <w:rPr>
          <w:rStyle w:val="CharSectno"/>
        </w:rPr>
        <w:t>176</w:t>
      </w:r>
      <w:r>
        <w:t>.</w:t>
      </w:r>
      <w:r>
        <w:tab/>
        <w:t>Section 38D amended</w:t>
      </w:r>
    </w:p>
    <w:p>
      <w:pPr>
        <w:pStyle w:val="nzSubsection"/>
      </w:pPr>
      <w:r>
        <w:tab/>
      </w:r>
      <w:r>
        <w:tab/>
        <w:t>Delete section 38D(2) and insert:</w:t>
      </w:r>
    </w:p>
    <w:p>
      <w:pPr>
        <w:pStyle w:val="BlankOpen"/>
        <w:rPr>
          <w:snapToGrid w:val="0"/>
        </w:rPr>
      </w:pPr>
    </w:p>
    <w:p>
      <w:pPr>
        <w:pStyle w:val="nz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BlankClose"/>
      </w:pPr>
    </w:p>
    <w:p>
      <w:pPr>
        <w:pStyle w:val="nzHeading5"/>
      </w:pPr>
      <w:r>
        <w:rPr>
          <w:rStyle w:val="CharSectno"/>
        </w:rPr>
        <w:t>177</w:t>
      </w:r>
      <w:r>
        <w:t>.</w:t>
      </w:r>
      <w:r>
        <w:tab/>
        <w:t>Section 41 amended</w:t>
      </w:r>
    </w:p>
    <w:p>
      <w:pPr>
        <w:pStyle w:val="nzSubsection"/>
        <w:keepNext/>
      </w:pPr>
      <w:r>
        <w:tab/>
      </w:r>
      <w:r>
        <w:tab/>
        <w:t>In section 41(2):</w:t>
      </w:r>
    </w:p>
    <w:p>
      <w:pPr>
        <w:pStyle w:val="nzIndenta"/>
      </w:pPr>
      <w:r>
        <w:tab/>
        <w:t>(a)</w:t>
      </w:r>
      <w:r>
        <w:tab/>
        <w:t>delete “</w:t>
      </w:r>
      <w:r>
        <w:rPr>
          <w:i/>
        </w:rPr>
        <w:t>Poisons Act 1964</w:t>
      </w:r>
      <w:r>
        <w:t>,” and insert:</w:t>
      </w:r>
    </w:p>
    <w:p>
      <w:pPr>
        <w:pStyle w:val="BlankOpen"/>
      </w:pPr>
    </w:p>
    <w:p>
      <w:pPr>
        <w:pStyle w:val="nzIndenta"/>
      </w:pPr>
      <w:r>
        <w:tab/>
      </w:r>
      <w:r>
        <w:tab/>
      </w:r>
      <w:r>
        <w:rPr>
          <w:i/>
        </w:rPr>
        <w:t>Medicines and Poisons Act 2014</w:t>
      </w:r>
      <w:r>
        <w:t>,</w:t>
      </w:r>
    </w:p>
    <w:p>
      <w:pPr>
        <w:pStyle w:val="BlankClose"/>
        <w:keepNext/>
      </w:pPr>
    </w:p>
    <w:p>
      <w:pPr>
        <w:pStyle w:val="nzIndenta"/>
      </w:pPr>
      <w:r>
        <w:tab/>
        <w:t>(b)</w:t>
      </w:r>
      <w:r>
        <w:tab/>
        <w:t>delete “</w:t>
      </w:r>
      <w:r>
        <w:rPr>
          <w:i/>
        </w:rPr>
        <w:t>Poisons Act 1964</w:t>
      </w:r>
      <w:r>
        <w:t>” and insert:</w:t>
      </w:r>
    </w:p>
    <w:p>
      <w:pPr>
        <w:pStyle w:val="BlankOpen"/>
      </w:pPr>
    </w:p>
    <w:p>
      <w:pPr>
        <w:pStyle w:val="nzIndenta"/>
      </w:pPr>
      <w:r>
        <w:tab/>
      </w:r>
      <w:r>
        <w:tab/>
      </w:r>
      <w:r>
        <w:rPr>
          <w:i/>
        </w:rPr>
        <w:t>Medicines and Poisons Act 2014</w:t>
      </w:r>
    </w:p>
    <w:p>
      <w:pPr>
        <w:pStyle w:val="BlankClose"/>
        <w:keepNext/>
      </w:pPr>
    </w:p>
    <w:p>
      <w:pPr>
        <w:pStyle w:val="nzHeading5"/>
      </w:pPr>
      <w:r>
        <w:rPr>
          <w:rStyle w:val="CharSectno"/>
        </w:rPr>
        <w:t>178</w:t>
      </w:r>
      <w:r>
        <w:t>.</w:t>
      </w:r>
      <w:r>
        <w:tab/>
        <w:t>Schedule I heading amended</w:t>
      </w:r>
    </w:p>
    <w:p>
      <w:pPr>
        <w:pStyle w:val="nzSubsection"/>
      </w:pPr>
      <w:r>
        <w:tab/>
      </w:r>
      <w:r>
        <w:tab/>
        <w:t>In the heading to Schedule I delete “</w:t>
      </w:r>
      <w:r>
        <w:rPr>
          <w:b/>
          <w:i/>
          <w:sz w:val="28"/>
        </w:rPr>
        <w:t>Poisons Act 1964</w:t>
      </w:r>
      <w:r>
        <w:t>” and insert:</w:t>
      </w:r>
    </w:p>
    <w:p>
      <w:pPr>
        <w:pStyle w:val="BlankOpen"/>
      </w:pPr>
    </w:p>
    <w:p>
      <w:pPr>
        <w:pStyle w:val="nzHeading2"/>
        <w:rPr>
          <w:rStyle w:val="CharSDivText"/>
          <w:b w:val="0"/>
          <w:sz w:val="28"/>
          <w:szCs w:val="28"/>
        </w:rPr>
      </w:pPr>
      <w:r>
        <w:rPr>
          <w:i/>
        </w:rPr>
        <w:t>Medicines and Poisons Act 2014</w:t>
      </w:r>
    </w:p>
    <w:p>
      <w:pPr>
        <w:pStyle w:val="BlankClose"/>
      </w:pPr>
    </w:p>
    <w:p>
      <w:pPr>
        <w:pStyle w:val="nzHeading5"/>
      </w:pPr>
      <w:r>
        <w:rPr>
          <w:rStyle w:val="CharSectno"/>
        </w:rPr>
        <w:t>179</w:t>
      </w:r>
      <w:r>
        <w:t>.</w:t>
      </w:r>
      <w:r>
        <w:tab/>
        <w:t>Schedule II heading replaced</w:t>
      </w:r>
    </w:p>
    <w:p>
      <w:pPr>
        <w:pStyle w:val="nzSubsection"/>
      </w:pPr>
      <w:r>
        <w:tab/>
      </w:r>
      <w:r>
        <w:tab/>
        <w:t>Delete the heading to Schedule II and insert:</w:t>
      </w:r>
    </w:p>
    <w:p>
      <w:pPr>
        <w:pStyle w:val="BlankOpen"/>
      </w:pPr>
    </w:p>
    <w:p>
      <w:pPr>
        <w:pStyle w:val="nzHeading2"/>
      </w:pPr>
      <w:r>
        <w:t>Schedule II — Plants to which this Act applies</w:t>
      </w:r>
    </w:p>
    <w:p>
      <w:pPr>
        <w:pStyle w:val="BlankClose"/>
      </w:pPr>
    </w:p>
    <w:p>
      <w:pPr>
        <w:pStyle w:val="nzHeading5"/>
      </w:pPr>
      <w:r>
        <w:rPr>
          <w:rStyle w:val="CharSectno"/>
        </w:rPr>
        <w:t>180</w:t>
      </w:r>
      <w:r>
        <w:t>.</w:t>
      </w:r>
      <w:r>
        <w:tab/>
        <w:t>Schedule III amended</w:t>
      </w:r>
    </w:p>
    <w:p>
      <w:pPr>
        <w:pStyle w:val="nzSubsection"/>
      </w:pPr>
      <w:r>
        <w:tab/>
        <w:t>(1)</w:t>
      </w:r>
      <w:r>
        <w:tab/>
        <w:t>In Schedule III delete item 2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2.</w:t>
            </w:r>
          </w:p>
        </w:tc>
        <w:tc>
          <w:tcPr>
            <w:tcW w:w="5110" w:type="dxa"/>
          </w:tcPr>
          <w:p>
            <w:pPr>
              <w:pStyle w:val="yTableNAm"/>
            </w:pPr>
            <w:r>
              <w:t xml:space="preserve">ACETYLDIHYDROCODEINE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nzSubsection"/>
      </w:pPr>
      <w:r>
        <w:tab/>
        <w:t>(2)</w:t>
      </w:r>
      <w:r>
        <w:tab/>
        <w:t>In Schedule III delete item 30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30.</w:t>
            </w:r>
          </w:p>
        </w:tc>
        <w:tc>
          <w:tcPr>
            <w:tcW w:w="5110" w:type="dxa"/>
          </w:tcPr>
          <w:p>
            <w:pPr>
              <w:pStyle w:val="yTableNAm"/>
            </w:pPr>
            <w:r>
              <w:t xml:space="preserve">CODEINE (except when a Schedule 2, 3 or 4 poison as defined in the </w:t>
            </w:r>
            <w:r>
              <w:rPr>
                <w:i/>
              </w:rPr>
              <w:t>Medicines and Poisons Act 2014</w:t>
            </w:r>
            <w:r>
              <w:t>)</w:t>
            </w:r>
          </w:p>
        </w:tc>
        <w:tc>
          <w:tcPr>
            <w:tcW w:w="1200" w:type="dxa"/>
          </w:tcPr>
          <w:p>
            <w:pPr>
              <w:pStyle w:val="yTableNAm"/>
            </w:pPr>
            <w:r>
              <w:br/>
            </w:r>
            <w:r>
              <w:br/>
              <w:t>30.0</w:t>
            </w:r>
          </w:p>
        </w:tc>
      </w:tr>
    </w:tbl>
    <w:p>
      <w:pPr>
        <w:pStyle w:val="BlankClose"/>
      </w:pPr>
    </w:p>
    <w:p>
      <w:pPr>
        <w:pStyle w:val="nzSubsection"/>
      </w:pPr>
      <w:r>
        <w:tab/>
        <w:t>(3)</w:t>
      </w:r>
      <w:r>
        <w:tab/>
        <w:t>In Schedule III delete item 40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40.</w:t>
            </w:r>
          </w:p>
        </w:tc>
        <w:tc>
          <w:tcPr>
            <w:tcW w:w="5110" w:type="dxa"/>
          </w:tcPr>
          <w:p>
            <w:pPr>
              <w:pStyle w:val="yTableNAm"/>
            </w:pPr>
            <w:r>
              <w:t xml:space="preserve">DIHYDROCODEINE (except when a Schedule 2 or 4 poison as defined in the </w:t>
            </w:r>
            <w:r>
              <w:rPr>
                <w:i/>
              </w:rPr>
              <w:t>Medicines and Poisons Act 2014</w:t>
            </w:r>
            <w:r>
              <w:t>)</w:t>
            </w:r>
          </w:p>
        </w:tc>
        <w:tc>
          <w:tcPr>
            <w:tcW w:w="1200" w:type="dxa"/>
          </w:tcPr>
          <w:p>
            <w:pPr>
              <w:pStyle w:val="yTableNAm"/>
            </w:pPr>
            <w:r>
              <w:br/>
            </w:r>
            <w:r>
              <w:br/>
              <w:t>30.0</w:t>
            </w:r>
          </w:p>
        </w:tc>
      </w:tr>
    </w:tbl>
    <w:p>
      <w:pPr>
        <w:pStyle w:val="BlankClose"/>
      </w:pPr>
    </w:p>
    <w:p>
      <w:pPr>
        <w:pStyle w:val="nzSubsection"/>
      </w:pPr>
      <w:r>
        <w:tab/>
        <w:t>(4)</w:t>
      </w:r>
      <w:r>
        <w:tab/>
        <w:t>In Schedule III delete item 90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90.</w:t>
            </w:r>
          </w:p>
        </w:tc>
        <w:tc>
          <w:tcPr>
            <w:tcW w:w="5110"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00" w:type="dxa"/>
          </w:tcPr>
          <w:p>
            <w:pPr>
              <w:pStyle w:val="yTableNAm"/>
            </w:pPr>
            <w:r>
              <w:br/>
            </w:r>
            <w:r>
              <w:br/>
            </w:r>
            <w:r>
              <w:br/>
            </w:r>
            <w:r>
              <w:br/>
              <w:t>6.0</w:t>
            </w:r>
          </w:p>
        </w:tc>
      </w:tr>
    </w:tbl>
    <w:p>
      <w:pPr>
        <w:pStyle w:val="BlankClose"/>
      </w:pPr>
    </w:p>
    <w:p>
      <w:pPr>
        <w:pStyle w:val="nzSubsection"/>
      </w:pPr>
      <w:r>
        <w:tab/>
        <w:t>(5)</w:t>
      </w:r>
      <w:r>
        <w:tab/>
        <w:t>In Schedule III delete items 96 and 97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96.</w:t>
            </w:r>
          </w:p>
        </w:tc>
        <w:tc>
          <w:tcPr>
            <w:tcW w:w="5110" w:type="dxa"/>
          </w:tcPr>
          <w:p>
            <w:pPr>
              <w:pStyle w:val="yTableNAm"/>
            </w:pPr>
            <w:r>
              <w:t xml:space="preserve">NICOCODINE (except when a Schedule 2 or 4 poison as defined in the </w:t>
            </w:r>
            <w:r>
              <w:rPr>
                <w:i/>
              </w:rPr>
              <w:t>Medicines and Poisons Act 2014</w:t>
            </w:r>
            <w:r>
              <w:t>)</w:t>
            </w:r>
          </w:p>
        </w:tc>
        <w:tc>
          <w:tcPr>
            <w:tcW w:w="1200" w:type="dxa"/>
          </w:tcPr>
          <w:p>
            <w:pPr>
              <w:pStyle w:val="yTableNAm"/>
            </w:pPr>
            <w:r>
              <w:br/>
            </w:r>
            <w:r>
              <w:br/>
              <w:t>6.0</w:t>
            </w:r>
          </w:p>
        </w:tc>
      </w:tr>
      <w:tr>
        <w:tc>
          <w:tcPr>
            <w:tcW w:w="680" w:type="dxa"/>
          </w:tcPr>
          <w:p>
            <w:pPr>
              <w:pStyle w:val="yTableNAm"/>
            </w:pPr>
            <w:r>
              <w:t>97.</w:t>
            </w:r>
          </w:p>
        </w:tc>
        <w:tc>
          <w:tcPr>
            <w:tcW w:w="5110" w:type="dxa"/>
          </w:tcPr>
          <w:p>
            <w:pPr>
              <w:pStyle w:val="yTableNAm"/>
            </w:pPr>
            <w:r>
              <w:t xml:space="preserve">NICODICODINE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nzSubsection"/>
      </w:pPr>
      <w:r>
        <w:tab/>
        <w:t>(6)</w:t>
      </w:r>
      <w:r>
        <w:tab/>
        <w:t>In Schedule III delete item 100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100.</w:t>
            </w:r>
          </w:p>
        </w:tc>
        <w:tc>
          <w:tcPr>
            <w:tcW w:w="5110" w:type="dxa"/>
          </w:tcPr>
          <w:p>
            <w:pPr>
              <w:pStyle w:val="yTableNAm"/>
            </w:pPr>
            <w:r>
              <w:t xml:space="preserve">NORCODEINE (except when a Schedule 2 or 4 poison as defined in the </w:t>
            </w:r>
            <w:r>
              <w:rPr>
                <w:i/>
              </w:rPr>
              <w:t>Medicines and Poisons Act 2014</w:t>
            </w:r>
            <w:r>
              <w:t>)</w:t>
            </w:r>
          </w:p>
        </w:tc>
        <w:tc>
          <w:tcPr>
            <w:tcW w:w="1200" w:type="dxa"/>
          </w:tcPr>
          <w:p>
            <w:pPr>
              <w:pStyle w:val="yTableNAm"/>
            </w:pPr>
            <w:r>
              <w:br/>
            </w:r>
            <w:r>
              <w:br/>
              <w:t>6.0</w:t>
            </w:r>
          </w:p>
        </w:tc>
      </w:tr>
    </w:tbl>
    <w:p>
      <w:pPr>
        <w:pStyle w:val="nzSubsection"/>
      </w:pPr>
      <w:r>
        <w:tab/>
        <w:t>(7)</w:t>
      </w:r>
      <w:r>
        <w:tab/>
        <w:t>In Schedule III delete item 123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123.</w:t>
            </w:r>
          </w:p>
        </w:tc>
        <w:tc>
          <w:tcPr>
            <w:tcW w:w="5110" w:type="dxa"/>
          </w:tcPr>
          <w:p>
            <w:pPr>
              <w:pStyle w:val="yTableNAm"/>
            </w:pPr>
            <w:r>
              <w:t xml:space="preserve">PHOLCODINE (except when a Schedule 2 or 4 poison as defined in the </w:t>
            </w:r>
            <w:r>
              <w:rPr>
                <w:i/>
              </w:rPr>
              <w:t>Medicines and Poisons Act 2014</w:t>
            </w:r>
            <w:r>
              <w:t>)</w:t>
            </w:r>
          </w:p>
        </w:tc>
        <w:tc>
          <w:tcPr>
            <w:tcW w:w="1200" w:type="dxa"/>
          </w:tcPr>
          <w:p>
            <w:pPr>
              <w:pStyle w:val="yTableNAm"/>
            </w:pPr>
            <w:r>
              <w:br/>
            </w:r>
            <w:r>
              <w:br/>
              <w:t>15.0</w:t>
            </w:r>
          </w:p>
        </w:tc>
      </w:tr>
    </w:tbl>
    <w:p>
      <w:pPr>
        <w:pStyle w:val="BlankClose"/>
      </w:pPr>
    </w:p>
    <w:p>
      <w:pPr>
        <w:pStyle w:val="nzHeading5"/>
      </w:pPr>
      <w:r>
        <w:rPr>
          <w:rStyle w:val="CharSectno"/>
        </w:rPr>
        <w:t>181</w:t>
      </w:r>
      <w:r>
        <w:t>.</w:t>
      </w:r>
      <w:r>
        <w:tab/>
        <w:t>Schedule V amended</w:t>
      </w:r>
    </w:p>
    <w:p>
      <w:pPr>
        <w:pStyle w:val="nzSubsection"/>
      </w:pPr>
      <w:r>
        <w:tab/>
        <w:t>(1)</w:t>
      </w:r>
      <w:r>
        <w:tab/>
        <w:t>In Schedule V delete item 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2.</w:t>
            </w:r>
          </w:p>
        </w:tc>
        <w:tc>
          <w:tcPr>
            <w:tcW w:w="5173" w:type="dxa"/>
          </w:tcPr>
          <w:p>
            <w:pPr>
              <w:pStyle w:val="yTableNAm"/>
            </w:pPr>
            <w:r>
              <w:t xml:space="preserve">ACETYLDIHYDROCODEINE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(2)</w:t>
      </w:r>
      <w:r>
        <w:tab/>
        <w:t>In Schedule V delete item 30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yTableNAm"/>
            </w:pPr>
            <w:r>
              <w:t>30.</w:t>
            </w:r>
          </w:p>
        </w:tc>
        <w:tc>
          <w:tcPr>
            <w:tcW w:w="5173" w:type="dxa"/>
          </w:tcPr>
          <w:p>
            <w:pPr>
              <w:pStyle w:val="yTableNAm"/>
            </w:pPr>
            <w:r>
              <w:t xml:space="preserve">CODEINE (except when a Schedule 2 or 4 poison as defined in the </w:t>
            </w:r>
            <w:r>
              <w:rPr>
                <w:i/>
              </w:rPr>
              <w:t>Medicines and Poisons Act 2014</w:t>
            </w:r>
            <w:r>
              <w:t>)</w:t>
            </w:r>
          </w:p>
        </w:tc>
        <w:tc>
          <w:tcPr>
            <w:tcW w:w="1088" w:type="dxa"/>
          </w:tcPr>
          <w:p>
            <w:pPr>
              <w:pStyle w:val="yTableNAm"/>
            </w:pPr>
            <w:r>
              <w:br/>
            </w:r>
            <w:r>
              <w:br/>
              <w:t>10.0</w:t>
            </w:r>
          </w:p>
        </w:tc>
      </w:tr>
    </w:tbl>
    <w:p>
      <w:pPr>
        <w:pStyle w:val="BlankClose"/>
      </w:pPr>
    </w:p>
    <w:p>
      <w:pPr>
        <w:pStyle w:val="nzSubsection"/>
      </w:pPr>
      <w:r>
        <w:tab/>
        <w:t>(3)</w:t>
      </w:r>
      <w:r>
        <w:tab/>
        <w:t>In Schedule V delete item 41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yTableNAm"/>
            </w:pPr>
            <w:r>
              <w:t>41.</w:t>
            </w:r>
          </w:p>
        </w:tc>
        <w:tc>
          <w:tcPr>
            <w:tcW w:w="5173" w:type="dxa"/>
          </w:tcPr>
          <w:p>
            <w:pPr>
              <w:pStyle w:val="yTableNAm"/>
            </w:pPr>
            <w:r>
              <w:t xml:space="preserve">DIHYDROCODEINE (except when a Schedule 2 or 4 poison as defined in the </w:t>
            </w:r>
            <w:r>
              <w:rPr>
                <w:i/>
              </w:rPr>
              <w:t>Medicines and Poisons Act 2014</w:t>
            </w:r>
            <w:r>
              <w:t>)</w:t>
            </w:r>
          </w:p>
        </w:tc>
        <w:tc>
          <w:tcPr>
            <w:tcW w:w="1088" w:type="dxa"/>
          </w:tcPr>
          <w:p>
            <w:pPr>
              <w:pStyle w:val="yTableNAm"/>
            </w:pPr>
            <w:r>
              <w:br/>
            </w:r>
            <w:r>
              <w:br/>
              <w:t>10.0</w:t>
            </w:r>
          </w:p>
        </w:tc>
      </w:tr>
    </w:tbl>
    <w:p>
      <w:pPr>
        <w:pStyle w:val="BlankClose"/>
      </w:pPr>
    </w:p>
    <w:p>
      <w:pPr>
        <w:pStyle w:val="nzSubsection"/>
      </w:pPr>
      <w:r>
        <w:tab/>
        <w:t>(4)</w:t>
      </w:r>
      <w:r>
        <w:tab/>
        <w:t>In Schedule V delete item 92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92.</w:t>
            </w:r>
          </w:p>
        </w:tc>
        <w:tc>
          <w:tcPr>
            <w:tcW w:w="5173"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088" w:type="dxa"/>
          </w:tcPr>
          <w:p>
            <w:pPr>
              <w:pStyle w:val="yTableNAm"/>
            </w:pPr>
            <w:r>
              <w:br/>
            </w:r>
            <w:r>
              <w:br/>
            </w:r>
            <w:r>
              <w:br/>
              <w:t>2.0</w:t>
            </w:r>
          </w:p>
        </w:tc>
      </w:tr>
    </w:tbl>
    <w:p>
      <w:pPr>
        <w:pStyle w:val="BlankClose"/>
      </w:pPr>
    </w:p>
    <w:p>
      <w:pPr>
        <w:pStyle w:val="nzSubsection"/>
      </w:pPr>
      <w:r>
        <w:tab/>
        <w:t>(5)</w:t>
      </w:r>
      <w:r>
        <w:tab/>
        <w:t>In Schedule V delete items 98 and 99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98.</w:t>
            </w:r>
          </w:p>
        </w:tc>
        <w:tc>
          <w:tcPr>
            <w:tcW w:w="5173" w:type="dxa"/>
          </w:tcPr>
          <w:p>
            <w:pPr>
              <w:pStyle w:val="yTableNAm"/>
            </w:pPr>
            <w:r>
              <w:t xml:space="preserve">NICOCODINE (except when a Schedule 2 or 4 poison as defined in the </w:t>
            </w:r>
            <w:r>
              <w:rPr>
                <w:i/>
              </w:rPr>
              <w:t>Medicines and Poisons Act 2014</w:t>
            </w:r>
            <w:r>
              <w:t>)</w:t>
            </w:r>
          </w:p>
        </w:tc>
        <w:tc>
          <w:tcPr>
            <w:tcW w:w="1088" w:type="dxa"/>
          </w:tcPr>
          <w:p>
            <w:pPr>
              <w:pStyle w:val="yTableNAm"/>
            </w:pPr>
            <w:r>
              <w:br/>
            </w:r>
            <w:r>
              <w:br/>
              <w:t>2.0</w:t>
            </w:r>
          </w:p>
        </w:tc>
      </w:tr>
      <w:tr>
        <w:trPr>
          <w:cantSplit/>
        </w:trPr>
        <w:tc>
          <w:tcPr>
            <w:tcW w:w="737" w:type="dxa"/>
          </w:tcPr>
          <w:p>
            <w:pPr>
              <w:pStyle w:val="yTableNAm"/>
            </w:pPr>
            <w:r>
              <w:t>99.</w:t>
            </w:r>
          </w:p>
        </w:tc>
        <w:tc>
          <w:tcPr>
            <w:tcW w:w="5173" w:type="dxa"/>
          </w:tcPr>
          <w:p>
            <w:pPr>
              <w:pStyle w:val="yTableNAm"/>
            </w:pPr>
            <w:r>
              <w:t xml:space="preserve">NICODICODINE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(6)</w:t>
      </w:r>
      <w:r>
        <w:tab/>
        <w:t>In Schedule V delete item 102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102.</w:t>
            </w:r>
          </w:p>
        </w:tc>
        <w:tc>
          <w:tcPr>
            <w:tcW w:w="5173" w:type="dxa"/>
          </w:tcPr>
          <w:p>
            <w:pPr>
              <w:pStyle w:val="yTableNAm"/>
            </w:pPr>
            <w:r>
              <w:t xml:space="preserve">NORCODEINE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(7)</w:t>
      </w:r>
      <w:r>
        <w:tab/>
        <w:t>In Schedule V delete item 125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125.</w:t>
            </w:r>
          </w:p>
        </w:tc>
        <w:tc>
          <w:tcPr>
            <w:tcW w:w="5173" w:type="dxa"/>
          </w:tcPr>
          <w:p>
            <w:pPr>
              <w:pStyle w:val="yTableNAm"/>
            </w:pPr>
            <w:r>
              <w:t xml:space="preserve">PHOLCODINE (except when a Schedule 2 or 4 poison as defined in the </w:t>
            </w:r>
            <w:r>
              <w:rPr>
                <w:i/>
              </w:rPr>
              <w:t>Medicines and Poisons Act 2014</w:t>
            </w:r>
            <w:r>
              <w:t>)</w:t>
            </w:r>
          </w:p>
        </w:tc>
        <w:tc>
          <w:tcPr>
            <w:tcW w:w="1088" w:type="dxa"/>
          </w:tcPr>
          <w:p>
            <w:pPr>
              <w:pStyle w:val="yTableNAm"/>
            </w:pPr>
            <w:r>
              <w:br/>
            </w:r>
            <w:r>
              <w:br/>
              <w:t>5.0</w:t>
            </w:r>
          </w:p>
        </w:tc>
      </w:tr>
    </w:tbl>
    <w:p>
      <w:pPr>
        <w:pStyle w:val="BlankClose"/>
      </w:pPr>
    </w:p>
    <w:p>
      <w:pPr>
        <w:pStyle w:val="nSubsection"/>
        <w:rPr>
          <w:snapToGrid w:val="0"/>
        </w:rPr>
      </w:pPr>
      <w:r>
        <w:rPr>
          <w:snapToGrid w:val="0"/>
          <w:vertAlign w:val="superscript"/>
        </w:rPr>
        <w:t>7</w:t>
      </w:r>
      <w:r>
        <w:rPr>
          <w:snapToGrid w:val="0"/>
        </w:rPr>
        <w:tab/>
        <w:t xml:space="preserve">On the date as at which this compilation was prepared, the </w:t>
      </w:r>
      <w:r>
        <w:rPr>
          <w:i/>
        </w:rPr>
        <w:t>Public Health (Consequential Provisions) Act 2016</w:t>
      </w:r>
      <w:r>
        <w:t xml:space="preserve"> Pt. 3</w:t>
      </w:r>
      <w:r>
        <w:rPr>
          <w:snapToGrid w:val="0"/>
        </w:rPr>
        <w:t xml:space="preserve"> </w:t>
      </w:r>
      <w:r>
        <w:t xml:space="preserve">Div. 1 and Pt. 5 Div. 16 </w:t>
      </w:r>
      <w:r>
        <w:rPr>
          <w:snapToGrid w:val="0"/>
        </w:rPr>
        <w:t>had not come into operation.  They read as follows:</w:t>
      </w:r>
    </w:p>
    <w:p>
      <w:pPr>
        <w:pStyle w:val="BlankOpen"/>
        <w:rPr>
          <w:snapToGrid w:val="0"/>
        </w:rPr>
      </w:pPr>
    </w:p>
    <w:p>
      <w:pPr>
        <w:pStyle w:val="nzHeading2"/>
      </w:pPr>
      <w:bookmarkStart w:id="513" w:name="_Toc403555103"/>
      <w:bookmarkStart w:id="514" w:name="_Toc403555597"/>
      <w:bookmarkStart w:id="515" w:name="_Toc403557229"/>
      <w:bookmarkStart w:id="516" w:name="_Toc403557723"/>
      <w:bookmarkStart w:id="517" w:name="_Toc403559951"/>
      <w:bookmarkStart w:id="518" w:name="_Toc404175115"/>
      <w:bookmarkStart w:id="519" w:name="_Toc404179420"/>
      <w:bookmarkStart w:id="520" w:name="_Toc404181430"/>
      <w:bookmarkStart w:id="521" w:name="_Toc404253698"/>
      <w:bookmarkStart w:id="522" w:name="_Toc436300702"/>
      <w:bookmarkStart w:id="523" w:name="_Toc436303685"/>
      <w:bookmarkStart w:id="524" w:name="_Toc436304181"/>
      <w:bookmarkStart w:id="525" w:name="_Toc436661057"/>
      <w:bookmarkStart w:id="526" w:name="_Toc455465868"/>
      <w:bookmarkStart w:id="527" w:name="_Toc455475126"/>
      <w:bookmarkStart w:id="528" w:name="_Toc455475608"/>
      <w:bookmarkStart w:id="529" w:name="_Toc455749690"/>
      <w:bookmarkStart w:id="530" w:name="_Toc456087351"/>
      <w:bookmarkStart w:id="531" w:name="_Toc457226561"/>
      <w:r>
        <w:rPr>
          <w:rStyle w:val="CharPartNo"/>
        </w:rPr>
        <w:t>Part 3</w:t>
      </w:r>
      <w:r>
        <w:t> — </w:t>
      </w:r>
      <w:r>
        <w:rPr>
          <w:rStyle w:val="CharPartText"/>
        </w:rPr>
        <w:t>Amendments to other Acts and repeals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nzHeading3"/>
      </w:pPr>
      <w:bookmarkStart w:id="532" w:name="_Toc403555104"/>
      <w:bookmarkStart w:id="533" w:name="_Toc403555598"/>
      <w:bookmarkStart w:id="534" w:name="_Toc403557230"/>
      <w:bookmarkStart w:id="535" w:name="_Toc403557724"/>
      <w:bookmarkStart w:id="536" w:name="_Toc403559952"/>
      <w:bookmarkStart w:id="537" w:name="_Toc404175116"/>
      <w:bookmarkStart w:id="538" w:name="_Toc404179421"/>
      <w:bookmarkStart w:id="539" w:name="_Toc404181431"/>
      <w:bookmarkStart w:id="540" w:name="_Toc404253699"/>
      <w:bookmarkStart w:id="541" w:name="_Toc436300703"/>
      <w:bookmarkStart w:id="542" w:name="_Toc436303686"/>
      <w:bookmarkStart w:id="543" w:name="_Toc436304182"/>
      <w:bookmarkStart w:id="544" w:name="_Toc436661058"/>
      <w:bookmarkStart w:id="545" w:name="_Toc455465869"/>
      <w:bookmarkStart w:id="546" w:name="_Toc455475127"/>
      <w:bookmarkStart w:id="547" w:name="_Toc455475609"/>
      <w:bookmarkStart w:id="548" w:name="_Toc455749691"/>
      <w:bookmarkStart w:id="549" w:name="_Toc456087352"/>
      <w:bookmarkStart w:id="550" w:name="_Toc457226562"/>
      <w:r>
        <w:rPr>
          <w:rStyle w:val="CharDivNo"/>
        </w:rPr>
        <w:t>Division 1</w:t>
      </w:r>
      <w:r>
        <w:t> — </w:t>
      </w:r>
      <w:r>
        <w:rPr>
          <w:rStyle w:val="CharDivText"/>
        </w:rPr>
        <w:t xml:space="preserve">Amendments resulting from renaming of </w:t>
      </w:r>
      <w:r>
        <w:rPr>
          <w:rStyle w:val="CharDivText"/>
          <w:i/>
        </w:rPr>
        <w:t>Health Act 1911</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nzHeading5"/>
      </w:pPr>
      <w:bookmarkStart w:id="551" w:name="_Toc456087353"/>
      <w:bookmarkStart w:id="552" w:name="_Toc457226563"/>
      <w:r>
        <w:rPr>
          <w:rStyle w:val="CharSectno"/>
        </w:rPr>
        <w:t>101</w:t>
      </w:r>
      <w:r>
        <w:t>.</w:t>
      </w:r>
      <w:r>
        <w:tab/>
        <w:t>Various references to “</w:t>
      </w:r>
      <w:r>
        <w:rPr>
          <w:i/>
        </w:rPr>
        <w:t>Health Act 1911</w:t>
      </w:r>
      <w:r>
        <w:t>” amended</w:t>
      </w:r>
      <w:bookmarkEnd w:id="551"/>
      <w:bookmarkEnd w:id="552"/>
    </w:p>
    <w:p>
      <w:pPr>
        <w:pStyle w:val="nzSubsection"/>
      </w:pPr>
      <w:r>
        <w:tab/>
        <w:t>(1)</w:t>
      </w:r>
      <w:r>
        <w:tab/>
        <w:t>This section amends the Acts listed in the Table.</w:t>
      </w:r>
    </w:p>
    <w:p>
      <w:pPr>
        <w:pStyle w:val="nzSubsection"/>
      </w:pPr>
      <w:r>
        <w:tab/>
        <w:t>(2)</w:t>
      </w:r>
      <w:r>
        <w:tab/>
        <w:t>In the provisions listed in the Table delete “</w:t>
      </w:r>
      <w:r>
        <w:rPr>
          <w:i/>
        </w:rPr>
        <w:t>Health Act 1911</w:t>
      </w:r>
      <w:r>
        <w:t>” (each occurrence) and insert:</w:t>
      </w:r>
    </w:p>
    <w:p>
      <w:pPr>
        <w:pStyle w:val="BlankOpen"/>
      </w:pPr>
    </w:p>
    <w:p>
      <w:pPr>
        <w:pStyle w:val="nzSubsection"/>
      </w:pPr>
      <w:r>
        <w:rPr>
          <w:i/>
        </w:rPr>
        <w:tab/>
      </w:r>
      <w:r>
        <w:rPr>
          <w:i/>
        </w:rPr>
        <w:tab/>
        <w:t>Health (Miscellaneous Provisions) Act 1911</w:t>
      </w:r>
    </w:p>
    <w:p>
      <w:pPr>
        <w:pStyle w:val="BlankClose"/>
      </w:pP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Misuse of Drugs Act 1981</w:t>
            </w:r>
          </w:p>
        </w:tc>
        <w:tc>
          <w:tcPr>
            <w:tcW w:w="3402" w:type="dxa"/>
          </w:tcPr>
          <w:p>
            <w:pPr>
              <w:pStyle w:val="TableAm"/>
              <w:rPr>
                <w:sz w:val="20"/>
              </w:rPr>
            </w:pPr>
            <w:r>
              <w:rPr>
                <w:sz w:val="20"/>
              </w:rPr>
              <w:t xml:space="preserve">s. 3(1) def. of </w:t>
            </w:r>
            <w:r>
              <w:rPr>
                <w:b/>
                <w:i/>
                <w:sz w:val="20"/>
              </w:rPr>
              <w:t>analyst</w:t>
            </w:r>
          </w:p>
        </w:tc>
      </w:tr>
    </w:tbl>
    <w:p>
      <w:pPr>
        <w:pStyle w:val="BlankClose"/>
      </w:pPr>
    </w:p>
    <w:p>
      <w:pPr>
        <w:pStyle w:val="BlankOpen"/>
      </w:pPr>
    </w:p>
    <w:p>
      <w:pPr>
        <w:pStyle w:val="nzHeading2"/>
      </w:pPr>
      <w:bookmarkStart w:id="553" w:name="_Toc403555343"/>
      <w:bookmarkStart w:id="554" w:name="_Toc403555837"/>
      <w:bookmarkStart w:id="555" w:name="_Toc403557469"/>
      <w:bookmarkStart w:id="556" w:name="_Toc403557963"/>
      <w:bookmarkStart w:id="557" w:name="_Toc403560191"/>
      <w:bookmarkStart w:id="558" w:name="_Toc404175355"/>
      <w:bookmarkStart w:id="559" w:name="_Toc404179660"/>
      <w:bookmarkStart w:id="560" w:name="_Toc404181670"/>
      <w:bookmarkStart w:id="561" w:name="_Toc404253938"/>
      <w:bookmarkStart w:id="562" w:name="_Toc436300943"/>
      <w:bookmarkStart w:id="563" w:name="_Toc436303926"/>
      <w:bookmarkStart w:id="564" w:name="_Toc436304422"/>
      <w:bookmarkStart w:id="565" w:name="_Toc436661298"/>
      <w:bookmarkStart w:id="566" w:name="_Toc455466109"/>
      <w:bookmarkStart w:id="567" w:name="_Toc455475357"/>
      <w:bookmarkStart w:id="568" w:name="_Toc455475839"/>
      <w:bookmarkStart w:id="569" w:name="_Toc455749921"/>
      <w:bookmarkStart w:id="570" w:name="_Toc456087582"/>
      <w:bookmarkStart w:id="571" w:name="_Toc457226792"/>
      <w:r>
        <w:rPr>
          <w:rStyle w:val="CharPartNo"/>
        </w:rPr>
        <w:t>Part 5</w:t>
      </w:r>
      <w:r>
        <w:t> — </w:t>
      </w:r>
      <w:r>
        <w:rPr>
          <w:rStyle w:val="CharPartText"/>
        </w:rPr>
        <w:t>Other Acts amended</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nzHeading3"/>
      </w:pPr>
      <w:bookmarkStart w:id="572" w:name="_Toc403555400"/>
      <w:bookmarkStart w:id="573" w:name="_Toc403555894"/>
      <w:bookmarkStart w:id="574" w:name="_Toc403557526"/>
      <w:bookmarkStart w:id="575" w:name="_Toc403558020"/>
      <w:bookmarkStart w:id="576" w:name="_Toc403560248"/>
      <w:bookmarkStart w:id="577" w:name="_Toc404175412"/>
      <w:bookmarkStart w:id="578" w:name="_Toc404179717"/>
      <w:bookmarkStart w:id="579" w:name="_Toc404181727"/>
      <w:bookmarkStart w:id="580" w:name="_Toc404253995"/>
      <w:bookmarkStart w:id="581" w:name="_Toc436301000"/>
      <w:bookmarkStart w:id="582" w:name="_Toc436303983"/>
      <w:bookmarkStart w:id="583" w:name="_Toc436304479"/>
      <w:bookmarkStart w:id="584" w:name="_Toc436661355"/>
      <w:bookmarkStart w:id="585" w:name="_Toc455466166"/>
      <w:bookmarkStart w:id="586" w:name="_Toc455475410"/>
      <w:bookmarkStart w:id="587" w:name="_Toc455475892"/>
      <w:bookmarkStart w:id="588" w:name="_Toc455749974"/>
      <w:bookmarkStart w:id="589" w:name="_Toc456087635"/>
      <w:bookmarkStart w:id="590" w:name="_Toc457226845"/>
      <w:r>
        <w:rPr>
          <w:rStyle w:val="CharDivNo"/>
        </w:rPr>
        <w:t>Division 16</w:t>
      </w:r>
      <w:r>
        <w:t> — </w:t>
      </w:r>
      <w:r>
        <w:rPr>
          <w:rStyle w:val="CharDivText"/>
          <w:i/>
        </w:rPr>
        <w:t>Misuse of Drugs Act 1981</w:t>
      </w:r>
      <w:r>
        <w:rPr>
          <w:rStyle w:val="CharDivText"/>
        </w:rPr>
        <w:t xml:space="preserve"> amended</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nzHeading5"/>
      </w:pPr>
      <w:bookmarkStart w:id="591" w:name="_Toc456087636"/>
      <w:bookmarkStart w:id="592" w:name="_Toc457226846"/>
      <w:r>
        <w:rPr>
          <w:rStyle w:val="CharSectno"/>
        </w:rPr>
        <w:t>311</w:t>
      </w:r>
      <w:r>
        <w:t>.</w:t>
      </w:r>
      <w:r>
        <w:tab/>
        <w:t xml:space="preserve">Act </w:t>
      </w:r>
      <w:r>
        <w:rPr>
          <w:iCs/>
        </w:rPr>
        <w:t>amended</w:t>
      </w:r>
      <w:bookmarkEnd w:id="591"/>
      <w:bookmarkEnd w:id="592"/>
    </w:p>
    <w:p>
      <w:pPr>
        <w:pStyle w:val="nzSubsection"/>
      </w:pPr>
      <w:r>
        <w:tab/>
      </w:r>
      <w:r>
        <w:tab/>
        <w:t xml:space="preserve">This Division amends the </w:t>
      </w:r>
      <w:r>
        <w:rPr>
          <w:i/>
        </w:rPr>
        <w:t>Misuse of Drugs Act 1981</w:t>
      </w:r>
      <w:r>
        <w:t>.</w:t>
      </w:r>
    </w:p>
    <w:p>
      <w:pPr>
        <w:pStyle w:val="nzHeading5"/>
      </w:pPr>
      <w:bookmarkStart w:id="593" w:name="_Toc456087637"/>
      <w:bookmarkStart w:id="594" w:name="_Toc457226847"/>
      <w:r>
        <w:rPr>
          <w:rStyle w:val="CharSectno"/>
        </w:rPr>
        <w:t>312</w:t>
      </w:r>
      <w:r>
        <w:t>.</w:t>
      </w:r>
      <w:r>
        <w:tab/>
        <w:t>Section 3 amended</w:t>
      </w:r>
      <w:bookmarkEnd w:id="593"/>
      <w:bookmarkEnd w:id="594"/>
    </w:p>
    <w:p>
      <w:pPr>
        <w:pStyle w:val="nzSubsection"/>
      </w:pPr>
      <w:r>
        <w:tab/>
      </w:r>
      <w:r>
        <w:tab/>
        <w:t xml:space="preserve">In section 3(1) delete the definition of </w:t>
      </w:r>
      <w:r>
        <w:rPr>
          <w:rStyle w:val="CharDefText"/>
        </w:rPr>
        <w:t>analyst</w:t>
      </w:r>
      <w:r>
        <w:t xml:space="preserve"> and insert:</w:t>
      </w:r>
    </w:p>
    <w:p>
      <w:pPr>
        <w:pStyle w:val="BlankOpen"/>
      </w:pPr>
    </w:p>
    <w:p>
      <w:pPr>
        <w:pStyle w:val="nzDefstart"/>
      </w:pPr>
      <w:r>
        <w:tab/>
      </w:r>
      <w:r>
        <w:rPr>
          <w:rStyle w:val="CharDefText"/>
        </w:rPr>
        <w:t>analyst</w:t>
      </w:r>
      <w:r>
        <w:t xml:space="preserve"> means a person who — </w:t>
      </w:r>
    </w:p>
    <w:p>
      <w:pPr>
        <w:pStyle w:val="nzDefpara"/>
      </w:pPr>
      <w:r>
        <w:tab/>
        <w:t>(a)</w:t>
      </w:r>
      <w:r>
        <w:tab/>
        <w:t xml:space="preserve">holds a science degree in, or to a major extent in, chemistry awarded by — </w:t>
      </w:r>
    </w:p>
    <w:p>
      <w:pPr>
        <w:pStyle w:val="nzDefsubpara"/>
      </w:pPr>
      <w:r>
        <w:tab/>
        <w:t>(i)</w:t>
      </w:r>
      <w:r>
        <w:tab/>
        <w:t>a university in Australia; or</w:t>
      </w:r>
    </w:p>
    <w:p>
      <w:pPr>
        <w:pStyle w:val="nzDefsubpara"/>
      </w:pPr>
      <w:r>
        <w:tab/>
        <w:t>(ii)</w:t>
      </w:r>
      <w:r>
        <w:tab/>
        <w:t>a prescribed university;</w:t>
      </w:r>
    </w:p>
    <w:p>
      <w:pPr>
        <w:pStyle w:val="nzDefpara"/>
      </w:pPr>
      <w:r>
        <w:tab/>
      </w:r>
      <w:r>
        <w:tab/>
        <w:t>and</w:t>
      </w:r>
    </w:p>
    <w:p>
      <w:pPr>
        <w:pStyle w:val="nzDefpara"/>
      </w:pPr>
      <w:r>
        <w:tab/>
        <w:t>(b)</w:t>
      </w:r>
      <w:r>
        <w:tab/>
        <w:t>has had not less than 2 years’ practical experience in the chemical analysis of drugs;</w:t>
      </w:r>
    </w:p>
    <w:p>
      <w:pPr>
        <w:pStyle w:val="BlankClose"/>
      </w:pPr>
    </w:p>
    <w:p>
      <w:pPr>
        <w:pStyle w:val="nzHeading5"/>
      </w:pPr>
      <w:bookmarkStart w:id="595" w:name="_Toc456087638"/>
      <w:bookmarkStart w:id="596" w:name="_Toc457226848"/>
      <w:r>
        <w:rPr>
          <w:rStyle w:val="CharSectno"/>
        </w:rPr>
        <w:t>313</w:t>
      </w:r>
      <w:r>
        <w:t>.</w:t>
      </w:r>
      <w:r>
        <w:tab/>
        <w:t>Section 38D amended</w:t>
      </w:r>
      <w:bookmarkEnd w:id="595"/>
      <w:bookmarkEnd w:id="596"/>
    </w:p>
    <w:p>
      <w:pPr>
        <w:pStyle w:val="nzSubsection"/>
      </w:pPr>
      <w:r>
        <w:tab/>
        <w:t>(1)</w:t>
      </w:r>
      <w:r>
        <w:tab/>
        <w:t>Delete section 38D(1) and insert:</w:t>
      </w:r>
    </w:p>
    <w:p>
      <w:pPr>
        <w:pStyle w:val="BlankOpen"/>
      </w:pPr>
    </w:p>
    <w:p>
      <w:pPr>
        <w:pStyle w:val="nzSubsection"/>
      </w:pPr>
      <w:r>
        <w:tab/>
        <w:t>(1)</w:t>
      </w:r>
      <w:r>
        <w:tab/>
        <w:t xml:space="preserve">In this section — </w:t>
      </w:r>
    </w:p>
    <w:p>
      <w:pPr>
        <w:pStyle w:val="nzDefstart"/>
      </w:pPr>
      <w:r>
        <w:tab/>
      </w:r>
      <w:r>
        <w:rPr>
          <w:rStyle w:val="CharDefText"/>
        </w:rPr>
        <w:t>CEO (Health)</w:t>
      </w:r>
      <w:r>
        <w:t xml:space="preserve"> has the meaning given to CEO by the </w:t>
      </w:r>
      <w:r>
        <w:rPr>
          <w:i/>
        </w:rPr>
        <w:t>Health Legislation Administration Act 1984</w:t>
      </w:r>
      <w:r>
        <w:t xml:space="preserve"> section 3;</w:t>
      </w:r>
    </w:p>
    <w:p>
      <w:pPr>
        <w:pStyle w:val="nzDefstart"/>
      </w:pPr>
      <w:r>
        <w:tab/>
      </w:r>
      <w:r>
        <w:rPr>
          <w:rStyle w:val="CharDefText"/>
        </w:rPr>
        <w:t>Chief Health Officer</w:t>
      </w:r>
      <w:r>
        <w:t xml:space="preserve"> has the meaning given in the </w:t>
      </w:r>
      <w:r>
        <w:rPr>
          <w:i/>
        </w:rPr>
        <w:t>Public Health Act 2016</w:t>
      </w:r>
      <w:r>
        <w:t xml:space="preserve"> section 4(1);</w:t>
      </w:r>
    </w:p>
    <w:p>
      <w:pPr>
        <w:pStyle w:val="nzDefstart"/>
      </w:pPr>
      <w:r>
        <w:tab/>
      </w:r>
      <w:r>
        <w:rPr>
          <w:rStyle w:val="CharDefText"/>
        </w:rPr>
        <w:t>needle and syringe programme</w:t>
      </w:r>
      <w:r>
        <w:t xml:space="preserve"> means a needle and syringe programme (as defined in the </w:t>
      </w:r>
      <w:r>
        <w:rPr>
          <w:i/>
        </w:rPr>
        <w:t>Public Health Act 2016</w:t>
      </w:r>
      <w:r>
        <w:t xml:space="preserve"> section 4(1)) approved under that Act.</w:t>
      </w:r>
    </w:p>
    <w:p>
      <w:pPr>
        <w:pStyle w:val="BlankClose"/>
      </w:pPr>
    </w:p>
    <w:p>
      <w:pPr>
        <w:pStyle w:val="nzSubsection"/>
      </w:pPr>
      <w:r>
        <w:tab/>
        <w:t>(2)</w:t>
      </w:r>
      <w:r>
        <w:tab/>
        <w:t>After section 38D(2) insert:</w:t>
      </w:r>
    </w:p>
    <w:p>
      <w:pPr>
        <w:pStyle w:val="BlankOpen"/>
      </w:pPr>
    </w:p>
    <w:p>
      <w:pPr>
        <w:pStyle w:val="nzSubsection"/>
      </w:pPr>
      <w:r>
        <w:tab/>
        <w:t>(3)</w:t>
      </w:r>
      <w:r>
        <w:tab/>
        <w:t xml:space="preserve">In any proceedings under this Act, production of a certificate purporting to be signed by the Chief Health Officer and stating that on any date or during any period a specified needle and syringe programme was approved under the </w:t>
      </w:r>
      <w:r>
        <w:rPr>
          <w:i/>
          <w:iCs/>
        </w:rPr>
        <w:t>Public Health Act 2016</w:t>
      </w:r>
      <w:r>
        <w:t xml:space="preserve"> is, without proof of the signature of the Chief Health Officer, sufficient evidence of the facts stated in the certificate.</w:t>
      </w:r>
    </w:p>
    <w:p>
      <w:pPr>
        <w:pStyle w:val="BlankClose"/>
      </w:pPr>
    </w:p>
    <w:p>
      <w:pPr>
        <w:pStyle w:val="MiscellaneousBody"/>
        <w:rPr>
          <w:sz w:val="14"/>
          <w:szCs w:val="14"/>
        </w:rPr>
      </w:pPr>
      <w:r>
        <w:tab/>
      </w:r>
      <w:r>
        <w:rPr>
          <w:sz w:val="14"/>
          <w:szCs w:val="14"/>
        </w:rPr>
        <w:tab/>
        <w:t>Note:</w:t>
      </w:r>
      <w:r>
        <w:rPr>
          <w:sz w:val="14"/>
          <w:szCs w:val="14"/>
        </w:rPr>
        <w:tab/>
        <w:t>The heading to amended section 38D is to read:</w:t>
      </w:r>
    </w:p>
    <w:p>
      <w:pPr>
        <w:pStyle w:val="MiscellaneousBody"/>
        <w:spacing w:before="80" w:line="240" w:lineRule="auto"/>
        <w:ind w:left="720" w:hanging="720"/>
        <w:rPr>
          <w:b/>
          <w:sz w:val="14"/>
          <w:szCs w:val="14"/>
        </w:rPr>
      </w:pPr>
      <w:r>
        <w:rPr>
          <w:sz w:val="14"/>
          <w:szCs w:val="14"/>
        </w:rPr>
        <w:tab/>
      </w:r>
      <w:r>
        <w:rPr>
          <w:sz w:val="14"/>
          <w:szCs w:val="14"/>
        </w:rPr>
        <w:tab/>
      </w:r>
      <w:r>
        <w:rPr>
          <w:sz w:val="14"/>
          <w:szCs w:val="14"/>
        </w:rPr>
        <w:tab/>
      </w:r>
      <w:r>
        <w:rPr>
          <w:b/>
          <w:sz w:val="14"/>
          <w:szCs w:val="14"/>
        </w:rPr>
        <w:t>Evidence of contents of standard and approval</w:t>
      </w:r>
    </w:p>
    <w:p>
      <w:pPr>
        <w:pStyle w:val="nzHeading5"/>
      </w:pPr>
      <w:bookmarkStart w:id="597" w:name="_Toc456087639"/>
      <w:bookmarkStart w:id="598" w:name="_Toc457226849"/>
      <w:r>
        <w:rPr>
          <w:rStyle w:val="CharSectno"/>
        </w:rPr>
        <w:t>314</w:t>
      </w:r>
      <w:r>
        <w:t>.</w:t>
      </w:r>
      <w:r>
        <w:tab/>
        <w:t>Part VII Division 3 inserted</w:t>
      </w:r>
      <w:bookmarkEnd w:id="597"/>
      <w:bookmarkEnd w:id="598"/>
    </w:p>
    <w:p>
      <w:pPr>
        <w:pStyle w:val="nzSubsection"/>
        <w:keepNext/>
      </w:pPr>
      <w:r>
        <w:tab/>
      </w:r>
      <w:r>
        <w:tab/>
        <w:t>After Part VII Division 2 insert:</w:t>
      </w:r>
    </w:p>
    <w:p>
      <w:pPr>
        <w:pStyle w:val="BlankOpen"/>
      </w:pPr>
    </w:p>
    <w:p>
      <w:pPr>
        <w:pStyle w:val="nzHeading3"/>
      </w:pPr>
      <w:bookmarkStart w:id="599" w:name="_Toc403555405"/>
      <w:bookmarkStart w:id="600" w:name="_Toc403555899"/>
      <w:bookmarkStart w:id="601" w:name="_Toc403557531"/>
      <w:bookmarkStart w:id="602" w:name="_Toc403558025"/>
      <w:bookmarkStart w:id="603" w:name="_Toc403560253"/>
      <w:bookmarkStart w:id="604" w:name="_Toc404175417"/>
      <w:bookmarkStart w:id="605" w:name="_Toc404179722"/>
      <w:bookmarkStart w:id="606" w:name="_Toc404181732"/>
      <w:bookmarkStart w:id="607" w:name="_Toc404254000"/>
      <w:bookmarkStart w:id="608" w:name="_Toc436301005"/>
      <w:bookmarkStart w:id="609" w:name="_Toc436303988"/>
      <w:bookmarkStart w:id="610" w:name="_Toc436304484"/>
      <w:bookmarkStart w:id="611" w:name="_Toc436661360"/>
      <w:bookmarkStart w:id="612" w:name="_Toc455466171"/>
      <w:bookmarkStart w:id="613" w:name="_Toc455475415"/>
      <w:bookmarkStart w:id="614" w:name="_Toc455475897"/>
      <w:bookmarkStart w:id="615" w:name="_Toc455749979"/>
      <w:bookmarkStart w:id="616" w:name="_Toc456087640"/>
      <w:bookmarkStart w:id="617" w:name="_Toc457226850"/>
      <w:r>
        <w:t xml:space="preserve">Division 3 — Provisions for </w:t>
      </w:r>
      <w:r>
        <w:rPr>
          <w:i/>
        </w:rPr>
        <w:t>Public Health (Consequential Provisions) Act 2016</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nzHeading5"/>
      </w:pPr>
      <w:bookmarkStart w:id="618" w:name="_Toc456087641"/>
      <w:bookmarkStart w:id="619" w:name="_Toc457226851"/>
      <w:r>
        <w:t>49.</w:t>
      </w:r>
      <w:r>
        <w:tab/>
        <w:t>Transitional provision for registered analysts</w:t>
      </w:r>
      <w:bookmarkEnd w:id="618"/>
      <w:bookmarkEnd w:id="619"/>
    </w:p>
    <w:p>
      <w:pPr>
        <w:pStyle w:val="nzSubsection"/>
      </w:pPr>
      <w:r>
        <w:tab/>
        <w:t>(1)</w:t>
      </w:r>
      <w:r>
        <w:tab/>
        <w:t xml:space="preserve">Despite the replacement, by the </w:t>
      </w:r>
      <w:r>
        <w:rPr>
          <w:i/>
        </w:rPr>
        <w:t>Public Health (Consequential Provisions) Act 2016</w:t>
      </w:r>
      <w:r>
        <w:t xml:space="preserve"> section 312 (</w:t>
      </w:r>
      <w:r>
        <w:rPr>
          <w:rStyle w:val="CharDefText"/>
        </w:rPr>
        <w:t>section 312</w:t>
      </w:r>
      <w:r>
        <w:t xml:space="preserve">), of the definition of </w:t>
      </w:r>
      <w:r>
        <w:rPr>
          <w:b/>
          <w:i/>
        </w:rPr>
        <w:t>analyst</w:t>
      </w:r>
      <w:r>
        <w:t xml:space="preserve"> in section 3(1), any person who, immediately before section 312 comes into operation, is an approved analyst under a declaration made under section 3A continues to be an approved analyst under and subject to section 3A.</w:t>
      </w:r>
    </w:p>
    <w:p>
      <w:pPr>
        <w:pStyle w:val="nzSubsection"/>
      </w:pPr>
      <w:r>
        <w:tab/>
        <w:t>(2)</w:t>
      </w:r>
      <w:r>
        <w:tab/>
        <w:t>A thing done or omitted to be done under this Act by, to or in relation to an analyst (as defined in section 3(1) as in force immediately before section 312 comes into operation) has the same effect on and after the day on which section 312 comes into operation, to the extent that it has any force or significance on or after that day, as if the thing had been done or omitted by, to or in relation to an analyst as defined in section 3(1) after section 312 comes into operation.</w:t>
      </w:r>
    </w:p>
    <w:p>
      <w:pPr>
        <w:pStyle w:val="BlankClose"/>
      </w:pPr>
    </w:p>
    <w:p>
      <w:pPr>
        <w:pStyle w:val="nSubsection"/>
        <w:keepNext/>
        <w:keepLines/>
        <w:spacing w:before="0"/>
        <w:rPr>
          <w:ins w:id="620" w:author="svcMRProcess" w:date="2018-09-06T01:04:00Z"/>
          <w:snapToGrid w:val="0"/>
        </w:rPr>
      </w:pPr>
      <w:ins w:id="621" w:author="svcMRProcess" w:date="2018-09-06T01:04:00Z">
        <w:r>
          <w:rPr>
            <w:snapToGrid w:val="0"/>
            <w:vertAlign w:val="superscript"/>
          </w:rPr>
          <w:t>8</w:t>
        </w:r>
        <w:r>
          <w:rPr>
            <w:snapToGrid w:val="0"/>
          </w:rPr>
          <w:tab/>
        </w:r>
        <w:r>
          <w:t xml:space="preserve">On the date as at which this compilation was prepared, </w:t>
        </w:r>
        <w:r>
          <w:rPr>
            <w:snapToGrid w:val="0"/>
          </w:rPr>
          <w:t xml:space="preserve">the </w:t>
        </w:r>
        <w:r>
          <w:rPr>
            <w:i/>
          </w:rPr>
          <w:t>Misuse of Drugs Amendment (Search Powers) Act 2016</w:t>
        </w:r>
        <w:r>
          <w:t xml:space="preserve"> s. 3</w:t>
        </w:r>
        <w:r>
          <w:noBreakHyphen/>
          <w:t>8</w:t>
        </w:r>
        <w:r>
          <w:rPr>
            <w:snapToGrid w:val="0"/>
          </w:rPr>
          <w:t xml:space="preserve"> had not come into operation.  They read as follows:</w:t>
        </w:r>
      </w:ins>
    </w:p>
    <w:p>
      <w:pPr>
        <w:pStyle w:val="BlankOpen"/>
        <w:rPr>
          <w:ins w:id="622" w:author="svcMRProcess" w:date="2018-09-06T01:04:00Z"/>
        </w:rPr>
      </w:pPr>
    </w:p>
    <w:p>
      <w:pPr>
        <w:pStyle w:val="nzHeading5"/>
        <w:rPr>
          <w:ins w:id="623" w:author="svcMRProcess" w:date="2018-09-06T01:04:00Z"/>
          <w:snapToGrid w:val="0"/>
        </w:rPr>
      </w:pPr>
      <w:bookmarkStart w:id="624" w:name="_Toc468168394"/>
      <w:bookmarkStart w:id="625" w:name="_Toc468172977"/>
      <w:ins w:id="626" w:author="svcMRProcess" w:date="2018-09-06T01:04:00Z">
        <w:r>
          <w:rPr>
            <w:rStyle w:val="CharSectno"/>
          </w:rPr>
          <w:t>3</w:t>
        </w:r>
        <w:r>
          <w:rPr>
            <w:snapToGrid w:val="0"/>
          </w:rPr>
          <w:t>.</w:t>
        </w:r>
        <w:r>
          <w:rPr>
            <w:snapToGrid w:val="0"/>
          </w:rPr>
          <w:tab/>
          <w:t>Act amended</w:t>
        </w:r>
        <w:bookmarkEnd w:id="624"/>
        <w:bookmarkEnd w:id="625"/>
      </w:ins>
    </w:p>
    <w:p>
      <w:pPr>
        <w:pStyle w:val="nzSubsection"/>
        <w:rPr>
          <w:ins w:id="627" w:author="svcMRProcess" w:date="2018-09-06T01:04:00Z"/>
        </w:rPr>
      </w:pPr>
      <w:ins w:id="628" w:author="svcMRProcess" w:date="2018-09-06T01:04:00Z">
        <w:r>
          <w:tab/>
        </w:r>
        <w:r>
          <w:tab/>
          <w:t xml:space="preserve">This Act amends the </w:t>
        </w:r>
        <w:r>
          <w:rPr>
            <w:i/>
          </w:rPr>
          <w:t>Misuse of Drugs Act 1981</w:t>
        </w:r>
        <w:r>
          <w:t>.</w:t>
        </w:r>
      </w:ins>
    </w:p>
    <w:p>
      <w:pPr>
        <w:pStyle w:val="nzHeading5"/>
        <w:rPr>
          <w:ins w:id="629" w:author="svcMRProcess" w:date="2018-09-06T01:04:00Z"/>
        </w:rPr>
      </w:pPr>
      <w:bookmarkStart w:id="630" w:name="_Toc468168395"/>
      <w:bookmarkStart w:id="631" w:name="_Toc468172978"/>
      <w:ins w:id="632" w:author="svcMRProcess" w:date="2018-09-06T01:04:00Z">
        <w:r>
          <w:rPr>
            <w:rStyle w:val="CharSectno"/>
          </w:rPr>
          <w:t>4</w:t>
        </w:r>
        <w:r>
          <w:t>.</w:t>
        </w:r>
        <w:r>
          <w:tab/>
          <w:t>Section 3 amended</w:t>
        </w:r>
        <w:bookmarkEnd w:id="630"/>
        <w:bookmarkEnd w:id="631"/>
      </w:ins>
    </w:p>
    <w:p>
      <w:pPr>
        <w:pStyle w:val="nzSubsection"/>
        <w:rPr>
          <w:ins w:id="633" w:author="svcMRProcess" w:date="2018-09-06T01:04:00Z"/>
        </w:rPr>
      </w:pPr>
      <w:ins w:id="634" w:author="svcMRProcess" w:date="2018-09-06T01:04:00Z">
        <w:r>
          <w:tab/>
        </w:r>
        <w:r>
          <w:tab/>
          <w:t>In section 3(1) insert in alphabetical order:</w:t>
        </w:r>
      </w:ins>
    </w:p>
    <w:p>
      <w:pPr>
        <w:pStyle w:val="BlankOpen"/>
        <w:rPr>
          <w:ins w:id="635" w:author="svcMRProcess" w:date="2018-09-06T01:04:00Z"/>
        </w:rPr>
      </w:pPr>
    </w:p>
    <w:p>
      <w:pPr>
        <w:pStyle w:val="nzDefstart"/>
        <w:rPr>
          <w:ins w:id="636" w:author="svcMRProcess" w:date="2018-09-06T01:04:00Z"/>
        </w:rPr>
      </w:pPr>
      <w:ins w:id="637" w:author="svcMRProcess" w:date="2018-09-06T01:04:00Z">
        <w:r>
          <w:rPr>
            <w:b/>
          </w:rPr>
          <w:tab/>
        </w:r>
        <w:r>
          <w:rPr>
            <w:rStyle w:val="CharDefText"/>
          </w:rPr>
          <w:t>category 1 item</w:t>
        </w:r>
        <w:r>
          <w:t xml:space="preserve"> has the meaning given in section 12;</w:t>
        </w:r>
      </w:ins>
    </w:p>
    <w:p>
      <w:pPr>
        <w:pStyle w:val="nzDefstart"/>
        <w:rPr>
          <w:ins w:id="638" w:author="svcMRProcess" w:date="2018-09-06T01:04:00Z"/>
        </w:rPr>
      </w:pPr>
      <w:ins w:id="639" w:author="svcMRProcess" w:date="2018-09-06T01:04:00Z">
        <w:r>
          <w:rPr>
            <w:b/>
          </w:rPr>
          <w:tab/>
        </w:r>
        <w:r>
          <w:rPr>
            <w:rStyle w:val="CharDefText"/>
          </w:rPr>
          <w:t>category 2 item</w:t>
        </w:r>
        <w:r>
          <w:t xml:space="preserve"> has the meaning given in section 12;</w:t>
        </w:r>
      </w:ins>
    </w:p>
    <w:p>
      <w:pPr>
        <w:pStyle w:val="nzDefstart"/>
        <w:rPr>
          <w:ins w:id="640" w:author="svcMRProcess" w:date="2018-09-06T01:04:00Z"/>
        </w:rPr>
      </w:pPr>
      <w:ins w:id="641" w:author="svcMRProcess" w:date="2018-09-06T01:04:00Z">
        <w:r>
          <w:tab/>
        </w:r>
        <w:r>
          <w:rPr>
            <w:rStyle w:val="CharDefText"/>
          </w:rPr>
          <w:t>vehicle</w:t>
        </w:r>
        <w:r>
          <w:t xml:space="preserve"> includes aircraft, hovercraft, vessel and any other means of transportation;</w:t>
        </w:r>
      </w:ins>
    </w:p>
    <w:p>
      <w:pPr>
        <w:pStyle w:val="BlankClose"/>
        <w:rPr>
          <w:ins w:id="642" w:author="svcMRProcess" w:date="2018-09-06T01:04:00Z"/>
        </w:rPr>
      </w:pPr>
    </w:p>
    <w:p>
      <w:pPr>
        <w:pStyle w:val="nzHeading5"/>
        <w:rPr>
          <w:ins w:id="643" w:author="svcMRProcess" w:date="2018-09-06T01:04:00Z"/>
        </w:rPr>
      </w:pPr>
      <w:bookmarkStart w:id="644" w:name="_Toc468168396"/>
      <w:bookmarkStart w:id="645" w:name="_Toc468172979"/>
      <w:ins w:id="646" w:author="svcMRProcess" w:date="2018-09-06T01:04:00Z">
        <w:r>
          <w:rPr>
            <w:rStyle w:val="CharSectno"/>
          </w:rPr>
          <w:t>5</w:t>
        </w:r>
        <w:r>
          <w:t>.</w:t>
        </w:r>
        <w:r>
          <w:tab/>
          <w:t>Part 4A inserted</w:t>
        </w:r>
        <w:bookmarkEnd w:id="644"/>
        <w:bookmarkEnd w:id="645"/>
      </w:ins>
    </w:p>
    <w:p>
      <w:pPr>
        <w:pStyle w:val="nzSubsection"/>
        <w:keepNext/>
        <w:rPr>
          <w:ins w:id="647" w:author="svcMRProcess" w:date="2018-09-06T01:04:00Z"/>
        </w:rPr>
      </w:pPr>
      <w:ins w:id="648" w:author="svcMRProcess" w:date="2018-09-06T01:04:00Z">
        <w:r>
          <w:tab/>
        </w:r>
        <w:r>
          <w:tab/>
          <w:t>After section 20 insert:</w:t>
        </w:r>
      </w:ins>
    </w:p>
    <w:p>
      <w:pPr>
        <w:pStyle w:val="BlankOpen"/>
        <w:rPr>
          <w:ins w:id="649" w:author="svcMRProcess" w:date="2018-09-06T01:04:00Z"/>
        </w:rPr>
      </w:pPr>
    </w:p>
    <w:p>
      <w:pPr>
        <w:pStyle w:val="nzHeading2"/>
        <w:rPr>
          <w:ins w:id="650" w:author="svcMRProcess" w:date="2018-09-06T01:04:00Z"/>
        </w:rPr>
      </w:pPr>
      <w:bookmarkStart w:id="651" w:name="_Toc452631398"/>
      <w:bookmarkStart w:id="652" w:name="_Toc452631428"/>
      <w:bookmarkStart w:id="653" w:name="_Toc452634779"/>
      <w:bookmarkStart w:id="654" w:name="_Toc452636257"/>
      <w:bookmarkStart w:id="655" w:name="_Toc452636287"/>
      <w:bookmarkStart w:id="656" w:name="_Toc452641303"/>
      <w:bookmarkStart w:id="657" w:name="_Toc453658221"/>
      <w:bookmarkStart w:id="658" w:name="_Toc454532172"/>
      <w:bookmarkStart w:id="659" w:name="_Toc467155065"/>
      <w:bookmarkStart w:id="660" w:name="_Toc468168397"/>
      <w:bookmarkStart w:id="661" w:name="_Toc468172980"/>
      <w:ins w:id="662" w:author="svcMRProcess" w:date="2018-09-06T01:04:00Z">
        <w:r>
          <w:t>Part 4A — Targeted searches</w:t>
        </w:r>
        <w:bookmarkEnd w:id="651"/>
        <w:bookmarkEnd w:id="652"/>
        <w:bookmarkEnd w:id="653"/>
        <w:bookmarkEnd w:id="654"/>
        <w:bookmarkEnd w:id="655"/>
        <w:bookmarkEnd w:id="656"/>
        <w:bookmarkEnd w:id="657"/>
        <w:bookmarkEnd w:id="658"/>
        <w:bookmarkEnd w:id="659"/>
        <w:bookmarkEnd w:id="660"/>
        <w:bookmarkEnd w:id="661"/>
      </w:ins>
    </w:p>
    <w:p>
      <w:pPr>
        <w:pStyle w:val="nzHeading3"/>
        <w:rPr>
          <w:ins w:id="663" w:author="svcMRProcess" w:date="2018-09-06T01:04:00Z"/>
        </w:rPr>
      </w:pPr>
      <w:bookmarkStart w:id="664" w:name="_Toc452631399"/>
      <w:bookmarkStart w:id="665" w:name="_Toc452631429"/>
      <w:bookmarkStart w:id="666" w:name="_Toc452634780"/>
      <w:bookmarkStart w:id="667" w:name="_Toc452636258"/>
      <w:bookmarkStart w:id="668" w:name="_Toc452636288"/>
      <w:bookmarkStart w:id="669" w:name="_Toc452641304"/>
      <w:bookmarkStart w:id="670" w:name="_Toc453658222"/>
      <w:bookmarkStart w:id="671" w:name="_Toc454532173"/>
      <w:bookmarkStart w:id="672" w:name="_Toc467155066"/>
      <w:bookmarkStart w:id="673" w:name="_Toc468168398"/>
      <w:bookmarkStart w:id="674" w:name="_Toc468172981"/>
      <w:ins w:id="675" w:author="svcMRProcess" w:date="2018-09-06T01:04:00Z">
        <w:r>
          <w:t>Division 1 — Preliminary</w:t>
        </w:r>
        <w:bookmarkEnd w:id="664"/>
        <w:bookmarkEnd w:id="665"/>
        <w:bookmarkEnd w:id="666"/>
        <w:bookmarkEnd w:id="667"/>
        <w:bookmarkEnd w:id="668"/>
        <w:bookmarkEnd w:id="669"/>
        <w:bookmarkEnd w:id="670"/>
        <w:bookmarkEnd w:id="671"/>
        <w:bookmarkEnd w:id="672"/>
        <w:bookmarkEnd w:id="673"/>
        <w:bookmarkEnd w:id="674"/>
      </w:ins>
    </w:p>
    <w:p>
      <w:pPr>
        <w:pStyle w:val="nzHeading5"/>
        <w:rPr>
          <w:ins w:id="676" w:author="svcMRProcess" w:date="2018-09-06T01:04:00Z"/>
        </w:rPr>
      </w:pPr>
      <w:bookmarkStart w:id="677" w:name="_Toc468168399"/>
      <w:bookmarkStart w:id="678" w:name="_Toc468172982"/>
      <w:ins w:id="679" w:author="svcMRProcess" w:date="2018-09-06T01:04:00Z">
        <w:r>
          <w:t>20A.</w:t>
        </w:r>
        <w:r>
          <w:tab/>
          <w:t>Terms used</w:t>
        </w:r>
        <w:bookmarkEnd w:id="677"/>
        <w:bookmarkEnd w:id="678"/>
      </w:ins>
    </w:p>
    <w:p>
      <w:pPr>
        <w:pStyle w:val="nzSubsection"/>
        <w:rPr>
          <w:ins w:id="680" w:author="svcMRProcess" w:date="2018-09-06T01:04:00Z"/>
        </w:rPr>
      </w:pPr>
      <w:ins w:id="681" w:author="svcMRProcess" w:date="2018-09-06T01:04:00Z">
        <w:r>
          <w:tab/>
        </w:r>
        <w:r>
          <w:tab/>
          <w:t>In this Part — </w:t>
        </w:r>
      </w:ins>
    </w:p>
    <w:p>
      <w:pPr>
        <w:pStyle w:val="nzDefstart"/>
        <w:rPr>
          <w:ins w:id="682" w:author="svcMRProcess" w:date="2018-09-06T01:04:00Z"/>
        </w:rPr>
      </w:pPr>
      <w:ins w:id="683" w:author="svcMRProcess" w:date="2018-09-06T01:04:00Z">
        <w:r>
          <w:tab/>
        </w:r>
        <w:r>
          <w:rPr>
            <w:rStyle w:val="CharDefText"/>
          </w:rPr>
          <w:t>Australia Post</w:t>
        </w:r>
        <w:r>
          <w:t xml:space="preserve"> has the meaning given in the </w:t>
        </w:r>
        <w:r>
          <w:rPr>
            <w:i/>
          </w:rPr>
          <w:t>Australian Postal Corporation Act 1989</w:t>
        </w:r>
        <w:r>
          <w:t xml:space="preserve"> (Commonwealth) section 3;</w:t>
        </w:r>
      </w:ins>
    </w:p>
    <w:p>
      <w:pPr>
        <w:pStyle w:val="nzDefstart"/>
        <w:rPr>
          <w:ins w:id="684" w:author="svcMRProcess" w:date="2018-09-06T01:04:00Z"/>
        </w:rPr>
      </w:pPr>
      <w:ins w:id="685" w:author="svcMRProcess" w:date="2018-09-06T01:04:00Z">
        <w:r>
          <w:tab/>
        </w:r>
        <w:r>
          <w:rPr>
            <w:rStyle w:val="CharDefText"/>
          </w:rPr>
          <w:t>consigned article</w:t>
        </w:r>
        <w:r>
          <w:t xml:space="preserve"> means any article, including a letter, document, envelope, packet, parcel, package, container or wrapper, consigned for delivery by a delivery business;</w:t>
        </w:r>
      </w:ins>
    </w:p>
    <w:p>
      <w:pPr>
        <w:pStyle w:val="nzDefstart"/>
        <w:rPr>
          <w:ins w:id="686" w:author="svcMRProcess" w:date="2018-09-06T01:04:00Z"/>
        </w:rPr>
      </w:pPr>
      <w:ins w:id="687" w:author="svcMRProcess" w:date="2018-09-06T01:04:00Z">
        <w:r>
          <w:tab/>
        </w:r>
        <w:r>
          <w:rPr>
            <w:rStyle w:val="CharDefText"/>
          </w:rPr>
          <w:t>controlled precursor</w:t>
        </w:r>
        <w:r>
          <w:t xml:space="preserve"> means a category 1 item or a category 2 item; </w:t>
        </w:r>
      </w:ins>
    </w:p>
    <w:p>
      <w:pPr>
        <w:pStyle w:val="nzDefstart"/>
        <w:rPr>
          <w:ins w:id="688" w:author="svcMRProcess" w:date="2018-09-06T01:04:00Z"/>
        </w:rPr>
      </w:pPr>
      <w:ins w:id="689" w:author="svcMRProcess" w:date="2018-09-06T01:04:00Z">
        <w:r>
          <w:tab/>
        </w:r>
        <w:r>
          <w:rPr>
            <w:rStyle w:val="CharDefText"/>
          </w:rPr>
          <w:t xml:space="preserve">delivery business </w:t>
        </w:r>
        <w:r>
          <w:t>means a business that delivers consigned articles but does not include Australia Post;</w:t>
        </w:r>
      </w:ins>
    </w:p>
    <w:p>
      <w:pPr>
        <w:pStyle w:val="nzDefstart"/>
        <w:rPr>
          <w:ins w:id="690" w:author="svcMRProcess" w:date="2018-09-06T01:04:00Z"/>
        </w:rPr>
      </w:pPr>
      <w:ins w:id="691" w:author="svcMRProcess" w:date="2018-09-06T01:04:00Z">
        <w:r>
          <w:tab/>
        </w:r>
        <w:r>
          <w:rPr>
            <w:rStyle w:val="CharDefText"/>
          </w:rPr>
          <w:t>drug detection area</w:t>
        </w:r>
        <w:r>
          <w:t xml:space="preserve"> means an area referred to in section 20B(2)(a);</w:t>
        </w:r>
      </w:ins>
    </w:p>
    <w:p>
      <w:pPr>
        <w:pStyle w:val="nzDefstart"/>
        <w:rPr>
          <w:ins w:id="692" w:author="svcMRProcess" w:date="2018-09-06T01:04:00Z"/>
        </w:rPr>
      </w:pPr>
      <w:ins w:id="693" w:author="svcMRProcess" w:date="2018-09-06T01:04:00Z">
        <w:r>
          <w:tab/>
        </w:r>
        <w:r>
          <w:rPr>
            <w:rStyle w:val="CharDefText"/>
          </w:rPr>
          <w:t>drug detection device</w:t>
        </w:r>
        <w:r>
          <w:t xml:space="preserve"> means an electronic device, or a system that uses or involves an electronic device, of a type approved by the Commissioner for the purpose of detecting the presence of any of the following — </w:t>
        </w:r>
      </w:ins>
    </w:p>
    <w:p>
      <w:pPr>
        <w:pStyle w:val="nzDefpara"/>
        <w:rPr>
          <w:ins w:id="694" w:author="svcMRProcess" w:date="2018-09-06T01:04:00Z"/>
        </w:rPr>
      </w:pPr>
      <w:ins w:id="695" w:author="svcMRProcess" w:date="2018-09-06T01:04:00Z">
        <w:r>
          <w:tab/>
          <w:t>(a)</w:t>
        </w:r>
        <w:r>
          <w:tab/>
          <w:t>a prohibited drug;</w:t>
        </w:r>
      </w:ins>
    </w:p>
    <w:p>
      <w:pPr>
        <w:pStyle w:val="nzDefpara"/>
        <w:rPr>
          <w:ins w:id="696" w:author="svcMRProcess" w:date="2018-09-06T01:04:00Z"/>
        </w:rPr>
      </w:pPr>
      <w:ins w:id="697" w:author="svcMRProcess" w:date="2018-09-06T01:04:00Z">
        <w:r>
          <w:tab/>
          <w:t>(b)</w:t>
        </w:r>
        <w:r>
          <w:tab/>
          <w:t>a prohibited plant;</w:t>
        </w:r>
      </w:ins>
    </w:p>
    <w:p>
      <w:pPr>
        <w:pStyle w:val="nzDefpara"/>
        <w:rPr>
          <w:ins w:id="698" w:author="svcMRProcess" w:date="2018-09-06T01:04:00Z"/>
        </w:rPr>
      </w:pPr>
      <w:ins w:id="699" w:author="svcMRProcess" w:date="2018-09-06T01:04:00Z">
        <w:r>
          <w:tab/>
          <w:t>(c)</w:t>
        </w:r>
        <w:r>
          <w:tab/>
          <w:t>a controlled precursor;</w:t>
        </w:r>
      </w:ins>
    </w:p>
    <w:p>
      <w:pPr>
        <w:pStyle w:val="nzDefstart"/>
        <w:rPr>
          <w:ins w:id="700" w:author="svcMRProcess" w:date="2018-09-06T01:04:00Z"/>
        </w:rPr>
      </w:pPr>
      <w:ins w:id="701" w:author="svcMRProcess" w:date="2018-09-06T01:04:00Z">
        <w:r>
          <w:tab/>
        </w:r>
        <w:r>
          <w:rPr>
            <w:rStyle w:val="CharDefText"/>
          </w:rPr>
          <w:t>drug detection dog</w:t>
        </w:r>
        <w:r>
          <w:t xml:space="preserve"> means a dog trained to detect the presence of any of the following — </w:t>
        </w:r>
      </w:ins>
    </w:p>
    <w:p>
      <w:pPr>
        <w:pStyle w:val="nzDefpara"/>
        <w:rPr>
          <w:ins w:id="702" w:author="svcMRProcess" w:date="2018-09-06T01:04:00Z"/>
        </w:rPr>
      </w:pPr>
      <w:ins w:id="703" w:author="svcMRProcess" w:date="2018-09-06T01:04:00Z">
        <w:r>
          <w:tab/>
          <w:t>(a)</w:t>
        </w:r>
        <w:r>
          <w:tab/>
          <w:t>a prohibited drug;</w:t>
        </w:r>
      </w:ins>
    </w:p>
    <w:p>
      <w:pPr>
        <w:pStyle w:val="nzDefpara"/>
        <w:rPr>
          <w:ins w:id="704" w:author="svcMRProcess" w:date="2018-09-06T01:04:00Z"/>
        </w:rPr>
      </w:pPr>
      <w:ins w:id="705" w:author="svcMRProcess" w:date="2018-09-06T01:04:00Z">
        <w:r>
          <w:tab/>
          <w:t>(b)</w:t>
        </w:r>
        <w:r>
          <w:tab/>
          <w:t>a prohibited plant;</w:t>
        </w:r>
      </w:ins>
    </w:p>
    <w:p>
      <w:pPr>
        <w:pStyle w:val="nzDefpara"/>
        <w:rPr>
          <w:ins w:id="706" w:author="svcMRProcess" w:date="2018-09-06T01:04:00Z"/>
        </w:rPr>
      </w:pPr>
      <w:ins w:id="707" w:author="svcMRProcess" w:date="2018-09-06T01:04:00Z">
        <w:r>
          <w:tab/>
          <w:t>(c)</w:t>
        </w:r>
        <w:r>
          <w:tab/>
          <w:t>a controlled precursor;</w:t>
        </w:r>
      </w:ins>
    </w:p>
    <w:p>
      <w:pPr>
        <w:pStyle w:val="nzDefstart"/>
        <w:rPr>
          <w:ins w:id="708" w:author="svcMRProcess" w:date="2018-09-06T01:04:00Z"/>
        </w:rPr>
      </w:pPr>
      <w:ins w:id="709" w:author="svcMRProcess" w:date="2018-09-06T01:04:00Z">
        <w:r>
          <w:tab/>
        </w:r>
        <w:r>
          <w:rPr>
            <w:rStyle w:val="CharDefText"/>
          </w:rPr>
          <w:t>metropolitan region</w:t>
        </w:r>
        <w:r>
          <w:t xml:space="preserve"> has the meaning given in the </w:t>
        </w:r>
        <w:r>
          <w:rPr>
            <w:i/>
          </w:rPr>
          <w:t xml:space="preserve">Planning and Development Act 2005 </w:t>
        </w:r>
        <w:r>
          <w:t>section 4(1);</w:t>
        </w:r>
      </w:ins>
    </w:p>
    <w:p>
      <w:pPr>
        <w:pStyle w:val="nzDefstart"/>
        <w:rPr>
          <w:ins w:id="710" w:author="svcMRProcess" w:date="2018-09-06T01:04:00Z"/>
        </w:rPr>
      </w:pPr>
      <w:ins w:id="711" w:author="svcMRProcess" w:date="2018-09-06T01:04:00Z">
        <w:r>
          <w:tab/>
        </w:r>
        <w:r>
          <w:rPr>
            <w:rStyle w:val="CharDefText"/>
          </w:rPr>
          <w:t>preliminary drug detection test</w:t>
        </w:r>
        <w:r>
          <w:t xml:space="preserve"> means — </w:t>
        </w:r>
      </w:ins>
    </w:p>
    <w:p>
      <w:pPr>
        <w:pStyle w:val="nzDefpara"/>
        <w:rPr>
          <w:ins w:id="712" w:author="svcMRProcess" w:date="2018-09-06T01:04:00Z"/>
        </w:rPr>
      </w:pPr>
      <w:ins w:id="713" w:author="svcMRProcess" w:date="2018-09-06T01:04:00Z">
        <w:r>
          <w:tab/>
          <w:t>(a)</w:t>
        </w:r>
        <w:r>
          <w:tab/>
          <w:t>leading or otherwise placing a drug detection dog in the vicinity of a person or property; or</w:t>
        </w:r>
      </w:ins>
    </w:p>
    <w:p>
      <w:pPr>
        <w:pStyle w:val="nzDefpara"/>
        <w:rPr>
          <w:ins w:id="714" w:author="svcMRProcess" w:date="2018-09-06T01:04:00Z"/>
        </w:rPr>
      </w:pPr>
      <w:ins w:id="715" w:author="svcMRProcess" w:date="2018-09-06T01:04:00Z">
        <w:r>
          <w:tab/>
          <w:t>(b)</w:t>
        </w:r>
        <w:r>
          <w:tab/>
          <w:t>using a drug detection device in relation to a person or property;</w:t>
        </w:r>
      </w:ins>
    </w:p>
    <w:p>
      <w:pPr>
        <w:pStyle w:val="nzDefstart"/>
        <w:rPr>
          <w:ins w:id="716" w:author="svcMRProcess" w:date="2018-09-06T01:04:00Z"/>
        </w:rPr>
      </w:pPr>
      <w:ins w:id="717" w:author="svcMRProcess" w:date="2018-09-06T01:04:00Z">
        <w:r>
          <w:tab/>
        </w:r>
        <w:r>
          <w:rPr>
            <w:rStyle w:val="CharDefText"/>
          </w:rPr>
          <w:t>premises search authorisation</w:t>
        </w:r>
        <w:r>
          <w:t xml:space="preserve"> means an authorisation issued by a senior police officer under section 20C;</w:t>
        </w:r>
      </w:ins>
    </w:p>
    <w:p>
      <w:pPr>
        <w:pStyle w:val="nzDefstart"/>
        <w:rPr>
          <w:ins w:id="718" w:author="svcMRProcess" w:date="2018-09-06T01:04:00Z"/>
        </w:rPr>
      </w:pPr>
      <w:ins w:id="719" w:author="svcMRProcess" w:date="2018-09-06T01:04:00Z">
        <w:r>
          <w:tab/>
        </w:r>
        <w:r>
          <w:rPr>
            <w:rStyle w:val="CharDefText"/>
          </w:rPr>
          <w:t>senior police officer</w:t>
        </w:r>
        <w:r>
          <w:t xml:space="preserve"> means a police officer who is, or is acting as, a superintendent or an officer above the rank of superintendent;</w:t>
        </w:r>
      </w:ins>
    </w:p>
    <w:p>
      <w:pPr>
        <w:pStyle w:val="nzDefstart"/>
        <w:rPr>
          <w:ins w:id="720" w:author="svcMRProcess" w:date="2018-09-06T01:04:00Z"/>
        </w:rPr>
      </w:pPr>
      <w:ins w:id="721" w:author="svcMRProcess" w:date="2018-09-06T01:04:00Z">
        <w:r>
          <w:tab/>
        </w:r>
        <w:r>
          <w:rPr>
            <w:rStyle w:val="CharDefText"/>
          </w:rPr>
          <w:t>vehicle search authorisation</w:t>
        </w:r>
        <w:r>
          <w:t xml:space="preserve"> means an authorisation issued by a senior police officer under section 20B.</w:t>
        </w:r>
      </w:ins>
    </w:p>
    <w:p>
      <w:pPr>
        <w:pStyle w:val="nzHeading3"/>
        <w:rPr>
          <w:ins w:id="722" w:author="svcMRProcess" w:date="2018-09-06T01:04:00Z"/>
        </w:rPr>
      </w:pPr>
      <w:bookmarkStart w:id="723" w:name="_Toc452631401"/>
      <w:bookmarkStart w:id="724" w:name="_Toc452631431"/>
      <w:bookmarkStart w:id="725" w:name="_Toc452634782"/>
      <w:bookmarkStart w:id="726" w:name="_Toc452636260"/>
      <w:bookmarkStart w:id="727" w:name="_Toc452636290"/>
      <w:bookmarkStart w:id="728" w:name="_Toc452641306"/>
      <w:bookmarkStart w:id="729" w:name="_Toc453658224"/>
      <w:bookmarkStart w:id="730" w:name="_Toc454532175"/>
      <w:bookmarkStart w:id="731" w:name="_Toc467155068"/>
      <w:bookmarkStart w:id="732" w:name="_Toc468168400"/>
      <w:bookmarkStart w:id="733" w:name="_Toc468172983"/>
      <w:ins w:id="734" w:author="svcMRProcess" w:date="2018-09-06T01:04:00Z">
        <w:r>
          <w:t>Division 2 — Authorisations</w:t>
        </w:r>
        <w:bookmarkEnd w:id="723"/>
        <w:bookmarkEnd w:id="724"/>
        <w:bookmarkEnd w:id="725"/>
        <w:bookmarkEnd w:id="726"/>
        <w:bookmarkEnd w:id="727"/>
        <w:bookmarkEnd w:id="728"/>
        <w:bookmarkEnd w:id="729"/>
        <w:bookmarkEnd w:id="730"/>
        <w:bookmarkEnd w:id="731"/>
        <w:bookmarkEnd w:id="732"/>
        <w:bookmarkEnd w:id="733"/>
      </w:ins>
    </w:p>
    <w:p>
      <w:pPr>
        <w:pStyle w:val="nzHeading5"/>
        <w:rPr>
          <w:ins w:id="735" w:author="svcMRProcess" w:date="2018-09-06T01:04:00Z"/>
        </w:rPr>
      </w:pPr>
      <w:bookmarkStart w:id="736" w:name="_Toc468168401"/>
      <w:bookmarkStart w:id="737" w:name="_Toc468172984"/>
      <w:ins w:id="738" w:author="svcMRProcess" w:date="2018-09-06T01:04:00Z">
        <w:r>
          <w:t>20B.</w:t>
        </w:r>
        <w:r>
          <w:tab/>
          <w:t>Authorisation to exercise powers to search a vehicle or a person</w:t>
        </w:r>
        <w:bookmarkEnd w:id="736"/>
        <w:bookmarkEnd w:id="737"/>
        <w:r>
          <w:t xml:space="preserve"> </w:t>
        </w:r>
      </w:ins>
    </w:p>
    <w:p>
      <w:pPr>
        <w:pStyle w:val="nzSubsection"/>
        <w:rPr>
          <w:ins w:id="739" w:author="svcMRProcess" w:date="2018-09-06T01:04:00Z"/>
        </w:rPr>
      </w:pPr>
      <w:ins w:id="740" w:author="svcMRProcess" w:date="2018-09-06T01:04:00Z">
        <w:r>
          <w:tab/>
          <w:t>(1)</w:t>
        </w:r>
        <w:r>
          <w:tab/>
          <w:t xml:space="preserve">A senior police officer may issue a vehicle search authorisation under this section if the senior police officer is satisfied there are reasonable grounds to suspect that an area is being, or is likely to be, used for the transport of any of the following — </w:t>
        </w:r>
      </w:ins>
    </w:p>
    <w:p>
      <w:pPr>
        <w:pStyle w:val="nzIndenta"/>
        <w:rPr>
          <w:ins w:id="741" w:author="svcMRProcess" w:date="2018-09-06T01:04:00Z"/>
        </w:rPr>
      </w:pPr>
      <w:ins w:id="742" w:author="svcMRProcess" w:date="2018-09-06T01:04:00Z">
        <w:r>
          <w:tab/>
          <w:t>(a)</w:t>
        </w:r>
        <w:r>
          <w:tab/>
          <w:t>a prohibited drug;</w:t>
        </w:r>
      </w:ins>
    </w:p>
    <w:p>
      <w:pPr>
        <w:pStyle w:val="nzIndenta"/>
        <w:rPr>
          <w:ins w:id="743" w:author="svcMRProcess" w:date="2018-09-06T01:04:00Z"/>
        </w:rPr>
      </w:pPr>
      <w:ins w:id="744" w:author="svcMRProcess" w:date="2018-09-06T01:04:00Z">
        <w:r>
          <w:tab/>
          <w:t>(b)</w:t>
        </w:r>
        <w:r>
          <w:tab/>
          <w:t>a prohibited plant;</w:t>
        </w:r>
      </w:ins>
    </w:p>
    <w:p>
      <w:pPr>
        <w:pStyle w:val="nzIndenta"/>
        <w:rPr>
          <w:ins w:id="745" w:author="svcMRProcess" w:date="2018-09-06T01:04:00Z"/>
        </w:rPr>
      </w:pPr>
      <w:ins w:id="746" w:author="svcMRProcess" w:date="2018-09-06T01:04:00Z">
        <w:r>
          <w:tab/>
          <w:t>(c)</w:t>
        </w:r>
        <w:r>
          <w:tab/>
          <w:t>a controlled precursor.</w:t>
        </w:r>
      </w:ins>
    </w:p>
    <w:p>
      <w:pPr>
        <w:pStyle w:val="nzSubsection"/>
        <w:rPr>
          <w:ins w:id="747" w:author="svcMRProcess" w:date="2018-09-06T01:04:00Z"/>
        </w:rPr>
      </w:pPr>
      <w:ins w:id="748" w:author="svcMRProcess" w:date="2018-09-06T01:04:00Z">
        <w:r>
          <w:tab/>
          <w:t>(2)</w:t>
        </w:r>
        <w:r>
          <w:tab/>
          <w:t xml:space="preserve">A vehicle search authorisation must set out the following — </w:t>
        </w:r>
      </w:ins>
    </w:p>
    <w:p>
      <w:pPr>
        <w:pStyle w:val="nzIndenta"/>
        <w:rPr>
          <w:ins w:id="749" w:author="svcMRProcess" w:date="2018-09-06T01:04:00Z"/>
        </w:rPr>
      </w:pPr>
      <w:ins w:id="750" w:author="svcMRProcess" w:date="2018-09-06T01:04:00Z">
        <w:r>
          <w:tab/>
          <w:t>(a)</w:t>
        </w:r>
        <w:r>
          <w:tab/>
          <w:t xml:space="preserve">subject to subsection (3), the boundaries of the area to which the authorisation relates (the </w:t>
        </w:r>
        <w:r>
          <w:rPr>
            <w:rStyle w:val="CharDefText"/>
          </w:rPr>
          <w:t>drug detection area</w:t>
        </w:r>
        <w:r>
          <w:t xml:space="preserve">); </w:t>
        </w:r>
      </w:ins>
    </w:p>
    <w:p>
      <w:pPr>
        <w:pStyle w:val="nzIndenta"/>
        <w:rPr>
          <w:ins w:id="751" w:author="svcMRProcess" w:date="2018-09-06T01:04:00Z"/>
        </w:rPr>
      </w:pPr>
      <w:ins w:id="752" w:author="svcMRProcess" w:date="2018-09-06T01:04:00Z">
        <w:r>
          <w:tab/>
          <w:t>(b)</w:t>
        </w:r>
        <w:r>
          <w:tab/>
          <w:t xml:space="preserve">the date and time from which it is to take effect; </w:t>
        </w:r>
      </w:ins>
    </w:p>
    <w:p>
      <w:pPr>
        <w:pStyle w:val="nzIndenta"/>
        <w:rPr>
          <w:ins w:id="753" w:author="svcMRProcess" w:date="2018-09-06T01:04:00Z"/>
        </w:rPr>
      </w:pPr>
      <w:ins w:id="754" w:author="svcMRProcess" w:date="2018-09-06T01:04:00Z">
        <w:r>
          <w:tab/>
          <w:t>(c)</w:t>
        </w:r>
        <w:r>
          <w:tab/>
          <w:t>the period, not exceeding 14 days, for which it has effect.</w:t>
        </w:r>
      </w:ins>
    </w:p>
    <w:p>
      <w:pPr>
        <w:pStyle w:val="nzSubsection"/>
        <w:rPr>
          <w:ins w:id="755" w:author="svcMRProcess" w:date="2018-09-06T01:04:00Z"/>
        </w:rPr>
      </w:pPr>
      <w:ins w:id="756" w:author="svcMRProcess" w:date="2018-09-06T01:04:00Z">
        <w:r>
          <w:tab/>
          <w:t>(3)</w:t>
        </w:r>
        <w:r>
          <w:tab/>
          <w:t xml:space="preserve">A senior police officer must not specify an area under subsection (2)(a) that — </w:t>
        </w:r>
      </w:ins>
    </w:p>
    <w:p>
      <w:pPr>
        <w:pStyle w:val="nzIndenta"/>
        <w:rPr>
          <w:ins w:id="757" w:author="svcMRProcess" w:date="2018-09-06T01:04:00Z"/>
        </w:rPr>
      </w:pPr>
      <w:ins w:id="758" w:author="svcMRProcess" w:date="2018-09-06T01:04:00Z">
        <w:r>
          <w:tab/>
          <w:t>(a)</w:t>
        </w:r>
        <w:r>
          <w:tab/>
          <w:t>is in the metropolitan region; or</w:t>
        </w:r>
      </w:ins>
    </w:p>
    <w:p>
      <w:pPr>
        <w:pStyle w:val="nzIndenta"/>
        <w:rPr>
          <w:ins w:id="759" w:author="svcMRProcess" w:date="2018-09-06T01:04:00Z"/>
        </w:rPr>
      </w:pPr>
      <w:ins w:id="760" w:author="svcMRProcess" w:date="2018-09-06T01:04:00Z">
        <w:r>
          <w:tab/>
          <w:t>(b)</w:t>
        </w:r>
        <w:r>
          <w:tab/>
          <w:t>exceeds an area of 5 square kilometres.</w:t>
        </w:r>
      </w:ins>
    </w:p>
    <w:p>
      <w:pPr>
        <w:pStyle w:val="nzSubsection"/>
        <w:rPr>
          <w:ins w:id="761" w:author="svcMRProcess" w:date="2018-09-06T01:04:00Z"/>
        </w:rPr>
      </w:pPr>
      <w:ins w:id="762" w:author="svcMRProcess" w:date="2018-09-06T01:04:00Z">
        <w:r>
          <w:tab/>
          <w:t>(4)</w:t>
        </w:r>
        <w:r>
          <w:tab/>
          <w:t>A vehicle search authorisation may be subject to any conditions specified in the authorisation by the senior police officer issuing the authorisation.</w:t>
        </w:r>
      </w:ins>
    </w:p>
    <w:p>
      <w:pPr>
        <w:pStyle w:val="nzSubsection"/>
        <w:rPr>
          <w:ins w:id="763" w:author="svcMRProcess" w:date="2018-09-06T01:04:00Z"/>
        </w:rPr>
      </w:pPr>
      <w:ins w:id="764" w:author="svcMRProcess" w:date="2018-09-06T01:04:00Z">
        <w:r>
          <w:tab/>
          <w:t>(5)</w:t>
        </w:r>
        <w:r>
          <w:tab/>
          <w:t xml:space="preserve">A vehicle search authorisation — </w:t>
        </w:r>
      </w:ins>
    </w:p>
    <w:p>
      <w:pPr>
        <w:pStyle w:val="nzIndenta"/>
        <w:rPr>
          <w:ins w:id="765" w:author="svcMRProcess" w:date="2018-09-06T01:04:00Z"/>
        </w:rPr>
      </w:pPr>
      <w:ins w:id="766" w:author="svcMRProcess" w:date="2018-09-06T01:04:00Z">
        <w:r>
          <w:tab/>
          <w:t>(a)</w:t>
        </w:r>
        <w:r>
          <w:tab/>
          <w:t xml:space="preserve">may be renewed by a senior police officer — </w:t>
        </w:r>
      </w:ins>
    </w:p>
    <w:p>
      <w:pPr>
        <w:pStyle w:val="nzIndenti"/>
        <w:rPr>
          <w:ins w:id="767" w:author="svcMRProcess" w:date="2018-09-06T01:04:00Z"/>
        </w:rPr>
      </w:pPr>
      <w:ins w:id="768" w:author="svcMRProcess" w:date="2018-09-06T01:04:00Z">
        <w:r>
          <w:tab/>
          <w:t>(i)</w:t>
        </w:r>
        <w:r>
          <w:tab/>
          <w:t>before the vehicle search authorisation expires; and</w:t>
        </w:r>
      </w:ins>
    </w:p>
    <w:p>
      <w:pPr>
        <w:pStyle w:val="nzIndenti"/>
        <w:rPr>
          <w:ins w:id="769" w:author="svcMRProcess" w:date="2018-09-06T01:04:00Z"/>
        </w:rPr>
      </w:pPr>
      <w:ins w:id="770" w:author="svcMRProcess" w:date="2018-09-06T01:04:00Z">
        <w:r>
          <w:tab/>
          <w:t>(ii)</w:t>
        </w:r>
        <w:r>
          <w:tab/>
          <w:t xml:space="preserve">for a period not exceeding 14 days; and </w:t>
        </w:r>
      </w:ins>
    </w:p>
    <w:p>
      <w:pPr>
        <w:pStyle w:val="nzIndenti"/>
        <w:rPr>
          <w:ins w:id="771" w:author="svcMRProcess" w:date="2018-09-06T01:04:00Z"/>
        </w:rPr>
      </w:pPr>
      <w:ins w:id="772" w:author="svcMRProcess" w:date="2018-09-06T01:04:00Z">
        <w:r>
          <w:tab/>
          <w:t>(iii)</w:t>
        </w:r>
        <w:r>
          <w:tab/>
          <w:t>if the senior police officer is satisfied that the requirements set out in subsection (1) are met;</w:t>
        </w:r>
      </w:ins>
    </w:p>
    <w:p>
      <w:pPr>
        <w:pStyle w:val="nzIndenta"/>
        <w:rPr>
          <w:ins w:id="773" w:author="svcMRProcess" w:date="2018-09-06T01:04:00Z"/>
        </w:rPr>
      </w:pPr>
      <w:ins w:id="774" w:author="svcMRProcess" w:date="2018-09-06T01:04:00Z">
        <w:r>
          <w:tab/>
        </w:r>
        <w:r>
          <w:tab/>
          <w:t>and</w:t>
        </w:r>
      </w:ins>
    </w:p>
    <w:p>
      <w:pPr>
        <w:pStyle w:val="nzIndenta"/>
        <w:rPr>
          <w:ins w:id="775" w:author="svcMRProcess" w:date="2018-09-06T01:04:00Z"/>
        </w:rPr>
      </w:pPr>
      <w:ins w:id="776" w:author="svcMRProcess" w:date="2018-09-06T01:04:00Z">
        <w:r>
          <w:tab/>
          <w:t>(b)</w:t>
        </w:r>
        <w:r>
          <w:tab/>
          <w:t>may be renewed under paragraph (a) more than once; and</w:t>
        </w:r>
      </w:ins>
    </w:p>
    <w:p>
      <w:pPr>
        <w:pStyle w:val="nzIndenta"/>
        <w:rPr>
          <w:ins w:id="777" w:author="svcMRProcess" w:date="2018-09-06T01:04:00Z"/>
        </w:rPr>
      </w:pPr>
      <w:ins w:id="778" w:author="svcMRProcess" w:date="2018-09-06T01:04:00Z">
        <w:r>
          <w:tab/>
          <w:t>(c)</w:t>
        </w:r>
        <w:r>
          <w:tab/>
          <w:t>may be revoked or varied by a senior police officer.</w:t>
        </w:r>
      </w:ins>
    </w:p>
    <w:p>
      <w:pPr>
        <w:pStyle w:val="nzSubsection"/>
        <w:rPr>
          <w:ins w:id="779" w:author="svcMRProcess" w:date="2018-09-06T01:04:00Z"/>
        </w:rPr>
      </w:pPr>
      <w:ins w:id="780" w:author="svcMRProcess" w:date="2018-09-06T01:04:00Z">
        <w:r>
          <w:tab/>
          <w:t>(6)</w:t>
        </w:r>
        <w:r>
          <w:tab/>
          <w:t>A vehicle search authorisation issued when 3 authorisations are already in force has no effect.</w:t>
        </w:r>
      </w:ins>
    </w:p>
    <w:p>
      <w:pPr>
        <w:pStyle w:val="nzSubsection"/>
        <w:rPr>
          <w:ins w:id="781" w:author="svcMRProcess" w:date="2018-09-06T01:04:00Z"/>
        </w:rPr>
      </w:pPr>
      <w:ins w:id="782" w:author="svcMRProcess" w:date="2018-09-06T01:04:00Z">
        <w:r>
          <w:tab/>
          <w:t>(7)</w:t>
        </w:r>
        <w:r>
          <w:tab/>
          <w:t>A vehicle search authorisation, or the renewal, variation or revocation of a vehicle search authorisation, must be in writing.</w:t>
        </w:r>
      </w:ins>
    </w:p>
    <w:p>
      <w:pPr>
        <w:pStyle w:val="nzHeading5"/>
        <w:rPr>
          <w:ins w:id="783" w:author="svcMRProcess" w:date="2018-09-06T01:04:00Z"/>
        </w:rPr>
      </w:pPr>
      <w:bookmarkStart w:id="784" w:name="_Toc468168402"/>
      <w:bookmarkStart w:id="785" w:name="_Toc468172985"/>
      <w:ins w:id="786" w:author="svcMRProcess" w:date="2018-09-06T01:04:00Z">
        <w:r>
          <w:t>20C.</w:t>
        </w:r>
        <w:r>
          <w:tab/>
          <w:t>Authorisation to exercise powers to search premises</w:t>
        </w:r>
        <w:bookmarkEnd w:id="784"/>
        <w:bookmarkEnd w:id="785"/>
      </w:ins>
    </w:p>
    <w:p>
      <w:pPr>
        <w:pStyle w:val="nzSubsection"/>
        <w:rPr>
          <w:ins w:id="787" w:author="svcMRProcess" w:date="2018-09-06T01:04:00Z"/>
        </w:rPr>
      </w:pPr>
      <w:ins w:id="788" w:author="svcMRProcess" w:date="2018-09-06T01:04:00Z">
        <w:r>
          <w:tab/>
          <w:t>(1)</w:t>
        </w:r>
        <w:r>
          <w:tab/>
          <w:t>A senior police officer may issue a premises search authorisation under this section in respect of premises used primarily for carrying on a delivery business.</w:t>
        </w:r>
      </w:ins>
    </w:p>
    <w:p>
      <w:pPr>
        <w:pStyle w:val="nzSubsection"/>
        <w:rPr>
          <w:ins w:id="789" w:author="svcMRProcess" w:date="2018-09-06T01:04:00Z"/>
        </w:rPr>
      </w:pPr>
      <w:ins w:id="790" w:author="svcMRProcess" w:date="2018-09-06T01:04:00Z">
        <w:r>
          <w:tab/>
          <w:t>(2)</w:t>
        </w:r>
        <w:r>
          <w:tab/>
          <w:t xml:space="preserve">A premises search authorisation must set out the following — </w:t>
        </w:r>
      </w:ins>
    </w:p>
    <w:p>
      <w:pPr>
        <w:pStyle w:val="nzIndenta"/>
        <w:rPr>
          <w:ins w:id="791" w:author="svcMRProcess" w:date="2018-09-06T01:04:00Z"/>
        </w:rPr>
      </w:pPr>
      <w:ins w:id="792" w:author="svcMRProcess" w:date="2018-09-06T01:04:00Z">
        <w:r>
          <w:tab/>
          <w:t>(a)</w:t>
        </w:r>
        <w:r>
          <w:tab/>
          <w:t xml:space="preserve">the address of the premises to which the authorisation relates; </w:t>
        </w:r>
      </w:ins>
    </w:p>
    <w:p>
      <w:pPr>
        <w:pStyle w:val="nzIndenta"/>
        <w:rPr>
          <w:ins w:id="793" w:author="svcMRProcess" w:date="2018-09-06T01:04:00Z"/>
        </w:rPr>
      </w:pPr>
      <w:ins w:id="794" w:author="svcMRProcess" w:date="2018-09-06T01:04:00Z">
        <w:r>
          <w:tab/>
          <w:t>(b)</w:t>
        </w:r>
        <w:r>
          <w:tab/>
          <w:t>the date and time from which it is to take effect;</w:t>
        </w:r>
      </w:ins>
    </w:p>
    <w:p>
      <w:pPr>
        <w:pStyle w:val="nzIndenta"/>
        <w:rPr>
          <w:ins w:id="795" w:author="svcMRProcess" w:date="2018-09-06T01:04:00Z"/>
        </w:rPr>
      </w:pPr>
      <w:ins w:id="796" w:author="svcMRProcess" w:date="2018-09-06T01:04:00Z">
        <w:r>
          <w:tab/>
          <w:t>(c)</w:t>
        </w:r>
        <w:r>
          <w:tab/>
          <w:t>the period, not exceeding 24 hours, for which it has effect.</w:t>
        </w:r>
      </w:ins>
    </w:p>
    <w:p>
      <w:pPr>
        <w:pStyle w:val="nzSubsection"/>
        <w:rPr>
          <w:ins w:id="797" w:author="svcMRProcess" w:date="2018-09-06T01:04:00Z"/>
        </w:rPr>
      </w:pPr>
      <w:ins w:id="798" w:author="svcMRProcess" w:date="2018-09-06T01:04:00Z">
        <w:r>
          <w:tab/>
          <w:t>(3)</w:t>
        </w:r>
        <w:r>
          <w:tab/>
          <w:t xml:space="preserve">A premises search authorisation may be subject to any conditions specified in the authorisation by the senior police officer issuing the authorisation. </w:t>
        </w:r>
      </w:ins>
    </w:p>
    <w:p>
      <w:pPr>
        <w:pStyle w:val="nzSubsection"/>
        <w:rPr>
          <w:ins w:id="799" w:author="svcMRProcess" w:date="2018-09-06T01:04:00Z"/>
        </w:rPr>
      </w:pPr>
      <w:ins w:id="800" w:author="svcMRProcess" w:date="2018-09-06T01:04:00Z">
        <w:r>
          <w:tab/>
          <w:t>(4)</w:t>
        </w:r>
        <w:r>
          <w:tab/>
          <w:t xml:space="preserve">A premises search authorisation — </w:t>
        </w:r>
      </w:ins>
    </w:p>
    <w:p>
      <w:pPr>
        <w:pStyle w:val="nzIndenta"/>
        <w:rPr>
          <w:ins w:id="801" w:author="svcMRProcess" w:date="2018-09-06T01:04:00Z"/>
        </w:rPr>
      </w:pPr>
      <w:ins w:id="802" w:author="svcMRProcess" w:date="2018-09-06T01:04:00Z">
        <w:r>
          <w:tab/>
          <w:t>(a)</w:t>
        </w:r>
        <w:r>
          <w:tab/>
          <w:t xml:space="preserve">may be renewed by a senior police officer — </w:t>
        </w:r>
      </w:ins>
    </w:p>
    <w:p>
      <w:pPr>
        <w:pStyle w:val="nzIndenti"/>
        <w:rPr>
          <w:ins w:id="803" w:author="svcMRProcess" w:date="2018-09-06T01:04:00Z"/>
        </w:rPr>
      </w:pPr>
      <w:ins w:id="804" w:author="svcMRProcess" w:date="2018-09-06T01:04:00Z">
        <w:r>
          <w:tab/>
          <w:t>(i)</w:t>
        </w:r>
        <w:r>
          <w:tab/>
          <w:t>before the premises search authorisation expires; and</w:t>
        </w:r>
      </w:ins>
    </w:p>
    <w:p>
      <w:pPr>
        <w:pStyle w:val="nzIndenti"/>
        <w:rPr>
          <w:ins w:id="805" w:author="svcMRProcess" w:date="2018-09-06T01:04:00Z"/>
        </w:rPr>
      </w:pPr>
      <w:ins w:id="806" w:author="svcMRProcess" w:date="2018-09-06T01:04:00Z">
        <w:r>
          <w:tab/>
          <w:t>(ii)</w:t>
        </w:r>
        <w:r>
          <w:tab/>
          <w:t xml:space="preserve">for a period not exceeding 24 hours; </w:t>
        </w:r>
      </w:ins>
    </w:p>
    <w:p>
      <w:pPr>
        <w:pStyle w:val="nzIndenta"/>
        <w:rPr>
          <w:ins w:id="807" w:author="svcMRProcess" w:date="2018-09-06T01:04:00Z"/>
        </w:rPr>
      </w:pPr>
      <w:ins w:id="808" w:author="svcMRProcess" w:date="2018-09-06T01:04:00Z">
        <w:r>
          <w:tab/>
        </w:r>
        <w:r>
          <w:tab/>
          <w:t>and</w:t>
        </w:r>
      </w:ins>
    </w:p>
    <w:p>
      <w:pPr>
        <w:pStyle w:val="nzIndenta"/>
        <w:rPr>
          <w:ins w:id="809" w:author="svcMRProcess" w:date="2018-09-06T01:04:00Z"/>
        </w:rPr>
      </w:pPr>
      <w:ins w:id="810" w:author="svcMRProcess" w:date="2018-09-06T01:04:00Z">
        <w:r>
          <w:tab/>
          <w:t>(b)</w:t>
        </w:r>
        <w:r>
          <w:tab/>
          <w:t>may be renewed under paragraph (a) more than once; and</w:t>
        </w:r>
      </w:ins>
    </w:p>
    <w:p>
      <w:pPr>
        <w:pStyle w:val="nzIndenta"/>
        <w:rPr>
          <w:ins w:id="811" w:author="svcMRProcess" w:date="2018-09-06T01:04:00Z"/>
        </w:rPr>
      </w:pPr>
      <w:ins w:id="812" w:author="svcMRProcess" w:date="2018-09-06T01:04:00Z">
        <w:r>
          <w:tab/>
          <w:t>(c)</w:t>
        </w:r>
        <w:r>
          <w:tab/>
          <w:t>may be revoked or varied by a senior police officer.</w:t>
        </w:r>
      </w:ins>
    </w:p>
    <w:p>
      <w:pPr>
        <w:pStyle w:val="nzSubsection"/>
        <w:rPr>
          <w:ins w:id="813" w:author="svcMRProcess" w:date="2018-09-06T01:04:00Z"/>
        </w:rPr>
      </w:pPr>
      <w:ins w:id="814" w:author="svcMRProcess" w:date="2018-09-06T01:04:00Z">
        <w:r>
          <w:tab/>
          <w:t>(5)</w:t>
        </w:r>
        <w:r>
          <w:tab/>
          <w:t>A premises search authorisation issued when 3 authorisations are already in force has no effect.</w:t>
        </w:r>
      </w:ins>
    </w:p>
    <w:p>
      <w:pPr>
        <w:pStyle w:val="nzSubsection"/>
        <w:rPr>
          <w:ins w:id="815" w:author="svcMRProcess" w:date="2018-09-06T01:04:00Z"/>
        </w:rPr>
      </w:pPr>
      <w:ins w:id="816" w:author="svcMRProcess" w:date="2018-09-06T01:04:00Z">
        <w:r>
          <w:tab/>
          <w:t>(6)</w:t>
        </w:r>
        <w:r>
          <w:tab/>
          <w:t>A premises search authorisation, or the renewal, variation or revocation of a premises search authorisation, must be in writing.</w:t>
        </w:r>
      </w:ins>
    </w:p>
    <w:p>
      <w:pPr>
        <w:pStyle w:val="nzHeading3"/>
        <w:rPr>
          <w:ins w:id="817" w:author="svcMRProcess" w:date="2018-09-06T01:04:00Z"/>
        </w:rPr>
      </w:pPr>
      <w:bookmarkStart w:id="818" w:name="_Toc452631404"/>
      <w:bookmarkStart w:id="819" w:name="_Toc452631434"/>
      <w:bookmarkStart w:id="820" w:name="_Toc452634785"/>
      <w:bookmarkStart w:id="821" w:name="_Toc452636263"/>
      <w:bookmarkStart w:id="822" w:name="_Toc452636293"/>
      <w:bookmarkStart w:id="823" w:name="_Toc452641309"/>
      <w:bookmarkStart w:id="824" w:name="_Toc453658227"/>
      <w:bookmarkStart w:id="825" w:name="_Toc454532178"/>
      <w:bookmarkStart w:id="826" w:name="_Toc467155071"/>
      <w:bookmarkStart w:id="827" w:name="_Toc468168403"/>
      <w:bookmarkStart w:id="828" w:name="_Toc468172986"/>
      <w:ins w:id="829" w:author="svcMRProcess" w:date="2018-09-06T01:04:00Z">
        <w:r>
          <w:t>Division 3 — Ancillary provisions in relation to exercising powers</w:t>
        </w:r>
        <w:bookmarkEnd w:id="818"/>
        <w:bookmarkEnd w:id="819"/>
        <w:bookmarkEnd w:id="820"/>
        <w:bookmarkEnd w:id="821"/>
        <w:bookmarkEnd w:id="822"/>
        <w:bookmarkEnd w:id="823"/>
        <w:bookmarkEnd w:id="824"/>
        <w:bookmarkEnd w:id="825"/>
        <w:bookmarkEnd w:id="826"/>
        <w:bookmarkEnd w:id="827"/>
        <w:bookmarkEnd w:id="828"/>
      </w:ins>
    </w:p>
    <w:p>
      <w:pPr>
        <w:pStyle w:val="nzHeading5"/>
        <w:rPr>
          <w:ins w:id="830" w:author="svcMRProcess" w:date="2018-09-06T01:04:00Z"/>
        </w:rPr>
      </w:pPr>
      <w:bookmarkStart w:id="831" w:name="_Toc468168404"/>
      <w:bookmarkStart w:id="832" w:name="_Toc468172987"/>
      <w:ins w:id="833" w:author="svcMRProcess" w:date="2018-09-06T01:04:00Z">
        <w:r>
          <w:t>20D.</w:t>
        </w:r>
        <w:r>
          <w:tab/>
          <w:t>Other written laws</w:t>
        </w:r>
        <w:bookmarkEnd w:id="831"/>
        <w:bookmarkEnd w:id="832"/>
      </w:ins>
    </w:p>
    <w:p>
      <w:pPr>
        <w:pStyle w:val="nzSubsection"/>
        <w:rPr>
          <w:ins w:id="834" w:author="svcMRProcess" w:date="2018-09-06T01:04:00Z"/>
        </w:rPr>
      </w:pPr>
      <w:ins w:id="835" w:author="svcMRProcess" w:date="2018-09-06T01:04:00Z">
        <w:r>
          <w:tab/>
        </w:r>
        <w:r>
          <w:tab/>
          <w:t>Unless the contrary intention appears in this Act or another written law —</w:t>
        </w:r>
      </w:ins>
    </w:p>
    <w:p>
      <w:pPr>
        <w:pStyle w:val="nzIndenta"/>
        <w:rPr>
          <w:ins w:id="836" w:author="svcMRProcess" w:date="2018-09-06T01:04:00Z"/>
        </w:rPr>
      </w:pPr>
      <w:ins w:id="837" w:author="svcMRProcess" w:date="2018-09-06T01:04:00Z">
        <w:r>
          <w:tab/>
          <w:t>(a)</w:t>
        </w:r>
        <w:r>
          <w:tab/>
          <w:t>this Part does not affect the operation of any other written law; and</w:t>
        </w:r>
      </w:ins>
    </w:p>
    <w:p>
      <w:pPr>
        <w:pStyle w:val="nzIndenta"/>
        <w:rPr>
          <w:ins w:id="838" w:author="svcMRProcess" w:date="2018-09-06T01:04:00Z"/>
        </w:rPr>
      </w:pPr>
      <w:ins w:id="839" w:author="svcMRProcess" w:date="2018-09-06T01:04:00Z">
        <w:r>
          <w:tab/>
          <w:t>(b)</w:t>
        </w:r>
        <w:r>
          <w:tab/>
          <w:t>the powers in this Part are in addition to, and not in derogation of, the powers conferred on police officers by Part V or any other written law.</w:t>
        </w:r>
      </w:ins>
    </w:p>
    <w:p>
      <w:pPr>
        <w:pStyle w:val="nzHeading5"/>
        <w:rPr>
          <w:ins w:id="840" w:author="svcMRProcess" w:date="2018-09-06T01:04:00Z"/>
        </w:rPr>
      </w:pPr>
      <w:bookmarkStart w:id="841" w:name="_Toc468168405"/>
      <w:bookmarkStart w:id="842" w:name="_Toc468172988"/>
      <w:ins w:id="843" w:author="svcMRProcess" w:date="2018-09-06T01:04:00Z">
        <w:r>
          <w:t>20E.</w:t>
        </w:r>
        <w:r>
          <w:tab/>
          <w:t>Assistance when exercising powers under this Part</w:t>
        </w:r>
        <w:bookmarkEnd w:id="841"/>
        <w:bookmarkEnd w:id="842"/>
      </w:ins>
    </w:p>
    <w:p>
      <w:pPr>
        <w:pStyle w:val="nzSubsection"/>
        <w:rPr>
          <w:ins w:id="844" w:author="svcMRProcess" w:date="2018-09-06T01:04:00Z"/>
        </w:rPr>
      </w:pPr>
      <w:ins w:id="845" w:author="svcMRProcess" w:date="2018-09-06T01:04:00Z">
        <w:r>
          <w:tab/>
          <w:t>(1)</w:t>
        </w:r>
        <w:r>
          <w:tab/>
          <w:t>A police officer may authorise as many other persons to assist in exercising a power under this Part as are reasonably necessary in the circumstances.</w:t>
        </w:r>
      </w:ins>
    </w:p>
    <w:p>
      <w:pPr>
        <w:pStyle w:val="nzSubsection"/>
        <w:rPr>
          <w:ins w:id="846" w:author="svcMRProcess" w:date="2018-09-06T01:04:00Z"/>
        </w:rPr>
      </w:pPr>
      <w:ins w:id="847" w:author="svcMRProcess" w:date="2018-09-06T01:04:00Z">
        <w:r>
          <w:tab/>
          <w:t>(2)</w:t>
        </w:r>
        <w:r>
          <w:tab/>
          <w:t xml:space="preserve">If a police officer authorises other persons to assist in the exercise of powers under this Part, the </w:t>
        </w:r>
        <w:r>
          <w:rPr>
            <w:i/>
          </w:rPr>
          <w:t>Criminal Investigation Act 2006</w:t>
        </w:r>
        <w:r>
          <w:t xml:space="preserve"> section 15, with any necessary changes, applies to and in relation to the exercise of powers by, or the assistance of, that person.</w:t>
        </w:r>
      </w:ins>
    </w:p>
    <w:p>
      <w:pPr>
        <w:pStyle w:val="nzHeading5"/>
        <w:rPr>
          <w:ins w:id="848" w:author="svcMRProcess" w:date="2018-09-06T01:04:00Z"/>
        </w:rPr>
      </w:pPr>
      <w:bookmarkStart w:id="849" w:name="_Toc468168406"/>
      <w:bookmarkStart w:id="850" w:name="_Toc468172989"/>
      <w:ins w:id="851" w:author="svcMRProcess" w:date="2018-09-06T01:04:00Z">
        <w:r>
          <w:t>20F.</w:t>
        </w:r>
        <w:r>
          <w:tab/>
          <w:t>Use of force</w:t>
        </w:r>
        <w:bookmarkEnd w:id="849"/>
        <w:bookmarkEnd w:id="850"/>
      </w:ins>
    </w:p>
    <w:p>
      <w:pPr>
        <w:pStyle w:val="nzSubsection"/>
        <w:rPr>
          <w:ins w:id="852" w:author="svcMRProcess" w:date="2018-09-06T01:04:00Z"/>
        </w:rPr>
      </w:pPr>
      <w:ins w:id="853" w:author="svcMRProcess" w:date="2018-09-06T01:04:00Z">
        <w:r>
          <w:tab/>
        </w:r>
        <w:r>
          <w:tab/>
          <w:t xml:space="preserve">When exercising a power under this Part, a person may use such force as is reasonably necessary and with such assistance as the person considers necessary — </w:t>
        </w:r>
      </w:ins>
    </w:p>
    <w:p>
      <w:pPr>
        <w:pStyle w:val="nzIndenta"/>
        <w:rPr>
          <w:ins w:id="854" w:author="svcMRProcess" w:date="2018-09-06T01:04:00Z"/>
        </w:rPr>
      </w:pPr>
      <w:ins w:id="855" w:author="svcMRProcess" w:date="2018-09-06T01:04:00Z">
        <w:r>
          <w:tab/>
          <w:t>(a)</w:t>
        </w:r>
        <w:r>
          <w:tab/>
          <w:t>to exercise the power; and</w:t>
        </w:r>
      </w:ins>
    </w:p>
    <w:p>
      <w:pPr>
        <w:pStyle w:val="nzIndenta"/>
        <w:rPr>
          <w:ins w:id="856" w:author="svcMRProcess" w:date="2018-09-06T01:04:00Z"/>
        </w:rPr>
      </w:pPr>
      <w:ins w:id="857" w:author="svcMRProcess" w:date="2018-09-06T01:04:00Z">
        <w:r>
          <w:tab/>
          <w:t>(b)</w:t>
        </w:r>
        <w:r>
          <w:tab/>
          <w:t>to overcome any resistance to exercising the power that is offered, or that the person exercising the power reasonably suspects will be offered, by any person.</w:t>
        </w:r>
      </w:ins>
    </w:p>
    <w:p>
      <w:pPr>
        <w:pStyle w:val="nzHeading3"/>
        <w:rPr>
          <w:ins w:id="858" w:author="svcMRProcess" w:date="2018-09-06T01:04:00Z"/>
        </w:rPr>
      </w:pPr>
      <w:bookmarkStart w:id="859" w:name="_Toc452631408"/>
      <w:bookmarkStart w:id="860" w:name="_Toc452631438"/>
      <w:bookmarkStart w:id="861" w:name="_Toc452634789"/>
      <w:bookmarkStart w:id="862" w:name="_Toc452636267"/>
      <w:bookmarkStart w:id="863" w:name="_Toc452636297"/>
      <w:bookmarkStart w:id="864" w:name="_Toc452641313"/>
      <w:bookmarkStart w:id="865" w:name="_Toc453658231"/>
      <w:bookmarkStart w:id="866" w:name="_Toc454532182"/>
      <w:bookmarkStart w:id="867" w:name="_Toc467155075"/>
      <w:bookmarkStart w:id="868" w:name="_Toc468168407"/>
      <w:bookmarkStart w:id="869" w:name="_Toc468172990"/>
      <w:ins w:id="870" w:author="svcMRProcess" w:date="2018-09-06T01:04:00Z">
        <w:r>
          <w:t>Division 4 — Vehicle searches</w:t>
        </w:r>
        <w:bookmarkEnd w:id="859"/>
        <w:bookmarkEnd w:id="860"/>
        <w:bookmarkEnd w:id="861"/>
        <w:bookmarkEnd w:id="862"/>
        <w:bookmarkEnd w:id="863"/>
        <w:bookmarkEnd w:id="864"/>
        <w:bookmarkEnd w:id="865"/>
        <w:bookmarkEnd w:id="866"/>
        <w:bookmarkEnd w:id="867"/>
        <w:bookmarkEnd w:id="868"/>
        <w:bookmarkEnd w:id="869"/>
      </w:ins>
    </w:p>
    <w:p>
      <w:pPr>
        <w:pStyle w:val="nzHeading5"/>
        <w:rPr>
          <w:ins w:id="871" w:author="svcMRProcess" w:date="2018-09-06T01:04:00Z"/>
        </w:rPr>
      </w:pPr>
      <w:bookmarkStart w:id="872" w:name="_Toc468168408"/>
      <w:bookmarkStart w:id="873" w:name="_Toc468172991"/>
      <w:ins w:id="874" w:author="svcMRProcess" w:date="2018-09-06T01:04:00Z">
        <w:r>
          <w:t>20G.</w:t>
        </w:r>
        <w:r>
          <w:tab/>
          <w:t>Powers of police officers in relation to searching vehicle in drug detection area</w:t>
        </w:r>
        <w:bookmarkEnd w:id="872"/>
        <w:bookmarkEnd w:id="873"/>
      </w:ins>
    </w:p>
    <w:p>
      <w:pPr>
        <w:pStyle w:val="nzSubsection"/>
        <w:rPr>
          <w:ins w:id="875" w:author="svcMRProcess" w:date="2018-09-06T01:04:00Z"/>
        </w:rPr>
      </w:pPr>
      <w:ins w:id="876" w:author="svcMRProcess" w:date="2018-09-06T01:04:00Z">
        <w:r>
          <w:tab/>
          <w:t>(1)</w:t>
        </w:r>
        <w:r>
          <w:tab/>
          <w:t xml:space="preserve">In this section — </w:t>
        </w:r>
      </w:ins>
    </w:p>
    <w:p>
      <w:pPr>
        <w:pStyle w:val="nzDefstart"/>
        <w:rPr>
          <w:ins w:id="877" w:author="svcMRProcess" w:date="2018-09-06T01:04:00Z"/>
        </w:rPr>
      </w:pPr>
      <w:ins w:id="878" w:author="svcMRProcess" w:date="2018-09-06T01:04:00Z">
        <w:r>
          <w:tab/>
        </w:r>
        <w:r>
          <w:rPr>
            <w:rStyle w:val="CharDefText"/>
          </w:rPr>
          <w:t>search</w:t>
        </w:r>
        <w:r>
          <w:t xml:space="preserve"> includes doing a preliminary drug detection test.</w:t>
        </w:r>
      </w:ins>
    </w:p>
    <w:p>
      <w:pPr>
        <w:pStyle w:val="nzSubsection"/>
        <w:rPr>
          <w:ins w:id="879" w:author="svcMRProcess" w:date="2018-09-06T01:04:00Z"/>
        </w:rPr>
      </w:pPr>
      <w:ins w:id="880" w:author="svcMRProcess" w:date="2018-09-06T01:04:00Z">
        <w:r>
          <w:tab/>
          <w:t>(2)</w:t>
        </w:r>
        <w:r>
          <w:tab/>
          <w:t xml:space="preserve">Under a vehicle search authorisation, a police officer may do one or more of the following in relation to a vehicle in the drug detection area set out in the authorisation — </w:t>
        </w:r>
      </w:ins>
    </w:p>
    <w:p>
      <w:pPr>
        <w:pStyle w:val="nzIndenta"/>
        <w:rPr>
          <w:ins w:id="881" w:author="svcMRProcess" w:date="2018-09-06T01:04:00Z"/>
        </w:rPr>
      </w:pPr>
      <w:ins w:id="882" w:author="svcMRProcess" w:date="2018-09-06T01:04:00Z">
        <w:r>
          <w:tab/>
          <w:t>(a)</w:t>
        </w:r>
        <w:r>
          <w:tab/>
          <w:t>require the driver of the vehicle to stop the vehicle;</w:t>
        </w:r>
      </w:ins>
    </w:p>
    <w:p>
      <w:pPr>
        <w:pStyle w:val="nzIndenta"/>
        <w:rPr>
          <w:ins w:id="883" w:author="svcMRProcess" w:date="2018-09-06T01:04:00Z"/>
        </w:rPr>
      </w:pPr>
      <w:ins w:id="884" w:author="svcMRProcess" w:date="2018-09-06T01:04:00Z">
        <w:r>
          <w:tab/>
          <w:t>(b)</w:t>
        </w:r>
        <w:r>
          <w:tab/>
          <w:t>enter and search any part of the vehicle;</w:t>
        </w:r>
      </w:ins>
    </w:p>
    <w:p>
      <w:pPr>
        <w:pStyle w:val="nzIndenta"/>
        <w:rPr>
          <w:ins w:id="885" w:author="svcMRProcess" w:date="2018-09-06T01:04:00Z"/>
        </w:rPr>
      </w:pPr>
      <w:ins w:id="886" w:author="svcMRProcess" w:date="2018-09-06T01:04:00Z">
        <w:r>
          <w:tab/>
          <w:t>(c)</w:t>
        </w:r>
        <w:r>
          <w:tab/>
          <w:t xml:space="preserve">detain the vehicle for a reasonable period in order to search the vehicle; </w:t>
        </w:r>
      </w:ins>
    </w:p>
    <w:p>
      <w:pPr>
        <w:pStyle w:val="nzIndenta"/>
        <w:rPr>
          <w:ins w:id="887" w:author="svcMRProcess" w:date="2018-09-06T01:04:00Z"/>
        </w:rPr>
      </w:pPr>
      <w:ins w:id="888" w:author="svcMRProcess" w:date="2018-09-06T01:04:00Z">
        <w:r>
          <w:tab/>
          <w:t>(d)</w:t>
        </w:r>
        <w:r>
          <w:tab/>
          <w:t>move the vehicle to a place suitable to search the vehicle;</w:t>
        </w:r>
      </w:ins>
    </w:p>
    <w:p>
      <w:pPr>
        <w:pStyle w:val="nzIndenta"/>
        <w:rPr>
          <w:ins w:id="889" w:author="svcMRProcess" w:date="2018-09-06T01:04:00Z"/>
        </w:rPr>
      </w:pPr>
      <w:ins w:id="890" w:author="svcMRProcess" w:date="2018-09-06T01:04:00Z">
        <w:r>
          <w:tab/>
          <w:t>(e)</w:t>
        </w:r>
        <w:r>
          <w:tab/>
          <w:t>require a person to open any part of the vehicle;</w:t>
        </w:r>
      </w:ins>
    </w:p>
    <w:p>
      <w:pPr>
        <w:pStyle w:val="nzIndenta"/>
        <w:rPr>
          <w:ins w:id="891" w:author="svcMRProcess" w:date="2018-09-06T01:04:00Z"/>
        </w:rPr>
      </w:pPr>
      <w:ins w:id="892" w:author="svcMRProcess" w:date="2018-09-06T01:04:00Z">
        <w:r>
          <w:tab/>
          <w:t>(f)</w:t>
        </w:r>
        <w:r>
          <w:tab/>
          <w:t>require the driver, or a passenger, of the vehicle not to leave, or to remain in, the vehicle;</w:t>
        </w:r>
      </w:ins>
    </w:p>
    <w:p>
      <w:pPr>
        <w:pStyle w:val="nzIndenta"/>
        <w:rPr>
          <w:ins w:id="893" w:author="svcMRProcess" w:date="2018-09-06T01:04:00Z"/>
        </w:rPr>
      </w:pPr>
      <w:ins w:id="894" w:author="svcMRProcess" w:date="2018-09-06T01:04:00Z">
        <w:r>
          <w:tab/>
          <w:t>(g)</w:t>
        </w:r>
        <w:r>
          <w:tab/>
          <w:t>take any action that is reasonably necessary in order to search the vehicle.</w:t>
        </w:r>
      </w:ins>
    </w:p>
    <w:p>
      <w:pPr>
        <w:pStyle w:val="nzSubsection"/>
        <w:keepNext/>
        <w:rPr>
          <w:ins w:id="895" w:author="svcMRProcess" w:date="2018-09-06T01:04:00Z"/>
        </w:rPr>
      </w:pPr>
      <w:ins w:id="896" w:author="svcMRProcess" w:date="2018-09-06T01:04:00Z">
        <w:r>
          <w:tab/>
          <w:t>(3)</w:t>
        </w:r>
        <w:r>
          <w:tab/>
          <w:t xml:space="preserve">A police officer has reasonable grounds to suspect that any thing referred to in section 23(1)(a), (b) or (c) is in the possession of a person, if a preliminary drug detection test in relation to a vehicle in which the person is, or was, the driver or a passenger, indicates the detection of any of the following — </w:t>
        </w:r>
      </w:ins>
    </w:p>
    <w:p>
      <w:pPr>
        <w:pStyle w:val="nzIndenta"/>
        <w:rPr>
          <w:ins w:id="897" w:author="svcMRProcess" w:date="2018-09-06T01:04:00Z"/>
        </w:rPr>
      </w:pPr>
      <w:ins w:id="898" w:author="svcMRProcess" w:date="2018-09-06T01:04:00Z">
        <w:r>
          <w:tab/>
          <w:t>(a)</w:t>
        </w:r>
        <w:r>
          <w:tab/>
          <w:t xml:space="preserve">a prohibited drug; </w:t>
        </w:r>
      </w:ins>
    </w:p>
    <w:p>
      <w:pPr>
        <w:pStyle w:val="nzIndenta"/>
        <w:rPr>
          <w:ins w:id="899" w:author="svcMRProcess" w:date="2018-09-06T01:04:00Z"/>
        </w:rPr>
      </w:pPr>
      <w:ins w:id="900" w:author="svcMRProcess" w:date="2018-09-06T01:04:00Z">
        <w:r>
          <w:tab/>
          <w:t>(b)</w:t>
        </w:r>
        <w:r>
          <w:tab/>
          <w:t>a prohibited plant;</w:t>
        </w:r>
      </w:ins>
    </w:p>
    <w:p>
      <w:pPr>
        <w:pStyle w:val="nzIndenta"/>
        <w:rPr>
          <w:ins w:id="901" w:author="svcMRProcess" w:date="2018-09-06T01:04:00Z"/>
        </w:rPr>
      </w:pPr>
      <w:ins w:id="902" w:author="svcMRProcess" w:date="2018-09-06T01:04:00Z">
        <w:r>
          <w:tab/>
          <w:t>(c)</w:t>
        </w:r>
        <w:r>
          <w:tab/>
          <w:t>a controlled precursor.</w:t>
        </w:r>
      </w:ins>
    </w:p>
    <w:p>
      <w:pPr>
        <w:pStyle w:val="nzSubsection"/>
        <w:rPr>
          <w:ins w:id="903" w:author="svcMRProcess" w:date="2018-09-06T01:04:00Z"/>
        </w:rPr>
      </w:pPr>
      <w:ins w:id="904" w:author="svcMRProcess" w:date="2018-09-06T01:04:00Z">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ins>
    </w:p>
    <w:p>
      <w:pPr>
        <w:pStyle w:val="nzSubsection"/>
        <w:rPr>
          <w:ins w:id="905" w:author="svcMRProcess" w:date="2018-09-06T01:04:00Z"/>
        </w:rPr>
      </w:pPr>
      <w:ins w:id="906" w:author="svcMRProcess" w:date="2018-09-06T01:04:00Z">
        <w:r>
          <w:tab/>
          <w:t>(5)</w:t>
        </w:r>
        <w:r>
          <w:tab/>
          <w:t xml:space="preserve">Section 26 applies as if — </w:t>
        </w:r>
      </w:ins>
    </w:p>
    <w:p>
      <w:pPr>
        <w:pStyle w:val="nzIndenta"/>
        <w:rPr>
          <w:ins w:id="907" w:author="svcMRProcess" w:date="2018-09-06T01:04:00Z"/>
        </w:rPr>
      </w:pPr>
      <w:ins w:id="908" w:author="svcMRProcess" w:date="2018-09-06T01:04:00Z">
        <w:r>
          <w:tab/>
          <w:t>(a)</w:t>
        </w:r>
        <w:r>
          <w:tab/>
          <w:t>the reference in subsection (1)(a)(i) and (ii) of that section to a dangerous substance included a reference to a controlled precursor; and</w:t>
        </w:r>
      </w:ins>
    </w:p>
    <w:p>
      <w:pPr>
        <w:pStyle w:val="nzIndenta"/>
        <w:rPr>
          <w:ins w:id="909" w:author="svcMRProcess" w:date="2018-09-06T01:04:00Z"/>
        </w:rPr>
      </w:pPr>
      <w:ins w:id="910" w:author="svcMRProcess" w:date="2018-09-06T01:04:00Z">
        <w:r>
          <w:tab/>
          <w:t>(b)</w:t>
        </w:r>
        <w:r>
          <w:tab/>
          <w:t>the reference in subsection (1) of that section to the exercise of the powers conferred by section 22 or 23 included a reference to the exercise of the powers conferred by subsection (2) of this section.</w:t>
        </w:r>
      </w:ins>
    </w:p>
    <w:p>
      <w:pPr>
        <w:pStyle w:val="nzHeading5"/>
        <w:rPr>
          <w:ins w:id="911" w:author="svcMRProcess" w:date="2018-09-06T01:04:00Z"/>
        </w:rPr>
      </w:pPr>
      <w:bookmarkStart w:id="912" w:name="_Toc468168409"/>
      <w:bookmarkStart w:id="913" w:name="_Toc468172992"/>
      <w:ins w:id="914" w:author="svcMRProcess" w:date="2018-09-06T01:04:00Z">
        <w:r>
          <w:t>20H.</w:t>
        </w:r>
        <w:r>
          <w:tab/>
          <w:t>Powers of police officers in relation to searching persons in a drug detection area</w:t>
        </w:r>
        <w:bookmarkEnd w:id="912"/>
        <w:bookmarkEnd w:id="913"/>
        <w:r>
          <w:t xml:space="preserve"> </w:t>
        </w:r>
      </w:ins>
    </w:p>
    <w:p>
      <w:pPr>
        <w:pStyle w:val="nzSubsection"/>
        <w:rPr>
          <w:ins w:id="915" w:author="svcMRProcess" w:date="2018-09-06T01:04:00Z"/>
        </w:rPr>
      </w:pPr>
      <w:ins w:id="916" w:author="svcMRProcess" w:date="2018-09-06T01:04:00Z">
        <w:r>
          <w:tab/>
          <w:t>(1)</w:t>
        </w:r>
        <w:r>
          <w:tab/>
          <w:t xml:space="preserve">Under a vehicle search authorisation, a police officer may do a preliminary drug detection test on the following persons — </w:t>
        </w:r>
      </w:ins>
    </w:p>
    <w:p>
      <w:pPr>
        <w:pStyle w:val="nzIndenta"/>
        <w:rPr>
          <w:ins w:id="917" w:author="svcMRProcess" w:date="2018-09-06T01:04:00Z"/>
        </w:rPr>
      </w:pPr>
      <w:ins w:id="918" w:author="svcMRProcess" w:date="2018-09-06T01:04:00Z">
        <w:r>
          <w:tab/>
          <w:t>(a)</w:t>
        </w:r>
        <w:r>
          <w:tab/>
          <w:t>the driver of a vehicle in the drug detection area; or</w:t>
        </w:r>
      </w:ins>
    </w:p>
    <w:p>
      <w:pPr>
        <w:pStyle w:val="nzIndenta"/>
        <w:rPr>
          <w:ins w:id="919" w:author="svcMRProcess" w:date="2018-09-06T01:04:00Z"/>
        </w:rPr>
      </w:pPr>
      <w:ins w:id="920" w:author="svcMRProcess" w:date="2018-09-06T01:04:00Z">
        <w:r>
          <w:tab/>
          <w:t>(b)</w:t>
        </w:r>
        <w:r>
          <w:tab/>
          <w:t>a passenger of a vehicle in the drug detection area; or</w:t>
        </w:r>
      </w:ins>
    </w:p>
    <w:p>
      <w:pPr>
        <w:pStyle w:val="nzIndenta"/>
        <w:rPr>
          <w:ins w:id="921" w:author="svcMRProcess" w:date="2018-09-06T01:04:00Z"/>
        </w:rPr>
      </w:pPr>
      <w:ins w:id="922" w:author="svcMRProcess" w:date="2018-09-06T01:04:00Z">
        <w:r>
          <w:tab/>
          <w:t>(c)</w:t>
        </w:r>
        <w:r>
          <w:tab/>
          <w:t>a person who a police officer has reasonable grounds to suspect has recently left a vehicle that is, or was, in the drug detection area.</w:t>
        </w:r>
      </w:ins>
    </w:p>
    <w:p>
      <w:pPr>
        <w:pStyle w:val="nzSubsection"/>
        <w:rPr>
          <w:ins w:id="923" w:author="svcMRProcess" w:date="2018-09-06T01:04:00Z"/>
        </w:rPr>
      </w:pPr>
      <w:ins w:id="924" w:author="svcMRProcess" w:date="2018-09-06T01:04:00Z">
        <w:r>
          <w:tab/>
          <w:t>(2)</w:t>
        </w:r>
        <w:r>
          <w:tab/>
          <w:t>A police officer who wishes to do a preliminary drug detection test on a person under subsection (1) may detain the person for a reasonable period in order to do the test.</w:t>
        </w:r>
      </w:ins>
    </w:p>
    <w:p>
      <w:pPr>
        <w:pStyle w:val="nzSubsection"/>
        <w:rPr>
          <w:ins w:id="925" w:author="svcMRProcess" w:date="2018-09-06T01:04:00Z"/>
        </w:rPr>
      </w:pPr>
      <w:ins w:id="926" w:author="svcMRProcess" w:date="2018-09-06T01:04:00Z">
        <w:r>
          <w:tab/>
          <w:t>(3)</w:t>
        </w:r>
        <w:r>
          <w:tab/>
          <w:t xml:space="preserve">A police officer has reasonable grounds to suspect that any thing referred to in section 23(1)(a), (b) or (c) is in the possession of a person, if a preliminary drug detection test indicates the detection of any of the following on the person — </w:t>
        </w:r>
      </w:ins>
    </w:p>
    <w:p>
      <w:pPr>
        <w:pStyle w:val="nzIndenta"/>
        <w:rPr>
          <w:ins w:id="927" w:author="svcMRProcess" w:date="2018-09-06T01:04:00Z"/>
        </w:rPr>
      </w:pPr>
      <w:ins w:id="928" w:author="svcMRProcess" w:date="2018-09-06T01:04:00Z">
        <w:r>
          <w:tab/>
          <w:t>(a)</w:t>
        </w:r>
        <w:r>
          <w:tab/>
          <w:t xml:space="preserve">a prohibited drug; </w:t>
        </w:r>
      </w:ins>
    </w:p>
    <w:p>
      <w:pPr>
        <w:pStyle w:val="nzIndenta"/>
        <w:rPr>
          <w:ins w:id="929" w:author="svcMRProcess" w:date="2018-09-06T01:04:00Z"/>
        </w:rPr>
      </w:pPr>
      <w:ins w:id="930" w:author="svcMRProcess" w:date="2018-09-06T01:04:00Z">
        <w:r>
          <w:tab/>
          <w:t>(b)</w:t>
        </w:r>
        <w:r>
          <w:tab/>
          <w:t>a prohibited plant;</w:t>
        </w:r>
      </w:ins>
    </w:p>
    <w:p>
      <w:pPr>
        <w:pStyle w:val="nzIndenta"/>
        <w:rPr>
          <w:ins w:id="931" w:author="svcMRProcess" w:date="2018-09-06T01:04:00Z"/>
        </w:rPr>
      </w:pPr>
      <w:ins w:id="932" w:author="svcMRProcess" w:date="2018-09-06T01:04:00Z">
        <w:r>
          <w:tab/>
          <w:t>(c)</w:t>
        </w:r>
        <w:r>
          <w:tab/>
          <w:t>a controlled precursor.</w:t>
        </w:r>
      </w:ins>
    </w:p>
    <w:p>
      <w:pPr>
        <w:pStyle w:val="nzSubsection"/>
        <w:rPr>
          <w:ins w:id="933" w:author="svcMRProcess" w:date="2018-09-06T01:04:00Z"/>
        </w:rPr>
      </w:pPr>
      <w:ins w:id="934" w:author="svcMRProcess" w:date="2018-09-06T01:04:00Z">
        <w:r>
          <w:tab/>
          <w:t>(4)</w:t>
        </w:r>
        <w:r>
          <w:tab/>
          <w:t>Section 25 applies as if the reference in subsection (1) of that section to a police officer exercising the powers conferred by section 22 or 23 included a reference to a police officer exercising the powers conferred by subsection (1) of this section.</w:t>
        </w:r>
      </w:ins>
    </w:p>
    <w:p>
      <w:pPr>
        <w:pStyle w:val="nzSubsection"/>
        <w:rPr>
          <w:ins w:id="935" w:author="svcMRProcess" w:date="2018-09-06T01:04:00Z"/>
        </w:rPr>
      </w:pPr>
      <w:ins w:id="936" w:author="svcMRProcess" w:date="2018-09-06T01:04:00Z">
        <w:r>
          <w:tab/>
          <w:t>(5)</w:t>
        </w:r>
        <w:r>
          <w:tab/>
          <w:t xml:space="preserve">Section 26 applies as if — </w:t>
        </w:r>
      </w:ins>
    </w:p>
    <w:p>
      <w:pPr>
        <w:pStyle w:val="nzIndenta"/>
        <w:rPr>
          <w:ins w:id="937" w:author="svcMRProcess" w:date="2018-09-06T01:04:00Z"/>
        </w:rPr>
      </w:pPr>
      <w:ins w:id="938" w:author="svcMRProcess" w:date="2018-09-06T01:04:00Z">
        <w:r>
          <w:tab/>
          <w:t>(a)</w:t>
        </w:r>
        <w:r>
          <w:tab/>
          <w:t>the reference in subsection (1)(a)(i) and (ii) of that section to a dangerous substance included a reference to a controlled precursor; and</w:t>
        </w:r>
      </w:ins>
    </w:p>
    <w:p>
      <w:pPr>
        <w:pStyle w:val="nzIndenta"/>
        <w:rPr>
          <w:ins w:id="939" w:author="svcMRProcess" w:date="2018-09-06T01:04:00Z"/>
        </w:rPr>
      </w:pPr>
      <w:ins w:id="940" w:author="svcMRProcess" w:date="2018-09-06T01:04:00Z">
        <w:r>
          <w:tab/>
          <w:t>(b)</w:t>
        </w:r>
        <w:r>
          <w:tab/>
          <w:t>the reference in subsection (1) of that section to the exercise of the powers conferred by section 22 or 23 included a reference to the exercise of the powers conferred by subsection (1) of this section.</w:t>
        </w:r>
      </w:ins>
    </w:p>
    <w:p>
      <w:pPr>
        <w:pStyle w:val="nzHeading3"/>
        <w:rPr>
          <w:ins w:id="941" w:author="svcMRProcess" w:date="2018-09-06T01:04:00Z"/>
        </w:rPr>
      </w:pPr>
      <w:bookmarkStart w:id="942" w:name="_Toc452631411"/>
      <w:bookmarkStart w:id="943" w:name="_Toc452631441"/>
      <w:bookmarkStart w:id="944" w:name="_Toc452634792"/>
      <w:bookmarkStart w:id="945" w:name="_Toc452636270"/>
      <w:bookmarkStart w:id="946" w:name="_Toc452636300"/>
      <w:bookmarkStart w:id="947" w:name="_Toc452641316"/>
      <w:bookmarkStart w:id="948" w:name="_Toc453658234"/>
      <w:bookmarkStart w:id="949" w:name="_Toc454532185"/>
      <w:bookmarkStart w:id="950" w:name="_Toc467155078"/>
      <w:bookmarkStart w:id="951" w:name="_Toc468168410"/>
      <w:bookmarkStart w:id="952" w:name="_Toc468172993"/>
      <w:ins w:id="953" w:author="svcMRProcess" w:date="2018-09-06T01:04:00Z">
        <w:r>
          <w:t>Division 5 — Searches of delivery business premises</w:t>
        </w:r>
        <w:bookmarkEnd w:id="942"/>
        <w:bookmarkEnd w:id="943"/>
        <w:bookmarkEnd w:id="944"/>
        <w:bookmarkEnd w:id="945"/>
        <w:bookmarkEnd w:id="946"/>
        <w:bookmarkEnd w:id="947"/>
        <w:bookmarkEnd w:id="948"/>
        <w:bookmarkEnd w:id="949"/>
        <w:bookmarkEnd w:id="950"/>
        <w:bookmarkEnd w:id="951"/>
        <w:bookmarkEnd w:id="952"/>
      </w:ins>
    </w:p>
    <w:p>
      <w:pPr>
        <w:pStyle w:val="nzHeading5"/>
        <w:rPr>
          <w:ins w:id="954" w:author="svcMRProcess" w:date="2018-09-06T01:04:00Z"/>
        </w:rPr>
      </w:pPr>
      <w:bookmarkStart w:id="955" w:name="_Toc468168411"/>
      <w:bookmarkStart w:id="956" w:name="_Toc468172994"/>
      <w:ins w:id="957" w:author="svcMRProcess" w:date="2018-09-06T01:04:00Z">
        <w:r>
          <w:t>20I.</w:t>
        </w:r>
        <w:r>
          <w:tab/>
          <w:t>Powers of police officers in relation to premises</w:t>
        </w:r>
        <w:bookmarkEnd w:id="955"/>
        <w:bookmarkEnd w:id="956"/>
      </w:ins>
    </w:p>
    <w:p>
      <w:pPr>
        <w:pStyle w:val="nzSubsection"/>
        <w:rPr>
          <w:ins w:id="958" w:author="svcMRProcess" w:date="2018-09-06T01:04:00Z"/>
        </w:rPr>
      </w:pPr>
      <w:ins w:id="959" w:author="svcMRProcess" w:date="2018-09-06T01:04:00Z">
        <w:r>
          <w:tab/>
          <w:t>(1)</w:t>
        </w:r>
        <w:r>
          <w:tab/>
          <w:t xml:space="preserve">In this section — </w:t>
        </w:r>
      </w:ins>
    </w:p>
    <w:p>
      <w:pPr>
        <w:pStyle w:val="nzDefstart"/>
        <w:rPr>
          <w:ins w:id="960" w:author="svcMRProcess" w:date="2018-09-06T01:04:00Z"/>
        </w:rPr>
      </w:pPr>
      <w:ins w:id="961" w:author="svcMRProcess" w:date="2018-09-06T01:04:00Z">
        <w:r>
          <w:tab/>
        </w:r>
        <w:r>
          <w:rPr>
            <w:rStyle w:val="CharDefText"/>
          </w:rPr>
          <w:t>premises</w:t>
        </w:r>
        <w:r>
          <w:t xml:space="preserve"> includes a vehicle at the premises.</w:t>
        </w:r>
      </w:ins>
    </w:p>
    <w:p>
      <w:pPr>
        <w:pStyle w:val="nzSubsection"/>
        <w:rPr>
          <w:ins w:id="962" w:author="svcMRProcess" w:date="2018-09-06T01:04:00Z"/>
        </w:rPr>
      </w:pPr>
      <w:ins w:id="963" w:author="svcMRProcess" w:date="2018-09-06T01:04:00Z">
        <w:r>
          <w:tab/>
          <w:t>(2)</w:t>
        </w:r>
        <w:r>
          <w:tab/>
          <w:t xml:space="preserve">Under a premises search authorisation, a police officer may do one or more of the following in respect of the premises to which the authorisation relates — </w:t>
        </w:r>
      </w:ins>
    </w:p>
    <w:p>
      <w:pPr>
        <w:pStyle w:val="nzIndenta"/>
        <w:rPr>
          <w:ins w:id="964" w:author="svcMRProcess" w:date="2018-09-06T01:04:00Z"/>
        </w:rPr>
      </w:pPr>
      <w:ins w:id="965" w:author="svcMRProcess" w:date="2018-09-06T01:04:00Z">
        <w:r>
          <w:tab/>
          <w:t>(a)</w:t>
        </w:r>
        <w:r>
          <w:tab/>
          <w:t>enter the premises;</w:t>
        </w:r>
      </w:ins>
    </w:p>
    <w:p>
      <w:pPr>
        <w:pStyle w:val="nzIndenta"/>
        <w:rPr>
          <w:ins w:id="966" w:author="svcMRProcess" w:date="2018-09-06T01:04:00Z"/>
        </w:rPr>
      </w:pPr>
      <w:ins w:id="967" w:author="svcMRProcess" w:date="2018-09-06T01:04:00Z">
        <w:r>
          <w:tab/>
          <w:t>(b)</w:t>
        </w:r>
        <w:r>
          <w:tab/>
          <w:t xml:space="preserve">subject to subsection (3), do a preliminary drug detection test on, or in relation to, any consigned article; </w:t>
        </w:r>
      </w:ins>
    </w:p>
    <w:p>
      <w:pPr>
        <w:pStyle w:val="nzIndenta"/>
        <w:rPr>
          <w:ins w:id="968" w:author="svcMRProcess" w:date="2018-09-06T01:04:00Z"/>
        </w:rPr>
      </w:pPr>
      <w:ins w:id="969" w:author="svcMRProcess" w:date="2018-09-06T01:04:00Z">
        <w:r>
          <w:tab/>
          <w:t>(c)</w:t>
        </w:r>
        <w:r>
          <w:tab/>
          <w:t xml:space="preserve">take into and use in the premises any equipment that is, or facilities that are, reasonably necessary in order to exercise any power under the authorisation; </w:t>
        </w:r>
      </w:ins>
    </w:p>
    <w:p>
      <w:pPr>
        <w:pStyle w:val="nzIndenta"/>
        <w:rPr>
          <w:ins w:id="970" w:author="svcMRProcess" w:date="2018-09-06T01:04:00Z"/>
        </w:rPr>
      </w:pPr>
      <w:ins w:id="971" w:author="svcMRProcess" w:date="2018-09-06T01:04:00Z">
        <w:r>
          <w:tab/>
          <w:t>(d)</w:t>
        </w:r>
        <w:r>
          <w:tab/>
          <w:t xml:space="preserve">make reasonable use of any equipment, facilities or services in the premises in order to exercise any power under the authorisation and for that purpose — </w:t>
        </w:r>
      </w:ins>
    </w:p>
    <w:p>
      <w:pPr>
        <w:pStyle w:val="nzIndenti"/>
        <w:rPr>
          <w:ins w:id="972" w:author="svcMRProcess" w:date="2018-09-06T01:04:00Z"/>
        </w:rPr>
      </w:pPr>
      <w:ins w:id="973" w:author="svcMRProcess" w:date="2018-09-06T01:04:00Z">
        <w:r>
          <w:tab/>
          <w:t>(i)</w:t>
        </w:r>
        <w:r>
          <w:tab/>
          <w:t>to operate the equipment or facilities; and</w:t>
        </w:r>
      </w:ins>
    </w:p>
    <w:p>
      <w:pPr>
        <w:pStyle w:val="nzIndenti"/>
        <w:rPr>
          <w:ins w:id="974" w:author="svcMRProcess" w:date="2018-09-06T01:04:00Z"/>
        </w:rPr>
      </w:pPr>
      <w:ins w:id="975" w:author="svcMRProcess" w:date="2018-09-06T01:04:00Z">
        <w:r>
          <w:tab/>
          <w:t>(ii)</w:t>
        </w:r>
        <w:r>
          <w:tab/>
          <w:t>to require an occupier of the premises to do anything that is reasonable and necessary to facilitate that use;</w:t>
        </w:r>
      </w:ins>
    </w:p>
    <w:p>
      <w:pPr>
        <w:pStyle w:val="nzIndenta"/>
        <w:rPr>
          <w:ins w:id="976" w:author="svcMRProcess" w:date="2018-09-06T01:04:00Z"/>
        </w:rPr>
      </w:pPr>
      <w:ins w:id="977" w:author="svcMRProcess" w:date="2018-09-06T01:04:00Z">
        <w:r>
          <w:tab/>
          <w:t>(e)</w:t>
        </w:r>
        <w:r>
          <w:tab/>
          <w:t xml:space="preserve">open and examine a consigned article if a preliminary drug detection test indicates the detection of any of the following in relation to the article — </w:t>
        </w:r>
      </w:ins>
    </w:p>
    <w:p>
      <w:pPr>
        <w:pStyle w:val="nzIndenti"/>
        <w:rPr>
          <w:ins w:id="978" w:author="svcMRProcess" w:date="2018-09-06T01:04:00Z"/>
        </w:rPr>
      </w:pPr>
      <w:ins w:id="979" w:author="svcMRProcess" w:date="2018-09-06T01:04:00Z">
        <w:r>
          <w:tab/>
          <w:t>(i)</w:t>
        </w:r>
        <w:r>
          <w:tab/>
          <w:t xml:space="preserve">a prohibited drug; </w:t>
        </w:r>
      </w:ins>
    </w:p>
    <w:p>
      <w:pPr>
        <w:pStyle w:val="nzIndenti"/>
        <w:rPr>
          <w:ins w:id="980" w:author="svcMRProcess" w:date="2018-09-06T01:04:00Z"/>
        </w:rPr>
      </w:pPr>
      <w:ins w:id="981" w:author="svcMRProcess" w:date="2018-09-06T01:04:00Z">
        <w:r>
          <w:tab/>
          <w:t>(ii)</w:t>
        </w:r>
        <w:r>
          <w:tab/>
          <w:t xml:space="preserve">a prohibited plant; </w:t>
        </w:r>
      </w:ins>
    </w:p>
    <w:p>
      <w:pPr>
        <w:pStyle w:val="nzIndenti"/>
        <w:rPr>
          <w:ins w:id="982" w:author="svcMRProcess" w:date="2018-09-06T01:04:00Z"/>
        </w:rPr>
      </w:pPr>
      <w:ins w:id="983" w:author="svcMRProcess" w:date="2018-09-06T01:04:00Z">
        <w:r>
          <w:tab/>
          <w:t>(iii)</w:t>
        </w:r>
        <w:r>
          <w:tab/>
          <w:t>a controlled precursor;</w:t>
        </w:r>
      </w:ins>
    </w:p>
    <w:p>
      <w:pPr>
        <w:pStyle w:val="nzIndenta"/>
        <w:rPr>
          <w:ins w:id="984" w:author="svcMRProcess" w:date="2018-09-06T01:04:00Z"/>
        </w:rPr>
      </w:pPr>
      <w:ins w:id="985" w:author="svcMRProcess" w:date="2018-09-06T01:04:00Z">
        <w:r>
          <w:tab/>
          <w:t>(f)</w:t>
        </w:r>
        <w:r>
          <w:tab/>
          <w:t>take any action that is reasonably necessary in order to search the premises.</w:t>
        </w:r>
      </w:ins>
    </w:p>
    <w:p>
      <w:pPr>
        <w:pStyle w:val="nzSubsection"/>
        <w:rPr>
          <w:ins w:id="986" w:author="svcMRProcess" w:date="2018-09-06T01:04:00Z"/>
        </w:rPr>
      </w:pPr>
      <w:ins w:id="987" w:author="svcMRProcess" w:date="2018-09-06T01:04:00Z">
        <w:r>
          <w:tab/>
          <w:t>(3)</w:t>
        </w:r>
        <w:r>
          <w:tab/>
          <w:t xml:space="preserve">A police officer may do a preliminary drug detection test on, or in relation to, a consigned article under subsection (2)(b) only if the consigned article is in a part of the premises used for the purpose of — </w:t>
        </w:r>
      </w:ins>
    </w:p>
    <w:p>
      <w:pPr>
        <w:pStyle w:val="nzIndenta"/>
        <w:rPr>
          <w:ins w:id="988" w:author="svcMRProcess" w:date="2018-09-06T01:04:00Z"/>
        </w:rPr>
      </w:pPr>
      <w:ins w:id="989" w:author="svcMRProcess" w:date="2018-09-06T01:04:00Z">
        <w:r>
          <w:tab/>
          <w:t>(a)</w:t>
        </w:r>
        <w:r>
          <w:tab/>
          <w:t>storing consigned articles prior to delivery; or</w:t>
        </w:r>
      </w:ins>
    </w:p>
    <w:p>
      <w:pPr>
        <w:pStyle w:val="nzIndenta"/>
        <w:rPr>
          <w:ins w:id="990" w:author="svcMRProcess" w:date="2018-09-06T01:04:00Z"/>
        </w:rPr>
      </w:pPr>
      <w:ins w:id="991" w:author="svcMRProcess" w:date="2018-09-06T01:04:00Z">
        <w:r>
          <w:tab/>
          <w:t>(b)</w:t>
        </w:r>
        <w:r>
          <w:tab/>
          <w:t>sorting consigned articles prior to delivery; or</w:t>
        </w:r>
      </w:ins>
    </w:p>
    <w:p>
      <w:pPr>
        <w:pStyle w:val="nzIndenta"/>
        <w:rPr>
          <w:ins w:id="992" w:author="svcMRProcess" w:date="2018-09-06T01:04:00Z"/>
        </w:rPr>
      </w:pPr>
      <w:ins w:id="993" w:author="svcMRProcess" w:date="2018-09-06T01:04:00Z">
        <w:r>
          <w:tab/>
          <w:t>(c)</w:t>
        </w:r>
        <w:r>
          <w:tab/>
          <w:t>dispatching consigned articles for delivery; or</w:t>
        </w:r>
      </w:ins>
    </w:p>
    <w:p>
      <w:pPr>
        <w:pStyle w:val="nzIndenta"/>
        <w:rPr>
          <w:ins w:id="994" w:author="svcMRProcess" w:date="2018-09-06T01:04:00Z"/>
        </w:rPr>
      </w:pPr>
      <w:ins w:id="995" w:author="svcMRProcess" w:date="2018-09-06T01:04:00Z">
        <w:r>
          <w:tab/>
          <w:t>(d)</w:t>
        </w:r>
        <w:r>
          <w:tab/>
          <w:t>if the consigned article is in a vehicle, parking vehicles.</w:t>
        </w:r>
      </w:ins>
    </w:p>
    <w:p>
      <w:pPr>
        <w:pStyle w:val="nzSubsection"/>
        <w:rPr>
          <w:ins w:id="996" w:author="svcMRProcess" w:date="2018-09-06T01:04:00Z"/>
        </w:rPr>
      </w:pPr>
      <w:ins w:id="997" w:author="svcMRProcess" w:date="2018-09-06T01:04:00Z">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ins>
    </w:p>
    <w:p>
      <w:pPr>
        <w:pStyle w:val="nzSubsection"/>
        <w:rPr>
          <w:ins w:id="998" w:author="svcMRProcess" w:date="2018-09-06T01:04:00Z"/>
        </w:rPr>
      </w:pPr>
      <w:ins w:id="999" w:author="svcMRProcess" w:date="2018-09-06T01:04:00Z">
        <w:r>
          <w:tab/>
          <w:t>(5)</w:t>
        </w:r>
        <w:r>
          <w:tab/>
          <w:t xml:space="preserve">Section 26 applies as if — </w:t>
        </w:r>
      </w:ins>
    </w:p>
    <w:p>
      <w:pPr>
        <w:pStyle w:val="nzIndenta"/>
        <w:rPr>
          <w:ins w:id="1000" w:author="svcMRProcess" w:date="2018-09-06T01:04:00Z"/>
        </w:rPr>
      </w:pPr>
      <w:ins w:id="1001" w:author="svcMRProcess" w:date="2018-09-06T01:04:00Z">
        <w:r>
          <w:tab/>
          <w:t>(a)</w:t>
        </w:r>
        <w:r>
          <w:tab/>
          <w:t>the reference in subsection (1)(a)(i) and (ii) of that section to a dangerous substance included a reference to a controlled precursor; and</w:t>
        </w:r>
      </w:ins>
    </w:p>
    <w:p>
      <w:pPr>
        <w:pStyle w:val="nzIndenta"/>
        <w:rPr>
          <w:ins w:id="1002" w:author="svcMRProcess" w:date="2018-09-06T01:04:00Z"/>
        </w:rPr>
      </w:pPr>
      <w:ins w:id="1003" w:author="svcMRProcess" w:date="2018-09-06T01:04:00Z">
        <w:r>
          <w:tab/>
          <w:t>(b)</w:t>
        </w:r>
        <w:r>
          <w:tab/>
          <w:t>the reference in subsection (1) of that section to the exercise of the powers conferred by section 22 or 23 included a reference to the exercise of the powers conferred by subsection (2) of this section.</w:t>
        </w:r>
      </w:ins>
    </w:p>
    <w:p>
      <w:pPr>
        <w:pStyle w:val="nzHeading3"/>
        <w:rPr>
          <w:ins w:id="1004" w:author="svcMRProcess" w:date="2018-09-06T01:04:00Z"/>
        </w:rPr>
      </w:pPr>
      <w:bookmarkStart w:id="1005" w:name="_Toc452631413"/>
      <w:bookmarkStart w:id="1006" w:name="_Toc452631443"/>
      <w:bookmarkStart w:id="1007" w:name="_Toc452634794"/>
      <w:bookmarkStart w:id="1008" w:name="_Toc452636272"/>
      <w:bookmarkStart w:id="1009" w:name="_Toc452636302"/>
      <w:bookmarkStart w:id="1010" w:name="_Toc452641318"/>
      <w:bookmarkStart w:id="1011" w:name="_Toc453658236"/>
      <w:bookmarkStart w:id="1012" w:name="_Toc454532187"/>
      <w:bookmarkStart w:id="1013" w:name="_Toc467155080"/>
      <w:bookmarkStart w:id="1014" w:name="_Toc468168412"/>
      <w:bookmarkStart w:id="1015" w:name="_Toc468172995"/>
      <w:ins w:id="1016" w:author="svcMRProcess" w:date="2018-09-06T01:04:00Z">
        <w:r>
          <w:t>Division 6 — Offences</w:t>
        </w:r>
        <w:bookmarkEnd w:id="1005"/>
        <w:bookmarkEnd w:id="1006"/>
        <w:bookmarkEnd w:id="1007"/>
        <w:bookmarkEnd w:id="1008"/>
        <w:bookmarkEnd w:id="1009"/>
        <w:bookmarkEnd w:id="1010"/>
        <w:bookmarkEnd w:id="1011"/>
        <w:bookmarkEnd w:id="1012"/>
        <w:bookmarkEnd w:id="1013"/>
        <w:bookmarkEnd w:id="1014"/>
        <w:bookmarkEnd w:id="1015"/>
      </w:ins>
    </w:p>
    <w:p>
      <w:pPr>
        <w:pStyle w:val="nzHeading5"/>
        <w:rPr>
          <w:ins w:id="1017" w:author="svcMRProcess" w:date="2018-09-06T01:04:00Z"/>
        </w:rPr>
      </w:pPr>
      <w:bookmarkStart w:id="1018" w:name="_Toc468168413"/>
      <w:bookmarkStart w:id="1019" w:name="_Toc468172996"/>
      <w:ins w:id="1020" w:author="svcMRProcess" w:date="2018-09-06T01:04:00Z">
        <w:r>
          <w:t>20J.</w:t>
        </w:r>
        <w:r>
          <w:tab/>
          <w:t>Failure to comply with requirement of police officer</w:t>
        </w:r>
        <w:bookmarkEnd w:id="1018"/>
        <w:bookmarkEnd w:id="1019"/>
      </w:ins>
    </w:p>
    <w:p>
      <w:pPr>
        <w:pStyle w:val="nzSubsection"/>
        <w:rPr>
          <w:ins w:id="1021" w:author="svcMRProcess" w:date="2018-09-06T01:04:00Z"/>
        </w:rPr>
      </w:pPr>
      <w:ins w:id="1022" w:author="svcMRProcess" w:date="2018-09-06T01:04:00Z">
        <w:r>
          <w:tab/>
        </w:r>
        <w:r>
          <w:tab/>
          <w:t>A person who fails to comply, without reasonable excuse, with a requirement of a police officer in the exercise of powers conferred on that police officer under section 20G(2)(a), (e) or (f), or 20I(2)(d)(ii), commits a simple offence.</w:t>
        </w:r>
      </w:ins>
    </w:p>
    <w:p>
      <w:pPr>
        <w:pStyle w:val="nzHeading5"/>
        <w:rPr>
          <w:ins w:id="1023" w:author="svcMRProcess" w:date="2018-09-06T01:04:00Z"/>
        </w:rPr>
      </w:pPr>
      <w:bookmarkStart w:id="1024" w:name="_Toc468168414"/>
      <w:bookmarkStart w:id="1025" w:name="_Toc468172997"/>
      <w:ins w:id="1026" w:author="svcMRProcess" w:date="2018-09-06T01:04:00Z">
        <w:r>
          <w:t>20K.</w:t>
        </w:r>
        <w:r>
          <w:tab/>
          <w:t>Application of section 29 to exercise of powers conferred by or under this Part</w:t>
        </w:r>
        <w:bookmarkEnd w:id="1024"/>
        <w:bookmarkEnd w:id="1025"/>
      </w:ins>
    </w:p>
    <w:p>
      <w:pPr>
        <w:pStyle w:val="nzSubsection"/>
        <w:rPr>
          <w:ins w:id="1027" w:author="svcMRProcess" w:date="2018-09-06T01:04:00Z"/>
        </w:rPr>
      </w:pPr>
      <w:ins w:id="1028" w:author="svcMRProcess" w:date="2018-09-06T01:04:00Z">
        <w:r>
          <w:tab/>
        </w:r>
        <w:r>
          <w:tab/>
          <w:t>Section 29 applies as if 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conferred by section 20G(2), 20H(1) or 20I(2) or a person assisting a police officer so acting.</w:t>
        </w:r>
      </w:ins>
    </w:p>
    <w:p>
      <w:pPr>
        <w:pStyle w:val="nzHeading3"/>
        <w:rPr>
          <w:ins w:id="1029" w:author="svcMRProcess" w:date="2018-09-06T01:04:00Z"/>
        </w:rPr>
      </w:pPr>
      <w:bookmarkStart w:id="1030" w:name="_Toc452631416"/>
      <w:bookmarkStart w:id="1031" w:name="_Toc452631446"/>
      <w:bookmarkStart w:id="1032" w:name="_Toc452634797"/>
      <w:bookmarkStart w:id="1033" w:name="_Toc452636275"/>
      <w:bookmarkStart w:id="1034" w:name="_Toc452636305"/>
      <w:bookmarkStart w:id="1035" w:name="_Toc452641321"/>
      <w:bookmarkStart w:id="1036" w:name="_Toc453658239"/>
      <w:bookmarkStart w:id="1037" w:name="_Toc454532190"/>
      <w:bookmarkStart w:id="1038" w:name="_Toc467155083"/>
      <w:bookmarkStart w:id="1039" w:name="_Toc468168415"/>
      <w:bookmarkStart w:id="1040" w:name="_Toc468172998"/>
      <w:ins w:id="1041" w:author="svcMRProcess" w:date="2018-09-06T01:04:00Z">
        <w:r>
          <w:t>Division 7 — Prescribed procedures</w:t>
        </w:r>
        <w:bookmarkEnd w:id="1030"/>
        <w:bookmarkEnd w:id="1031"/>
        <w:bookmarkEnd w:id="1032"/>
        <w:bookmarkEnd w:id="1033"/>
        <w:bookmarkEnd w:id="1034"/>
        <w:bookmarkEnd w:id="1035"/>
        <w:bookmarkEnd w:id="1036"/>
        <w:bookmarkEnd w:id="1037"/>
        <w:bookmarkEnd w:id="1038"/>
        <w:bookmarkEnd w:id="1039"/>
        <w:bookmarkEnd w:id="1040"/>
      </w:ins>
    </w:p>
    <w:p>
      <w:pPr>
        <w:pStyle w:val="nzHeading5"/>
        <w:rPr>
          <w:ins w:id="1042" w:author="svcMRProcess" w:date="2018-09-06T01:04:00Z"/>
        </w:rPr>
      </w:pPr>
      <w:bookmarkStart w:id="1043" w:name="_Toc468168416"/>
      <w:bookmarkStart w:id="1044" w:name="_Toc468172999"/>
      <w:ins w:id="1045" w:author="svcMRProcess" w:date="2018-09-06T01:04:00Z">
        <w:r>
          <w:t>20L.</w:t>
        </w:r>
        <w:r>
          <w:tab/>
          <w:t>Regulations as to the exercise of powers under this Part</w:t>
        </w:r>
        <w:bookmarkEnd w:id="1043"/>
        <w:bookmarkEnd w:id="1044"/>
      </w:ins>
    </w:p>
    <w:p>
      <w:pPr>
        <w:pStyle w:val="nzSubsection"/>
        <w:rPr>
          <w:ins w:id="1046" w:author="svcMRProcess" w:date="2018-09-06T01:04:00Z"/>
        </w:rPr>
      </w:pPr>
      <w:ins w:id="1047" w:author="svcMRProcess" w:date="2018-09-06T01:04:00Z">
        <w:r>
          <w:tab/>
          <w:t>(1)</w:t>
        </w:r>
        <w:r>
          <w:tab/>
          <w:t xml:space="preserve">The regulations may prescribe procedures to be followed in relation to the exercise of the powers conferred by this Part. </w:t>
        </w:r>
      </w:ins>
    </w:p>
    <w:p>
      <w:pPr>
        <w:pStyle w:val="nzSubsection"/>
        <w:rPr>
          <w:ins w:id="1048" w:author="svcMRProcess" w:date="2018-09-06T01:04:00Z"/>
        </w:rPr>
      </w:pPr>
      <w:ins w:id="1049" w:author="svcMRProcess" w:date="2018-09-06T01:04:00Z">
        <w:r>
          <w:tab/>
          <w:t>(2)</w:t>
        </w:r>
        <w:r>
          <w:tab/>
          <w:t xml:space="preserve">Without limiting the generality of subsection (1), regulations may — </w:t>
        </w:r>
      </w:ins>
    </w:p>
    <w:p>
      <w:pPr>
        <w:pStyle w:val="nzIndenta"/>
        <w:rPr>
          <w:ins w:id="1050" w:author="svcMRProcess" w:date="2018-09-06T01:04:00Z"/>
        </w:rPr>
      </w:pPr>
      <w:ins w:id="1051" w:author="svcMRProcess" w:date="2018-09-06T01:04:00Z">
        <w:r>
          <w:tab/>
          <w:t>(a)</w:t>
        </w:r>
        <w:r>
          <w:tab/>
          <w:t>provide for the manner in which vehicles may be stopped in a drug detection area, including the establishment of facilities, warnings and other devices to enable vehicles to be stopped in a safe and orderly manner; and</w:t>
        </w:r>
      </w:ins>
    </w:p>
    <w:p>
      <w:pPr>
        <w:pStyle w:val="nzIndenta"/>
        <w:rPr>
          <w:ins w:id="1052" w:author="svcMRProcess" w:date="2018-09-06T01:04:00Z"/>
        </w:rPr>
      </w:pPr>
      <w:ins w:id="1053" w:author="svcMRProcess" w:date="2018-09-06T01:04:00Z">
        <w:r>
          <w:tab/>
          <w:t>(b)</w:t>
        </w:r>
        <w:r>
          <w:tab/>
          <w:t>provide for the procedure to be followed in relation to doing a preliminary drug detection test.</w:t>
        </w:r>
      </w:ins>
    </w:p>
    <w:p>
      <w:pPr>
        <w:pStyle w:val="BlankClose"/>
        <w:rPr>
          <w:ins w:id="1054" w:author="svcMRProcess" w:date="2018-09-06T01:04:00Z"/>
        </w:rPr>
      </w:pPr>
    </w:p>
    <w:p>
      <w:pPr>
        <w:pStyle w:val="nzHeading5"/>
        <w:rPr>
          <w:ins w:id="1055" w:author="svcMRProcess" w:date="2018-09-06T01:04:00Z"/>
        </w:rPr>
      </w:pPr>
      <w:bookmarkStart w:id="1056" w:name="_Toc468168417"/>
      <w:bookmarkStart w:id="1057" w:name="_Toc468173000"/>
      <w:ins w:id="1058" w:author="svcMRProcess" w:date="2018-09-06T01:04:00Z">
        <w:r>
          <w:rPr>
            <w:rStyle w:val="CharSectno"/>
          </w:rPr>
          <w:t>6</w:t>
        </w:r>
        <w:r>
          <w:t>.</w:t>
        </w:r>
        <w:r>
          <w:tab/>
          <w:t>Section 21 amended</w:t>
        </w:r>
        <w:bookmarkEnd w:id="1056"/>
        <w:bookmarkEnd w:id="1057"/>
      </w:ins>
    </w:p>
    <w:p>
      <w:pPr>
        <w:pStyle w:val="nzSubsection"/>
        <w:rPr>
          <w:ins w:id="1059" w:author="svcMRProcess" w:date="2018-09-06T01:04:00Z"/>
        </w:rPr>
      </w:pPr>
      <w:ins w:id="1060" w:author="svcMRProcess" w:date="2018-09-06T01:04:00Z">
        <w:r>
          <w:tab/>
          <w:t>(1)</w:t>
        </w:r>
        <w:r>
          <w:tab/>
          <w:t xml:space="preserve">In section 21 delete the definition of </w:t>
        </w:r>
        <w:r>
          <w:rPr>
            <w:rStyle w:val="CharDefText"/>
          </w:rPr>
          <w:t>vehicle</w:t>
        </w:r>
        <w:r>
          <w:t>.</w:t>
        </w:r>
      </w:ins>
    </w:p>
    <w:p>
      <w:pPr>
        <w:pStyle w:val="nzSubsection"/>
        <w:rPr>
          <w:ins w:id="1061" w:author="svcMRProcess" w:date="2018-09-06T01:04:00Z"/>
        </w:rPr>
      </w:pPr>
      <w:ins w:id="1062" w:author="svcMRProcess" w:date="2018-09-06T01:04:00Z">
        <w:r>
          <w:tab/>
          <w:t>(2)</w:t>
        </w:r>
        <w:r>
          <w:tab/>
          <w:t xml:space="preserve">In section 21 in the definition of </w:t>
        </w:r>
        <w:r>
          <w:rPr>
            <w:rStyle w:val="CharDefText"/>
          </w:rPr>
          <w:t>search warrant</w:t>
        </w:r>
        <w:r>
          <w:t xml:space="preserve"> delete “section 24;” and insert:</w:t>
        </w:r>
      </w:ins>
    </w:p>
    <w:p>
      <w:pPr>
        <w:pStyle w:val="BlankOpen"/>
        <w:rPr>
          <w:ins w:id="1063" w:author="svcMRProcess" w:date="2018-09-06T01:04:00Z"/>
        </w:rPr>
      </w:pPr>
    </w:p>
    <w:p>
      <w:pPr>
        <w:pStyle w:val="nzSubsection"/>
        <w:rPr>
          <w:ins w:id="1064" w:author="svcMRProcess" w:date="2018-09-06T01:04:00Z"/>
        </w:rPr>
      </w:pPr>
      <w:ins w:id="1065" w:author="svcMRProcess" w:date="2018-09-06T01:04:00Z">
        <w:r>
          <w:tab/>
        </w:r>
        <w:r>
          <w:tab/>
          <w:t>section 24.</w:t>
        </w:r>
      </w:ins>
    </w:p>
    <w:p>
      <w:pPr>
        <w:pStyle w:val="BlankClose"/>
        <w:rPr>
          <w:ins w:id="1066" w:author="svcMRProcess" w:date="2018-09-06T01:04:00Z"/>
        </w:rPr>
      </w:pPr>
    </w:p>
    <w:p>
      <w:pPr>
        <w:pStyle w:val="nzHeading5"/>
        <w:rPr>
          <w:ins w:id="1067" w:author="svcMRProcess" w:date="2018-09-06T01:04:00Z"/>
        </w:rPr>
      </w:pPr>
      <w:bookmarkStart w:id="1068" w:name="_Toc468168418"/>
      <w:bookmarkStart w:id="1069" w:name="_Toc468173001"/>
      <w:ins w:id="1070" w:author="svcMRProcess" w:date="2018-09-06T01:04:00Z">
        <w:r>
          <w:rPr>
            <w:rStyle w:val="CharSectno"/>
          </w:rPr>
          <w:t>7</w:t>
        </w:r>
        <w:r>
          <w:t>.</w:t>
        </w:r>
        <w:r>
          <w:tab/>
          <w:t>Section 34 amended</w:t>
        </w:r>
        <w:bookmarkEnd w:id="1068"/>
        <w:bookmarkEnd w:id="1069"/>
      </w:ins>
    </w:p>
    <w:p>
      <w:pPr>
        <w:pStyle w:val="nzSubsection"/>
        <w:rPr>
          <w:ins w:id="1071" w:author="svcMRProcess" w:date="2018-09-06T01:04:00Z"/>
        </w:rPr>
      </w:pPr>
      <w:ins w:id="1072" w:author="svcMRProcess" w:date="2018-09-06T01:04:00Z">
        <w:r>
          <w:tab/>
          <w:t>(1)</w:t>
        </w:r>
        <w:r>
          <w:tab/>
          <w:t>In section 34(1)(d) before “25(2)” insert:</w:t>
        </w:r>
      </w:ins>
    </w:p>
    <w:p>
      <w:pPr>
        <w:pStyle w:val="BlankOpen"/>
        <w:rPr>
          <w:ins w:id="1073" w:author="svcMRProcess" w:date="2018-09-06T01:04:00Z"/>
        </w:rPr>
      </w:pPr>
    </w:p>
    <w:p>
      <w:pPr>
        <w:pStyle w:val="nzSubsection"/>
        <w:rPr>
          <w:ins w:id="1074" w:author="svcMRProcess" w:date="2018-09-06T01:04:00Z"/>
        </w:rPr>
      </w:pPr>
      <w:ins w:id="1075" w:author="svcMRProcess" w:date="2018-09-06T01:04:00Z">
        <w:r>
          <w:tab/>
        </w:r>
        <w:r>
          <w:tab/>
          <w:t>20J,</w:t>
        </w:r>
      </w:ins>
    </w:p>
    <w:p>
      <w:pPr>
        <w:pStyle w:val="BlankClose"/>
        <w:rPr>
          <w:ins w:id="1076" w:author="svcMRProcess" w:date="2018-09-06T01:04:00Z"/>
        </w:rPr>
      </w:pPr>
    </w:p>
    <w:p>
      <w:pPr>
        <w:pStyle w:val="nzHeading5"/>
        <w:rPr>
          <w:ins w:id="1077" w:author="svcMRProcess" w:date="2018-09-06T01:04:00Z"/>
        </w:rPr>
      </w:pPr>
      <w:bookmarkStart w:id="1078" w:name="_Toc468168419"/>
      <w:bookmarkStart w:id="1079" w:name="_Toc468173002"/>
      <w:ins w:id="1080" w:author="svcMRProcess" w:date="2018-09-06T01:04:00Z">
        <w:r>
          <w:rPr>
            <w:rStyle w:val="CharSectno"/>
          </w:rPr>
          <w:t>8</w:t>
        </w:r>
        <w:r>
          <w:t>.</w:t>
        </w:r>
        <w:r>
          <w:tab/>
          <w:t>Section 42A and 42B inserted</w:t>
        </w:r>
        <w:bookmarkEnd w:id="1078"/>
        <w:bookmarkEnd w:id="1079"/>
      </w:ins>
    </w:p>
    <w:p>
      <w:pPr>
        <w:pStyle w:val="nzSubsection"/>
        <w:rPr>
          <w:ins w:id="1081" w:author="svcMRProcess" w:date="2018-09-06T01:04:00Z"/>
        </w:rPr>
      </w:pPr>
      <w:ins w:id="1082" w:author="svcMRProcess" w:date="2018-09-06T01:04:00Z">
        <w:r>
          <w:tab/>
        </w:r>
        <w:r>
          <w:tab/>
          <w:t>At the end of Part VI insert:</w:t>
        </w:r>
      </w:ins>
    </w:p>
    <w:p>
      <w:pPr>
        <w:pStyle w:val="BlankOpen"/>
        <w:rPr>
          <w:ins w:id="1083" w:author="svcMRProcess" w:date="2018-09-06T01:04:00Z"/>
        </w:rPr>
      </w:pPr>
    </w:p>
    <w:p>
      <w:pPr>
        <w:pStyle w:val="nzHeading5"/>
        <w:rPr>
          <w:ins w:id="1084" w:author="svcMRProcess" w:date="2018-09-06T01:04:00Z"/>
        </w:rPr>
      </w:pPr>
      <w:bookmarkStart w:id="1085" w:name="_Toc468168420"/>
      <w:bookmarkStart w:id="1086" w:name="_Toc468173003"/>
      <w:ins w:id="1087" w:author="svcMRProcess" w:date="2018-09-06T01:04:00Z">
        <w:r>
          <w:t>42A.</w:t>
        </w:r>
        <w:r>
          <w:tab/>
          <w:t>Annual report to Minister on Part 4A</w:t>
        </w:r>
        <w:bookmarkEnd w:id="1085"/>
        <w:bookmarkEnd w:id="1086"/>
      </w:ins>
    </w:p>
    <w:p>
      <w:pPr>
        <w:pStyle w:val="nzSubsection"/>
        <w:rPr>
          <w:ins w:id="1088" w:author="svcMRProcess" w:date="2018-09-06T01:04:00Z"/>
        </w:rPr>
      </w:pPr>
      <w:ins w:id="1089" w:author="svcMRProcess" w:date="2018-09-06T01:04:00Z">
        <w:r>
          <w:tab/>
          <w:t>(1)</w:t>
        </w:r>
        <w:r>
          <w:tab/>
          <w:t xml:space="preserve">The Commissioner must give a report to the Minister that provides the following information for each financial year — </w:t>
        </w:r>
      </w:ins>
    </w:p>
    <w:p>
      <w:pPr>
        <w:pStyle w:val="nzIndenta"/>
        <w:rPr>
          <w:ins w:id="1090" w:author="svcMRProcess" w:date="2018-09-06T01:04:00Z"/>
        </w:rPr>
      </w:pPr>
      <w:ins w:id="1091" w:author="svcMRProcess" w:date="2018-09-06T01:04:00Z">
        <w:r>
          <w:tab/>
          <w:t>(a)</w:t>
        </w:r>
        <w:r>
          <w:tab/>
          <w:t>the numbers of vehicle search authorisations and premises search authorisations issued during the financial year;</w:t>
        </w:r>
      </w:ins>
    </w:p>
    <w:p>
      <w:pPr>
        <w:pStyle w:val="nzIndenta"/>
        <w:rPr>
          <w:ins w:id="1092" w:author="svcMRProcess" w:date="2018-09-06T01:04:00Z"/>
        </w:rPr>
      </w:pPr>
      <w:ins w:id="1093" w:author="svcMRProcess" w:date="2018-09-06T01:04:00Z">
        <w:r>
          <w:tab/>
          <w:t>(b)</w:t>
        </w:r>
        <w:r>
          <w:tab/>
          <w:t>the areas that were subject to a vehicle search authorisation;</w:t>
        </w:r>
      </w:ins>
    </w:p>
    <w:p>
      <w:pPr>
        <w:pStyle w:val="nzIndenta"/>
        <w:rPr>
          <w:ins w:id="1094" w:author="svcMRProcess" w:date="2018-09-06T01:04:00Z"/>
        </w:rPr>
      </w:pPr>
      <w:ins w:id="1095" w:author="svcMRProcess" w:date="2018-09-06T01:04:00Z">
        <w:r>
          <w:tab/>
          <w:t>(c)</w:t>
        </w:r>
        <w:r>
          <w:tab/>
          <w:t>the premises that were subject to a premises search authorisation;</w:t>
        </w:r>
      </w:ins>
    </w:p>
    <w:p>
      <w:pPr>
        <w:pStyle w:val="nzIndenta"/>
        <w:rPr>
          <w:ins w:id="1096" w:author="svcMRProcess" w:date="2018-09-06T01:04:00Z"/>
        </w:rPr>
      </w:pPr>
      <w:ins w:id="1097" w:author="svcMRProcess" w:date="2018-09-06T01:04:00Z">
        <w:r>
          <w:tab/>
          <w:t>(d)</w:t>
        </w:r>
        <w:r>
          <w:tab/>
          <w:t>the periods during which any authorisations had effect;</w:t>
        </w:r>
      </w:ins>
    </w:p>
    <w:p>
      <w:pPr>
        <w:pStyle w:val="nzIndenta"/>
        <w:rPr>
          <w:ins w:id="1098" w:author="svcMRProcess" w:date="2018-09-06T01:04:00Z"/>
        </w:rPr>
      </w:pPr>
      <w:ins w:id="1099" w:author="svcMRProcess" w:date="2018-09-06T01:04:00Z">
        <w:r>
          <w:tab/>
          <w:t>(e)</w:t>
        </w:r>
        <w:r>
          <w:tab/>
          <w:t xml:space="preserve">the number of occasions when, as a result of the exercise of the powers conferred by section 20G(2), a prohibited drug, prohibited plant or a controlled precursor was detected by a preliminary drug detection test; </w:t>
        </w:r>
      </w:ins>
    </w:p>
    <w:p>
      <w:pPr>
        <w:pStyle w:val="nzIndenta"/>
        <w:rPr>
          <w:ins w:id="1100" w:author="svcMRProcess" w:date="2018-09-06T01:04:00Z"/>
        </w:rPr>
      </w:pPr>
      <w:ins w:id="1101" w:author="svcMRProcess" w:date="2018-09-06T01:04:00Z">
        <w:r>
          <w:tab/>
          <w:t>(f)</w:t>
        </w:r>
        <w:r>
          <w:tab/>
          <w:t>the number of occasions when, as a result of the exercise of the powers conferred by section 20H(1), a prohibited drug, prohibited plant or a controlled precursor was detected by a preliminary drug detection test;</w:t>
        </w:r>
      </w:ins>
    </w:p>
    <w:p>
      <w:pPr>
        <w:pStyle w:val="nzIndenta"/>
        <w:rPr>
          <w:ins w:id="1102" w:author="svcMRProcess" w:date="2018-09-06T01:04:00Z"/>
        </w:rPr>
      </w:pPr>
      <w:ins w:id="1103" w:author="svcMRProcess" w:date="2018-09-06T01:04:00Z">
        <w:r>
          <w:tab/>
          <w:t>(g)</w:t>
        </w:r>
        <w:r>
          <w:tab/>
          <w:t>the number of occasions when, as a result of the exercise of the powers conferred by section 20I(2)(e), a prohibited drug, prohibited plant or controlled precursor was detected;</w:t>
        </w:r>
      </w:ins>
    </w:p>
    <w:p>
      <w:pPr>
        <w:pStyle w:val="nzIndenta"/>
        <w:rPr>
          <w:ins w:id="1104" w:author="svcMRProcess" w:date="2018-09-06T01:04:00Z"/>
        </w:rPr>
      </w:pPr>
      <w:ins w:id="1105" w:author="svcMRProcess" w:date="2018-09-06T01:04:00Z">
        <w:r>
          <w:tab/>
          <w:t>(h)</w:t>
        </w:r>
        <w:r>
          <w:tab/>
          <w:t>a statement of any defect or irregularity identified in relation to a vehicle search authorisation or premises search authorisation.</w:t>
        </w:r>
      </w:ins>
    </w:p>
    <w:p>
      <w:pPr>
        <w:pStyle w:val="nzSubsection"/>
        <w:rPr>
          <w:ins w:id="1106" w:author="svcMRProcess" w:date="2018-09-06T01:04:00Z"/>
        </w:rPr>
      </w:pPr>
      <w:ins w:id="1107" w:author="svcMRProcess" w:date="2018-09-06T01:04:00Z">
        <w:r>
          <w:tab/>
          <w:t>(2)</w:t>
        </w:r>
        <w:r>
          <w:tab/>
          <w:t>The Minister is to cause the report to be laid before each House of Parliament no later than 12 sitting days of that House after receiving the report.</w:t>
        </w:r>
      </w:ins>
    </w:p>
    <w:p>
      <w:pPr>
        <w:pStyle w:val="nzHeading5"/>
        <w:rPr>
          <w:ins w:id="1108" w:author="svcMRProcess" w:date="2018-09-06T01:04:00Z"/>
        </w:rPr>
      </w:pPr>
      <w:bookmarkStart w:id="1109" w:name="_Toc468168421"/>
      <w:bookmarkStart w:id="1110" w:name="_Toc468173004"/>
      <w:ins w:id="1111" w:author="svcMRProcess" w:date="2018-09-06T01:04:00Z">
        <w:r>
          <w:t>42B.</w:t>
        </w:r>
        <w:r>
          <w:tab/>
          <w:t>Review of Part 4A</w:t>
        </w:r>
        <w:bookmarkEnd w:id="1109"/>
        <w:bookmarkEnd w:id="1110"/>
      </w:ins>
    </w:p>
    <w:p>
      <w:pPr>
        <w:pStyle w:val="nzSubsection"/>
        <w:rPr>
          <w:ins w:id="1112" w:author="svcMRProcess" w:date="2018-09-06T01:04:00Z"/>
        </w:rPr>
      </w:pPr>
      <w:ins w:id="1113" w:author="svcMRProcess" w:date="2018-09-06T01:04:00Z">
        <w:r>
          <w:tab/>
          <w:t>(1)</w:t>
        </w:r>
        <w:r>
          <w:tab/>
          <w:t xml:space="preserve">In this section — </w:t>
        </w:r>
      </w:ins>
    </w:p>
    <w:p>
      <w:pPr>
        <w:pStyle w:val="nzDefstart"/>
        <w:rPr>
          <w:ins w:id="1114" w:author="svcMRProcess" w:date="2018-09-06T01:04:00Z"/>
        </w:rPr>
      </w:pPr>
      <w:ins w:id="1115" w:author="svcMRProcess" w:date="2018-09-06T01:04:00Z">
        <w:r>
          <w:tab/>
        </w:r>
        <w:r>
          <w:rPr>
            <w:rStyle w:val="CharDefText"/>
          </w:rPr>
          <w:t>commencement day</w:t>
        </w:r>
        <w:r>
          <w:t xml:space="preserve"> means the day on which the </w:t>
        </w:r>
        <w:r>
          <w:rPr>
            <w:i/>
          </w:rPr>
          <w:t>Misuse of Drugs Amendment (Search Powers) Act 2016</w:t>
        </w:r>
        <w:r>
          <w:t xml:space="preserve"> section 5 comes into operation.</w:t>
        </w:r>
      </w:ins>
    </w:p>
    <w:p>
      <w:pPr>
        <w:pStyle w:val="nzSubsection"/>
        <w:rPr>
          <w:ins w:id="1116" w:author="svcMRProcess" w:date="2018-09-06T01:04:00Z"/>
        </w:rPr>
      </w:pPr>
      <w:ins w:id="1117" w:author="svcMRProcess" w:date="2018-09-06T01:04:00Z">
        <w:r>
          <w:tab/>
          <w:t>(2)</w:t>
        </w:r>
        <w:r>
          <w:tab/>
          <w:t>The Minister must carry out a review of the operation and effectiveness of Part 4A as soon as practicable after the expiration of 5 years from commencement day.</w:t>
        </w:r>
      </w:ins>
    </w:p>
    <w:p>
      <w:pPr>
        <w:pStyle w:val="nzSubsection"/>
        <w:rPr>
          <w:ins w:id="1118" w:author="svcMRProcess" w:date="2018-09-06T01:04:00Z"/>
        </w:rPr>
      </w:pPr>
      <w:ins w:id="1119" w:author="svcMRProcess" w:date="2018-09-06T01:04:00Z">
        <w:r>
          <w:tab/>
          <w:t>(3)</w:t>
        </w:r>
        <w:r>
          <w:tab/>
          <w:t xml:space="preserve">The Minister must lay (or cause to be laid) a report of the review under this section before both Houses of Parliament — </w:t>
        </w:r>
      </w:ins>
    </w:p>
    <w:p>
      <w:pPr>
        <w:pStyle w:val="nzIndenta"/>
        <w:rPr>
          <w:ins w:id="1120" w:author="svcMRProcess" w:date="2018-09-06T01:04:00Z"/>
        </w:rPr>
      </w:pPr>
      <w:ins w:id="1121" w:author="svcMRProcess" w:date="2018-09-06T01:04:00Z">
        <w:r>
          <w:tab/>
          <w:t>(a)</w:t>
        </w:r>
        <w:r>
          <w:tab/>
          <w:t>as soon as practicable after the review is completed; but</w:t>
        </w:r>
      </w:ins>
    </w:p>
    <w:p>
      <w:pPr>
        <w:pStyle w:val="nzIndenta"/>
        <w:rPr>
          <w:ins w:id="1122" w:author="svcMRProcess" w:date="2018-09-06T01:04:00Z"/>
        </w:rPr>
      </w:pPr>
      <w:ins w:id="1123" w:author="svcMRProcess" w:date="2018-09-06T01:04:00Z">
        <w:r>
          <w:tab/>
          <w:t>(b)</w:t>
        </w:r>
        <w:r>
          <w:tab/>
          <w:t>not later than 2 years after the end of the period of 5 years.</w:t>
        </w:r>
      </w:ins>
    </w:p>
    <w:p>
      <w:pPr>
        <w:pStyle w:val="BlankClose"/>
        <w:rPr>
          <w:ins w:id="1124" w:author="svcMRProcess" w:date="2018-09-06T01:04:00Z"/>
        </w:rPr>
      </w:pPr>
    </w:p>
    <w:p>
      <w:pPr>
        <w:pStyle w:val="BlankClose"/>
        <w:rPr>
          <w:ins w:id="1125" w:author="svcMRProcess" w:date="2018-09-06T01:04:00Z"/>
        </w:rPr>
      </w:pPr>
    </w:p>
    <w:p>
      <w:pPr>
        <w:rPr>
          <w:ins w:id="1126" w:author="svcMRProcess" w:date="2018-09-06T01:04:00Z"/>
        </w:rPr>
      </w:pPr>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472" w:name="Schedule"/>
    <w:bookmarkEnd w:id="47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127" w:name="Compilation"/>
    <w:bookmarkEnd w:id="11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28" w:name="Coversheet"/>
    <w:bookmarkEnd w:id="11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lvlText w:val="%1."/>
      <w:lvlJc w:val="left"/>
      <w:pPr>
        <w:tabs>
          <w:tab w:val="num" w:pos="1492"/>
        </w:tabs>
        <w:ind w:left="1492" w:hanging="360"/>
      </w:pPr>
    </w:lvl>
  </w:abstractNum>
  <w:abstractNum w:abstractNumId="1">
    <w:nsid w:val="FFFFFF7D"/>
    <w:multiLevelType w:val="singleLevel"/>
    <w:tmpl w:val="13087B52"/>
    <w:lvl w:ilvl="0">
      <w:start w:val="1"/>
      <w:numFmt w:val="decimal"/>
      <w:lvlText w:val="%1."/>
      <w:lvlJc w:val="left"/>
      <w:pPr>
        <w:tabs>
          <w:tab w:val="num" w:pos="1209"/>
        </w:tabs>
        <w:ind w:left="1209" w:hanging="360"/>
      </w:pPr>
    </w:lvl>
  </w:abstractNum>
  <w:abstractNum w:abstractNumId="2">
    <w:nsid w:val="FFFFFF7E"/>
    <w:multiLevelType w:val="singleLevel"/>
    <w:tmpl w:val="EA9E63E8"/>
    <w:lvl w:ilvl="0">
      <w:start w:val="1"/>
      <w:numFmt w:val="decimal"/>
      <w:lvlText w:val="%1."/>
      <w:lvlJc w:val="left"/>
      <w:pPr>
        <w:tabs>
          <w:tab w:val="num" w:pos="926"/>
        </w:tabs>
        <w:ind w:left="926" w:hanging="360"/>
      </w:pPr>
    </w:lvl>
  </w:abstractNum>
  <w:abstractNum w:abstractNumId="3">
    <w:nsid w:val="FFFFFF7F"/>
    <w:multiLevelType w:val="singleLevel"/>
    <w:tmpl w:val="01D24B0E"/>
    <w:lvl w:ilvl="0">
      <w:start w:val="1"/>
      <w:numFmt w:val="decimal"/>
      <w:lvlText w:val="%1."/>
      <w:lvlJc w:val="left"/>
      <w:pPr>
        <w:tabs>
          <w:tab w:val="num" w:pos="643"/>
        </w:tabs>
        <w:ind w:left="643" w:hanging="360"/>
      </w:pPr>
    </w:lvl>
  </w:abstractNum>
  <w:abstractNum w:abstractNumId="4">
    <w:nsid w:val="FFFFFF80"/>
    <w:multiLevelType w:val="singleLevel"/>
    <w:tmpl w:val="8384FE0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lvlText w:val="%1."/>
      <w:lvlJc w:val="left"/>
      <w:pPr>
        <w:tabs>
          <w:tab w:val="num" w:pos="360"/>
        </w:tabs>
        <w:ind w:left="360" w:hanging="360"/>
      </w:pPr>
    </w:lvl>
  </w:abstractNum>
  <w:abstractNum w:abstractNumId="9">
    <w:nsid w:val="FFFFFF89"/>
    <w:multiLevelType w:val="singleLevel"/>
    <w:tmpl w:val="7F1A9B0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C5E674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8102940"/>
    <w:docVar w:name="WAFER_20140115162029" w:val="RemoveTocBookmarks,RemoveUnusedBookmarks,RemoveLanguageTags,UsedStyles,ResetPageSize,UpdateArrangement"/>
    <w:docVar w:name="WAFER_20140115162029_GUID" w:val="d63a699a-48f6-4e27-99f7-c9b4028cfe44"/>
    <w:docVar w:name="WAFER_20140115162413" w:val="RemoveTocBookmarks,RunningHeaders"/>
    <w:docVar w:name="WAFER_20140115162413_GUID" w:val="de3e7a00-6f66-4cde-b104-fdc270ed892c"/>
    <w:docVar w:name="WAFER_20140704133827" w:val="RemoveTocBookmarks,RunningHeaders"/>
    <w:docVar w:name="WAFER_20140704133827_GUID" w:val="f15371f6-a554-4046-b015-5962e5b1e0d7"/>
    <w:docVar w:name="WAFER_20150605152836" w:val="ResetPageSize,UpdateArrangement,UpdateNTable"/>
    <w:docVar w:name="WAFER_20150605152836_GUID" w:val="ce8d800c-c307-4714-855e-3f3d59e003ec"/>
    <w:docVar w:name="WAFER_20151106161313" w:val="UpdateStyles,UsedStyles"/>
    <w:docVar w:name="WAFER_20151106161313_GUID" w:val="9547d14e-3d2e-4d55-82b3-12e6a9d8fd1d"/>
    <w:docVar w:name="WAFER_20160418102940" w:val="UsedStyles"/>
    <w:docVar w:name="WAFER_20160418102940_GUID" w:val="efc9f7f7-e290-47af-aad2-d5f42268c0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9861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C12E35-087B-4DB8-B9A1-10F5BB057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27180</Words>
  <Characters>130740</Characters>
  <Application>Microsoft Office Word</Application>
  <DocSecurity>0</DocSecurity>
  <Lines>5028</Lines>
  <Paragraphs>3433</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154487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06-f0-00 - 06-g0-00</dc:title>
  <dc:subject/>
  <dc:creator/>
  <cp:keywords/>
  <dc:description/>
  <cp:lastModifiedBy>svcMRProcess</cp:lastModifiedBy>
  <cp:revision>2</cp:revision>
  <cp:lastPrinted>2013-05-01T00:39:00Z</cp:lastPrinted>
  <dcterms:created xsi:type="dcterms:W3CDTF">2018-09-05T17:03:00Z</dcterms:created>
  <dcterms:modified xsi:type="dcterms:W3CDTF">2018-09-05T17:04:00Z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DocumentType">
    <vt:lpwstr>Act</vt:lpwstr>
  </property>
  <property fmtid="{D5CDD505-2E9C-101B-9397-08002B2CF9AE}" pid="4" name="OwlsUID">
    <vt:i4>522</vt:i4>
  </property>
  <property fmtid="{D5CDD505-2E9C-101B-9397-08002B2CF9AE}" pid="5" name="ReprintNo">
    <vt:lpwstr>6</vt:lpwstr>
  </property>
  <property fmtid="{D5CDD505-2E9C-101B-9397-08002B2CF9AE}" pid="6" name="ReprintedAsAt">
    <vt:filetime>2013-04-18T16:00:00Z</vt:filetime>
  </property>
  <property fmtid="{D5CDD505-2E9C-101B-9397-08002B2CF9AE}" pid="7" name="CommencementDate">
    <vt:lpwstr>20161128</vt:lpwstr>
  </property>
  <property fmtid="{D5CDD505-2E9C-101B-9397-08002B2CF9AE}" pid="8" name="FromSuffix">
    <vt:lpwstr>06-f0-00</vt:lpwstr>
  </property>
  <property fmtid="{D5CDD505-2E9C-101B-9397-08002B2CF9AE}" pid="9" name="FromAsAtDate">
    <vt:lpwstr>25 Jul 2016</vt:lpwstr>
  </property>
  <property fmtid="{D5CDD505-2E9C-101B-9397-08002B2CF9AE}" pid="10" name="ToSuffix">
    <vt:lpwstr>06-g0-00</vt:lpwstr>
  </property>
  <property fmtid="{D5CDD505-2E9C-101B-9397-08002B2CF9AE}" pid="11" name="ToAsAtDate">
    <vt:lpwstr>28 Nov 2016</vt:lpwstr>
  </property>
</Properties>
</file>