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2014</w:t>
      </w:r>
      <w:r>
        <w:fldChar w:fldCharType="end"/>
      </w:r>
      <w:r>
        <w:t xml:space="preserve">, </w:t>
      </w:r>
      <w:r>
        <w:fldChar w:fldCharType="begin"/>
      </w:r>
      <w:r>
        <w:instrText xml:space="preserve"> DocProperty FromSuffix </w:instrText>
      </w:r>
      <w:r>
        <w:fldChar w:fldCharType="separate"/>
      </w:r>
      <w:r>
        <w:t>07-c0-03</w:t>
      </w:r>
      <w:r>
        <w:fldChar w:fldCharType="end"/>
      </w:r>
      <w:r>
        <w:t>] and [</w:t>
      </w:r>
      <w:r>
        <w:fldChar w:fldCharType="begin"/>
      </w:r>
      <w:r>
        <w:instrText xml:space="preserve"> DocProperty ToAsAtDate</w:instrText>
      </w:r>
      <w:r>
        <w:fldChar w:fldCharType="separate"/>
      </w:r>
      <w:r>
        <w:t>01 Dec 2016</w:t>
      </w:r>
      <w:r>
        <w:fldChar w:fldCharType="end"/>
      </w:r>
      <w:r>
        <w:t xml:space="preserve">, </w:t>
      </w:r>
      <w:r>
        <w:fldChar w:fldCharType="begin"/>
      </w:r>
      <w:r>
        <w:instrText xml:space="preserve"> DocProperty ToSuffix</w:instrText>
      </w:r>
      <w:r>
        <w:fldChar w:fldCharType="separate"/>
      </w:r>
      <w:r>
        <w:t>07-d0-00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960"/>
      </w:pPr>
      <w:r>
        <w:t>Real Estate and Business Agents Act 1978</w:t>
      </w:r>
    </w:p>
    <w:p>
      <w:pPr>
        <w:pStyle w:val="LongTitle"/>
        <w:rPr>
          <w:snapToGrid w:val="0"/>
        </w:rPr>
      </w:pPr>
      <w:r>
        <w:rPr>
          <w:snapToGrid w:val="0"/>
        </w:rPr>
        <w:t>A</w:t>
      </w:r>
      <w:bookmarkStart w:id="1" w:name="_GoBack"/>
      <w:bookmarkEnd w:id="1"/>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and for related purposes.</w:t>
      </w:r>
    </w:p>
    <w:p>
      <w:pPr>
        <w:pStyle w:val="Heading2"/>
      </w:pPr>
      <w:bookmarkStart w:id="2" w:name="_Toc404159018"/>
      <w:bookmarkStart w:id="3" w:name="_Toc424293044"/>
      <w:bookmarkStart w:id="4" w:name="_Toc435024407"/>
      <w:bookmarkStart w:id="5" w:name="_Toc468700915"/>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404159019"/>
      <w:bookmarkStart w:id="7" w:name="_Toc468700916"/>
      <w:bookmarkStart w:id="8" w:name="_Toc435024408"/>
      <w:r>
        <w:rPr>
          <w:rStyle w:val="CharSectno"/>
        </w:rPr>
        <w:t>1</w:t>
      </w:r>
      <w:r>
        <w:rPr>
          <w:snapToGrid w:val="0"/>
        </w:rPr>
        <w:t>.</w:t>
      </w:r>
      <w:r>
        <w:rPr>
          <w:snapToGrid w:val="0"/>
        </w:rPr>
        <w:tab/>
        <w:t>Short title</w:t>
      </w:r>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9" w:name="_Toc404159020"/>
      <w:bookmarkStart w:id="10" w:name="_Toc468700917"/>
      <w:bookmarkStart w:id="11" w:name="_Toc435024409"/>
      <w:r>
        <w:rPr>
          <w:rStyle w:val="CharSectno"/>
        </w:rPr>
        <w:t>2</w:t>
      </w:r>
      <w:r>
        <w:rPr>
          <w:snapToGrid w:val="0"/>
        </w:rPr>
        <w:t>.</w:t>
      </w:r>
      <w:r>
        <w:rPr>
          <w:snapToGrid w:val="0"/>
        </w:rPr>
        <w:tab/>
        <w:t>Commencement</w:t>
      </w:r>
      <w:bookmarkEnd w:id="9"/>
      <w:bookmarkEnd w:id="10"/>
      <w:bookmarkEnd w:id="11"/>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Deleted by No. 29 of 1982 s. 3.]</w:t>
      </w:r>
    </w:p>
    <w:p>
      <w:pPr>
        <w:pStyle w:val="Heading5"/>
        <w:rPr>
          <w:snapToGrid w:val="0"/>
        </w:rPr>
      </w:pPr>
      <w:bookmarkStart w:id="12" w:name="_Toc404159021"/>
      <w:bookmarkStart w:id="13" w:name="_Toc468700918"/>
      <w:bookmarkStart w:id="14" w:name="_Toc435024410"/>
      <w:r>
        <w:rPr>
          <w:rStyle w:val="CharSectno"/>
        </w:rPr>
        <w:t>4</w:t>
      </w:r>
      <w:r>
        <w:rPr>
          <w:snapToGrid w:val="0"/>
        </w:rPr>
        <w:t>.</w:t>
      </w:r>
      <w:r>
        <w:rPr>
          <w:snapToGrid w:val="0"/>
        </w:rPr>
        <w:tab/>
        <w:t>Terms used</w:t>
      </w:r>
      <w:bookmarkEnd w:id="12"/>
      <w:bookmarkEnd w:id="13"/>
      <w:bookmarkEnd w:id="14"/>
    </w:p>
    <w:p>
      <w:pPr>
        <w:pStyle w:val="Subsection"/>
        <w:keepNext/>
        <w:rPr>
          <w:snapToGrid w:val="0"/>
        </w:rPr>
      </w:pPr>
      <w:r>
        <w:rPr>
          <w:snapToGrid w:val="0"/>
        </w:rPr>
        <w:tab/>
        <w:t>(1)</w:t>
      </w:r>
      <w:r>
        <w:rPr>
          <w:snapToGrid w:val="0"/>
        </w:rPr>
        <w:tab/>
        <w:t>In this Act unless the context otherwise requires —</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70"/>
      </w:pPr>
      <w:r>
        <w:rPr>
          <w:b/>
        </w:rPr>
        <w:lastRenderedPageBreak/>
        <w:tab/>
      </w:r>
      <w:r>
        <w:rPr>
          <w:rStyle w:val="CharDefText"/>
        </w:rPr>
        <w:t>business</w:t>
      </w:r>
      <w:r>
        <w:t xml:space="preserve"> means the business of an agent but does not have that meaning in paragraph (a) of the interpretation </w:t>
      </w:r>
      <w:r>
        <w:rPr>
          <w:b/>
          <w:i/>
        </w:rPr>
        <w:t>business transaction</w:t>
      </w:r>
      <w:r>
        <w:t xml:space="preserve"> and does not mean the business of a developer;</w:t>
      </w:r>
    </w:p>
    <w:p>
      <w:pPr>
        <w:pStyle w:val="Defstart"/>
        <w:spacing w:before="70"/>
      </w:pPr>
      <w:r>
        <w:rPr>
          <w:b/>
        </w:rPr>
        <w:tab/>
      </w:r>
      <w:r>
        <w:rPr>
          <w:rStyle w:val="CharDefText"/>
        </w:rPr>
        <w:t>business</w:t>
      </w:r>
      <w:r>
        <w:t xml:space="preserve">, in paragraph (a) of the interpretation </w:t>
      </w:r>
      <w:r>
        <w:rPr>
          <w:b/>
          <w:i/>
        </w:rPr>
        <w:t>business transaction</w:t>
      </w:r>
      <w:r>
        <w:t xml:space="preserve"> means any commercial undertaking or enterprise in respect of any profession, trade, employment, vocation, or calling;</w:t>
      </w:r>
    </w:p>
    <w:p>
      <w:pPr>
        <w:pStyle w:val="Defstart"/>
        <w:spacing w:before="7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w:t>
      </w:r>
    </w:p>
    <w:p>
      <w:pPr>
        <w:pStyle w:val="Defpara"/>
        <w:spacing w:before="70"/>
      </w:pPr>
      <w:r>
        <w:tab/>
        <w:t>(a)</w:t>
      </w:r>
      <w:r>
        <w:tab/>
        <w:t>he is appointed by a court as a receiver or receiver and manager of the business of another; or</w:t>
      </w:r>
    </w:p>
    <w:p>
      <w:pPr>
        <w:pStyle w:val="Defpara"/>
        <w:spacing w:before="7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7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w:t>
      </w:r>
    </w:p>
    <w:p>
      <w:pPr>
        <w:pStyle w:val="Defpara"/>
        <w:spacing w:before="70"/>
      </w:pPr>
      <w:r>
        <w:tab/>
        <w:t>(a)</w:t>
      </w:r>
      <w:r>
        <w:tab/>
        <w:t>a person who does so as a member of a firm that is a licensee and the holder of a current triennial certificate unless he is also a licensee and the holder of a current triennial certificate;</w:t>
      </w:r>
    </w:p>
    <w:p>
      <w:pPr>
        <w:pStyle w:val="Defpara"/>
        <w:spacing w:before="7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70"/>
      </w:pPr>
      <w:r>
        <w:rPr>
          <w:b/>
        </w:rPr>
        <w:tab/>
      </w:r>
      <w:r>
        <w:rPr>
          <w:rStyle w:val="CharDefText"/>
        </w:rPr>
        <w:t>business transaction</w:t>
      </w:r>
      <w:r>
        <w:t> —</w:t>
      </w:r>
    </w:p>
    <w:p>
      <w:pPr>
        <w:pStyle w:val="Defpara"/>
        <w:spacing w:before="70"/>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keepNext/>
      </w:pPr>
      <w:r>
        <w:rPr>
          <w:b/>
        </w:rPr>
        <w:tab/>
      </w:r>
      <w:r>
        <w:rPr>
          <w:rStyle w:val="CharDefText"/>
        </w:rPr>
        <w:t>defalcation by a licensee</w:t>
      </w:r>
      <w:r>
        <w:t xml:space="preserve"> includes criminal or fraudulent conduct —</w:t>
      </w:r>
    </w:p>
    <w:p>
      <w:pPr>
        <w:pStyle w:val="Defpara"/>
      </w:pPr>
      <w:r>
        <w:tab/>
        <w:t>(a)</w:t>
      </w:r>
      <w:r>
        <w:tab/>
        <w:t>of a licensee; or</w:t>
      </w:r>
    </w:p>
    <w:p>
      <w:pPr>
        <w:pStyle w:val="Defpara"/>
      </w:pPr>
      <w:r>
        <w:tab/>
        <w:t>(b)</w:t>
      </w:r>
      <w:r>
        <w:tab/>
        <w:t>of any one or more of the servants or agents of the licensee; or</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spacing w:before="100"/>
      </w:pPr>
      <w:r>
        <w:rPr>
          <w:b/>
        </w:rPr>
        <w:tab/>
      </w:r>
      <w:r>
        <w:rPr>
          <w:rStyle w:val="CharDefText"/>
        </w:rPr>
        <w:t>Fidelity Account</w:t>
      </w:r>
      <w:r>
        <w:t xml:space="preserve"> means the Real Estate and Business Agents Fidelity Guarantee Account established under section 107;</w:t>
      </w:r>
    </w:p>
    <w:p>
      <w:pPr>
        <w:pStyle w:val="Defstart"/>
        <w:spacing w:before="100"/>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spacing w:before="100"/>
      </w:pPr>
      <w:r>
        <w:rPr>
          <w:b/>
        </w:rPr>
        <w:tab/>
      </w:r>
      <w:r>
        <w:rPr>
          <w:rStyle w:val="CharDefText"/>
        </w:rPr>
        <w:t>General Purpose Account</w:t>
      </w:r>
      <w:r>
        <w:t xml:space="preserve"> means the Education and General Purpose Account established under section 124A;</w:t>
      </w:r>
    </w:p>
    <w:p>
      <w:pPr>
        <w:pStyle w:val="Defstart"/>
        <w:spacing w:before="100"/>
      </w:pPr>
      <w:r>
        <w:tab/>
      </w:r>
      <w:r>
        <w:rPr>
          <w:rStyle w:val="CharDefText"/>
        </w:rPr>
        <w:t>Interest Account</w:t>
      </w:r>
      <w:r>
        <w:t xml:space="preserve"> means the Board Interest Account established under section 125(1);</w:t>
      </w:r>
    </w:p>
    <w:p>
      <w:pPr>
        <w:pStyle w:val="Defstart"/>
        <w:spacing w:before="100"/>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the licence of an agent under this Act;</w:t>
      </w:r>
    </w:p>
    <w:p>
      <w:pPr>
        <w:pStyle w:val="Defstart"/>
        <w:spacing w:before="100"/>
      </w:pPr>
      <w:r>
        <w:rPr>
          <w:b/>
        </w:rPr>
        <w:tab/>
      </w:r>
      <w:r>
        <w:rPr>
          <w:rStyle w:val="CharDefText"/>
        </w:rPr>
        <w:t>licensed</w:t>
      </w:r>
      <w:r>
        <w:t xml:space="preserve"> means licensed as an agent under this Act;</w:t>
      </w:r>
    </w:p>
    <w:p>
      <w:pPr>
        <w:pStyle w:val="Defstart"/>
        <w:spacing w:before="100"/>
      </w:pPr>
      <w:r>
        <w:rPr>
          <w:b/>
        </w:rPr>
        <w:tab/>
      </w:r>
      <w:r>
        <w:rPr>
          <w:rStyle w:val="CharDefText"/>
        </w:rPr>
        <w:t>licensee</w:t>
      </w:r>
      <w:r>
        <w:t xml:space="preserve"> means a person licensed under this Act;</w:t>
      </w:r>
    </w:p>
    <w:p>
      <w:pPr>
        <w:pStyle w:val="Defstart"/>
        <w:keepNext/>
        <w:spacing w:before="100"/>
      </w:pPr>
      <w:r>
        <w:rPr>
          <w:b/>
        </w:rPr>
        <w:tab/>
      </w:r>
      <w:r>
        <w:rPr>
          <w:rStyle w:val="CharDefText"/>
        </w:rPr>
        <w:t>member</w:t>
      </w:r>
      <w:r>
        <w:rPr>
          <w:bCs/>
        </w:rPr>
        <w:t> </w:t>
      </w:r>
      <w:r>
        <w:t>—</w:t>
      </w:r>
    </w:p>
    <w:p>
      <w:pPr>
        <w:pStyle w:val="Ednotepara"/>
        <w:spacing w:before="100"/>
        <w:ind w:left="1610" w:hanging="1610"/>
        <w:rPr>
          <w:snapToGrid w:val="0"/>
        </w:rPr>
      </w:pPr>
      <w:r>
        <w:rPr>
          <w:snapToGrid w:val="0"/>
        </w:rPr>
        <w:tab/>
        <w:t>[(a)</w:t>
      </w:r>
      <w:r>
        <w:rPr>
          <w:snapToGrid w:val="0"/>
        </w:rPr>
        <w:tab/>
        <w:t>deleted]</w:t>
      </w:r>
    </w:p>
    <w:p>
      <w:pPr>
        <w:pStyle w:val="Defpara"/>
        <w:spacing w:before="100"/>
      </w:pPr>
      <w:r>
        <w:tab/>
        <w:t>(b)</w:t>
      </w:r>
      <w:r>
        <w:tab/>
        <w:t>in Part IXA, means a member of the Advisory Committee;</w:t>
      </w:r>
    </w:p>
    <w:p>
      <w:pPr>
        <w:pStyle w:val="Defstart"/>
        <w:spacing w:before="100"/>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spacing w:before="100"/>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w:t>
      </w:r>
    </w:p>
    <w:p>
      <w:pPr>
        <w:pStyle w:val="Defpara"/>
        <w:spacing w:before="100"/>
      </w:pPr>
      <w:r>
        <w:tab/>
        <w:t>(a)</w:t>
      </w:r>
      <w:r>
        <w:tab/>
        <w:t>he is appointed by a court as a receiver or receiver and manager of the business of another person; or</w:t>
      </w:r>
    </w:p>
    <w:p>
      <w:pPr>
        <w:pStyle w:val="Defpara"/>
        <w:spacing w:before="10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100"/>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w:t>
      </w:r>
    </w:p>
    <w:p>
      <w:pPr>
        <w:pStyle w:val="Defpara"/>
        <w:spacing w:before="100"/>
      </w:pPr>
      <w:r>
        <w:tab/>
        <w:t>(a)</w:t>
      </w:r>
      <w:r>
        <w:tab/>
        <w:t>a person who does so as a member of a firm that is a licensee and the holder of a current triennial certificate, unless he is also a licensee and the holder of a current triennial certificate; and</w:t>
      </w:r>
    </w:p>
    <w:p>
      <w:pPr>
        <w:pStyle w:val="Defpara"/>
        <w:spacing w:before="10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100"/>
      </w:pPr>
      <w:r>
        <w:rPr>
          <w:b/>
        </w:rPr>
        <w:tab/>
      </w:r>
      <w:r>
        <w:rPr>
          <w:rStyle w:val="CharDefText"/>
        </w:rPr>
        <w:t>real estate transaction</w:t>
      </w:r>
      <w:r>
        <w:t> —</w:t>
      </w:r>
    </w:p>
    <w:p>
      <w:pPr>
        <w:pStyle w:val="Defpara"/>
        <w:spacing w:before="100"/>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spacing w:before="100"/>
      </w:pPr>
      <w:r>
        <w:tab/>
        <w:t>(b)</w:t>
      </w:r>
      <w:r>
        <w:tab/>
        <w:t>includes any sale, exchange, or other disposal and any purchase, exchange, or other acquisition of goods, chattels or other property relating to a real estate transaction of a kind specified in paragraph (a); and</w:t>
      </w:r>
    </w:p>
    <w:p>
      <w:pPr>
        <w:pStyle w:val="Defpara"/>
        <w:keepNext/>
        <w:spacing w:before="90"/>
      </w:pPr>
      <w:r>
        <w:tab/>
        <w:t>(ba)</w:t>
      </w:r>
      <w:r>
        <w:tab/>
        <w:t>includes the collection of rents or other payments for use or occupation; and</w:t>
      </w:r>
    </w:p>
    <w:p>
      <w:pPr>
        <w:pStyle w:val="Defpara"/>
        <w:spacing w:before="90"/>
      </w:pPr>
      <w:r>
        <w:tab/>
        <w:t>(c)</w:t>
      </w:r>
      <w:r>
        <w:tab/>
        <w:t>also includes an option to enter into a real estate transaction;</w:t>
      </w:r>
    </w:p>
    <w:p>
      <w:pPr>
        <w:pStyle w:val="Defstart"/>
        <w:spacing w:before="90"/>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spacing w:before="90"/>
      </w:pPr>
      <w:r>
        <w:rPr>
          <w:b/>
        </w:rPr>
        <w:tab/>
      </w:r>
      <w:r>
        <w:rPr>
          <w:rStyle w:val="CharDefText"/>
        </w:rPr>
        <w:t>registration</w:t>
      </w:r>
      <w:r>
        <w:t xml:space="preserve"> means registration as a sales representative under this Act;</w:t>
      </w:r>
    </w:p>
    <w:p>
      <w:pPr>
        <w:pStyle w:val="Defstart"/>
        <w:spacing w:before="90"/>
      </w:pPr>
      <w:r>
        <w:rPr>
          <w:b/>
        </w:rPr>
        <w:tab/>
      </w:r>
      <w:r>
        <w:rPr>
          <w:rStyle w:val="CharDefText"/>
        </w:rPr>
        <w:t>renewal</w:t>
      </w:r>
      <w:r>
        <w:t xml:space="preserve"> means a renewal of a triennial certificate or of a certificate of registration, as the case requires;</w:t>
      </w:r>
    </w:p>
    <w:p>
      <w:pPr>
        <w:pStyle w:val="Defstart"/>
        <w:spacing w:before="90"/>
      </w:pPr>
      <w:r>
        <w:rPr>
          <w:b/>
        </w:rPr>
        <w:tab/>
      </w:r>
      <w:r>
        <w:rPr>
          <w:rStyle w:val="CharDefText"/>
        </w:rPr>
        <w:t>repealed Act</w:t>
      </w:r>
      <w:r>
        <w:t xml:space="preserve"> means the Act repealed by section 5 </w:t>
      </w:r>
      <w:r>
        <w:rPr>
          <w:vertAlign w:val="superscript"/>
        </w:rPr>
        <w:t>4</w:t>
      </w:r>
      <w:r>
        <w:t>;</w:t>
      </w:r>
    </w:p>
    <w:p>
      <w:pPr>
        <w:pStyle w:val="Defstart"/>
        <w:spacing w:before="90"/>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spacing w:before="90"/>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spacing w:before="90"/>
      </w:pPr>
      <w:r>
        <w:rPr>
          <w:b/>
        </w:rPr>
        <w:tab/>
      </w:r>
      <w:r>
        <w:rPr>
          <w:rStyle w:val="CharDefText"/>
        </w:rPr>
        <w:t>supervisor</w:t>
      </w:r>
      <w:r>
        <w:t xml:space="preserve"> means a person appointed by the Commissioner as supervisor of the business of an agent;</w:t>
      </w:r>
    </w:p>
    <w:p>
      <w:pPr>
        <w:pStyle w:val="Defstart"/>
        <w:spacing w:before="90"/>
      </w:pPr>
      <w:r>
        <w:rPr>
          <w:b/>
        </w:rPr>
        <w:tab/>
      </w:r>
      <w:r>
        <w:rPr>
          <w:rStyle w:val="CharDefText"/>
        </w:rPr>
        <w:t>transaction</w:t>
      </w:r>
      <w:r>
        <w:t xml:space="preserve"> means a real estate transaction or a business transaction, or both a real estate transaction and a business transaction;</w:t>
      </w:r>
    </w:p>
    <w:p>
      <w:pPr>
        <w:pStyle w:val="Defstart"/>
        <w:spacing w:before="90"/>
      </w:pPr>
      <w:r>
        <w:rPr>
          <w:b/>
        </w:rPr>
        <w:tab/>
      </w:r>
      <w:r>
        <w:rPr>
          <w:rStyle w:val="CharDefText"/>
        </w:rPr>
        <w:t>Treasurer</w:t>
      </w:r>
      <w:r>
        <w:t xml:space="preserve"> means the Treasurer of the State;</w:t>
      </w:r>
    </w:p>
    <w:p>
      <w:pPr>
        <w:pStyle w:val="Defstart"/>
        <w:spacing w:before="90"/>
      </w:pPr>
      <w:r>
        <w:rPr>
          <w:b/>
        </w:rPr>
        <w:tab/>
      </w:r>
      <w:r>
        <w:rPr>
          <w:rStyle w:val="CharDefText"/>
        </w:rPr>
        <w:t>Treasury</w:t>
      </w:r>
      <w:r>
        <w:t xml:space="preserve"> means the State Treasury;</w:t>
      </w:r>
    </w:p>
    <w:p>
      <w:pPr>
        <w:pStyle w:val="Defstart"/>
        <w:spacing w:before="90"/>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w:t>
      </w:r>
    </w:p>
    <w:p>
      <w:pPr>
        <w:pStyle w:val="Indenta"/>
        <w:rPr>
          <w:snapToGrid w:val="0"/>
        </w:rPr>
      </w:pPr>
      <w:r>
        <w:rPr>
          <w:snapToGrid w:val="0"/>
        </w:rPr>
        <w:tab/>
        <w:t>(a)</w:t>
      </w:r>
      <w:r>
        <w:rPr>
          <w:snapToGrid w:val="0"/>
        </w:rPr>
        <w:tab/>
        <w:t>the consideration; or</w:t>
      </w:r>
    </w:p>
    <w:p>
      <w:pPr>
        <w:pStyle w:val="Indenta"/>
        <w:rPr>
          <w:snapToGrid w:val="0"/>
        </w:rPr>
      </w:pPr>
      <w:r>
        <w:rPr>
          <w:snapToGrid w:val="0"/>
        </w:rPr>
        <w:tab/>
        <w:t>(b)</w:t>
      </w:r>
      <w:r>
        <w:rPr>
          <w:snapToGrid w:val="0"/>
        </w:rPr>
        <w:tab/>
        <w:t>any terms payments; or</w:t>
      </w:r>
    </w:p>
    <w:p>
      <w:pPr>
        <w:pStyle w:val="Indenta"/>
        <w:rPr>
          <w:snapToGrid w:val="0"/>
        </w:rPr>
      </w:pPr>
      <w:r>
        <w:rPr>
          <w:snapToGrid w:val="0"/>
        </w:rPr>
        <w:tab/>
        <w:t>(c)</w:t>
      </w:r>
      <w:r>
        <w:rPr>
          <w:snapToGrid w:val="0"/>
        </w:rPr>
        <w:tab/>
        <w:t>any rent or other payment for use or occupation; or</w:t>
      </w:r>
    </w:p>
    <w:p>
      <w:pPr>
        <w:pStyle w:val="Indenta"/>
        <w:keepNext/>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w:t>
      </w:r>
    </w:p>
    <w:p>
      <w:pPr>
        <w:pStyle w:val="Indenta"/>
        <w:rPr>
          <w:snapToGrid w:val="0"/>
        </w:rPr>
      </w:pPr>
      <w:r>
        <w:rPr>
          <w:snapToGrid w:val="0"/>
        </w:rPr>
        <w:tab/>
        <w:t>(a)</w:t>
      </w:r>
      <w:r>
        <w:rPr>
          <w:snapToGrid w:val="0"/>
        </w:rPr>
        <w:tab/>
        <w:t>a body corporate authorised by the law of any State, or of a Territory, of the Commonwealth to apply for and obtain a grant of probate of a will when exercising its power to do so or when exercising any other power conferred on it by such a law; or</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[Section 4 amended by No. 74. of 1980 s. 3; No. 10 of 1982 s. 28; No. 29 of 1982 s. 4; No. 40 of 1985 s. 8; No. 98 of 1985 s. 3; No. 59 of 1995 s. 4; No. 26 of 1999 s. 99(2); No. 10 of 2001 s. 222; No. 21 of 2003 s. 20; No. 65 of 2003 s. 59(2); No. 74 of 2003 s. 101; No. 69 of 2006 s. 27; No. 77 of 2006 Sch. 1 cl. 147(1); No. 21 of 2008 s. 696; No. 58 of 2010 s. 81 and 134</w:t>
      </w:r>
      <w:r>
        <w:rPr>
          <w:spacing w:val="-4"/>
        </w:rPr>
        <w:t>; No. 47 of 2011 s.</w:t>
      </w:r>
      <w:r>
        <w:t> 25(2) and (3).]</w:t>
      </w:r>
    </w:p>
    <w:p>
      <w:pPr>
        <w:pStyle w:val="Ednotesection"/>
      </w:pPr>
      <w:r>
        <w:t>[</w:t>
      </w:r>
      <w:r>
        <w:rPr>
          <w:b/>
        </w:rPr>
        <w:t>5.</w:t>
      </w:r>
      <w:r>
        <w:tab/>
        <w:t>Deleted by No. 58 of 2010 s. 82.]</w:t>
      </w:r>
    </w:p>
    <w:p>
      <w:pPr>
        <w:pStyle w:val="Heading2"/>
      </w:pPr>
      <w:bookmarkStart w:id="15" w:name="_Toc404159022"/>
      <w:bookmarkStart w:id="16" w:name="_Toc424293048"/>
      <w:bookmarkStart w:id="17" w:name="_Toc435024411"/>
      <w:bookmarkStart w:id="18" w:name="_Toc468700919"/>
      <w:r>
        <w:rPr>
          <w:rStyle w:val="CharPartNo"/>
        </w:rPr>
        <w:t>Part II</w:t>
      </w:r>
      <w:r>
        <w:t> — </w:t>
      </w:r>
      <w:r>
        <w:rPr>
          <w:rStyle w:val="CharPartText"/>
        </w:rPr>
        <w:t>Advisory Committee and review</w:t>
      </w:r>
      <w:bookmarkEnd w:id="15"/>
      <w:bookmarkEnd w:id="16"/>
      <w:bookmarkEnd w:id="17"/>
      <w:bookmarkEnd w:id="18"/>
    </w:p>
    <w:p>
      <w:pPr>
        <w:pStyle w:val="Footnoteheading"/>
        <w:tabs>
          <w:tab w:val="clear" w:pos="879"/>
          <w:tab w:val="left" w:pos="890"/>
        </w:tabs>
        <w:rPr>
          <w:snapToGrid w:val="0"/>
        </w:rPr>
      </w:pPr>
      <w:r>
        <w:rPr>
          <w:snapToGrid w:val="0"/>
        </w:rPr>
        <w:tab/>
        <w:t>[Heading inserted by No. 58 of 2010 s. 83.]</w:t>
      </w:r>
    </w:p>
    <w:p>
      <w:pPr>
        <w:pStyle w:val="Ednotedivision"/>
      </w:pPr>
      <w:r>
        <w:t>[Divisions 1, 1A and 2 (s. 6-18) deleted by No. 58 of 2010 s. 84.]</w:t>
      </w:r>
    </w:p>
    <w:p>
      <w:pPr>
        <w:pStyle w:val="Footnoteheading"/>
        <w:tabs>
          <w:tab w:val="clear" w:pos="879"/>
          <w:tab w:val="left" w:pos="890"/>
        </w:tabs>
      </w:pPr>
      <w:r>
        <w:tab/>
        <w:t>[Heading deleted by No. 58 of 2010 s. 85.]</w:t>
      </w:r>
    </w:p>
    <w:p>
      <w:pPr>
        <w:pStyle w:val="Ednotesection"/>
        <w:ind w:left="0" w:firstLine="0"/>
      </w:pPr>
      <w:r>
        <w:t>[</w:t>
      </w:r>
      <w:r>
        <w:rPr>
          <w:b/>
        </w:rPr>
        <w:t>19-21.</w:t>
      </w:r>
      <w:r>
        <w:tab/>
        <w:t>Deleted by No. 58 of 2010 s. 86.]</w:t>
      </w:r>
    </w:p>
    <w:p>
      <w:pPr>
        <w:pStyle w:val="Heading5"/>
      </w:pPr>
      <w:bookmarkStart w:id="19" w:name="_Toc404159023"/>
      <w:bookmarkStart w:id="20" w:name="_Toc468700920"/>
      <w:bookmarkStart w:id="21" w:name="_Toc435024412"/>
      <w:r>
        <w:rPr>
          <w:rStyle w:val="CharSectno"/>
        </w:rPr>
        <w:t>22</w:t>
      </w:r>
      <w:r>
        <w:t>.</w:t>
      </w:r>
      <w:r>
        <w:tab/>
        <w:t>Powers of investigation</w:t>
      </w:r>
      <w:bookmarkEnd w:id="19"/>
      <w:bookmarkEnd w:id="20"/>
      <w:bookmarkEnd w:id="21"/>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22 inserted by No. 58 of 2010 s. 87.]</w:t>
      </w:r>
    </w:p>
    <w:p>
      <w:pPr>
        <w:pStyle w:val="Heading5"/>
        <w:rPr>
          <w:snapToGrid w:val="0"/>
        </w:rPr>
      </w:pPr>
      <w:bookmarkStart w:id="22" w:name="_Toc404159024"/>
      <w:bookmarkStart w:id="23" w:name="_Toc468700921"/>
      <w:bookmarkStart w:id="24" w:name="_Toc435024413"/>
      <w:r>
        <w:rPr>
          <w:rStyle w:val="CharSectno"/>
        </w:rPr>
        <w:t>23</w:t>
      </w:r>
      <w:r>
        <w:rPr>
          <w:snapToGrid w:val="0"/>
        </w:rPr>
        <w:t>.</w:t>
      </w:r>
      <w:r>
        <w:rPr>
          <w:snapToGrid w:val="0"/>
        </w:rPr>
        <w:tab/>
        <w:t>Application for review by SAT</w:t>
      </w:r>
      <w:bookmarkEnd w:id="22"/>
      <w:bookmarkEnd w:id="23"/>
      <w:bookmarkEnd w:id="24"/>
    </w:p>
    <w:p>
      <w:pPr>
        <w:pStyle w:val="Subsection"/>
        <w:rPr>
          <w:snapToGrid w:val="0"/>
        </w:rPr>
      </w:pPr>
      <w:r>
        <w:rPr>
          <w:snapToGrid w:val="0"/>
        </w:rPr>
        <w:tab/>
        <w:t>(1)</w:t>
      </w:r>
      <w:r>
        <w:rPr>
          <w:snapToGrid w:val="0"/>
        </w:rPr>
        <w:tab/>
        <w:t xml:space="preserve">Any person aggrieved by a reviewable decision may apply to the State </w:t>
      </w:r>
      <w:r>
        <w:rPr>
          <w:snapToGrid w:val="0"/>
          <w:spacing w:val="-4"/>
        </w:rPr>
        <w:t>Administrative Tribunal</w:t>
      </w:r>
      <w:r>
        <w:rPr>
          <w:snapToGrid w:val="0"/>
        </w:rPr>
        <w:t xml:space="preserve"> for a review of the decision.</w:t>
      </w:r>
    </w:p>
    <w:p>
      <w:pPr>
        <w:pStyle w:val="Subsection"/>
        <w:keepNext/>
        <w:keepLines/>
      </w:pPr>
      <w:r>
        <w:tab/>
        <w:t>(2)</w:t>
      </w:r>
      <w:r>
        <w:tab/>
        <w:t>In subsection (1) —</w:t>
      </w:r>
    </w:p>
    <w:p>
      <w:pPr>
        <w:pStyle w:val="Defstart"/>
        <w:keepNext/>
        <w:keepLines/>
      </w:pPr>
      <w:r>
        <w:tab/>
      </w:r>
      <w:r>
        <w:rPr>
          <w:rStyle w:val="CharDefText"/>
        </w:rPr>
        <w:t>person aggrieved</w:t>
      </w:r>
      <w:r>
        <w:t xml:space="preserve"> means —</w:t>
      </w:r>
    </w:p>
    <w:p>
      <w:pPr>
        <w:pStyle w:val="Defpara"/>
      </w:pPr>
      <w:r>
        <w:tab/>
        <w:t>(a)</w:t>
      </w:r>
      <w:r>
        <w:tab/>
        <w:t>a person whose licence or triennial certificate is affected by a reviewable decision or who, under Part III, applies for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Commissioner’s approval under section 56 to carry on business pursuant to a franchising agreement or another party to the agreement;</w:t>
      </w:r>
    </w:p>
    <w:p>
      <w:pPr>
        <w:pStyle w:val="Defpara"/>
      </w:pPr>
      <w:r>
        <w:tab/>
        <w:t>(d)</w:t>
      </w:r>
      <w:r>
        <w:tab/>
        <w:t>a person affected by a decision of the Commissioner under Part VI;</w:t>
      </w:r>
    </w:p>
    <w:p>
      <w:pPr>
        <w:pStyle w:val="Indenta"/>
      </w:pPr>
      <w:r>
        <w:tab/>
        <w:t>(e)</w:t>
      </w:r>
      <w:r>
        <w:tab/>
        <w:t>a person claiming against, or seeking the leave of the chief executive officer to commence an action in relation to, the Fidelity Account;</w:t>
      </w:r>
    </w:p>
    <w:p>
      <w:pPr>
        <w:pStyle w:val="Defstart"/>
        <w:keepNext/>
      </w:pPr>
      <w:r>
        <w:rPr>
          <w:b/>
        </w:rPr>
        <w:tab/>
      </w:r>
      <w:r>
        <w:rPr>
          <w:rStyle w:val="CharDefText"/>
        </w:rPr>
        <w:t>reviewable decision</w:t>
      </w:r>
      <w:r>
        <w:t xml:space="preserve"> means —</w:t>
      </w:r>
    </w:p>
    <w:p>
      <w:pPr>
        <w:pStyle w:val="Defpara"/>
        <w:spacing w:before="70"/>
      </w:pPr>
      <w:r>
        <w:tab/>
        <w:t>(a)</w:t>
      </w:r>
      <w:r>
        <w:tab/>
        <w:t>a decision of the Commissioner under Part III other than a determination of the form in which an application is to be made;</w:t>
      </w:r>
    </w:p>
    <w:p>
      <w:pPr>
        <w:pStyle w:val="Defpara"/>
        <w:spacing w:before="70"/>
      </w:pPr>
      <w:r>
        <w:tab/>
        <w:t>(b)</w:t>
      </w:r>
      <w:r>
        <w:tab/>
        <w:t>a decision of the Commissioner under Part IV other than a determination of the form in which an application is to be made;</w:t>
      </w:r>
    </w:p>
    <w:p>
      <w:pPr>
        <w:pStyle w:val="Defpara"/>
        <w:spacing w:before="70"/>
      </w:pPr>
      <w:r>
        <w:tab/>
        <w:t>(c)</w:t>
      </w:r>
      <w:r>
        <w:tab/>
        <w:t>a decision of the Commissioner under section 56;</w:t>
      </w:r>
    </w:p>
    <w:p>
      <w:pPr>
        <w:pStyle w:val="Defpara"/>
        <w:spacing w:before="70"/>
      </w:pPr>
      <w:r>
        <w:tab/>
        <w:t>(d)</w:t>
      </w:r>
      <w:r>
        <w:tab/>
        <w:t>a decision of the Commissioner under Part VI;</w:t>
      </w:r>
    </w:p>
    <w:p>
      <w:pPr>
        <w:pStyle w:val="Defpara"/>
        <w:spacing w:before="70"/>
      </w:pPr>
      <w:r>
        <w:tab/>
        <w:t>(e)</w:t>
      </w:r>
      <w:r>
        <w:tab/>
        <w:t>a decision of the chief executive officer under section 116 or 117.</w:t>
      </w:r>
    </w:p>
    <w:p>
      <w:pPr>
        <w:pStyle w:val="Subsection"/>
      </w:pPr>
      <w:r>
        <w:tab/>
        <w:t>(3)</w:t>
      </w:r>
      <w:r>
        <w:tab/>
        <w:t xml:space="preserve">If a decision under section 116 or 117 has not been made before the commencement of the </w:t>
      </w:r>
      <w:r>
        <w:rPr>
          <w:i/>
          <w:snapToGrid w:val="0"/>
        </w:rPr>
        <w:t>Consumer Protection Legislation Amendment Act 2014</w:t>
      </w:r>
      <w:r>
        <w:rPr>
          <w:snapToGrid w:val="0"/>
        </w:rPr>
        <w:t xml:space="preserve"> section 69</w:t>
      </w:r>
      <w:r>
        <w:t xml:space="preserve"> in respect of a claim made before 1 July 2011, the decision — </w:t>
      </w:r>
    </w:p>
    <w:p>
      <w:pPr>
        <w:pStyle w:val="Defpara"/>
      </w:pPr>
      <w:r>
        <w:tab/>
        <w:t>(a)</w:t>
      </w:r>
      <w:r>
        <w:tab/>
        <w:t>may be made on or after that commencement by the Commissioner; and</w:t>
      </w:r>
    </w:p>
    <w:p>
      <w:pPr>
        <w:pStyle w:val="Defpara"/>
      </w:pPr>
      <w:r>
        <w:tab/>
        <w:t>(b)</w:t>
      </w:r>
      <w:r>
        <w:tab/>
        <w:t>is taken to be a reviewable decision for the purposes of this section.</w:t>
      </w:r>
    </w:p>
    <w:p>
      <w:pPr>
        <w:pStyle w:val="Subsection"/>
      </w:pPr>
      <w:r>
        <w:tab/>
        <w:t>(4)</w:t>
      </w:r>
      <w:r>
        <w:tab/>
        <w:t xml:space="preserve">A decision under section 116 or 117 made by the chief executive officer before the commencement of the </w:t>
      </w:r>
      <w:r>
        <w:rPr>
          <w:i/>
          <w:snapToGrid w:val="0"/>
        </w:rPr>
        <w:t>Consumer Protection Legislation Amendment Act 2014</w:t>
      </w:r>
      <w:r>
        <w:rPr>
          <w:snapToGrid w:val="0"/>
        </w:rPr>
        <w:t xml:space="preserve"> section 69</w:t>
      </w:r>
      <w:r>
        <w:t xml:space="preserve"> is taken to be a reviewable decision made immediately after that commencement for the purposes of this section.</w:t>
      </w:r>
    </w:p>
    <w:p>
      <w:pPr>
        <w:pStyle w:val="Subsection"/>
      </w:pPr>
      <w:r>
        <w:tab/>
        <w:t>(5)</w:t>
      </w:r>
      <w:r>
        <w:tab/>
        <w:t xml:space="preserve">The amendments made to this section by the </w:t>
      </w:r>
      <w:r>
        <w:rPr>
          <w:i/>
          <w:snapToGrid w:val="0"/>
        </w:rPr>
        <w:t>Consumer Protection Legislation Amendment Act 2014</w:t>
      </w:r>
      <w:r>
        <w:rPr>
          <w:snapToGrid w:val="0"/>
        </w:rPr>
        <w:t xml:space="preserve"> section 69 do not affect the review of a reviewable decision by the State Administrative Tribunal that began, but was not completed, before the commencement of that section.</w:t>
      </w:r>
    </w:p>
    <w:p>
      <w:pPr>
        <w:pStyle w:val="Footnotesection"/>
      </w:pPr>
      <w:r>
        <w:tab/>
        <w:t>[Section 23 inserted by No. 55 of 2004 s. 1005; amended by No. 77 of 2006 Sch. 1 cl. 147(2); No. 58 of 2010 s. 88 and 134; No. 23 of 2014 s. 69.]</w:t>
      </w:r>
    </w:p>
    <w:p>
      <w:pPr>
        <w:pStyle w:val="Heading3"/>
        <w:rPr>
          <w:snapToGrid w:val="0"/>
        </w:rPr>
      </w:pPr>
      <w:bookmarkStart w:id="25" w:name="_Toc404159025"/>
      <w:bookmarkStart w:id="26" w:name="_Toc424293051"/>
      <w:bookmarkStart w:id="27" w:name="_Toc435024414"/>
      <w:bookmarkStart w:id="28" w:name="_Toc468700922"/>
      <w:r>
        <w:rPr>
          <w:rStyle w:val="CharDivNo"/>
        </w:rPr>
        <w:t>Division 4</w:t>
      </w:r>
      <w:r>
        <w:rPr>
          <w:snapToGrid w:val="0"/>
        </w:rPr>
        <w:t> — </w:t>
      </w:r>
      <w:r>
        <w:rPr>
          <w:rStyle w:val="CharDivText"/>
        </w:rPr>
        <w:t>Advisory committees</w:t>
      </w:r>
      <w:bookmarkEnd w:id="25"/>
      <w:bookmarkEnd w:id="26"/>
      <w:bookmarkEnd w:id="27"/>
      <w:bookmarkEnd w:id="28"/>
    </w:p>
    <w:p>
      <w:pPr>
        <w:pStyle w:val="Footnoteheading"/>
        <w:keepNext/>
        <w:tabs>
          <w:tab w:val="clear" w:pos="879"/>
          <w:tab w:val="left" w:pos="890"/>
        </w:tabs>
      </w:pPr>
      <w:r>
        <w:tab/>
        <w:t>[Heading inserted by No. 34 of 1998 s. 9.]</w:t>
      </w:r>
    </w:p>
    <w:p>
      <w:pPr>
        <w:pStyle w:val="Heading5"/>
      </w:pPr>
      <w:bookmarkStart w:id="29" w:name="_Toc404159026"/>
      <w:bookmarkStart w:id="30" w:name="_Toc468700923"/>
      <w:bookmarkStart w:id="31" w:name="_Toc435024415"/>
      <w:r>
        <w:rPr>
          <w:rStyle w:val="CharSectno"/>
        </w:rPr>
        <w:t>23A</w:t>
      </w:r>
      <w:r>
        <w:t>.</w:t>
      </w:r>
      <w:r>
        <w:tab/>
        <w:t>Advisory committees, establishing etc.</w:t>
      </w:r>
      <w:bookmarkEnd w:id="29"/>
      <w:bookmarkEnd w:id="30"/>
      <w:bookmarkEnd w:id="31"/>
    </w:p>
    <w:p>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Ednotesubsection"/>
      </w:pPr>
      <w:r>
        <w:tab/>
        <w:t>[(3)</w:t>
      </w:r>
      <w:r>
        <w:tab/>
        <w:t>deleted]</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department is to provide a committee with such support services as it may reasonably require.</w:t>
      </w:r>
    </w:p>
    <w:p>
      <w:pPr>
        <w:pStyle w:val="Subsection"/>
      </w:pPr>
      <w:r>
        <w:tab/>
        <w:t>(8)</w:t>
      </w:r>
      <w:r>
        <w:tab/>
        <w:t>A member of a committee —</w:t>
      </w:r>
    </w:p>
    <w:p>
      <w:pPr>
        <w:pStyle w:val="Indenta"/>
      </w:pPr>
      <w:r>
        <w:tab/>
        <w:t>(a)</w:t>
      </w:r>
      <w:r>
        <w:tab/>
        <w:t>is to hold office for such term not exceeding 2 years as is specified in the instrument appointing the member; and</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keepNext/>
      </w:pPr>
      <w:r>
        <w:tab/>
        <w:t>(11)</w:t>
      </w:r>
      <w:r>
        <w:tab/>
        <w:t>If a member of a committee —</w:t>
      </w:r>
    </w:p>
    <w:p>
      <w:pPr>
        <w:pStyle w:val="Indenta"/>
      </w:pPr>
      <w:r>
        <w:tab/>
        <w:t>(a)</w:t>
      </w:r>
      <w:r>
        <w:tab/>
        <w:t xml:space="preserve">is, according to the </w:t>
      </w:r>
      <w:r>
        <w:rPr>
          <w:i/>
          <w:iCs/>
        </w:rPr>
        <w:t>Interpretation Act 1984</w:t>
      </w:r>
      <w:r>
        <w:t xml:space="preserve"> section 13D, a bankrupt or a person whose affairs are under insolvency laws; or</w:t>
      </w:r>
    </w:p>
    <w:p>
      <w:pPr>
        <w:pStyle w:val="Indenta"/>
      </w:pPr>
      <w:r>
        <w:tab/>
        <w:t>(b)</w:t>
      </w:r>
      <w:r>
        <w:tab/>
        <w:t>becomes permanently incapable of performing his or her duties as a member; or</w:t>
      </w:r>
    </w:p>
    <w:p>
      <w:pPr>
        <w:pStyle w:val="Indenta"/>
      </w:pPr>
      <w:r>
        <w:tab/>
        <w:t>(c)</w:t>
      </w:r>
      <w:r>
        <w:tab/>
        <w:t>resigns his or her office by signing a written notice of resignation and giving it to the Minister; or</w:t>
      </w:r>
    </w:p>
    <w:p>
      <w:pPr>
        <w:pStyle w:val="Indenta"/>
      </w:pPr>
      <w:r>
        <w:tab/>
        <w:t>(d)</w:t>
      </w:r>
      <w:r>
        <w:tab/>
        <w:t>absents himself or herself, except on leave duly granted by the Minister, from meetings of that committee for a period exceeding 8 weeks; or</w:t>
      </w:r>
    </w:p>
    <w:p>
      <w:pPr>
        <w:pStyle w:val="Indenta"/>
      </w:pPr>
      <w:r>
        <w:tab/>
        <w:t>(e)</w:t>
      </w:r>
      <w:r>
        <w:tab/>
        <w:t>ceases to hold any qualification required for becoming or being a member,</w:t>
      </w:r>
    </w:p>
    <w:p>
      <w:pPr>
        <w:pStyle w:val="Subsection"/>
      </w:pPr>
      <w:r>
        <w:tab/>
      </w:r>
      <w:r>
        <w:tab/>
        <w:t>the office of that member becomes vacant.</w:t>
      </w:r>
    </w:p>
    <w:p>
      <w:pPr>
        <w:pStyle w:val="Footnotesection"/>
      </w:pPr>
      <w:r>
        <w:tab/>
        <w:t>[Section 23A inserted by No. 34 of 1998 s. 9; amended by No. 77 of 2006 Sch. 1 cl. 147(2); No. 39 of 2010 s. 89; No. 58 of 2010 s. 89 and 134.]</w:t>
      </w:r>
    </w:p>
    <w:p>
      <w:pPr>
        <w:pStyle w:val="Heading5"/>
      </w:pPr>
      <w:bookmarkStart w:id="32" w:name="_Toc404159027"/>
      <w:bookmarkStart w:id="33" w:name="_Toc468700924"/>
      <w:bookmarkStart w:id="34" w:name="_Toc435024416"/>
      <w:r>
        <w:rPr>
          <w:rStyle w:val="CharSectno"/>
        </w:rPr>
        <w:t>23B</w:t>
      </w:r>
      <w:r>
        <w:t>.</w:t>
      </w:r>
      <w:r>
        <w:tab/>
        <w:t>Minister may delegate s. 23A powers</w:t>
      </w:r>
      <w:bookmarkEnd w:id="32"/>
      <w:bookmarkEnd w:id="33"/>
      <w:bookmarkEnd w:id="34"/>
    </w:p>
    <w:p>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 amended by No. 58 of 2010 s. 134.]</w:t>
      </w:r>
    </w:p>
    <w:p>
      <w:pPr>
        <w:pStyle w:val="Heading3"/>
      </w:pPr>
      <w:bookmarkStart w:id="35" w:name="_Toc404159028"/>
      <w:bookmarkStart w:id="36" w:name="_Toc424293054"/>
      <w:bookmarkStart w:id="37" w:name="_Toc435024417"/>
      <w:bookmarkStart w:id="38" w:name="_Toc468700925"/>
      <w:r>
        <w:rPr>
          <w:rStyle w:val="CharDivNo"/>
        </w:rPr>
        <w:t>Division 5</w:t>
      </w:r>
      <w:r>
        <w:t> — </w:t>
      </w:r>
      <w:r>
        <w:rPr>
          <w:rStyle w:val="CharDivText"/>
        </w:rPr>
        <w:t>Conciliation</w:t>
      </w:r>
      <w:bookmarkEnd w:id="35"/>
      <w:bookmarkEnd w:id="36"/>
      <w:bookmarkEnd w:id="37"/>
      <w:bookmarkEnd w:id="38"/>
    </w:p>
    <w:p>
      <w:pPr>
        <w:pStyle w:val="Footnoteheading"/>
        <w:keepNext/>
        <w:tabs>
          <w:tab w:val="clear" w:pos="879"/>
          <w:tab w:val="left" w:pos="890"/>
        </w:tabs>
      </w:pPr>
      <w:r>
        <w:tab/>
        <w:t>[Heading inserted by No. 34 of 1998 s. 9.]</w:t>
      </w:r>
    </w:p>
    <w:p>
      <w:pPr>
        <w:pStyle w:val="Heading5"/>
      </w:pPr>
      <w:bookmarkStart w:id="39" w:name="_Toc404159029"/>
      <w:bookmarkStart w:id="40" w:name="_Toc468700926"/>
      <w:bookmarkStart w:id="41" w:name="_Toc435024418"/>
      <w:r>
        <w:rPr>
          <w:rStyle w:val="CharSectno"/>
        </w:rPr>
        <w:t>23C</w:t>
      </w:r>
      <w:r>
        <w:t>.</w:t>
      </w:r>
      <w:r>
        <w:tab/>
        <w:t>Conciliation of disputes about transactions</w:t>
      </w:r>
      <w:bookmarkEnd w:id="39"/>
      <w:bookmarkEnd w:id="40"/>
      <w:bookmarkEnd w:id="41"/>
    </w:p>
    <w:p>
      <w:pPr>
        <w:pStyle w:val="Subsection"/>
      </w:pPr>
      <w:r>
        <w:tab/>
        <w:t>(1)</w:t>
      </w:r>
      <w:r>
        <w:tab/>
        <w:t>The Commissioner, or a person nominated by the Commissioner, may act as a conciliator for the purposes of this section.</w:t>
      </w:r>
    </w:p>
    <w:p>
      <w:pPr>
        <w:pStyle w:val="Subsection"/>
      </w:pPr>
      <w:r>
        <w:tab/>
        <w:t>(2)</w:t>
      </w:r>
      <w:r>
        <w:tab/>
        <w:t>A conciliator’s function is to assist the parties to a transaction to resolve a dispute about the transaction by —</w:t>
      </w:r>
    </w:p>
    <w:p>
      <w:pPr>
        <w:pStyle w:val="Indenta"/>
      </w:pPr>
      <w:r>
        <w:tab/>
        <w:t>(a)</w:t>
      </w:r>
      <w:r>
        <w:tab/>
        <w:t>arranging for the parties to hold informal discussions about the dispute; and</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Evidence of anything said or admitted during the conciliation process —</w:t>
      </w:r>
    </w:p>
    <w:p>
      <w:pPr>
        <w:pStyle w:val="Indenta"/>
        <w:keepNext/>
      </w:pPr>
      <w:r>
        <w:tab/>
        <w:t>(a)</w:t>
      </w:r>
      <w:r>
        <w:tab/>
        <w:t>is not admissible in proceedings before a court or tribunal, whether under this Act or any other law; and</w:t>
      </w:r>
    </w:p>
    <w:p>
      <w:pPr>
        <w:pStyle w:val="Indenta"/>
      </w:pPr>
      <w:r>
        <w:tab/>
        <w:t>(b)</w:t>
      </w:r>
      <w:r>
        <w:tab/>
        <w:t>cannot be used as ground for an investigation or inquiry under this Act.</w:t>
      </w:r>
    </w:p>
    <w:p>
      <w:pPr>
        <w:pStyle w:val="Subsection"/>
        <w:keepNext/>
      </w:pPr>
      <w:r>
        <w:tab/>
        <w:t>(6)</w:t>
      </w:r>
      <w:r>
        <w:tab/>
        <w:t>Nothing in this section —</w:t>
      </w:r>
    </w:p>
    <w:p>
      <w:pPr>
        <w:pStyle w:val="Indenta"/>
      </w:pPr>
      <w:r>
        <w:tab/>
        <w:t>(a)</w:t>
      </w:r>
      <w:r>
        <w:tab/>
        <w:t>prevents the parties to a transaction from resolving a dispute in relation to the transaction at any time, whether through the conciliation process or not; or</w:t>
      </w:r>
    </w:p>
    <w:p>
      <w:pPr>
        <w:pStyle w:val="Indenta"/>
      </w:pPr>
      <w:r>
        <w:tab/>
        <w:t>(b)</w:t>
      </w:r>
      <w:r>
        <w:tab/>
        <w:t>requires a conciliator to participate in a conciliation process or the department to provide officers or other persons for that purpose.</w:t>
      </w:r>
    </w:p>
    <w:p>
      <w:pPr>
        <w:pStyle w:val="Subsection"/>
      </w:pPr>
      <w:r>
        <w:tab/>
        <w:t>(7)</w:t>
      </w:r>
      <w:r>
        <w:tab/>
        <w:t>In this section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 No. 58 of 2010 s. 90.]</w:t>
      </w:r>
    </w:p>
    <w:p>
      <w:pPr>
        <w:pStyle w:val="Heading2"/>
      </w:pPr>
      <w:bookmarkStart w:id="42" w:name="_Toc404159030"/>
      <w:bookmarkStart w:id="43" w:name="_Toc424293056"/>
      <w:bookmarkStart w:id="44" w:name="_Toc435024419"/>
      <w:bookmarkStart w:id="45" w:name="_Toc468700927"/>
      <w:r>
        <w:rPr>
          <w:rStyle w:val="CharPartNo"/>
        </w:rPr>
        <w:t>Part III</w:t>
      </w:r>
      <w:r>
        <w:rPr>
          <w:rStyle w:val="CharDivNo"/>
        </w:rPr>
        <w:t> </w:t>
      </w:r>
      <w:r>
        <w:t>—</w:t>
      </w:r>
      <w:r>
        <w:rPr>
          <w:rStyle w:val="CharDivText"/>
        </w:rPr>
        <w:t> </w:t>
      </w:r>
      <w:r>
        <w:rPr>
          <w:rStyle w:val="CharPartText"/>
        </w:rPr>
        <w:t>Licensing of agents</w:t>
      </w:r>
      <w:bookmarkEnd w:id="42"/>
      <w:bookmarkEnd w:id="43"/>
      <w:bookmarkEnd w:id="44"/>
      <w:bookmarkEnd w:id="45"/>
    </w:p>
    <w:p>
      <w:pPr>
        <w:pStyle w:val="Heading5"/>
        <w:rPr>
          <w:snapToGrid w:val="0"/>
        </w:rPr>
      </w:pPr>
      <w:bookmarkStart w:id="46" w:name="_Toc404159031"/>
      <w:bookmarkStart w:id="47" w:name="_Toc468700928"/>
      <w:bookmarkStart w:id="48" w:name="_Toc435024420"/>
      <w:r>
        <w:rPr>
          <w:rStyle w:val="CharSectno"/>
        </w:rPr>
        <w:t>24</w:t>
      </w:r>
      <w:r>
        <w:rPr>
          <w:snapToGrid w:val="0"/>
        </w:rPr>
        <w:t>.</w:t>
      </w:r>
      <w:r>
        <w:rPr>
          <w:snapToGrid w:val="0"/>
        </w:rPr>
        <w:tab/>
        <w:t>Applications for licences</w:t>
      </w:r>
      <w:bookmarkEnd w:id="46"/>
      <w:bookmarkEnd w:id="47"/>
      <w:bookmarkEnd w:id="48"/>
    </w:p>
    <w:p>
      <w:pPr>
        <w:pStyle w:val="Subsection"/>
        <w:spacing w:before="120"/>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w:t>
      </w:r>
      <w:r>
        <w:tab/>
        <w:t>deleted]</w:t>
      </w:r>
    </w:p>
    <w:p>
      <w:pPr>
        <w:pStyle w:val="Subsection"/>
        <w:spacing w:before="120"/>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spacing w:before="120"/>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spacing w:before="120"/>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spacing w:before="100"/>
        <w:ind w:left="890" w:hanging="890"/>
      </w:pPr>
      <w:r>
        <w:tab/>
        <w:t>[Section 24 amended by No. 58 of 2010 s. 91 and 134; No. 23 of 2014 s. 70.]</w:t>
      </w:r>
    </w:p>
    <w:p>
      <w:pPr>
        <w:pStyle w:val="Ednotesection"/>
      </w:pPr>
      <w:r>
        <w:t>[</w:t>
      </w:r>
      <w:r>
        <w:rPr>
          <w:b/>
        </w:rPr>
        <w:t>25.</w:t>
      </w:r>
      <w:r>
        <w:tab/>
        <w:t>Deleted by No. 23 of 2014 s. 71.]</w:t>
      </w:r>
    </w:p>
    <w:p>
      <w:pPr>
        <w:pStyle w:val="Heading5"/>
        <w:rPr>
          <w:snapToGrid w:val="0"/>
        </w:rPr>
      </w:pPr>
      <w:bookmarkStart w:id="49" w:name="_Toc404159032"/>
      <w:bookmarkStart w:id="50" w:name="_Toc468700929"/>
      <w:bookmarkStart w:id="51" w:name="_Toc435024421"/>
      <w:r>
        <w:rPr>
          <w:rStyle w:val="CharSectno"/>
        </w:rPr>
        <w:t>26</w:t>
      </w:r>
      <w:r>
        <w:rPr>
          <w:snapToGrid w:val="0"/>
        </w:rPr>
        <w:t>.</w:t>
      </w:r>
      <w:r>
        <w:rPr>
          <w:snapToGrid w:val="0"/>
        </w:rPr>
        <w:tab/>
        <w:t>Real estate agents and business agents must be licensed</w:t>
      </w:r>
      <w:bookmarkEnd w:id="49"/>
      <w:bookmarkEnd w:id="50"/>
      <w:bookmarkEnd w:id="51"/>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[Section 26 amended by No. 43 of 1994 s. 11.]</w:t>
      </w:r>
    </w:p>
    <w:p>
      <w:pPr>
        <w:pStyle w:val="Heading5"/>
        <w:rPr>
          <w:snapToGrid w:val="0"/>
        </w:rPr>
      </w:pPr>
      <w:bookmarkStart w:id="52" w:name="_Toc404159033"/>
      <w:bookmarkStart w:id="53" w:name="_Toc468700930"/>
      <w:bookmarkStart w:id="54" w:name="_Toc435024422"/>
      <w:r>
        <w:rPr>
          <w:rStyle w:val="CharSectno"/>
        </w:rPr>
        <w:t>27</w:t>
      </w:r>
      <w:r>
        <w:rPr>
          <w:snapToGrid w:val="0"/>
        </w:rPr>
        <w:t>.</w:t>
      </w:r>
      <w:r>
        <w:rPr>
          <w:snapToGrid w:val="0"/>
        </w:rPr>
        <w:tab/>
        <w:t>Natural persons, licensing of</w:t>
      </w:r>
      <w:bookmarkEnd w:id="52"/>
      <w:bookmarkEnd w:id="53"/>
      <w:bookmarkEnd w:id="54"/>
    </w:p>
    <w:p>
      <w:pPr>
        <w:pStyle w:val="Subsection"/>
        <w:keepNext/>
        <w:rPr>
          <w:snapToGrid w:val="0"/>
        </w:rPr>
      </w:pPr>
      <w:r>
        <w:rPr>
          <w:snapToGrid w:val="0"/>
        </w:rPr>
        <w:tab/>
        <w:t>(1)</w:t>
      </w:r>
      <w:r>
        <w:rPr>
          <w:snapToGrid w:val="0"/>
        </w:rPr>
        <w:tab/>
        <w:t xml:space="preserve">Subject to this Act, a person, not being a body corporate,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 and</w:t>
      </w:r>
    </w:p>
    <w:p>
      <w:pPr>
        <w:pStyle w:val="Indenta"/>
        <w:rPr>
          <w:snapToGrid w:val="0"/>
        </w:rPr>
      </w:pPr>
      <w:r>
        <w:rPr>
          <w:snapToGrid w:val="0"/>
        </w:rPr>
        <w:tab/>
        <w:t>(b)</w:t>
      </w:r>
      <w:r>
        <w:rPr>
          <w:snapToGrid w:val="0"/>
        </w:rPr>
        <w:tab/>
        <w:t>he is a person of good character and repute and a fit and proper person to hold a licence; and</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w:t>
      </w:r>
      <w:r>
        <w:t xml:space="preserve">Schedule 1 </w:t>
      </w:r>
      <w:r>
        <w:rPr>
          <w:snapToGrid w:val="0"/>
        </w:rPr>
        <w:t>but subject to the savings and exceptions provided in this Act.</w:t>
      </w:r>
    </w:p>
    <w:p>
      <w:pPr>
        <w:pStyle w:val="Footnotesection"/>
      </w:pPr>
      <w:r>
        <w:tab/>
        <w:t>[Section 27 amended by No. 58 of 2010 s. 134; No. 23 of 2014 s. 72.]</w:t>
      </w:r>
    </w:p>
    <w:p>
      <w:pPr>
        <w:pStyle w:val="Heading5"/>
        <w:rPr>
          <w:snapToGrid w:val="0"/>
        </w:rPr>
      </w:pPr>
      <w:bookmarkStart w:id="55" w:name="_Toc404159034"/>
      <w:bookmarkStart w:id="56" w:name="_Toc468700931"/>
      <w:bookmarkStart w:id="57" w:name="_Toc435024423"/>
      <w:r>
        <w:rPr>
          <w:rStyle w:val="CharSectno"/>
        </w:rPr>
        <w:t>28</w:t>
      </w:r>
      <w:r>
        <w:rPr>
          <w:snapToGrid w:val="0"/>
        </w:rPr>
        <w:t>.</w:t>
      </w:r>
      <w:r>
        <w:rPr>
          <w:snapToGrid w:val="0"/>
        </w:rPr>
        <w:tab/>
        <w:t>Firms, licensing of</w:t>
      </w:r>
      <w:bookmarkEnd w:id="55"/>
      <w:bookmarkEnd w:id="56"/>
      <w:bookmarkEnd w:id="57"/>
    </w:p>
    <w:p>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r>
        <w:tab/>
        <w:t>[Section 28 amended by No. 58 of 2010 s. 134.]</w:t>
      </w:r>
    </w:p>
    <w:p>
      <w:pPr>
        <w:pStyle w:val="Heading5"/>
        <w:rPr>
          <w:snapToGrid w:val="0"/>
        </w:rPr>
      </w:pPr>
      <w:bookmarkStart w:id="58" w:name="_Toc404159035"/>
      <w:bookmarkStart w:id="59" w:name="_Toc468700932"/>
      <w:bookmarkStart w:id="60" w:name="_Toc435024424"/>
      <w:r>
        <w:rPr>
          <w:rStyle w:val="CharSectno"/>
        </w:rPr>
        <w:t>29</w:t>
      </w:r>
      <w:r>
        <w:rPr>
          <w:snapToGrid w:val="0"/>
        </w:rPr>
        <w:t>.</w:t>
      </w:r>
      <w:r>
        <w:rPr>
          <w:snapToGrid w:val="0"/>
        </w:rPr>
        <w:tab/>
        <w:t>Bodies corporate, licensing of</w:t>
      </w:r>
      <w:bookmarkEnd w:id="58"/>
      <w:bookmarkEnd w:id="59"/>
      <w:bookmarkEnd w:id="60"/>
    </w:p>
    <w:p>
      <w:pPr>
        <w:pStyle w:val="Subsection"/>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that it has sufficient material and financial resources available to it to comply with the requirements of this Act; and</w:t>
      </w:r>
    </w:p>
    <w:p>
      <w:pPr>
        <w:pStyle w:val="Indenta"/>
        <w:spacing w:before="60"/>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pPr>
        <w:pStyle w:val="Indenta"/>
        <w:spacing w:before="60"/>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spacing w:before="80"/>
        <w:ind w:left="890" w:hanging="890"/>
      </w:pPr>
      <w:r>
        <w:tab/>
        <w:t>[Section 29 amended by No. 58 of 2010 s. 134.]</w:t>
      </w:r>
    </w:p>
    <w:p>
      <w:pPr>
        <w:pStyle w:val="Heading5"/>
        <w:spacing w:before="180"/>
        <w:rPr>
          <w:snapToGrid w:val="0"/>
        </w:rPr>
      </w:pPr>
      <w:bookmarkStart w:id="61" w:name="_Toc404159036"/>
      <w:bookmarkStart w:id="62" w:name="_Toc468700933"/>
      <w:bookmarkStart w:id="63" w:name="_Toc435024425"/>
      <w:r>
        <w:rPr>
          <w:rStyle w:val="CharSectno"/>
        </w:rPr>
        <w:t>30</w:t>
      </w:r>
      <w:r>
        <w:rPr>
          <w:snapToGrid w:val="0"/>
        </w:rPr>
        <w:t>.</w:t>
      </w:r>
      <w:r>
        <w:rPr>
          <w:snapToGrid w:val="0"/>
        </w:rPr>
        <w:tab/>
        <w:t>Licence, effect of</w:t>
      </w:r>
      <w:bookmarkEnd w:id="61"/>
      <w:bookmarkEnd w:id="62"/>
      <w:bookmarkEnd w:id="63"/>
    </w:p>
    <w:p>
      <w:pPr>
        <w:pStyle w:val="Subsection"/>
        <w:spacing w:before="130"/>
        <w:rPr>
          <w:snapToGrid w:val="0"/>
        </w:rPr>
      </w:pPr>
      <w:r>
        <w:rPr>
          <w:snapToGrid w:val="0"/>
        </w:rPr>
        <w:tab/>
        <w:t>(1)</w:t>
      </w:r>
      <w:r>
        <w:rPr>
          <w:snapToGrid w:val="0"/>
        </w:rPr>
        <w:tab/>
        <w:t>Subject to this Act, a licence is continuous.</w:t>
      </w:r>
    </w:p>
    <w:p>
      <w:pPr>
        <w:pStyle w:val="Subsection"/>
        <w:spacing w:before="130"/>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spacing w:before="130"/>
        <w:rPr>
          <w:snapToGrid w:val="0"/>
        </w:rPr>
      </w:pPr>
      <w:r>
        <w:rPr>
          <w:snapToGrid w:val="0"/>
        </w:rPr>
        <w:tab/>
        <w:t>(2a)</w:t>
      </w:r>
      <w:r>
        <w:rPr>
          <w:snapToGrid w:val="0"/>
        </w:rPr>
        <w:tab/>
        <w:t>A licensee ceases to be licensed if the licensee —</w:t>
      </w:r>
    </w:p>
    <w:p>
      <w:pPr>
        <w:pStyle w:val="Indenta"/>
        <w:spacing w:before="60"/>
        <w:rPr>
          <w:snapToGrid w:val="0"/>
        </w:rPr>
      </w:pPr>
      <w:r>
        <w:rPr>
          <w:snapToGrid w:val="0"/>
        </w:rPr>
        <w:tab/>
        <w:t>(a)</w:t>
      </w:r>
      <w:r>
        <w:rPr>
          <w:snapToGrid w:val="0"/>
        </w:rPr>
        <w:tab/>
        <w:t>does not hold a current triennial certificate in respect of the licence; and</w:t>
      </w:r>
    </w:p>
    <w:p>
      <w:pPr>
        <w:pStyle w:val="Indenta"/>
        <w:spacing w:before="60"/>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pPr>
        <w:pStyle w:val="Subsection"/>
        <w:spacing w:before="130"/>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spacing w:before="130"/>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spacing w:before="80"/>
        <w:ind w:left="890" w:hanging="890"/>
      </w:pPr>
      <w:r>
        <w:tab/>
        <w:t>[Section 30 amended by No. 74 of 1980 s. 5; No. 56 of 1995 s. 40; No. 55 of 2004 s. 1006; No. 58 of 2010 s. 134.]</w:t>
      </w:r>
    </w:p>
    <w:p>
      <w:pPr>
        <w:pStyle w:val="Heading5"/>
        <w:rPr>
          <w:snapToGrid w:val="0"/>
        </w:rPr>
      </w:pPr>
      <w:bookmarkStart w:id="64" w:name="_Toc404159037"/>
      <w:bookmarkStart w:id="65" w:name="_Toc468700934"/>
      <w:bookmarkStart w:id="66" w:name="_Toc435024426"/>
      <w:r>
        <w:rPr>
          <w:rStyle w:val="CharSectno"/>
        </w:rPr>
        <w:t>31</w:t>
      </w:r>
      <w:r>
        <w:rPr>
          <w:snapToGrid w:val="0"/>
        </w:rPr>
        <w:t>.</w:t>
      </w:r>
      <w:r>
        <w:rPr>
          <w:snapToGrid w:val="0"/>
        </w:rPr>
        <w:tab/>
        <w:t>Triennial certificates, grant and renewal of</w:t>
      </w:r>
      <w:bookmarkEnd w:id="64"/>
      <w:bookmarkEnd w:id="65"/>
      <w:bookmarkEnd w:id="66"/>
    </w:p>
    <w:p>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w:t>
      </w:r>
      <w:r>
        <w:t>Commissioner</w:t>
      </w:r>
      <w:r>
        <w:rPr>
          <w:snapToGrid w:val="0"/>
        </w:rPr>
        <w:t xml:space="preserve"> may refuse to renew a licensee’s triennial certificate if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 No. 58 of 2010 s. 134.]</w:t>
      </w:r>
    </w:p>
    <w:p>
      <w:pPr>
        <w:pStyle w:val="Heading5"/>
        <w:rPr>
          <w:snapToGrid w:val="0"/>
        </w:rPr>
      </w:pPr>
      <w:bookmarkStart w:id="67" w:name="_Toc404159038"/>
      <w:bookmarkStart w:id="68" w:name="_Toc468700935"/>
      <w:bookmarkStart w:id="69" w:name="_Toc435024427"/>
      <w:r>
        <w:rPr>
          <w:rStyle w:val="CharSectno"/>
        </w:rPr>
        <w:t>32</w:t>
      </w:r>
      <w:r>
        <w:rPr>
          <w:snapToGrid w:val="0"/>
        </w:rPr>
        <w:t>.</w:t>
      </w:r>
      <w:r>
        <w:rPr>
          <w:snapToGrid w:val="0"/>
        </w:rPr>
        <w:tab/>
        <w:t>Triennial certificates, late renewal of</w:t>
      </w:r>
      <w:bookmarkEnd w:id="67"/>
      <w:bookmarkEnd w:id="68"/>
      <w:bookmarkEnd w:id="69"/>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 xml:space="preserve">Where a triennial certificate is renewed more than one month but not more than 12 months after the day on which the triennial certificate expired and the licensee satisfies the </w:t>
      </w:r>
      <w:r>
        <w:t>Commissioner</w:t>
      </w:r>
      <w:r>
        <w:rPr>
          <w:snapToGrid w:val="0"/>
        </w:rPr>
        <w:t xml:space="preserve"> that there is reasonable cause for the renewal to be deemed to take effect for the period of 3 years on and from the day next succeeding the day on which the triennial certificate expired, the </w:t>
      </w:r>
      <w:r>
        <w:t>Commissioner</w:t>
      </w:r>
      <w:r>
        <w:rPr>
          <w:snapToGrid w:val="0"/>
        </w:rPr>
        <w:t xml:space="preserve"> shall so determine and the renewal shall take effect accordingly.</w:t>
      </w:r>
    </w:p>
    <w:p>
      <w:pPr>
        <w:pStyle w:val="Footnotesection"/>
      </w:pPr>
      <w:r>
        <w:tab/>
        <w:t>[Section 32 amended by No. 58 of 2010 s. 134.]</w:t>
      </w:r>
    </w:p>
    <w:p>
      <w:pPr>
        <w:pStyle w:val="Heading5"/>
        <w:rPr>
          <w:snapToGrid w:val="0"/>
        </w:rPr>
      </w:pPr>
      <w:bookmarkStart w:id="70" w:name="_Toc404159039"/>
      <w:bookmarkStart w:id="71" w:name="_Toc468700936"/>
      <w:bookmarkStart w:id="72" w:name="_Toc435024428"/>
      <w:r>
        <w:rPr>
          <w:rStyle w:val="CharSectno"/>
        </w:rPr>
        <w:t>33</w:t>
      </w:r>
      <w:r>
        <w:rPr>
          <w:snapToGrid w:val="0"/>
        </w:rPr>
        <w:t>.</w:t>
      </w:r>
      <w:r>
        <w:rPr>
          <w:snapToGrid w:val="0"/>
        </w:rPr>
        <w:tab/>
        <w:t>Triennial certificates expired for over a year, applications to renew</w:t>
      </w:r>
      <w:bookmarkEnd w:id="70"/>
      <w:bookmarkEnd w:id="71"/>
      <w:bookmarkEnd w:id="72"/>
    </w:p>
    <w:p>
      <w:pPr>
        <w:pStyle w:val="Subsection"/>
        <w:rPr>
          <w:snapToGrid w:val="0"/>
        </w:rPr>
      </w:pPr>
      <w:r>
        <w:rPr>
          <w:snapToGrid w:val="0"/>
        </w:rPr>
        <w:tab/>
        <w:t>(1)</w:t>
      </w:r>
      <w:r>
        <w:rPr>
          <w:snapToGrid w:val="0"/>
        </w:rPr>
        <w:tab/>
        <w:t xml:space="preserve">Where a triennial certificate expires and is not renewed within the period of 12 months thereafter an application for a renewal shall be made at least one month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(2)</w:t>
      </w:r>
      <w:r>
        <w:rPr>
          <w:snapToGrid w:val="0"/>
        </w:rPr>
        <w:tab/>
        <w:t xml:space="preserve">The application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33 amended by No. 58 of 2010 s. 93 and 134.]</w:t>
      </w:r>
    </w:p>
    <w:p>
      <w:pPr>
        <w:pStyle w:val="Heading5"/>
        <w:rPr>
          <w:snapToGrid w:val="0"/>
        </w:rPr>
      </w:pPr>
      <w:bookmarkStart w:id="73" w:name="_Toc404159040"/>
      <w:bookmarkStart w:id="74" w:name="_Toc468700937"/>
      <w:bookmarkStart w:id="75" w:name="_Toc435024429"/>
      <w:r>
        <w:rPr>
          <w:rStyle w:val="CharSectno"/>
        </w:rPr>
        <w:t>34</w:t>
      </w:r>
      <w:r>
        <w:rPr>
          <w:snapToGrid w:val="0"/>
        </w:rPr>
        <w:t>.</w:t>
      </w:r>
      <w:r>
        <w:rPr>
          <w:snapToGrid w:val="0"/>
        </w:rPr>
        <w:tab/>
        <w:t>Conditions on licences and triennial certificates</w:t>
      </w:r>
      <w:bookmarkEnd w:id="73"/>
      <w:bookmarkEnd w:id="74"/>
      <w:bookmarkEnd w:id="75"/>
    </w:p>
    <w:p>
      <w:pPr>
        <w:pStyle w:val="Subsection"/>
        <w:rPr>
          <w:snapToGrid w:val="0"/>
        </w:rPr>
      </w:pPr>
      <w:r>
        <w:rPr>
          <w:snapToGrid w:val="0"/>
        </w:rPr>
        <w:tab/>
        <w:t>(1)</w:t>
      </w:r>
      <w:r>
        <w:rPr>
          <w:snapToGrid w:val="0"/>
        </w:rPr>
        <w:tab/>
        <w:t>A licensee shall comply with the provisions of this Act and the agents code of conduct.</w:t>
      </w:r>
    </w:p>
    <w:p>
      <w:pPr>
        <w:pStyle w:val="Subsection"/>
        <w:rPr>
          <w:snapToGrid w:val="0"/>
        </w:rPr>
      </w:pPr>
      <w:r>
        <w:rPr>
          <w:snapToGrid w:val="0"/>
        </w:rPr>
        <w:tab/>
        <w:t>(2)</w:t>
      </w:r>
      <w:r>
        <w:rPr>
          <w:snapToGrid w:val="0"/>
        </w:rPr>
        <w:tab/>
        <w:t xml:space="preserve">The </w:t>
      </w:r>
      <w:r>
        <w:t>Commissioner</w:t>
      </w:r>
      <w:r>
        <w:rPr>
          <w:snapToGrid w:val="0"/>
        </w:rPr>
        <w:t xml:space="preserve"> may grant a licence or grant or renew a triennial certificate subject to such special conditions as the </w:t>
      </w:r>
      <w:r>
        <w:t>Commissioner</w:t>
      </w:r>
      <w:r>
        <w:rPr>
          <w:snapToGrid w:val="0"/>
        </w:rPr>
        <w:t xml:space="preserve"> thinks fit.</w:t>
      </w:r>
    </w:p>
    <w:p>
      <w:pPr>
        <w:pStyle w:val="Subsection"/>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[Section 34 amended by No. 56 of 1995 s. 41; No. 34 of 1998 s. 11; No. 58 of 2010 s. 134.]</w:t>
      </w:r>
    </w:p>
    <w:p>
      <w:pPr>
        <w:pStyle w:val="Heading5"/>
      </w:pPr>
      <w:bookmarkStart w:id="76" w:name="_Toc404159041"/>
      <w:bookmarkStart w:id="77" w:name="_Toc468700938"/>
      <w:bookmarkStart w:id="78" w:name="_Toc435024430"/>
      <w:r>
        <w:rPr>
          <w:rStyle w:val="CharSectno"/>
        </w:rPr>
        <w:t>34A</w:t>
      </w:r>
      <w:r>
        <w:rPr>
          <w:snapToGrid w:val="0"/>
        </w:rPr>
        <w:t>.</w:t>
      </w:r>
      <w:r>
        <w:tab/>
        <w:t>Commissioner may grant licence or triennial certificate without notice to applicant</w:t>
      </w:r>
      <w:bookmarkEnd w:id="76"/>
      <w:bookmarkEnd w:id="77"/>
      <w:bookmarkEnd w:id="78"/>
    </w:p>
    <w:p>
      <w:pPr>
        <w:pStyle w:val="Subsection"/>
      </w:pPr>
      <w:r>
        <w:tab/>
        <w:t>(1)</w:t>
      </w:r>
      <w:r>
        <w:tab/>
        <w:t>Subject to this Part, a licence may be granted and a triennial certificate may be granted or renewed (as long as special conditions are not imposed or changed), by the 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pPr>
        <w:pStyle w:val="Footnotesection"/>
      </w:pPr>
      <w:r>
        <w:tab/>
        <w:t>[Section 34A inserted by No. 55 of 2004 s. 1008; amended by No. 58 of 2010 s. 94 and 134; No. 23 of 2014 s. 73.]</w:t>
      </w:r>
    </w:p>
    <w:p>
      <w:pPr>
        <w:pStyle w:val="Heading5"/>
      </w:pPr>
      <w:bookmarkStart w:id="79" w:name="_Toc404159042"/>
      <w:bookmarkStart w:id="80" w:name="_Toc468700939"/>
      <w:bookmarkStart w:id="81" w:name="_Toc435024431"/>
      <w:r>
        <w:rPr>
          <w:rStyle w:val="CharSectno"/>
        </w:rPr>
        <w:t>34B</w:t>
      </w:r>
      <w:r>
        <w:t>.</w:t>
      </w:r>
      <w:r>
        <w:tab/>
        <w:t>SAT may suspend licence in some cases</w:t>
      </w:r>
      <w:bookmarkEnd w:id="79"/>
      <w:bookmarkEnd w:id="80"/>
      <w:bookmarkEnd w:id="81"/>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82" w:name="_Toc404159043"/>
      <w:bookmarkStart w:id="83" w:name="_Toc468700940"/>
      <w:bookmarkStart w:id="84" w:name="_Toc435024432"/>
      <w:r>
        <w:rPr>
          <w:rStyle w:val="CharSectno"/>
        </w:rPr>
        <w:t>35</w:t>
      </w:r>
      <w:r>
        <w:rPr>
          <w:snapToGrid w:val="0"/>
        </w:rPr>
        <w:t>.</w:t>
      </w:r>
      <w:r>
        <w:rPr>
          <w:snapToGrid w:val="0"/>
        </w:rPr>
        <w:tab/>
      </w:r>
      <w:r>
        <w:t>Licensee to notify Commissioner when commencing or ceasing business</w:t>
      </w:r>
      <w:bookmarkEnd w:id="82"/>
      <w:bookmarkEnd w:id="83"/>
      <w:bookmarkEnd w:id="84"/>
    </w:p>
    <w:p>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pPr>
        <w:pStyle w:val="Footnotesection"/>
      </w:pPr>
      <w:r>
        <w:tab/>
        <w:t>[Section 35 amended by No. 58 of 2010 s. 134.]</w:t>
      </w:r>
    </w:p>
    <w:p>
      <w:pPr>
        <w:pStyle w:val="Heading5"/>
        <w:rPr>
          <w:snapToGrid w:val="0"/>
        </w:rPr>
      </w:pPr>
      <w:bookmarkStart w:id="85" w:name="_Toc404159044"/>
      <w:bookmarkStart w:id="86" w:name="_Toc468700941"/>
      <w:bookmarkStart w:id="87" w:name="_Toc435024433"/>
      <w:r>
        <w:rPr>
          <w:rStyle w:val="CharSectno"/>
        </w:rPr>
        <w:t>36</w:t>
      </w:r>
      <w:r>
        <w:rPr>
          <w:snapToGrid w:val="0"/>
        </w:rPr>
        <w:t>.</w:t>
      </w:r>
      <w:r>
        <w:rPr>
          <w:snapToGrid w:val="0"/>
        </w:rPr>
        <w:tab/>
        <w:t>Registered office of licensee</w:t>
      </w:r>
      <w:bookmarkEnd w:id="85"/>
      <w:bookmarkEnd w:id="86"/>
      <w:bookmarkEnd w:id="87"/>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r>
        <w:tab/>
        <w:t>[Section 36 amended by No. 43 of 1994 s. 11; No. 58 of 2010 s. 134.]</w:t>
      </w:r>
    </w:p>
    <w:p>
      <w:pPr>
        <w:pStyle w:val="Heading5"/>
        <w:rPr>
          <w:snapToGrid w:val="0"/>
        </w:rPr>
      </w:pPr>
      <w:bookmarkStart w:id="88" w:name="_Toc404159045"/>
      <w:bookmarkStart w:id="89" w:name="_Toc468700942"/>
      <w:bookmarkStart w:id="90" w:name="_Toc435024434"/>
      <w:r>
        <w:rPr>
          <w:rStyle w:val="CharSectno"/>
        </w:rPr>
        <w:t>37</w:t>
      </w:r>
      <w:r>
        <w:rPr>
          <w:snapToGrid w:val="0"/>
        </w:rPr>
        <w:t>.</w:t>
      </w:r>
      <w:r>
        <w:rPr>
          <w:snapToGrid w:val="0"/>
        </w:rPr>
        <w:tab/>
        <w:t>Branch office of licensee</w:t>
      </w:r>
      <w:bookmarkEnd w:id="88"/>
      <w:bookmarkEnd w:id="89"/>
      <w:bookmarkEnd w:id="90"/>
    </w:p>
    <w:p>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[Section 37 amended by No. 43 of 1994 s. 11; No. 58 of 2010 s. 134.]</w:t>
      </w:r>
    </w:p>
    <w:p>
      <w:pPr>
        <w:pStyle w:val="Heading5"/>
        <w:rPr>
          <w:snapToGrid w:val="0"/>
        </w:rPr>
      </w:pPr>
      <w:bookmarkStart w:id="91" w:name="_Toc404159046"/>
      <w:bookmarkStart w:id="92" w:name="_Toc468700943"/>
      <w:bookmarkStart w:id="93" w:name="_Toc435024435"/>
      <w:r>
        <w:rPr>
          <w:rStyle w:val="CharSectno"/>
        </w:rPr>
        <w:t>38</w:t>
      </w:r>
      <w:r>
        <w:rPr>
          <w:snapToGrid w:val="0"/>
        </w:rPr>
        <w:t>.</w:t>
      </w:r>
      <w:r>
        <w:rPr>
          <w:snapToGrid w:val="0"/>
        </w:rPr>
        <w:tab/>
        <w:t>Triennial certificates, contents of</w:t>
      </w:r>
      <w:bookmarkEnd w:id="91"/>
      <w:bookmarkEnd w:id="92"/>
      <w:bookmarkEnd w:id="93"/>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94" w:name="_Toc404159047"/>
      <w:bookmarkStart w:id="95" w:name="_Toc468700944"/>
      <w:bookmarkStart w:id="96" w:name="_Toc435024436"/>
      <w:r>
        <w:rPr>
          <w:rStyle w:val="CharSectno"/>
        </w:rPr>
        <w:t>39</w:t>
      </w:r>
      <w:r>
        <w:rPr>
          <w:snapToGrid w:val="0"/>
        </w:rPr>
        <w:t>.</w:t>
      </w:r>
      <w:r>
        <w:rPr>
          <w:snapToGrid w:val="0"/>
        </w:rPr>
        <w:tab/>
        <w:t>Licence and triennial certificate not transferable etc.</w:t>
      </w:r>
      <w:bookmarkEnd w:id="94"/>
      <w:bookmarkEnd w:id="95"/>
      <w:bookmarkEnd w:id="96"/>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[Section 39 amended by No. 43 of 1994 s. 11.]</w:t>
      </w:r>
    </w:p>
    <w:p>
      <w:pPr>
        <w:pStyle w:val="Heading5"/>
      </w:pPr>
      <w:bookmarkStart w:id="97" w:name="_Toc404159048"/>
      <w:bookmarkStart w:id="98" w:name="_Toc468700945"/>
      <w:bookmarkStart w:id="99" w:name="_Toc435024437"/>
      <w:r>
        <w:rPr>
          <w:rStyle w:val="CharSectno"/>
        </w:rPr>
        <w:t>40A</w:t>
      </w:r>
      <w:r>
        <w:t>.</w:t>
      </w:r>
      <w:r>
        <w:tab/>
        <w:t>Duplicate licence, certificate of registration or triennial certificate</w:t>
      </w:r>
      <w:bookmarkEnd w:id="97"/>
      <w:bookmarkEnd w:id="98"/>
      <w:bookmarkEnd w:id="99"/>
    </w:p>
    <w:p>
      <w:pPr>
        <w:pStyle w:val="Subsection"/>
      </w:pPr>
      <w:r>
        <w:tab/>
      </w:r>
      <w:r>
        <w:tab/>
        <w:t>If a licence, certificate of registration or triennial certificate has been lost or destroyed, the Commissioner may issue a duplicate licence, duplicate certificate of registration or duplicate triennial certificate on payment by the holder of the prescribed fee.</w:t>
      </w:r>
    </w:p>
    <w:p>
      <w:pPr>
        <w:pStyle w:val="Footnotesection"/>
      </w:pPr>
      <w:r>
        <w:tab/>
        <w:t>[Section 40A inserted by No. 23 of 2014 s. 74.]</w:t>
      </w:r>
    </w:p>
    <w:p>
      <w:pPr>
        <w:pStyle w:val="Heading5"/>
        <w:rPr>
          <w:snapToGrid w:val="0"/>
        </w:rPr>
      </w:pPr>
      <w:bookmarkStart w:id="100" w:name="_Toc404159049"/>
      <w:bookmarkStart w:id="101" w:name="_Toc468700946"/>
      <w:bookmarkStart w:id="102" w:name="_Toc435024438"/>
      <w:r>
        <w:rPr>
          <w:rStyle w:val="CharSectno"/>
        </w:rPr>
        <w:t>40</w:t>
      </w:r>
      <w:r>
        <w:rPr>
          <w:snapToGrid w:val="0"/>
        </w:rPr>
        <w:t>.</w:t>
      </w:r>
      <w:r>
        <w:rPr>
          <w:snapToGrid w:val="0"/>
        </w:rPr>
        <w:tab/>
        <w:t>Business names, use of by licensees</w:t>
      </w:r>
      <w:bookmarkEnd w:id="100"/>
      <w:bookmarkEnd w:id="101"/>
      <w:bookmarkEnd w:id="102"/>
    </w:p>
    <w:p>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[Section 40 amended by No. 43 of 1994 s. 11; No. 58 of 2010 s. 134.]</w:t>
      </w:r>
    </w:p>
    <w:p>
      <w:pPr>
        <w:pStyle w:val="Heading5"/>
        <w:rPr>
          <w:snapToGrid w:val="0"/>
        </w:rPr>
      </w:pPr>
      <w:bookmarkStart w:id="103" w:name="_Toc404159050"/>
      <w:bookmarkStart w:id="104" w:name="_Toc468700947"/>
      <w:bookmarkStart w:id="105" w:name="_Toc435024439"/>
      <w:r>
        <w:rPr>
          <w:rStyle w:val="CharSectno"/>
        </w:rPr>
        <w:t>41</w:t>
      </w:r>
      <w:r>
        <w:rPr>
          <w:snapToGrid w:val="0"/>
        </w:rPr>
        <w:t>.</w:t>
      </w:r>
      <w:r>
        <w:rPr>
          <w:snapToGrid w:val="0"/>
        </w:rPr>
        <w:tab/>
        <w:t>Notices to be exhibited at offices; particulars to appear on documents</w:t>
      </w:r>
      <w:bookmarkEnd w:id="103"/>
      <w:bookmarkEnd w:id="104"/>
      <w:bookmarkEnd w:id="105"/>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106" w:name="_Toc404159051"/>
      <w:bookmarkStart w:id="107" w:name="_Toc424293077"/>
      <w:bookmarkStart w:id="108" w:name="_Toc435024440"/>
      <w:bookmarkStart w:id="109" w:name="_Toc468700948"/>
      <w:r>
        <w:rPr>
          <w:rStyle w:val="CharPartNo"/>
        </w:rPr>
        <w:t>Part IV</w:t>
      </w:r>
      <w:r>
        <w:rPr>
          <w:rStyle w:val="CharDivNo"/>
        </w:rPr>
        <w:t> </w:t>
      </w:r>
      <w:r>
        <w:t>—</w:t>
      </w:r>
      <w:r>
        <w:rPr>
          <w:rStyle w:val="CharDivText"/>
        </w:rPr>
        <w:t> </w:t>
      </w:r>
      <w:r>
        <w:rPr>
          <w:rStyle w:val="CharPartText"/>
        </w:rPr>
        <w:t>Registration of sales representatives</w:t>
      </w:r>
      <w:bookmarkEnd w:id="106"/>
      <w:bookmarkEnd w:id="107"/>
      <w:bookmarkEnd w:id="108"/>
      <w:bookmarkEnd w:id="109"/>
    </w:p>
    <w:p>
      <w:pPr>
        <w:pStyle w:val="Heading5"/>
        <w:rPr>
          <w:snapToGrid w:val="0"/>
        </w:rPr>
      </w:pPr>
      <w:bookmarkStart w:id="110" w:name="_Toc404159052"/>
      <w:bookmarkStart w:id="111" w:name="_Toc468700949"/>
      <w:bookmarkStart w:id="112" w:name="_Toc435024441"/>
      <w:r>
        <w:rPr>
          <w:rStyle w:val="CharSectno"/>
        </w:rPr>
        <w:t>42</w:t>
      </w:r>
      <w:r>
        <w:rPr>
          <w:snapToGrid w:val="0"/>
        </w:rPr>
        <w:t>.</w:t>
      </w:r>
      <w:r>
        <w:rPr>
          <w:snapToGrid w:val="0"/>
        </w:rPr>
        <w:tab/>
        <w:t>Natural persons only may be registered</w:t>
      </w:r>
      <w:bookmarkEnd w:id="110"/>
      <w:bookmarkEnd w:id="111"/>
      <w:bookmarkEnd w:id="112"/>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113" w:name="_Toc404159053"/>
      <w:bookmarkStart w:id="114" w:name="_Toc468700950"/>
      <w:bookmarkStart w:id="115" w:name="_Toc435024442"/>
      <w:r>
        <w:rPr>
          <w:rStyle w:val="CharSectno"/>
        </w:rPr>
        <w:t>43</w:t>
      </w:r>
      <w:r>
        <w:rPr>
          <w:snapToGrid w:val="0"/>
        </w:rPr>
        <w:t>.</w:t>
      </w:r>
      <w:r>
        <w:rPr>
          <w:snapToGrid w:val="0"/>
        </w:rPr>
        <w:tab/>
        <w:t>Applications for registration</w:t>
      </w:r>
      <w:bookmarkEnd w:id="113"/>
      <w:bookmarkEnd w:id="114"/>
      <w:bookmarkEnd w:id="115"/>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(4)</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43 amended by No. 58 of 2010 s. 95 and 134.]</w:t>
      </w:r>
    </w:p>
    <w:p>
      <w:pPr>
        <w:pStyle w:val="Heading5"/>
        <w:rPr>
          <w:snapToGrid w:val="0"/>
        </w:rPr>
      </w:pPr>
      <w:bookmarkStart w:id="116" w:name="_Toc404159054"/>
      <w:bookmarkStart w:id="117" w:name="_Toc468700951"/>
      <w:bookmarkStart w:id="118" w:name="_Toc435024443"/>
      <w:r>
        <w:rPr>
          <w:rStyle w:val="CharSectno"/>
        </w:rPr>
        <w:t>44</w:t>
      </w:r>
      <w:r>
        <w:rPr>
          <w:snapToGrid w:val="0"/>
        </w:rPr>
        <w:t>.</w:t>
      </w:r>
      <w:r>
        <w:rPr>
          <w:snapToGrid w:val="0"/>
        </w:rPr>
        <w:tab/>
        <w:t>Real estate sales representatives must be registered etc.</w:t>
      </w:r>
      <w:bookmarkEnd w:id="116"/>
      <w:bookmarkEnd w:id="117"/>
      <w:bookmarkEnd w:id="118"/>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[Section 44 amended by No. 43 of 1994 s. 11.]</w:t>
      </w:r>
    </w:p>
    <w:p>
      <w:pPr>
        <w:pStyle w:val="Heading5"/>
        <w:rPr>
          <w:snapToGrid w:val="0"/>
        </w:rPr>
      </w:pPr>
      <w:bookmarkStart w:id="119" w:name="_Toc404159055"/>
      <w:bookmarkStart w:id="120" w:name="_Toc468700952"/>
      <w:bookmarkStart w:id="121" w:name="_Toc435024444"/>
      <w:r>
        <w:rPr>
          <w:rStyle w:val="CharSectno"/>
        </w:rPr>
        <w:t>45</w:t>
      </w:r>
      <w:r>
        <w:rPr>
          <w:snapToGrid w:val="0"/>
        </w:rPr>
        <w:t>.</w:t>
      </w:r>
      <w:r>
        <w:rPr>
          <w:snapToGrid w:val="0"/>
        </w:rPr>
        <w:tab/>
        <w:t>Business sales representatives must be registered etc.</w:t>
      </w:r>
      <w:bookmarkEnd w:id="119"/>
      <w:bookmarkEnd w:id="120"/>
      <w:bookmarkEnd w:id="121"/>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spacing w:before="180"/>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[Section 45 amended by No. 43 of 1994 s. 11.]</w:t>
      </w:r>
    </w:p>
    <w:p>
      <w:pPr>
        <w:pStyle w:val="Heading5"/>
        <w:spacing w:before="260"/>
        <w:rPr>
          <w:snapToGrid w:val="0"/>
        </w:rPr>
      </w:pPr>
      <w:bookmarkStart w:id="122" w:name="_Toc404159056"/>
      <w:bookmarkStart w:id="123" w:name="_Toc468700953"/>
      <w:bookmarkStart w:id="124" w:name="_Toc435024445"/>
      <w:r>
        <w:rPr>
          <w:rStyle w:val="CharSectno"/>
        </w:rPr>
        <w:t>46</w:t>
      </w:r>
      <w:r>
        <w:rPr>
          <w:snapToGrid w:val="0"/>
        </w:rPr>
        <w:t>.</w:t>
      </w:r>
      <w:r>
        <w:rPr>
          <w:snapToGrid w:val="0"/>
        </w:rPr>
        <w:tab/>
        <w:t>Partners and directors of licensees to be registered in certain cases</w:t>
      </w:r>
      <w:bookmarkEnd w:id="122"/>
      <w:bookmarkEnd w:id="123"/>
      <w:bookmarkEnd w:id="124"/>
    </w:p>
    <w:p>
      <w:pPr>
        <w:pStyle w:val="Subsection"/>
        <w:keepNext/>
        <w:spacing w:before="180"/>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[Section 46 amended by No. 43 of 1994 s. 11.]</w:t>
      </w:r>
    </w:p>
    <w:p>
      <w:pPr>
        <w:pStyle w:val="Heading5"/>
        <w:spacing w:before="260"/>
        <w:rPr>
          <w:snapToGrid w:val="0"/>
        </w:rPr>
      </w:pPr>
      <w:bookmarkStart w:id="125" w:name="_Toc404159057"/>
      <w:bookmarkStart w:id="126" w:name="_Toc468700954"/>
      <w:bookmarkStart w:id="127" w:name="_Toc435024446"/>
      <w:r>
        <w:rPr>
          <w:rStyle w:val="CharSectno"/>
        </w:rPr>
        <w:t>47</w:t>
      </w:r>
      <w:r>
        <w:rPr>
          <w:snapToGrid w:val="0"/>
        </w:rPr>
        <w:t>.</w:t>
      </w:r>
      <w:r>
        <w:rPr>
          <w:snapToGrid w:val="0"/>
        </w:rPr>
        <w:tab/>
        <w:t>Natural persons, grant of certificate of registration to</w:t>
      </w:r>
      <w:bookmarkEnd w:id="125"/>
      <w:bookmarkEnd w:id="126"/>
      <w:bookmarkEnd w:id="127"/>
    </w:p>
    <w:p>
      <w:pPr>
        <w:pStyle w:val="Subsection"/>
        <w:spacing w:before="180"/>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the prescribed fee for that certificate shall be granted and may hold a certificate of registration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Footnotesection"/>
      </w:pPr>
      <w:r>
        <w:tab/>
        <w:t>[Section 47 amended by No. 58 of 2010 s. 134.]</w:t>
      </w:r>
    </w:p>
    <w:p>
      <w:pPr>
        <w:pStyle w:val="Heading5"/>
        <w:rPr>
          <w:snapToGrid w:val="0"/>
        </w:rPr>
      </w:pPr>
      <w:bookmarkStart w:id="128" w:name="_Toc404159058"/>
      <w:bookmarkStart w:id="129" w:name="_Toc468700955"/>
      <w:bookmarkStart w:id="130" w:name="_Toc435024447"/>
      <w:r>
        <w:rPr>
          <w:rStyle w:val="CharSectno"/>
        </w:rPr>
        <w:t>48</w:t>
      </w:r>
      <w:r>
        <w:rPr>
          <w:snapToGrid w:val="0"/>
        </w:rPr>
        <w:t>.</w:t>
      </w:r>
      <w:r>
        <w:rPr>
          <w:snapToGrid w:val="0"/>
        </w:rPr>
        <w:tab/>
        <w:t>Certificates of registration, duration and renewal of</w:t>
      </w:r>
      <w:bookmarkEnd w:id="128"/>
      <w:bookmarkEnd w:id="129"/>
      <w:bookmarkEnd w:id="130"/>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 xml:space="preserve">The </w:t>
      </w:r>
      <w:r>
        <w:t>Commissioner</w:t>
      </w:r>
      <w:r>
        <w:rPr>
          <w:snapToGrid w:val="0"/>
        </w:rPr>
        <w:t xml:space="preserve"> shall not renew a certificate of registration unless the </w:t>
      </w:r>
      <w:r>
        <w:t>Commissioner</w:t>
      </w:r>
      <w:r>
        <w:rPr>
          <w:snapToGrid w:val="0"/>
        </w:rPr>
        <w:t xml:space="preserve"> is satisfied that the sales representative was employed by a licensee at the time of making the application or will be employed by a licensee upon the renewal of the certificate.</w:t>
      </w:r>
    </w:p>
    <w:p>
      <w:pPr>
        <w:pStyle w:val="Subsection"/>
        <w:keepNext/>
        <w:keepLines/>
        <w:rPr>
          <w:snapToGrid w:val="0"/>
        </w:rPr>
      </w:pPr>
      <w:r>
        <w:rPr>
          <w:snapToGrid w:val="0"/>
        </w:rPr>
        <w:tab/>
        <w:t>(5)</w:t>
      </w:r>
      <w:r>
        <w:rPr>
          <w:snapToGrid w:val="0"/>
        </w:rPr>
        <w:tab/>
        <w:t xml:space="preserve">The </w:t>
      </w:r>
      <w:r>
        <w:t>Commissioner</w:t>
      </w:r>
      <w:r>
        <w:rPr>
          <w:snapToGrid w:val="0"/>
        </w:rPr>
        <w:t xml:space="preserve"> may refuse to renew a sales representative’s certificate of registration if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[Section 48 amended by No. 56 of 1995 s. 42; No. 34 of 1998 s. 12; No. 55 of 2004 s. 1009; No. 58 of 2010 s. 134.]</w:t>
      </w:r>
    </w:p>
    <w:p>
      <w:pPr>
        <w:pStyle w:val="Heading5"/>
        <w:rPr>
          <w:snapToGrid w:val="0"/>
        </w:rPr>
      </w:pPr>
      <w:bookmarkStart w:id="131" w:name="_Toc404159059"/>
      <w:bookmarkStart w:id="132" w:name="_Toc468700956"/>
      <w:bookmarkStart w:id="133" w:name="_Toc435024448"/>
      <w:r>
        <w:rPr>
          <w:rStyle w:val="CharSectno"/>
        </w:rPr>
        <w:t>49</w:t>
      </w:r>
      <w:r>
        <w:rPr>
          <w:snapToGrid w:val="0"/>
        </w:rPr>
        <w:t>.</w:t>
      </w:r>
      <w:r>
        <w:rPr>
          <w:snapToGrid w:val="0"/>
        </w:rPr>
        <w:tab/>
        <w:t>Certificates of registration, late renewal of</w:t>
      </w:r>
      <w:bookmarkEnd w:id="131"/>
      <w:bookmarkEnd w:id="132"/>
      <w:bookmarkEnd w:id="133"/>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determines by statutory declaration.</w:t>
      </w:r>
    </w:p>
    <w:p>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49 amended by No. 56 of 1995 s. 43; No. 58 of 2010 s. 96 and 134.]</w:t>
      </w:r>
    </w:p>
    <w:p>
      <w:pPr>
        <w:pStyle w:val="Heading5"/>
        <w:rPr>
          <w:snapToGrid w:val="0"/>
        </w:rPr>
      </w:pPr>
      <w:bookmarkStart w:id="134" w:name="_Toc404159060"/>
      <w:bookmarkStart w:id="135" w:name="_Toc468700957"/>
      <w:bookmarkStart w:id="136" w:name="_Toc435024449"/>
      <w:r>
        <w:rPr>
          <w:rStyle w:val="CharSectno"/>
        </w:rPr>
        <w:t>50</w:t>
      </w:r>
      <w:r>
        <w:rPr>
          <w:snapToGrid w:val="0"/>
        </w:rPr>
        <w:t>.</w:t>
      </w:r>
      <w:r>
        <w:rPr>
          <w:snapToGrid w:val="0"/>
        </w:rPr>
        <w:tab/>
        <w:t>Duties of registered persons; Commissioner may impose special conditions on certificates of registration</w:t>
      </w:r>
      <w:bookmarkEnd w:id="134"/>
      <w:bookmarkEnd w:id="135"/>
      <w:bookmarkEnd w:id="136"/>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 xml:space="preserve">The </w:t>
      </w:r>
      <w:r>
        <w:t>Commissioner</w:t>
      </w:r>
      <w:r>
        <w:rPr>
          <w:snapToGrid w:val="0"/>
        </w:rPr>
        <w:t xml:space="preserve"> may grant a certificate of registration or a renewal thereof subject to such special conditions as the </w:t>
      </w:r>
      <w:r>
        <w:t>Commissioner</w:t>
      </w:r>
      <w:r>
        <w:rPr>
          <w:snapToGrid w:val="0"/>
        </w:rPr>
        <w:t xml:space="preserve">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[Section 50 amended by No. 56 of 1995 s. 44; No. 34 of 1998 s. 13; No. 58 of 2010 s. 134.]</w:t>
      </w:r>
    </w:p>
    <w:p>
      <w:pPr>
        <w:pStyle w:val="Heading5"/>
      </w:pPr>
      <w:bookmarkStart w:id="137" w:name="_Toc404159061"/>
      <w:bookmarkStart w:id="138" w:name="_Toc468700958"/>
      <w:bookmarkStart w:id="139" w:name="_Toc435024450"/>
      <w:r>
        <w:rPr>
          <w:rStyle w:val="CharSectno"/>
        </w:rPr>
        <w:t>50A</w:t>
      </w:r>
      <w:r>
        <w:rPr>
          <w:snapToGrid w:val="0"/>
        </w:rPr>
        <w:t>.</w:t>
      </w:r>
      <w:r>
        <w:tab/>
        <w:t>Unopposed applications</w:t>
      </w:r>
      <w:bookmarkEnd w:id="137"/>
      <w:bookmarkEnd w:id="138"/>
      <w:bookmarkEnd w:id="139"/>
    </w:p>
    <w:p>
      <w:pPr>
        <w:pStyle w:val="Subsection"/>
      </w:pPr>
      <w:r>
        <w:tab/>
        <w:t>(1)</w:t>
      </w:r>
      <w:r>
        <w:tab/>
        <w:t>Subject to this Part, a certificate of registration may be granted or renewed (as long as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pPr>
        <w:pStyle w:val="Footnotesection"/>
        <w:keepLines w:val="0"/>
        <w:spacing w:before="100"/>
        <w:ind w:left="890" w:hanging="890"/>
      </w:pPr>
      <w:r>
        <w:tab/>
        <w:t>[Section 50A inserted by No. 55 of 2004 s. 1010; amended by No. 58 of 2010 s. 97 and 134.]</w:t>
      </w:r>
    </w:p>
    <w:p>
      <w:pPr>
        <w:pStyle w:val="Heading5"/>
      </w:pPr>
      <w:bookmarkStart w:id="140" w:name="_Toc404159062"/>
      <w:bookmarkStart w:id="141" w:name="_Toc468700959"/>
      <w:bookmarkStart w:id="142" w:name="_Toc435024451"/>
      <w:r>
        <w:rPr>
          <w:rStyle w:val="CharSectno"/>
        </w:rPr>
        <w:t>50B</w:t>
      </w:r>
      <w:r>
        <w:t>.</w:t>
      </w:r>
      <w:r>
        <w:tab/>
        <w:t>SAT may suspend registration in some cases</w:t>
      </w:r>
      <w:bookmarkEnd w:id="140"/>
      <w:bookmarkEnd w:id="141"/>
      <w:bookmarkEnd w:id="142"/>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spacing w:before="100"/>
        <w:ind w:left="890" w:hanging="890"/>
      </w:pPr>
      <w:r>
        <w:tab/>
        <w:t>[Section 50B inserted by No. 55 of 2004 s. 1010.]</w:t>
      </w:r>
    </w:p>
    <w:p>
      <w:pPr>
        <w:pStyle w:val="Heading5"/>
        <w:rPr>
          <w:snapToGrid w:val="0"/>
        </w:rPr>
      </w:pPr>
      <w:bookmarkStart w:id="143" w:name="_Toc404159063"/>
      <w:bookmarkStart w:id="144" w:name="_Toc468700960"/>
      <w:bookmarkStart w:id="145" w:name="_Toc435024452"/>
      <w:r>
        <w:rPr>
          <w:rStyle w:val="CharSectno"/>
        </w:rPr>
        <w:t>51</w:t>
      </w:r>
      <w:r>
        <w:rPr>
          <w:snapToGrid w:val="0"/>
        </w:rPr>
        <w:t>.</w:t>
      </w:r>
      <w:r>
        <w:rPr>
          <w:snapToGrid w:val="0"/>
        </w:rPr>
        <w:tab/>
      </w:r>
      <w:r>
        <w:t>Registered sales representatives to notify Commissioner of certain changes</w:t>
      </w:r>
      <w:bookmarkEnd w:id="143"/>
      <w:bookmarkEnd w:id="144"/>
      <w:bookmarkEnd w:id="145"/>
    </w:p>
    <w:p>
      <w:pPr>
        <w:pStyle w:val="Subsection"/>
        <w:spacing w:before="120"/>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pPr>
        <w:pStyle w:val="Subsection"/>
        <w:spacing w:before="120"/>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pPr>
        <w:pStyle w:val="Footnotesection"/>
        <w:spacing w:before="100"/>
        <w:ind w:left="890" w:hanging="890"/>
      </w:pPr>
      <w:r>
        <w:tab/>
        <w:t>[Section 51 amended by No. 56 of 1995 s. 45; No. 58 of 2010 s. 134.]</w:t>
      </w:r>
    </w:p>
    <w:p>
      <w:pPr>
        <w:pStyle w:val="Heading5"/>
        <w:rPr>
          <w:snapToGrid w:val="0"/>
        </w:rPr>
      </w:pPr>
      <w:bookmarkStart w:id="146" w:name="_Toc404159064"/>
      <w:bookmarkStart w:id="147" w:name="_Toc468700961"/>
      <w:bookmarkStart w:id="148" w:name="_Toc435024453"/>
      <w:r>
        <w:rPr>
          <w:rStyle w:val="CharSectno"/>
        </w:rPr>
        <w:t>52</w:t>
      </w:r>
      <w:r>
        <w:rPr>
          <w:snapToGrid w:val="0"/>
        </w:rPr>
        <w:t>.</w:t>
      </w:r>
      <w:r>
        <w:rPr>
          <w:snapToGrid w:val="0"/>
        </w:rPr>
        <w:tab/>
        <w:t>Certificate of registration not transferable</w:t>
      </w:r>
      <w:bookmarkEnd w:id="146"/>
      <w:bookmarkEnd w:id="147"/>
      <w:bookmarkEnd w:id="148"/>
    </w:p>
    <w:p>
      <w:pPr>
        <w:pStyle w:val="Subsection"/>
        <w:spacing w:before="120"/>
        <w:rPr>
          <w:snapToGrid w:val="0"/>
        </w:rPr>
      </w:pPr>
      <w:r>
        <w:rPr>
          <w:snapToGrid w:val="0"/>
        </w:rPr>
        <w:tab/>
        <w:t>(1)</w:t>
      </w:r>
      <w:r>
        <w:rPr>
          <w:snapToGrid w:val="0"/>
        </w:rPr>
        <w:tab/>
        <w:t>A certificate of registration is not transferable.</w:t>
      </w:r>
    </w:p>
    <w:p>
      <w:pPr>
        <w:pStyle w:val="Subsection"/>
        <w:spacing w:before="120"/>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spacing w:before="60"/>
        <w:rPr>
          <w:snapToGrid w:val="0"/>
        </w:rPr>
      </w:pPr>
      <w:r>
        <w:rPr>
          <w:snapToGrid w:val="0"/>
        </w:rPr>
        <w:tab/>
        <w:t>Penalty: $3 000.</w:t>
      </w:r>
    </w:p>
    <w:p>
      <w:pPr>
        <w:pStyle w:val="Footnotesection"/>
        <w:spacing w:before="100"/>
        <w:ind w:left="890" w:hanging="890"/>
      </w:pPr>
      <w:r>
        <w:tab/>
        <w:t>[Section 52 amended by No. 43 of 1994 s. 11.]</w:t>
      </w:r>
    </w:p>
    <w:p>
      <w:pPr>
        <w:pStyle w:val="Heading5"/>
        <w:spacing w:before="180"/>
        <w:rPr>
          <w:snapToGrid w:val="0"/>
        </w:rPr>
      </w:pPr>
      <w:bookmarkStart w:id="149" w:name="_Toc404159065"/>
      <w:bookmarkStart w:id="150" w:name="_Toc468700962"/>
      <w:bookmarkStart w:id="151" w:name="_Toc435024454"/>
      <w:r>
        <w:rPr>
          <w:rStyle w:val="CharSectno"/>
        </w:rPr>
        <w:t>53</w:t>
      </w:r>
      <w:r>
        <w:rPr>
          <w:snapToGrid w:val="0"/>
        </w:rPr>
        <w:t>.</w:t>
      </w:r>
      <w:r>
        <w:rPr>
          <w:snapToGrid w:val="0"/>
        </w:rPr>
        <w:tab/>
        <w:t>Certificate of registration, surrender of</w:t>
      </w:r>
      <w:bookmarkEnd w:id="149"/>
      <w:bookmarkEnd w:id="150"/>
      <w:bookmarkEnd w:id="151"/>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spacing w:before="120"/>
        <w:rPr>
          <w:snapToGrid w:val="0"/>
        </w:rPr>
      </w:pPr>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spacing w:before="90"/>
        <w:ind w:left="890" w:hanging="890"/>
      </w:pPr>
      <w:r>
        <w:tab/>
        <w:t>[Section 53 amended by No. 55 of 2004 s. 1011.]</w:t>
      </w:r>
    </w:p>
    <w:p>
      <w:pPr>
        <w:pStyle w:val="Heading5"/>
        <w:spacing w:before="180"/>
        <w:rPr>
          <w:snapToGrid w:val="0"/>
        </w:rPr>
      </w:pPr>
      <w:bookmarkStart w:id="152" w:name="_Toc404159066"/>
      <w:bookmarkStart w:id="153" w:name="_Toc468700963"/>
      <w:bookmarkStart w:id="154" w:name="_Toc435024455"/>
      <w:r>
        <w:rPr>
          <w:rStyle w:val="CharSectno"/>
        </w:rPr>
        <w:t>54</w:t>
      </w:r>
      <w:r>
        <w:rPr>
          <w:snapToGrid w:val="0"/>
        </w:rPr>
        <w:t>.</w:t>
      </w:r>
      <w:r>
        <w:rPr>
          <w:snapToGrid w:val="0"/>
        </w:rPr>
        <w:tab/>
        <w:t>Sales representatives, employment of</w:t>
      </w:r>
      <w:bookmarkEnd w:id="152"/>
      <w:bookmarkEnd w:id="153"/>
      <w:bookmarkEnd w:id="154"/>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Footnotesection"/>
        <w:spacing w:before="90"/>
        <w:ind w:left="890" w:hanging="890"/>
      </w:pPr>
      <w:r>
        <w:tab/>
        <w:t>[Section 54 amended by No. 43 of 1994 s. 11.]</w:t>
      </w:r>
    </w:p>
    <w:p>
      <w:pPr>
        <w:pStyle w:val="Heading5"/>
        <w:rPr>
          <w:snapToGrid w:val="0"/>
        </w:rPr>
      </w:pPr>
      <w:bookmarkStart w:id="155" w:name="_Toc404159067"/>
      <w:bookmarkStart w:id="156" w:name="_Toc468700964"/>
      <w:bookmarkStart w:id="157" w:name="_Toc435024456"/>
      <w:r>
        <w:rPr>
          <w:rStyle w:val="CharSectno"/>
        </w:rPr>
        <w:t>55</w:t>
      </w:r>
      <w:r>
        <w:rPr>
          <w:snapToGrid w:val="0"/>
        </w:rPr>
        <w:t>.</w:t>
      </w:r>
      <w:r>
        <w:rPr>
          <w:snapToGrid w:val="0"/>
        </w:rPr>
        <w:tab/>
        <w:t>Sales representative to be in service of one person</w:t>
      </w:r>
      <w:bookmarkEnd w:id="155"/>
      <w:bookmarkEnd w:id="156"/>
      <w:bookmarkEnd w:id="157"/>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[Section 55 amended by No. 43 of 1994 s. 11.]</w:t>
      </w:r>
    </w:p>
    <w:p>
      <w:pPr>
        <w:pStyle w:val="Heading2"/>
      </w:pPr>
      <w:bookmarkStart w:id="158" w:name="_Toc404159068"/>
      <w:bookmarkStart w:id="159" w:name="_Toc424293094"/>
      <w:bookmarkStart w:id="160" w:name="_Toc435024457"/>
      <w:bookmarkStart w:id="161" w:name="_Toc468700965"/>
      <w:r>
        <w:rPr>
          <w:rStyle w:val="CharPartNo"/>
        </w:rPr>
        <w:t>Part V</w:t>
      </w:r>
      <w:r>
        <w:rPr>
          <w:rStyle w:val="CharDivNo"/>
        </w:rPr>
        <w:t> </w:t>
      </w:r>
      <w:r>
        <w:t>—</w:t>
      </w:r>
      <w:r>
        <w:rPr>
          <w:rStyle w:val="CharDivText"/>
        </w:rPr>
        <w:t> </w:t>
      </w:r>
      <w:r>
        <w:rPr>
          <w:rStyle w:val="CharPartText"/>
        </w:rPr>
        <w:t>General controls</w:t>
      </w:r>
      <w:bookmarkEnd w:id="158"/>
      <w:bookmarkEnd w:id="159"/>
      <w:bookmarkEnd w:id="160"/>
      <w:bookmarkEnd w:id="161"/>
    </w:p>
    <w:p>
      <w:pPr>
        <w:pStyle w:val="Heading5"/>
        <w:rPr>
          <w:snapToGrid w:val="0"/>
        </w:rPr>
      </w:pPr>
      <w:bookmarkStart w:id="162" w:name="_Toc404159069"/>
      <w:bookmarkStart w:id="163" w:name="_Toc468700966"/>
      <w:bookmarkStart w:id="164" w:name="_Toc435024458"/>
      <w:r>
        <w:rPr>
          <w:rStyle w:val="CharSectno"/>
        </w:rPr>
        <w:t>56</w:t>
      </w:r>
      <w:r>
        <w:rPr>
          <w:snapToGrid w:val="0"/>
        </w:rPr>
        <w:t>.</w:t>
      </w:r>
      <w:r>
        <w:rPr>
          <w:snapToGrid w:val="0"/>
        </w:rPr>
        <w:tab/>
        <w:t>Franchising agreements, licensee not to carry on business under without Commissioner’s approval</w:t>
      </w:r>
      <w:bookmarkEnd w:id="162"/>
      <w:bookmarkEnd w:id="163"/>
      <w:bookmarkEnd w:id="164"/>
    </w:p>
    <w:p>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w:t>
      </w:r>
    </w:p>
    <w:p>
      <w:pPr>
        <w:pStyle w:val="Indenta"/>
        <w:rPr>
          <w:snapToGrid w:val="0"/>
        </w:rPr>
      </w:pPr>
      <w:r>
        <w:rPr>
          <w:snapToGrid w:val="0"/>
        </w:rPr>
        <w:tab/>
        <w:t>(a)</w:t>
      </w:r>
      <w:r>
        <w:rPr>
          <w:snapToGrid w:val="0"/>
        </w:rPr>
        <w:tab/>
        <w:t>each party to the agreement is liable to penalties imposed for failure to comply with the provisions of Part VI; and</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[Section 56 amended by No. 43 of 1994 s. 11; No. 58 of 2010 s. 134.]</w:t>
      </w:r>
    </w:p>
    <w:p>
      <w:pPr>
        <w:pStyle w:val="Heading5"/>
        <w:rPr>
          <w:snapToGrid w:val="0"/>
        </w:rPr>
      </w:pPr>
      <w:bookmarkStart w:id="165" w:name="_Toc404159070"/>
      <w:bookmarkStart w:id="166" w:name="_Toc468700967"/>
      <w:bookmarkStart w:id="167" w:name="_Toc435024459"/>
      <w:r>
        <w:rPr>
          <w:rStyle w:val="CharSectno"/>
        </w:rPr>
        <w:t>57</w:t>
      </w:r>
      <w:r>
        <w:rPr>
          <w:snapToGrid w:val="0"/>
        </w:rPr>
        <w:t>.</w:t>
      </w:r>
      <w:r>
        <w:rPr>
          <w:snapToGrid w:val="0"/>
        </w:rPr>
        <w:tab/>
        <w:t>Developers, principal place of business to be registered and service on</w:t>
      </w:r>
      <w:bookmarkEnd w:id="165"/>
      <w:bookmarkEnd w:id="166"/>
      <w:bookmarkEnd w:id="167"/>
    </w:p>
    <w:p>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[Section 57 amended by No. 43 of 1994 s. 11; No. 58 of 2010 s. 134.]</w:t>
      </w:r>
    </w:p>
    <w:p>
      <w:pPr>
        <w:pStyle w:val="Heading5"/>
        <w:rPr>
          <w:snapToGrid w:val="0"/>
        </w:rPr>
      </w:pPr>
      <w:bookmarkStart w:id="168" w:name="_Toc404159071"/>
      <w:bookmarkStart w:id="169" w:name="_Toc468700968"/>
      <w:bookmarkStart w:id="170" w:name="_Toc435024460"/>
      <w:r>
        <w:rPr>
          <w:rStyle w:val="CharSectno"/>
        </w:rPr>
        <w:t>58</w:t>
      </w:r>
      <w:r>
        <w:rPr>
          <w:snapToGrid w:val="0"/>
        </w:rPr>
        <w:t>.</w:t>
      </w:r>
      <w:r>
        <w:rPr>
          <w:snapToGrid w:val="0"/>
        </w:rPr>
        <w:tab/>
        <w:t>Developer to notify Commissioner of change in principal place of business</w:t>
      </w:r>
      <w:bookmarkEnd w:id="168"/>
      <w:bookmarkEnd w:id="169"/>
      <w:bookmarkEnd w:id="170"/>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pPr>
        <w:pStyle w:val="Footnotesection"/>
      </w:pPr>
      <w:r>
        <w:tab/>
        <w:t>[Section 58 amended by No. 43 of 1994 s. 11; No. 58 of 2010 s. 134.]</w:t>
      </w:r>
    </w:p>
    <w:p>
      <w:pPr>
        <w:pStyle w:val="Heading5"/>
        <w:rPr>
          <w:snapToGrid w:val="0"/>
        </w:rPr>
      </w:pPr>
      <w:bookmarkStart w:id="171" w:name="_Toc404159072"/>
      <w:bookmarkStart w:id="172" w:name="_Toc468700969"/>
      <w:bookmarkStart w:id="173" w:name="_Toc435024461"/>
      <w:r>
        <w:rPr>
          <w:rStyle w:val="CharSectno"/>
        </w:rPr>
        <w:t>59</w:t>
      </w:r>
      <w:r>
        <w:rPr>
          <w:snapToGrid w:val="0"/>
        </w:rPr>
        <w:t>.</w:t>
      </w:r>
      <w:r>
        <w:rPr>
          <w:snapToGrid w:val="0"/>
        </w:rPr>
        <w:tab/>
        <w:t>Developer to keep records of real estate transactions</w:t>
      </w:r>
      <w:bookmarkEnd w:id="171"/>
      <w:bookmarkEnd w:id="172"/>
      <w:bookmarkEnd w:id="173"/>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174" w:name="_Toc404159073"/>
      <w:bookmarkStart w:id="175" w:name="_Toc468700970"/>
      <w:bookmarkStart w:id="176" w:name="_Toc435024462"/>
      <w:r>
        <w:rPr>
          <w:rStyle w:val="CharSectno"/>
        </w:rPr>
        <w:t>60</w:t>
      </w:r>
      <w:r>
        <w:rPr>
          <w:snapToGrid w:val="0"/>
        </w:rPr>
        <w:t>.</w:t>
      </w:r>
      <w:r>
        <w:rPr>
          <w:snapToGrid w:val="0"/>
        </w:rPr>
        <w:tab/>
        <w:t>Agent not entitled to commission etc. unless licensed and validly appointed</w:t>
      </w:r>
      <w:bookmarkEnd w:id="174"/>
      <w:bookmarkEnd w:id="175"/>
      <w:bookmarkEnd w:id="176"/>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w:t>
      </w:r>
    </w:p>
    <w:p>
      <w:pPr>
        <w:pStyle w:val="Indenta"/>
        <w:keepNext/>
        <w:rPr>
          <w:snapToGrid w:val="0"/>
        </w:rPr>
      </w:pPr>
      <w:r>
        <w:rPr>
          <w:snapToGrid w:val="0"/>
        </w:rPr>
        <w:tab/>
        <w:t>(a)</w:t>
      </w:r>
      <w:r>
        <w:rPr>
          <w:snapToGrid w:val="0"/>
        </w:rPr>
        <w:tab/>
        <w:t>it is contained in a document which —</w:t>
      </w:r>
    </w:p>
    <w:p>
      <w:pPr>
        <w:pStyle w:val="Indenti"/>
        <w:rPr>
          <w:snapToGrid w:val="0"/>
        </w:rPr>
      </w:pPr>
      <w:r>
        <w:rPr>
          <w:snapToGrid w:val="0"/>
        </w:rPr>
        <w:tab/>
        <w:t>(i)</w:t>
      </w:r>
      <w:r>
        <w:rPr>
          <w:snapToGrid w:val="0"/>
        </w:rPr>
        <w:tab/>
        <w:t>clearly sets out the services that are or are to be rendered; and</w:t>
      </w:r>
    </w:p>
    <w:p>
      <w:pPr>
        <w:pStyle w:val="Indenti"/>
        <w:rPr>
          <w:snapToGrid w:val="0"/>
        </w:rPr>
      </w:pPr>
      <w:r>
        <w:rPr>
          <w:snapToGrid w:val="0"/>
        </w:rPr>
        <w:tab/>
        <w:t>(ii)</w:t>
      </w:r>
      <w:r>
        <w:rPr>
          <w:snapToGrid w:val="0"/>
        </w:rPr>
        <w:tab/>
        <w:t>where specific property is to be the subject of those services, clearly identifies the property; and</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[Section 60 amended by No. 43 of 1994 s. 11; No. 59 of 1995 s. 9; No. 34 of 1998 s. 14.]</w:t>
      </w:r>
    </w:p>
    <w:p>
      <w:pPr>
        <w:pStyle w:val="Heading5"/>
        <w:rPr>
          <w:snapToGrid w:val="0"/>
        </w:rPr>
      </w:pPr>
      <w:bookmarkStart w:id="177" w:name="_Toc404159074"/>
      <w:bookmarkStart w:id="178" w:name="_Toc468700971"/>
      <w:bookmarkStart w:id="179" w:name="_Toc435024463"/>
      <w:r>
        <w:rPr>
          <w:rStyle w:val="CharSectno"/>
        </w:rPr>
        <w:t>61</w:t>
      </w:r>
      <w:r>
        <w:rPr>
          <w:snapToGrid w:val="0"/>
        </w:rPr>
        <w:t>.</w:t>
      </w:r>
      <w:r>
        <w:rPr>
          <w:snapToGrid w:val="0"/>
        </w:rPr>
        <w:tab/>
        <w:t>Maximum remuneration of licensees, fixing of etc.</w:t>
      </w:r>
      <w:bookmarkEnd w:id="177"/>
      <w:bookmarkEnd w:id="178"/>
      <w:bookmarkEnd w:id="179"/>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spacing w:before="140"/>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spacing w:before="140"/>
        <w:rPr>
          <w:snapToGrid w:val="0"/>
        </w:rPr>
      </w:pPr>
      <w:r>
        <w:rPr>
          <w:snapToGrid w:val="0"/>
        </w:rPr>
        <w:tab/>
        <w:t>(4a)</w:t>
      </w:r>
      <w:r>
        <w:rPr>
          <w:snapToGrid w:val="0"/>
        </w:rPr>
        <w:tab/>
        <w:t>In subsection (4) —</w:t>
      </w:r>
    </w:p>
    <w:p>
      <w:pPr>
        <w:pStyle w:val="Defstart"/>
        <w:spacing w:before="60"/>
      </w:pPr>
      <w:r>
        <w:tab/>
      </w:r>
      <w:r>
        <w:rPr>
          <w:rStyle w:val="CharDefText"/>
        </w:rPr>
        <w:t>settlement</w:t>
      </w:r>
      <w:r>
        <w:t>, in relation to a transaction —</w:t>
      </w:r>
    </w:p>
    <w:p>
      <w:pPr>
        <w:pStyle w:val="Defpara"/>
        <w:spacing w:before="60"/>
      </w:pPr>
      <w:r>
        <w:tab/>
        <w:t>(a)</w:t>
      </w:r>
      <w:r>
        <w:tab/>
        <w:t>where the transaction is to be completed by the payment of the purchase price by way of a single payment (over and above the deposit), means the payment of the purchase price; or</w:t>
      </w:r>
    </w:p>
    <w:p>
      <w:pPr>
        <w:pStyle w:val="Defpara"/>
        <w:spacing w:before="60"/>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spacing w:before="60"/>
      </w:pPr>
      <w:r>
        <w:tab/>
        <w:t>(c)</w:t>
      </w:r>
      <w:r>
        <w:tab/>
        <w:t>where the transaction is of a kind specified in regulations, has the meaning prescribed by the regulations in relation to that kind of transaction;</w:t>
      </w:r>
    </w:p>
    <w:p>
      <w:pPr>
        <w:pStyle w:val="Defstart"/>
        <w:spacing w:before="60"/>
      </w:pPr>
      <w:r>
        <w:tab/>
      </w:r>
      <w:r>
        <w:rPr>
          <w:rStyle w:val="CharDefText"/>
        </w:rPr>
        <w:t>transaction</w:t>
      </w:r>
      <w:r>
        <w:t xml:space="preserve"> means —</w:t>
      </w:r>
    </w:p>
    <w:p>
      <w:pPr>
        <w:pStyle w:val="Defpara"/>
        <w:spacing w:before="60"/>
      </w:pPr>
      <w:r>
        <w:tab/>
        <w:t>(a)</w:t>
      </w:r>
      <w:r>
        <w:tab/>
        <w:t>a sale, exchange, or other disposal and a purchase, exchange, or other acquisition of real estate and any exclusive right whether deriving from the ownership of a share or interest in a body corporate or partnership; or</w:t>
      </w:r>
    </w:p>
    <w:p>
      <w:pPr>
        <w:pStyle w:val="Defpara"/>
        <w:spacing w:before="60"/>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w:t>
      </w:r>
      <w:r>
        <w:rPr>
          <w:b/>
          <w:i/>
        </w:rPr>
        <w:t>business transaction</w:t>
      </w:r>
      <w:r>
        <w:t>,</w:t>
      </w:r>
    </w:p>
    <w:p>
      <w:pPr>
        <w:pStyle w:val="Defstart"/>
        <w:spacing w:before="160"/>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ind w:left="890" w:hanging="890"/>
      </w:pPr>
      <w:r>
        <w:tab/>
        <w:t>[Section 61 amended by No. 128 of 1987 s. 89; No. 43 of 1994 s. 11; No. 59 of 1995 s. 10; No. 34 of 1998 s. 15; No. 58 of 2010 s. 134.]</w:t>
      </w:r>
    </w:p>
    <w:p>
      <w:pPr>
        <w:pStyle w:val="Heading5"/>
      </w:pPr>
      <w:bookmarkStart w:id="180" w:name="_Toc404159075"/>
      <w:bookmarkStart w:id="181" w:name="_Toc468700972"/>
      <w:bookmarkStart w:id="182" w:name="_Toc435024464"/>
      <w:r>
        <w:rPr>
          <w:rStyle w:val="CharSectno"/>
        </w:rPr>
        <w:t>61A</w:t>
      </w:r>
      <w:r>
        <w:t>.</w:t>
      </w:r>
      <w:r>
        <w:tab/>
        <w:t>Agents not to demand etc. money etc. for letting etc. from tenants</w:t>
      </w:r>
      <w:bookmarkEnd w:id="180"/>
      <w:bookmarkEnd w:id="181"/>
      <w:bookmarkEnd w:id="182"/>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w:t>
      </w:r>
    </w:p>
    <w:p>
      <w:pPr>
        <w:pStyle w:val="Defstar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spacing w:before="80"/>
        <w:ind w:left="890" w:hanging="890"/>
      </w:pPr>
      <w:r>
        <w:tab/>
        <w:t>[Section 61A inserted by No. 59 of 1995 s. 11.]</w:t>
      </w:r>
    </w:p>
    <w:p>
      <w:pPr>
        <w:pStyle w:val="Heading5"/>
        <w:spacing w:before="200"/>
        <w:rPr>
          <w:snapToGrid w:val="0"/>
        </w:rPr>
      </w:pPr>
      <w:bookmarkStart w:id="183" w:name="_Toc404159076"/>
      <w:bookmarkStart w:id="184" w:name="_Toc468700973"/>
      <w:bookmarkStart w:id="185" w:name="_Toc435024465"/>
      <w:r>
        <w:rPr>
          <w:rStyle w:val="CharSectno"/>
        </w:rPr>
        <w:t>62</w:t>
      </w:r>
      <w:r>
        <w:rPr>
          <w:snapToGrid w:val="0"/>
        </w:rPr>
        <w:t>.</w:t>
      </w:r>
      <w:r>
        <w:rPr>
          <w:snapToGrid w:val="0"/>
        </w:rPr>
        <w:tab/>
        <w:t>Advertising by agents and developers</w:t>
      </w:r>
      <w:bookmarkEnd w:id="183"/>
      <w:bookmarkEnd w:id="184"/>
      <w:bookmarkEnd w:id="185"/>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spacing w:before="80"/>
        <w:ind w:left="890" w:hanging="890"/>
      </w:pPr>
      <w:r>
        <w:tab/>
        <w:t>[Section 62 amended by No. 84 of 2004 s. 82; No. 58 of 2010 s. 98.]</w:t>
      </w:r>
    </w:p>
    <w:p>
      <w:pPr>
        <w:pStyle w:val="Heading5"/>
        <w:spacing w:before="200"/>
      </w:pPr>
      <w:bookmarkStart w:id="186" w:name="_Toc404159077"/>
      <w:bookmarkStart w:id="187" w:name="_Toc468700974"/>
      <w:bookmarkStart w:id="188" w:name="_Toc435024466"/>
      <w:r>
        <w:rPr>
          <w:rStyle w:val="CharSectno"/>
        </w:rPr>
        <w:t>63</w:t>
      </w:r>
      <w:r>
        <w:t>.</w:t>
      </w:r>
      <w:r>
        <w:tab/>
        <w:t>Agents etc. to supply signatories of documents with copies</w:t>
      </w:r>
      <w:bookmarkEnd w:id="186"/>
      <w:bookmarkEnd w:id="187"/>
      <w:bookmarkEnd w:id="188"/>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189" w:name="_Toc404159078"/>
      <w:bookmarkStart w:id="190" w:name="_Toc468700975"/>
      <w:bookmarkStart w:id="191" w:name="_Toc435024467"/>
      <w:r>
        <w:rPr>
          <w:rStyle w:val="CharSectno"/>
        </w:rPr>
        <w:t>64</w:t>
      </w:r>
      <w:r>
        <w:rPr>
          <w:snapToGrid w:val="0"/>
        </w:rPr>
        <w:t>.</w:t>
      </w:r>
      <w:r>
        <w:rPr>
          <w:snapToGrid w:val="0"/>
        </w:rPr>
        <w:tab/>
        <w:t>Conflicts of interest of agents etc.</w:t>
      </w:r>
      <w:bookmarkEnd w:id="189"/>
      <w:bookmarkEnd w:id="190"/>
      <w:bookmarkEnd w:id="191"/>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[Section 64 amended by No. 43 of 1994 s. 11; No. 50 of 2003 s. 88(2).]</w:t>
      </w:r>
    </w:p>
    <w:p>
      <w:pPr>
        <w:pStyle w:val="Heading5"/>
        <w:rPr>
          <w:snapToGrid w:val="0"/>
        </w:rPr>
      </w:pPr>
      <w:bookmarkStart w:id="192" w:name="_Toc404159079"/>
      <w:bookmarkStart w:id="193" w:name="_Toc468700976"/>
      <w:bookmarkStart w:id="194" w:name="_Toc435024468"/>
      <w:r>
        <w:rPr>
          <w:rStyle w:val="CharSectno"/>
        </w:rPr>
        <w:t>65</w:t>
      </w:r>
      <w:r>
        <w:rPr>
          <w:snapToGrid w:val="0"/>
        </w:rPr>
        <w:t>.</w:t>
      </w:r>
      <w:r>
        <w:rPr>
          <w:snapToGrid w:val="0"/>
        </w:rPr>
        <w:tab/>
        <w:t>Rates etc., agents to ensure payment and apportionment of</w:t>
      </w:r>
      <w:bookmarkEnd w:id="192"/>
      <w:bookmarkEnd w:id="193"/>
      <w:bookmarkEnd w:id="194"/>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195" w:name="_Toc404159080"/>
      <w:bookmarkStart w:id="196" w:name="_Toc468700977"/>
      <w:bookmarkStart w:id="197" w:name="_Toc435024469"/>
      <w:r>
        <w:rPr>
          <w:rStyle w:val="CharSectno"/>
        </w:rPr>
        <w:t>66</w:t>
      </w:r>
      <w:r>
        <w:rPr>
          <w:snapToGrid w:val="0"/>
        </w:rPr>
        <w:t>.</w:t>
      </w:r>
      <w:r>
        <w:rPr>
          <w:snapToGrid w:val="0"/>
        </w:rPr>
        <w:tab/>
        <w:t>Keys to houses etc. and information about tenancies etc., payment for is an offence</w:t>
      </w:r>
      <w:bookmarkEnd w:id="195"/>
      <w:bookmarkEnd w:id="196"/>
      <w:bookmarkEnd w:id="197"/>
    </w:p>
    <w:p>
      <w:pPr>
        <w:pStyle w:val="Subsection"/>
        <w:rPr>
          <w:snapToGrid w:val="0"/>
        </w:rPr>
      </w:pPr>
      <w:r>
        <w:rPr>
          <w:snapToGrid w:val="0"/>
        </w:rPr>
        <w:tab/>
        <w:t>(1)</w:t>
      </w:r>
      <w:r>
        <w:rPr>
          <w:snapToGrid w:val="0"/>
        </w:rPr>
        <w:tab/>
        <w:t>Any person who pays, gives, or receives, or offers, promises, or agrees to pay, give, or receive, a sum of money or other consideration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[Section 66 amended by No. 74 of 1980 s. 6; No. 43 of 1994 s. 11.]</w:t>
      </w:r>
    </w:p>
    <w:p>
      <w:pPr>
        <w:pStyle w:val="Heading2"/>
      </w:pPr>
      <w:bookmarkStart w:id="198" w:name="_Toc404159081"/>
      <w:bookmarkStart w:id="199" w:name="_Toc424293107"/>
      <w:bookmarkStart w:id="200" w:name="_Toc435024470"/>
      <w:bookmarkStart w:id="201" w:name="_Toc468700978"/>
      <w:r>
        <w:rPr>
          <w:rStyle w:val="CharPartNo"/>
        </w:rPr>
        <w:t>Part VI</w:t>
      </w:r>
      <w:r>
        <w:rPr>
          <w:rStyle w:val="CharDivNo"/>
        </w:rPr>
        <w:t> </w:t>
      </w:r>
      <w:r>
        <w:t>—</w:t>
      </w:r>
      <w:r>
        <w:rPr>
          <w:rStyle w:val="CharDivText"/>
        </w:rPr>
        <w:t> </w:t>
      </w:r>
      <w:r>
        <w:rPr>
          <w:rStyle w:val="CharPartText"/>
        </w:rPr>
        <w:t>Agents’ trust accounts</w:t>
      </w:r>
      <w:bookmarkEnd w:id="198"/>
      <w:bookmarkEnd w:id="199"/>
      <w:bookmarkEnd w:id="200"/>
      <w:bookmarkEnd w:id="201"/>
    </w:p>
    <w:p>
      <w:pPr>
        <w:pStyle w:val="Heading5"/>
        <w:rPr>
          <w:snapToGrid w:val="0"/>
        </w:rPr>
      </w:pPr>
      <w:bookmarkStart w:id="202" w:name="_Toc404159082"/>
      <w:bookmarkStart w:id="203" w:name="_Toc468700979"/>
      <w:bookmarkStart w:id="204" w:name="_Toc435024471"/>
      <w:r>
        <w:rPr>
          <w:rStyle w:val="CharSectno"/>
        </w:rPr>
        <w:t>67</w:t>
      </w:r>
      <w:r>
        <w:rPr>
          <w:snapToGrid w:val="0"/>
        </w:rPr>
        <w:t>.</w:t>
      </w:r>
      <w:r>
        <w:rPr>
          <w:snapToGrid w:val="0"/>
        </w:rPr>
        <w:tab/>
        <w:t>Terms used</w:t>
      </w:r>
      <w:bookmarkEnd w:id="202"/>
      <w:bookmarkEnd w:id="203"/>
      <w:bookmarkEnd w:id="204"/>
    </w:p>
    <w:p>
      <w:pPr>
        <w:pStyle w:val="Subsection"/>
        <w:keepNext/>
        <w:rPr>
          <w:snapToGrid w:val="0"/>
        </w:rPr>
      </w:pPr>
      <w:r>
        <w:rPr>
          <w:snapToGrid w:val="0"/>
        </w:rPr>
        <w:tab/>
      </w:r>
      <w:r>
        <w:rPr>
          <w:snapToGrid w:val="0"/>
        </w:rPr>
        <w:tab/>
        <w:t>In this Part, unless the context otherwise requires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[Section 67 amended by No. 59 of 1995 s. 12; No. 26 of 1999 s. 99(3).]</w:t>
      </w:r>
    </w:p>
    <w:p>
      <w:pPr>
        <w:pStyle w:val="Heading5"/>
        <w:rPr>
          <w:snapToGrid w:val="0"/>
        </w:rPr>
      </w:pPr>
      <w:bookmarkStart w:id="205" w:name="_Toc404159083"/>
      <w:bookmarkStart w:id="206" w:name="_Toc468700980"/>
      <w:bookmarkStart w:id="207" w:name="_Toc435024472"/>
      <w:r>
        <w:rPr>
          <w:rStyle w:val="CharSectno"/>
        </w:rPr>
        <w:t>68</w:t>
      </w:r>
      <w:r>
        <w:rPr>
          <w:snapToGrid w:val="0"/>
        </w:rPr>
        <w:t>.</w:t>
      </w:r>
      <w:r>
        <w:rPr>
          <w:snapToGrid w:val="0"/>
        </w:rPr>
        <w:tab/>
        <w:t>Trust accounts, use of etc.</w:t>
      </w:r>
      <w:bookmarkEnd w:id="205"/>
      <w:bookmarkEnd w:id="206"/>
      <w:bookmarkEnd w:id="207"/>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68 amended by No. 59 of 1995 s. 13.]</w:t>
      </w:r>
    </w:p>
    <w:p>
      <w:pPr>
        <w:pStyle w:val="Heading5"/>
        <w:rPr>
          <w:snapToGrid w:val="0"/>
        </w:rPr>
      </w:pPr>
      <w:bookmarkStart w:id="208" w:name="_Toc404159084"/>
      <w:bookmarkStart w:id="209" w:name="_Toc468700981"/>
      <w:bookmarkStart w:id="210" w:name="_Toc435024473"/>
      <w:r>
        <w:rPr>
          <w:rStyle w:val="CharSectno"/>
        </w:rPr>
        <w:t>68A</w:t>
      </w:r>
      <w:r>
        <w:rPr>
          <w:snapToGrid w:val="0"/>
        </w:rPr>
        <w:t>.</w:t>
      </w:r>
      <w:r>
        <w:rPr>
          <w:snapToGrid w:val="0"/>
        </w:rPr>
        <w:tab/>
        <w:t>Client may ask agent for separate trust account</w:t>
      </w:r>
      <w:bookmarkEnd w:id="208"/>
      <w:bookmarkEnd w:id="209"/>
      <w:bookmarkEnd w:id="210"/>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w:t>
      </w:r>
    </w:p>
    <w:p>
      <w:pPr>
        <w:pStyle w:val="Indenta"/>
        <w:rPr>
          <w:snapToGrid w:val="0"/>
        </w:rPr>
      </w:pPr>
      <w:r>
        <w:rPr>
          <w:snapToGrid w:val="0"/>
        </w:rPr>
        <w:tab/>
        <w:t>(a)</w:t>
      </w:r>
      <w:r>
        <w:rPr>
          <w:snapToGrid w:val="0"/>
        </w:rPr>
        <w:tab/>
        <w:t>the amount of moneys paid to the agent; or</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request</w:t>
      </w:r>
      <w:r>
        <w:t xml:space="preserve"> means a request under subsection (1).</w:t>
      </w:r>
    </w:p>
    <w:p>
      <w:pPr>
        <w:pStyle w:val="Footnotesection"/>
      </w:pPr>
      <w:r>
        <w:tab/>
        <w:t>[Section 68A inserted by No. 59 of 1995 s. 14.]</w:t>
      </w:r>
    </w:p>
    <w:p>
      <w:pPr>
        <w:pStyle w:val="Heading5"/>
        <w:rPr>
          <w:snapToGrid w:val="0"/>
        </w:rPr>
      </w:pPr>
      <w:bookmarkStart w:id="211" w:name="_Toc404159085"/>
      <w:bookmarkStart w:id="212" w:name="_Toc468700982"/>
      <w:bookmarkStart w:id="213" w:name="_Toc435024474"/>
      <w:r>
        <w:rPr>
          <w:rStyle w:val="CharSectno"/>
        </w:rPr>
        <w:t>68B</w:t>
      </w:r>
      <w:r>
        <w:rPr>
          <w:snapToGrid w:val="0"/>
        </w:rPr>
        <w:t>.</w:t>
      </w:r>
      <w:r>
        <w:rPr>
          <w:snapToGrid w:val="0"/>
        </w:rPr>
        <w:tab/>
        <w:t>Interest on trust accounts to be paid by financial institutions</w:t>
      </w:r>
      <w:bookmarkEnd w:id="211"/>
      <w:bookmarkEnd w:id="212"/>
      <w:bookmarkEnd w:id="213"/>
    </w:p>
    <w:p>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 xml:space="preserve">Interest </w:t>
      </w:r>
      <w:r>
        <w:rPr>
          <w:snapToGrid w:val="0"/>
        </w:rPr>
        <w:t>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w:t>
      </w:r>
      <w:r>
        <w:t xml:space="preserve">Interest </w:t>
      </w:r>
      <w:r>
        <w:rPr>
          <w:snapToGrid w:val="0"/>
        </w:rPr>
        <w:t>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[Section 68B inserted by No. 59 of 1995 s. 14</w:t>
      </w:r>
      <w:r>
        <w:rPr>
          <w:spacing w:val="-4"/>
        </w:rPr>
        <w:t>; amended by No. 47 of 2011 s.</w:t>
      </w:r>
      <w:r>
        <w:t> 25(4).]</w:t>
      </w:r>
    </w:p>
    <w:p>
      <w:pPr>
        <w:pStyle w:val="Heading5"/>
        <w:rPr>
          <w:snapToGrid w:val="0"/>
        </w:rPr>
      </w:pPr>
      <w:bookmarkStart w:id="214" w:name="_Toc404159086"/>
      <w:bookmarkStart w:id="215" w:name="_Toc468700983"/>
      <w:bookmarkStart w:id="216" w:name="_Toc435024475"/>
      <w:r>
        <w:rPr>
          <w:rStyle w:val="CharSectno"/>
        </w:rPr>
        <w:t>68C</w:t>
      </w:r>
      <w:r>
        <w:rPr>
          <w:snapToGrid w:val="0"/>
        </w:rPr>
        <w:t>.</w:t>
      </w:r>
      <w:r>
        <w:rPr>
          <w:snapToGrid w:val="0"/>
        </w:rPr>
        <w:tab/>
      </w:r>
      <w:r>
        <w:t>Agents to give Commissioner information about trust accounts</w:t>
      </w:r>
      <w:bookmarkEnd w:id="214"/>
      <w:bookmarkEnd w:id="215"/>
      <w:bookmarkEnd w:id="216"/>
    </w:p>
    <w:p>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[Section 68C inserted by No. 59 of 1995 s. 14; amended by No. 58 of 2010 s. 134.]</w:t>
      </w:r>
    </w:p>
    <w:p>
      <w:pPr>
        <w:pStyle w:val="Heading5"/>
        <w:rPr>
          <w:snapToGrid w:val="0"/>
        </w:rPr>
      </w:pPr>
      <w:bookmarkStart w:id="217" w:name="_Toc404159087"/>
      <w:bookmarkStart w:id="218" w:name="_Toc468700984"/>
      <w:bookmarkStart w:id="219" w:name="_Toc435024476"/>
      <w:r>
        <w:rPr>
          <w:rStyle w:val="CharSectno"/>
        </w:rPr>
        <w:t>69</w:t>
      </w:r>
      <w:r>
        <w:rPr>
          <w:snapToGrid w:val="0"/>
        </w:rPr>
        <w:t>.</w:t>
      </w:r>
      <w:r>
        <w:rPr>
          <w:snapToGrid w:val="0"/>
        </w:rPr>
        <w:tab/>
        <w:t>Money received by agents, duties as to</w:t>
      </w:r>
      <w:bookmarkEnd w:id="217"/>
      <w:bookmarkEnd w:id="218"/>
      <w:bookmarkEnd w:id="219"/>
    </w:p>
    <w:p>
      <w:pPr>
        <w:pStyle w:val="Subsection"/>
        <w:keepNext/>
        <w:rPr>
          <w:snapToGrid w:val="0"/>
        </w:rPr>
      </w:pPr>
      <w:r>
        <w:rPr>
          <w:snapToGrid w:val="0"/>
        </w:rPr>
        <w:tab/>
        <w:t>(1)</w:t>
      </w:r>
      <w:r>
        <w:rPr>
          <w:snapToGrid w:val="0"/>
        </w:rPr>
        <w:tab/>
        <w:t>When an agent receives money for or on behalf of any other person, the agent shall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[Section 69 amended by No. 74 of 1980 s. 7; No. 59 of 1995 s. 15; No. 58 of 2010 s. 134.]</w:t>
      </w:r>
    </w:p>
    <w:p>
      <w:pPr>
        <w:pStyle w:val="Heading5"/>
        <w:rPr>
          <w:snapToGrid w:val="0"/>
        </w:rPr>
      </w:pPr>
      <w:bookmarkStart w:id="220" w:name="_Toc404159088"/>
      <w:bookmarkStart w:id="221" w:name="_Toc468700985"/>
      <w:bookmarkStart w:id="222" w:name="_Toc435024477"/>
      <w:r>
        <w:rPr>
          <w:rStyle w:val="CharSectno"/>
        </w:rPr>
        <w:t>70</w:t>
      </w:r>
      <w:r>
        <w:rPr>
          <w:snapToGrid w:val="0"/>
        </w:rPr>
        <w:t>.</w:t>
      </w:r>
      <w:r>
        <w:rPr>
          <w:snapToGrid w:val="0"/>
        </w:rPr>
        <w:tab/>
        <w:t>Audits of trust accounts</w:t>
      </w:r>
      <w:bookmarkEnd w:id="220"/>
      <w:bookmarkEnd w:id="221"/>
      <w:bookmarkEnd w:id="222"/>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pPr>
        <w:pStyle w:val="Subsection"/>
        <w:keepNext/>
        <w:rPr>
          <w:snapToGrid w:val="0"/>
        </w:rPr>
      </w:pPr>
      <w:r>
        <w:rPr>
          <w:snapToGrid w:val="0"/>
        </w:rPr>
        <w:tab/>
        <w:t>(3)</w:t>
      </w:r>
      <w:r>
        <w:rPr>
          <w:snapToGrid w:val="0"/>
        </w:rPr>
        <w:tab/>
        <w:t>The auditor shall within 3 months after the end of each year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pPr>
      <w:r>
        <w:tab/>
        <w:t>(5)</w:t>
      </w:r>
      <w:r>
        <w:tab/>
        <w:t>The Commissioner may, in circumstances he or she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w:t>
      </w:r>
      <w:r>
        <w:t>Commissioner</w:t>
      </w:r>
      <w:r>
        <w:rPr>
          <w:snapToGrid w:val="0"/>
        </w:rPr>
        <w:t xml:space="preserve"> a report of such termination audit.</w:t>
      </w:r>
    </w:p>
    <w:p>
      <w:pPr>
        <w:pStyle w:val="Footnotesection"/>
      </w:pPr>
      <w:r>
        <w:tab/>
        <w:t>[Section 70 amended by No. 29 of 1982 s. 12; No. 59 of 1995 s. 42; No. 77 of 2006 Sch. 1 cl. 147(2); No. 58 of 2010 s. 99 and 134.]</w:t>
      </w:r>
    </w:p>
    <w:p>
      <w:pPr>
        <w:pStyle w:val="Heading5"/>
        <w:rPr>
          <w:snapToGrid w:val="0"/>
        </w:rPr>
      </w:pPr>
      <w:bookmarkStart w:id="223" w:name="_Toc404159089"/>
      <w:bookmarkStart w:id="224" w:name="_Toc468700986"/>
      <w:bookmarkStart w:id="225" w:name="_Toc435024478"/>
      <w:r>
        <w:rPr>
          <w:rStyle w:val="CharSectno"/>
        </w:rPr>
        <w:t>71</w:t>
      </w:r>
      <w:r>
        <w:rPr>
          <w:snapToGrid w:val="0"/>
        </w:rPr>
        <w:t>.</w:t>
      </w:r>
      <w:r>
        <w:rPr>
          <w:snapToGrid w:val="0"/>
        </w:rPr>
        <w:tab/>
      </w:r>
      <w:r>
        <w:t>Date of audit, Commissioner may change</w:t>
      </w:r>
      <w:bookmarkEnd w:id="223"/>
      <w:bookmarkEnd w:id="224"/>
      <w:bookmarkEnd w:id="225"/>
    </w:p>
    <w:p>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71 amended by No. 58 of 2010 s. 134.]</w:t>
      </w:r>
    </w:p>
    <w:p>
      <w:pPr>
        <w:pStyle w:val="Heading5"/>
        <w:rPr>
          <w:snapToGrid w:val="0"/>
        </w:rPr>
      </w:pPr>
      <w:bookmarkStart w:id="226" w:name="_Toc404159090"/>
      <w:bookmarkStart w:id="227" w:name="_Toc468700987"/>
      <w:bookmarkStart w:id="228" w:name="_Toc435024479"/>
      <w:r>
        <w:rPr>
          <w:rStyle w:val="CharSectno"/>
        </w:rPr>
        <w:t>72</w:t>
      </w:r>
      <w:r>
        <w:rPr>
          <w:snapToGrid w:val="0"/>
        </w:rPr>
        <w:t>.</w:t>
      </w:r>
      <w:r>
        <w:rPr>
          <w:snapToGrid w:val="0"/>
        </w:rPr>
        <w:tab/>
        <w:t>Auditors, qualification and approval of</w:t>
      </w:r>
      <w:bookmarkEnd w:id="226"/>
      <w:bookmarkEnd w:id="227"/>
      <w:bookmarkEnd w:id="228"/>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pPr>
        <w:pStyle w:val="Footnotesection"/>
      </w:pPr>
      <w:r>
        <w:tab/>
        <w:t>[Section 72 amended by No. 10 of 1982 s. 28; No. 59 of 1995 s. 16; No. 10 of 2001 s. 220; No. 28 of 2003 s. 175; No. 58 of 2010 s. 134.]</w:t>
      </w:r>
    </w:p>
    <w:p>
      <w:pPr>
        <w:pStyle w:val="Heading5"/>
        <w:rPr>
          <w:snapToGrid w:val="0"/>
        </w:rPr>
      </w:pPr>
      <w:bookmarkStart w:id="229" w:name="_Toc404159091"/>
      <w:bookmarkStart w:id="230" w:name="_Toc468700988"/>
      <w:bookmarkStart w:id="231" w:name="_Toc435024480"/>
      <w:r>
        <w:rPr>
          <w:rStyle w:val="CharSectno"/>
        </w:rPr>
        <w:t>73</w:t>
      </w:r>
      <w:r>
        <w:rPr>
          <w:snapToGrid w:val="0"/>
        </w:rPr>
        <w:t>.</w:t>
      </w:r>
      <w:r>
        <w:rPr>
          <w:snapToGrid w:val="0"/>
        </w:rPr>
        <w:tab/>
        <w:t>Auditors, appointment of</w:t>
      </w:r>
      <w:bookmarkEnd w:id="229"/>
      <w:bookmarkEnd w:id="230"/>
      <w:bookmarkEnd w:id="231"/>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73 amended by No. 58 of 2010 s. 134.]</w:t>
      </w:r>
    </w:p>
    <w:p>
      <w:pPr>
        <w:pStyle w:val="Heading5"/>
        <w:rPr>
          <w:snapToGrid w:val="0"/>
        </w:rPr>
      </w:pPr>
      <w:bookmarkStart w:id="232" w:name="_Toc404159092"/>
      <w:bookmarkStart w:id="233" w:name="_Toc468700989"/>
      <w:bookmarkStart w:id="234" w:name="_Toc435024481"/>
      <w:r>
        <w:rPr>
          <w:rStyle w:val="CharSectno"/>
        </w:rPr>
        <w:t>74</w:t>
      </w:r>
      <w:r>
        <w:rPr>
          <w:snapToGrid w:val="0"/>
        </w:rPr>
        <w:t>.</w:t>
      </w:r>
      <w:r>
        <w:rPr>
          <w:snapToGrid w:val="0"/>
        </w:rPr>
        <w:tab/>
        <w:t>Audits of business carried on at more than one place, directions as to</w:t>
      </w:r>
      <w:bookmarkEnd w:id="232"/>
      <w:bookmarkEnd w:id="233"/>
      <w:bookmarkEnd w:id="234"/>
    </w:p>
    <w:p>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ind w:left="890" w:hanging="890"/>
      </w:pPr>
      <w:r>
        <w:tab/>
        <w:t>[Section 74 amended by No. 58 of 2010 s. 134.]</w:t>
      </w:r>
    </w:p>
    <w:p>
      <w:pPr>
        <w:pStyle w:val="Heading5"/>
        <w:rPr>
          <w:snapToGrid w:val="0"/>
        </w:rPr>
      </w:pPr>
      <w:bookmarkStart w:id="235" w:name="_Toc404159093"/>
      <w:bookmarkStart w:id="236" w:name="_Toc468700990"/>
      <w:bookmarkStart w:id="237" w:name="_Toc435024482"/>
      <w:r>
        <w:rPr>
          <w:rStyle w:val="CharSectno"/>
        </w:rPr>
        <w:t>75</w:t>
      </w:r>
      <w:r>
        <w:rPr>
          <w:snapToGrid w:val="0"/>
        </w:rPr>
        <w:t>.</w:t>
      </w:r>
      <w:r>
        <w:rPr>
          <w:snapToGrid w:val="0"/>
        </w:rPr>
        <w:tab/>
      </w:r>
      <w:r>
        <w:t>Approvals etc. under this Part, Commissioner’s power to cancel etc.</w:t>
      </w:r>
      <w:bookmarkEnd w:id="235"/>
      <w:bookmarkEnd w:id="236"/>
      <w:bookmarkEnd w:id="237"/>
    </w:p>
    <w:p>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pPr>
        <w:pStyle w:val="Footnotesection"/>
        <w:ind w:left="890" w:hanging="890"/>
      </w:pPr>
      <w:r>
        <w:tab/>
        <w:t>[Section 75 amended by No. 58 of 2010 s. 134.]</w:t>
      </w:r>
    </w:p>
    <w:p>
      <w:pPr>
        <w:pStyle w:val="Ednotesection"/>
        <w:ind w:left="0" w:firstLine="0"/>
      </w:pPr>
      <w:r>
        <w:t>[</w:t>
      </w:r>
      <w:r>
        <w:rPr>
          <w:b/>
        </w:rPr>
        <w:t>76.</w:t>
      </w:r>
      <w:r>
        <w:tab/>
        <w:t>Deleted by No. 55 of 2004 s. 1012.]</w:t>
      </w:r>
    </w:p>
    <w:p>
      <w:pPr>
        <w:pStyle w:val="Heading5"/>
        <w:rPr>
          <w:snapToGrid w:val="0"/>
        </w:rPr>
      </w:pPr>
      <w:bookmarkStart w:id="238" w:name="_Toc404159094"/>
      <w:bookmarkStart w:id="239" w:name="_Toc468700991"/>
      <w:bookmarkStart w:id="240" w:name="_Toc435024483"/>
      <w:r>
        <w:rPr>
          <w:rStyle w:val="CharSectno"/>
        </w:rPr>
        <w:t>77</w:t>
      </w:r>
      <w:r>
        <w:rPr>
          <w:snapToGrid w:val="0"/>
        </w:rPr>
        <w:t>.</w:t>
      </w:r>
      <w:r>
        <w:rPr>
          <w:snapToGrid w:val="0"/>
        </w:rPr>
        <w:tab/>
        <w:t>Audits, agents’ duties and auditors’ powers as to</w:t>
      </w:r>
      <w:bookmarkEnd w:id="238"/>
      <w:bookmarkEnd w:id="239"/>
      <w:bookmarkEnd w:id="240"/>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241" w:name="_Toc404159095"/>
      <w:bookmarkStart w:id="242" w:name="_Toc468700992"/>
      <w:bookmarkStart w:id="243" w:name="_Toc435024484"/>
      <w:r>
        <w:rPr>
          <w:rStyle w:val="CharSectno"/>
        </w:rPr>
        <w:t>78</w:t>
      </w:r>
      <w:r>
        <w:rPr>
          <w:snapToGrid w:val="0"/>
        </w:rPr>
        <w:t>.</w:t>
      </w:r>
      <w:r>
        <w:rPr>
          <w:snapToGrid w:val="0"/>
        </w:rPr>
        <w:tab/>
        <w:t>Audits, bankers’ duties as to</w:t>
      </w:r>
      <w:bookmarkEnd w:id="241"/>
      <w:bookmarkEnd w:id="242"/>
      <w:bookmarkEnd w:id="243"/>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244" w:name="_Toc404159096"/>
      <w:bookmarkStart w:id="245" w:name="_Toc468700993"/>
      <w:bookmarkStart w:id="246" w:name="_Toc435024485"/>
      <w:r>
        <w:rPr>
          <w:rStyle w:val="CharSectno"/>
        </w:rPr>
        <w:t>79</w:t>
      </w:r>
      <w:r>
        <w:rPr>
          <w:snapToGrid w:val="0"/>
        </w:rPr>
        <w:t>.</w:t>
      </w:r>
      <w:r>
        <w:rPr>
          <w:snapToGrid w:val="0"/>
        </w:rPr>
        <w:tab/>
        <w:t>Auditors’ reports, content of</w:t>
      </w:r>
      <w:bookmarkEnd w:id="244"/>
      <w:bookmarkEnd w:id="245"/>
      <w:bookmarkEnd w:id="246"/>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w:t>
      </w:r>
    </w:p>
    <w:p>
      <w:pPr>
        <w:pStyle w:val="Indenta"/>
        <w:rPr>
          <w:snapToGrid w:val="0"/>
        </w:rPr>
      </w:pPr>
      <w:r>
        <w:rPr>
          <w:snapToGrid w:val="0"/>
        </w:rPr>
        <w:tab/>
        <w:t>(a)</w:t>
      </w:r>
      <w:r>
        <w:rPr>
          <w:snapToGrid w:val="0"/>
        </w:rPr>
        <w:tab/>
        <w:t>whether the trust accounts of such agent have in the opinion of the auditor been kept regularly and properly written up; and</w:t>
      </w:r>
    </w:p>
    <w:p>
      <w:pPr>
        <w:pStyle w:val="Indenta"/>
        <w:rPr>
          <w:snapToGrid w:val="0"/>
        </w:rPr>
      </w:pPr>
      <w:r>
        <w:rPr>
          <w:snapToGrid w:val="0"/>
        </w:rPr>
        <w:tab/>
        <w:t>(b)</w:t>
      </w:r>
      <w:r>
        <w:rPr>
          <w:snapToGrid w:val="0"/>
        </w:rPr>
        <w:tab/>
        <w:t>whether the trust accounts of such agent have been ready for examination at the periods appointed by the auditor; and</w:t>
      </w:r>
    </w:p>
    <w:p>
      <w:pPr>
        <w:pStyle w:val="Indenta"/>
        <w:rPr>
          <w:snapToGrid w:val="0"/>
        </w:rPr>
      </w:pPr>
      <w:r>
        <w:rPr>
          <w:snapToGrid w:val="0"/>
        </w:rPr>
        <w:tab/>
        <w:t>(c)</w:t>
      </w:r>
      <w:r>
        <w:rPr>
          <w:snapToGrid w:val="0"/>
        </w:rPr>
        <w:tab/>
        <w:t>whether such agent has complied with the auditor’s requirements; and</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79 amended by No. 74 of 1980 s. 10; No. 59 of 1995 s. 17; No. 58 of 2010 s. 134.]</w:t>
      </w:r>
    </w:p>
    <w:p>
      <w:pPr>
        <w:pStyle w:val="Heading5"/>
        <w:rPr>
          <w:snapToGrid w:val="0"/>
        </w:rPr>
      </w:pPr>
      <w:bookmarkStart w:id="247" w:name="_Toc404159097"/>
      <w:bookmarkStart w:id="248" w:name="_Toc468700994"/>
      <w:bookmarkStart w:id="249" w:name="_Toc435024486"/>
      <w:r>
        <w:rPr>
          <w:rStyle w:val="CharSectno"/>
        </w:rPr>
        <w:t>80</w:t>
      </w:r>
      <w:r>
        <w:rPr>
          <w:snapToGrid w:val="0"/>
        </w:rPr>
        <w:t>.</w:t>
      </w:r>
      <w:r>
        <w:rPr>
          <w:snapToGrid w:val="0"/>
        </w:rPr>
        <w:tab/>
        <w:t>Moneys etc. held on trust, statement of by agents</w:t>
      </w:r>
      <w:bookmarkEnd w:id="247"/>
      <w:bookmarkEnd w:id="248"/>
      <w:bookmarkEnd w:id="249"/>
    </w:p>
    <w:p>
      <w:pPr>
        <w:pStyle w:val="Subsection"/>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250" w:name="_Toc404159098"/>
      <w:bookmarkStart w:id="251" w:name="_Toc468700995"/>
      <w:bookmarkStart w:id="252" w:name="_Toc435024487"/>
      <w:r>
        <w:rPr>
          <w:rStyle w:val="CharSectno"/>
        </w:rPr>
        <w:t>81</w:t>
      </w:r>
      <w:r>
        <w:rPr>
          <w:snapToGrid w:val="0"/>
        </w:rPr>
        <w:t>.</w:t>
      </w:r>
      <w:r>
        <w:rPr>
          <w:snapToGrid w:val="0"/>
        </w:rPr>
        <w:tab/>
        <w:t>Auditor’s report to report breaches of law etc.</w:t>
      </w:r>
      <w:bookmarkEnd w:id="250"/>
      <w:bookmarkEnd w:id="251"/>
      <w:bookmarkEnd w:id="252"/>
    </w:p>
    <w:p>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pPr>
        <w:pStyle w:val="Footnotesection"/>
      </w:pPr>
      <w:r>
        <w:tab/>
        <w:t>[Section 81 amended by No. 58 of 2010 s. 134.]</w:t>
      </w:r>
    </w:p>
    <w:p>
      <w:pPr>
        <w:pStyle w:val="Heading5"/>
        <w:rPr>
          <w:snapToGrid w:val="0"/>
        </w:rPr>
      </w:pPr>
      <w:bookmarkStart w:id="253" w:name="_Toc404159099"/>
      <w:bookmarkStart w:id="254" w:name="_Toc468700996"/>
      <w:bookmarkStart w:id="255" w:name="_Toc435024488"/>
      <w:r>
        <w:rPr>
          <w:rStyle w:val="CharSectno"/>
        </w:rPr>
        <w:t>82</w:t>
      </w:r>
      <w:r>
        <w:rPr>
          <w:snapToGrid w:val="0"/>
        </w:rPr>
        <w:t>.</w:t>
      </w:r>
      <w:r>
        <w:rPr>
          <w:snapToGrid w:val="0"/>
        </w:rPr>
        <w:tab/>
        <w:t>Auditors’ duty of confidentiality</w:t>
      </w:r>
      <w:bookmarkEnd w:id="253"/>
      <w:bookmarkEnd w:id="254"/>
      <w:bookmarkEnd w:id="255"/>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256" w:name="_Toc404159100"/>
      <w:bookmarkStart w:id="257" w:name="_Toc468700997"/>
      <w:bookmarkStart w:id="258" w:name="_Toc435024489"/>
      <w:r>
        <w:rPr>
          <w:rStyle w:val="CharSectno"/>
        </w:rPr>
        <w:t>83</w:t>
      </w:r>
      <w:r>
        <w:rPr>
          <w:snapToGrid w:val="0"/>
        </w:rPr>
        <w:t>.</w:t>
      </w:r>
      <w:r>
        <w:rPr>
          <w:snapToGrid w:val="0"/>
        </w:rPr>
        <w:tab/>
        <w:t>Right of some persons to information in auditors’ reports</w:t>
      </w:r>
      <w:bookmarkEnd w:id="256"/>
      <w:bookmarkEnd w:id="257"/>
      <w:bookmarkEnd w:id="258"/>
    </w:p>
    <w:p>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pPr>
        <w:pStyle w:val="Subsection"/>
        <w:rPr>
          <w:snapToGrid w:val="0"/>
        </w:rPr>
      </w:pPr>
      <w:r>
        <w:rPr>
          <w:snapToGrid w:val="0"/>
        </w:rPr>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pPr>
        <w:pStyle w:val="Footnotesection"/>
      </w:pPr>
      <w:r>
        <w:tab/>
        <w:t>[Section 83 amended by No. 58 of 2010 s. 100 and 134.]</w:t>
      </w:r>
    </w:p>
    <w:p>
      <w:pPr>
        <w:pStyle w:val="Heading5"/>
        <w:rPr>
          <w:snapToGrid w:val="0"/>
        </w:rPr>
      </w:pPr>
      <w:bookmarkStart w:id="259" w:name="_Toc404159101"/>
      <w:bookmarkStart w:id="260" w:name="_Toc468700998"/>
      <w:bookmarkStart w:id="261" w:name="_Toc435024490"/>
      <w:r>
        <w:rPr>
          <w:rStyle w:val="CharSectno"/>
        </w:rPr>
        <w:t>84</w:t>
      </w:r>
      <w:r>
        <w:rPr>
          <w:snapToGrid w:val="0"/>
        </w:rPr>
        <w:t>.</w:t>
      </w:r>
      <w:r>
        <w:rPr>
          <w:snapToGrid w:val="0"/>
        </w:rPr>
        <w:tab/>
        <w:t>Offences under this Part</w:t>
      </w:r>
      <w:bookmarkEnd w:id="259"/>
      <w:bookmarkEnd w:id="260"/>
      <w:bookmarkEnd w:id="261"/>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84 amended by No. 43 of 1994 s. 11; No. 59 of 1995 s. 18.]</w:t>
      </w:r>
    </w:p>
    <w:p>
      <w:pPr>
        <w:pStyle w:val="Heading5"/>
        <w:rPr>
          <w:snapToGrid w:val="0"/>
        </w:rPr>
      </w:pPr>
      <w:bookmarkStart w:id="262" w:name="_Toc404159102"/>
      <w:bookmarkStart w:id="263" w:name="_Toc468700999"/>
      <w:bookmarkStart w:id="264" w:name="_Toc435024491"/>
      <w:r>
        <w:rPr>
          <w:rStyle w:val="CharSectno"/>
        </w:rPr>
        <w:t>85</w:t>
      </w:r>
      <w:r>
        <w:rPr>
          <w:snapToGrid w:val="0"/>
        </w:rPr>
        <w:t>.</w:t>
      </w:r>
      <w:r>
        <w:rPr>
          <w:snapToGrid w:val="0"/>
        </w:rPr>
        <w:tab/>
        <w:t>Auditors’ remuneration</w:t>
      </w:r>
      <w:bookmarkEnd w:id="262"/>
      <w:bookmarkEnd w:id="263"/>
      <w:bookmarkEnd w:id="264"/>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265" w:name="_Toc404159103"/>
      <w:bookmarkStart w:id="266" w:name="_Toc468701000"/>
      <w:bookmarkStart w:id="267" w:name="_Toc435024492"/>
      <w:r>
        <w:rPr>
          <w:rStyle w:val="CharSectno"/>
        </w:rPr>
        <w:t>86</w:t>
      </w:r>
      <w:r>
        <w:rPr>
          <w:snapToGrid w:val="0"/>
        </w:rPr>
        <w:t>.</w:t>
      </w:r>
      <w:r>
        <w:rPr>
          <w:snapToGrid w:val="0"/>
        </w:rPr>
        <w:tab/>
        <w:t>Agents with no accounts to audit</w:t>
      </w:r>
      <w:bookmarkEnd w:id="265"/>
      <w:bookmarkEnd w:id="266"/>
      <w:bookmarkEnd w:id="267"/>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pPr>
        <w:pStyle w:val="Footnotesection"/>
      </w:pPr>
      <w:r>
        <w:tab/>
        <w:t>[Section 86 amended by No. 58 of 2010 s. 134.]</w:t>
      </w:r>
    </w:p>
    <w:p>
      <w:pPr>
        <w:pStyle w:val="Heading5"/>
        <w:rPr>
          <w:snapToGrid w:val="0"/>
        </w:rPr>
      </w:pPr>
      <w:bookmarkStart w:id="268" w:name="_Toc404159104"/>
      <w:bookmarkStart w:id="269" w:name="_Toc468701001"/>
      <w:bookmarkStart w:id="270" w:name="_Toc435024493"/>
      <w:r>
        <w:rPr>
          <w:rStyle w:val="CharSectno"/>
        </w:rPr>
        <w:t>87</w:t>
      </w:r>
      <w:r>
        <w:rPr>
          <w:snapToGrid w:val="0"/>
        </w:rPr>
        <w:t>.</w:t>
      </w:r>
      <w:r>
        <w:rPr>
          <w:snapToGrid w:val="0"/>
        </w:rPr>
        <w:tab/>
        <w:t>Accounts of firm or body corporate or agent with branch office, effect of audits as to</w:t>
      </w:r>
      <w:bookmarkEnd w:id="268"/>
      <w:bookmarkEnd w:id="269"/>
      <w:bookmarkEnd w:id="270"/>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271" w:name="_Toc404159105"/>
      <w:bookmarkStart w:id="272" w:name="_Toc468701002"/>
      <w:bookmarkStart w:id="273" w:name="_Toc435024494"/>
      <w:r>
        <w:rPr>
          <w:rStyle w:val="CharSectno"/>
        </w:rPr>
        <w:t>88</w:t>
      </w:r>
      <w:r>
        <w:rPr>
          <w:snapToGrid w:val="0"/>
        </w:rPr>
        <w:t>.</w:t>
      </w:r>
      <w:r>
        <w:rPr>
          <w:snapToGrid w:val="0"/>
        </w:rPr>
        <w:tab/>
      </w:r>
      <w:r>
        <w:t>Audit of trust account, Commissioner may do</w:t>
      </w:r>
      <w:bookmarkEnd w:id="271"/>
      <w:bookmarkEnd w:id="272"/>
      <w:bookmarkEnd w:id="273"/>
    </w:p>
    <w:p>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pPr>
        <w:pStyle w:val="Footnotesection"/>
        <w:keepNext/>
        <w:keepLines w:val="0"/>
      </w:pPr>
      <w:r>
        <w:tab/>
        <w:t>[Section 88 amended by No. 58 of 2010 s. 134.]</w:t>
      </w:r>
    </w:p>
    <w:p>
      <w:pPr>
        <w:pStyle w:val="Ednotesection"/>
      </w:pPr>
      <w:r>
        <w:t>[</w:t>
      </w:r>
      <w:r>
        <w:rPr>
          <w:b/>
        </w:rPr>
        <w:t>89.</w:t>
      </w:r>
      <w:r>
        <w:tab/>
        <w:t>Deleted by No. 74 of 1980 s. 9.]</w:t>
      </w:r>
    </w:p>
    <w:p>
      <w:pPr>
        <w:pStyle w:val="Heading5"/>
        <w:rPr>
          <w:snapToGrid w:val="0"/>
        </w:rPr>
      </w:pPr>
      <w:bookmarkStart w:id="274" w:name="_Toc404159106"/>
      <w:bookmarkStart w:id="275" w:name="_Toc468701003"/>
      <w:bookmarkStart w:id="276" w:name="_Toc435024495"/>
      <w:r>
        <w:rPr>
          <w:rStyle w:val="CharSectno"/>
        </w:rPr>
        <w:t>90</w:t>
      </w:r>
      <w:r>
        <w:rPr>
          <w:snapToGrid w:val="0"/>
        </w:rPr>
        <w:t>.</w:t>
      </w:r>
      <w:r>
        <w:rPr>
          <w:snapToGrid w:val="0"/>
        </w:rPr>
        <w:tab/>
        <w:t>Cost of audit done under s. 88</w:t>
      </w:r>
      <w:bookmarkEnd w:id="274"/>
      <w:bookmarkEnd w:id="275"/>
      <w:bookmarkEnd w:id="276"/>
    </w:p>
    <w:p>
      <w:pPr>
        <w:pStyle w:val="Subsection"/>
        <w:spacing w:before="120"/>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pPr>
        <w:pStyle w:val="Subsection"/>
        <w:spacing w:before="120"/>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pPr>
        <w:pStyle w:val="Footnotesection"/>
        <w:spacing w:before="80"/>
        <w:ind w:left="890" w:hanging="890"/>
      </w:pPr>
      <w:r>
        <w:tab/>
        <w:t>[Section 90 amended by No. 29 of 1982 s. 12; No. 59 of 1995 s. 42; No. 77 of 2006 Sch. 1 cl. 147(2); No. 58 of 2010 s. 134.]</w:t>
      </w:r>
    </w:p>
    <w:p>
      <w:pPr>
        <w:pStyle w:val="Heading5"/>
        <w:rPr>
          <w:snapToGrid w:val="0"/>
        </w:rPr>
      </w:pPr>
      <w:bookmarkStart w:id="277" w:name="_Toc404159107"/>
      <w:bookmarkStart w:id="278" w:name="_Toc468701004"/>
      <w:bookmarkStart w:id="279" w:name="_Toc435024496"/>
      <w:r>
        <w:rPr>
          <w:rStyle w:val="CharSectno"/>
        </w:rPr>
        <w:t>91</w:t>
      </w:r>
      <w:r>
        <w:rPr>
          <w:snapToGrid w:val="0"/>
        </w:rPr>
        <w:t>.</w:t>
      </w:r>
      <w:r>
        <w:rPr>
          <w:snapToGrid w:val="0"/>
        </w:rPr>
        <w:tab/>
        <w:t>Confidentiality of audit done under s. 88</w:t>
      </w:r>
      <w:bookmarkEnd w:id="277"/>
      <w:bookmarkEnd w:id="278"/>
      <w:bookmarkEnd w:id="279"/>
    </w:p>
    <w:p>
      <w:pPr>
        <w:pStyle w:val="Subsection"/>
        <w:spacing w:before="120"/>
        <w:rPr>
          <w:snapToGrid w:val="0"/>
        </w:rPr>
      </w:pPr>
      <w:r>
        <w:rPr>
          <w:snapToGrid w:val="0"/>
        </w:rPr>
        <w:tab/>
      </w:r>
      <w:r>
        <w:rPr>
          <w:snapToGrid w:val="0"/>
        </w:rPr>
        <w:tab/>
        <w:t>The provisions of section 82 apply to an auditor nominated by the </w:t>
      </w:r>
      <w:r>
        <w:t>Commissioner</w:t>
      </w:r>
      <w:r>
        <w:rPr>
          <w:snapToGrid w:val="0"/>
        </w:rPr>
        <w:t xml:space="preserve"> under section 88 with such modifications as circumstances require.</w:t>
      </w:r>
    </w:p>
    <w:p>
      <w:pPr>
        <w:pStyle w:val="Footnotesection"/>
        <w:spacing w:before="80"/>
        <w:ind w:left="890" w:hanging="890"/>
      </w:pPr>
      <w:r>
        <w:tab/>
        <w:t>[Section 91 amended by No. 74 of 2003 s. 101; No. 23 of 2014 s. 75.]</w:t>
      </w:r>
    </w:p>
    <w:p>
      <w:pPr>
        <w:pStyle w:val="Heading5"/>
        <w:keepNext w:val="0"/>
        <w:keepLines w:val="0"/>
        <w:rPr>
          <w:snapToGrid w:val="0"/>
        </w:rPr>
      </w:pPr>
      <w:bookmarkStart w:id="280" w:name="_Toc404159108"/>
      <w:bookmarkStart w:id="281" w:name="_Toc468701005"/>
      <w:bookmarkStart w:id="282" w:name="_Toc435024497"/>
      <w:r>
        <w:rPr>
          <w:rStyle w:val="CharSectno"/>
        </w:rPr>
        <w:t>92</w:t>
      </w:r>
      <w:r>
        <w:rPr>
          <w:snapToGrid w:val="0"/>
        </w:rPr>
        <w:t>.</w:t>
      </w:r>
      <w:r>
        <w:rPr>
          <w:snapToGrid w:val="0"/>
        </w:rPr>
        <w:tab/>
        <w:t>Restraining bank etc. from dealing with agent’s account, SAT’s powers as to</w:t>
      </w:r>
      <w:bookmarkEnd w:id="280"/>
      <w:bookmarkEnd w:id="281"/>
      <w:bookmarkEnd w:id="282"/>
    </w:p>
    <w:p>
      <w:pPr>
        <w:pStyle w:val="Subsection"/>
        <w:spacing w:before="120"/>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evidence on affidavit to the satisfaction of the State Administrative Tribunal that —</w:t>
      </w:r>
    </w:p>
    <w:p>
      <w:pPr>
        <w:pStyle w:val="Indenta"/>
        <w:spacing w:before="60"/>
        <w:rPr>
          <w:snapToGrid w:val="0"/>
        </w:rPr>
      </w:pPr>
      <w:r>
        <w:rPr>
          <w:snapToGrid w:val="0"/>
        </w:rPr>
        <w:tab/>
        <w:t>(a)</w:t>
      </w:r>
      <w:r>
        <w:rPr>
          <w:snapToGrid w:val="0"/>
        </w:rPr>
        <w:tab/>
        <w:t>there are reasonable grounds for believing that there is a deficiency in the trust account of any agent; or</w:t>
      </w:r>
    </w:p>
    <w:p>
      <w:pPr>
        <w:pStyle w:val="Indenta"/>
        <w:keepNext/>
        <w:spacing w:before="60"/>
        <w:rPr>
          <w:snapToGrid w:val="0"/>
        </w:rPr>
      </w:pPr>
      <w:r>
        <w:rPr>
          <w:snapToGrid w:val="0"/>
        </w:rPr>
        <w:tab/>
        <w:t>(b)</w:t>
      </w:r>
      <w:r>
        <w:rPr>
          <w:snapToGrid w:val="0"/>
        </w:rPr>
        <w:tab/>
        <w:t>there has been undue or unreasonable refusal, neglect, or delay on the part of any agent in paying moneys,</w:t>
      </w:r>
    </w:p>
    <w:p>
      <w:pPr>
        <w:pStyle w:val="Indenti"/>
        <w:spacing w:before="60"/>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[Section 92 amended by No. 59 of 1995 s. 40(1); No. 26 of 1999 s. 99(4); No. 55 of 2004 s. 1021; No. 58 of 2010 s. 134.]</w:t>
      </w:r>
    </w:p>
    <w:p>
      <w:pPr>
        <w:pStyle w:val="Heading5"/>
        <w:rPr>
          <w:snapToGrid w:val="0"/>
        </w:rPr>
      </w:pPr>
      <w:bookmarkStart w:id="283" w:name="_Toc404159109"/>
      <w:bookmarkStart w:id="284" w:name="_Toc468701006"/>
      <w:bookmarkStart w:id="285" w:name="_Toc435024498"/>
      <w:r>
        <w:rPr>
          <w:rStyle w:val="CharSectno"/>
        </w:rPr>
        <w:t>93</w:t>
      </w:r>
      <w:r>
        <w:rPr>
          <w:snapToGrid w:val="0"/>
        </w:rPr>
        <w:t>.</w:t>
      </w:r>
      <w:r>
        <w:rPr>
          <w:snapToGrid w:val="0"/>
        </w:rPr>
        <w:tab/>
        <w:t>Suspension of agents, appointment of supervisors etc., SAT’s powers as to</w:t>
      </w:r>
      <w:bookmarkEnd w:id="283"/>
      <w:bookmarkEnd w:id="284"/>
      <w:bookmarkEnd w:id="285"/>
    </w:p>
    <w:p>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w:t>
      </w:r>
    </w:p>
    <w:p>
      <w:pPr>
        <w:pStyle w:val="Indenta"/>
        <w:rPr>
          <w:snapToGrid w:val="0"/>
        </w:rPr>
      </w:pPr>
      <w:r>
        <w:rPr>
          <w:snapToGrid w:val="0"/>
        </w:rPr>
        <w:tab/>
        <w:t>(a)</w:t>
      </w:r>
      <w:r>
        <w:rPr>
          <w:snapToGrid w:val="0"/>
        </w:rPr>
        <w:tab/>
        <w:t>suspend the agent from carrying on his business for such period as may be specified in the order; and</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 and</w:t>
      </w:r>
    </w:p>
    <w:p>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 and</w:t>
      </w:r>
    </w:p>
    <w:p>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w:t>
      </w:r>
      <w:r>
        <w:t xml:space="preserve"> Commissioner</w:t>
      </w:r>
      <w:r>
        <w:rPr>
          <w:snapToGrid w:val="0"/>
        </w:rPr>
        <w:t>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 and</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w:t>
      </w:r>
    </w:p>
    <w:p>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pPr>
        <w:pStyle w:val="Footnotesection"/>
      </w:pPr>
      <w:r>
        <w:tab/>
        <w:t>[Section 93 amended by No. 59 of 1995 s. 42; No. 55 of 2004 s. 1021; No. 77 of 2006 Sch. 1 cl. 147(4) and (5); No. 58 of 2010 s. 134.]</w:t>
      </w:r>
    </w:p>
    <w:p>
      <w:pPr>
        <w:pStyle w:val="Heading5"/>
        <w:rPr>
          <w:snapToGrid w:val="0"/>
        </w:rPr>
      </w:pPr>
      <w:bookmarkStart w:id="286" w:name="_Toc404159110"/>
      <w:bookmarkStart w:id="287" w:name="_Toc468701007"/>
      <w:bookmarkStart w:id="288" w:name="_Toc435024499"/>
      <w:r>
        <w:rPr>
          <w:rStyle w:val="CharSectno"/>
        </w:rPr>
        <w:t>94</w:t>
      </w:r>
      <w:r>
        <w:rPr>
          <w:snapToGrid w:val="0"/>
        </w:rPr>
        <w:t>.</w:t>
      </w:r>
      <w:r>
        <w:rPr>
          <w:snapToGrid w:val="0"/>
        </w:rPr>
        <w:tab/>
        <w:t>Order under s. 93 for supervisor, effect of</w:t>
      </w:r>
      <w:bookmarkEnd w:id="286"/>
      <w:bookmarkEnd w:id="287"/>
      <w:bookmarkEnd w:id="288"/>
    </w:p>
    <w:p>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 and</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proportion shall be paid to the </w:t>
      </w:r>
      <w:r>
        <w:t>Commissioner</w:t>
      </w:r>
      <w:r>
        <w:rPr>
          <w:snapToGrid w:val="0"/>
        </w:rPr>
        <w:t xml:space="preserve"> towards the expenses and remuneration of the supervisor and for reimbursement of advances made under paragraph (b).</w:t>
      </w:r>
    </w:p>
    <w:p>
      <w:pPr>
        <w:pStyle w:val="Subsection"/>
        <w:keepNext/>
        <w:keepLines/>
        <w:rPr>
          <w:snapToGrid w:val="0"/>
        </w:rPr>
      </w:pPr>
      <w:r>
        <w:rPr>
          <w:snapToGrid w:val="0"/>
        </w:rPr>
        <w:tab/>
        <w:t>(2)</w:t>
      </w:r>
      <w:r>
        <w:rPr>
          <w:snapToGrid w:val="0"/>
        </w:rPr>
        <w:tab/>
        <w:t xml:space="preserve">An appointment of a supervisor shall be in </w:t>
      </w:r>
      <w:r>
        <w:t>writing.</w:t>
      </w:r>
    </w:p>
    <w:p>
      <w:pPr>
        <w:pStyle w:val="Footnotesection"/>
      </w:pPr>
      <w:r>
        <w:tab/>
        <w:t>[Section 94 amended by No. 58 of 2010 s. 101 and 134.]</w:t>
      </w:r>
    </w:p>
    <w:p>
      <w:pPr>
        <w:pStyle w:val="Heading5"/>
        <w:rPr>
          <w:snapToGrid w:val="0"/>
        </w:rPr>
      </w:pPr>
      <w:bookmarkStart w:id="289" w:name="_Toc404159111"/>
      <w:bookmarkStart w:id="290" w:name="_Toc468701008"/>
      <w:bookmarkStart w:id="291" w:name="_Toc435024500"/>
      <w:r>
        <w:rPr>
          <w:rStyle w:val="CharSectno"/>
        </w:rPr>
        <w:t>95</w:t>
      </w:r>
      <w:r>
        <w:rPr>
          <w:snapToGrid w:val="0"/>
        </w:rPr>
        <w:t>.</w:t>
      </w:r>
      <w:r>
        <w:rPr>
          <w:snapToGrid w:val="0"/>
        </w:rPr>
        <w:tab/>
        <w:t>Supervisors’ duties</w:t>
      </w:r>
      <w:bookmarkEnd w:id="289"/>
      <w:bookmarkEnd w:id="290"/>
      <w:bookmarkEnd w:id="291"/>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292" w:name="_Toc404159112"/>
      <w:bookmarkStart w:id="293" w:name="_Toc468701009"/>
      <w:bookmarkStart w:id="294" w:name="_Toc435024501"/>
      <w:r>
        <w:rPr>
          <w:rStyle w:val="CharSectno"/>
        </w:rPr>
        <w:t>96</w:t>
      </w:r>
      <w:r>
        <w:rPr>
          <w:snapToGrid w:val="0"/>
        </w:rPr>
        <w:t>.</w:t>
      </w:r>
      <w:r>
        <w:rPr>
          <w:snapToGrid w:val="0"/>
        </w:rPr>
        <w:tab/>
        <w:t>Hindering etc. supervisors, offence</w:t>
      </w:r>
      <w:bookmarkEnd w:id="292"/>
      <w:bookmarkEnd w:id="293"/>
      <w:bookmarkEnd w:id="294"/>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[Section 96 amended by No. 43 of 1994 s. 11.]</w:t>
      </w:r>
    </w:p>
    <w:p>
      <w:pPr>
        <w:pStyle w:val="Heading5"/>
        <w:rPr>
          <w:snapToGrid w:val="0"/>
        </w:rPr>
      </w:pPr>
      <w:bookmarkStart w:id="295" w:name="_Toc404159113"/>
      <w:bookmarkStart w:id="296" w:name="_Toc468701010"/>
      <w:bookmarkStart w:id="297" w:name="_Toc435024502"/>
      <w:r>
        <w:rPr>
          <w:rStyle w:val="CharSectno"/>
        </w:rPr>
        <w:t>97</w:t>
      </w:r>
      <w:r>
        <w:rPr>
          <w:snapToGrid w:val="0"/>
        </w:rPr>
        <w:t>.</w:t>
      </w:r>
      <w:r>
        <w:rPr>
          <w:snapToGrid w:val="0"/>
        </w:rPr>
        <w:tab/>
        <w:t>Discharge or variation of s. 92 or 93 order</w:t>
      </w:r>
      <w:bookmarkEnd w:id="295"/>
      <w:bookmarkEnd w:id="296"/>
      <w:bookmarkEnd w:id="297"/>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r>
        <w:tab/>
        <w:t>[Section 97 amended by No. 55 of 2004 s. 1021.]</w:t>
      </w:r>
    </w:p>
    <w:p>
      <w:pPr>
        <w:pStyle w:val="Heading5"/>
        <w:rPr>
          <w:snapToGrid w:val="0"/>
        </w:rPr>
      </w:pPr>
      <w:bookmarkStart w:id="298" w:name="_Toc404159114"/>
      <w:bookmarkStart w:id="299" w:name="_Toc468701011"/>
      <w:bookmarkStart w:id="300" w:name="_Toc435024503"/>
      <w:r>
        <w:rPr>
          <w:rStyle w:val="CharSectno"/>
        </w:rPr>
        <w:t>98</w:t>
      </w:r>
      <w:r>
        <w:rPr>
          <w:snapToGrid w:val="0"/>
        </w:rPr>
        <w:t>.</w:t>
      </w:r>
      <w:r>
        <w:rPr>
          <w:snapToGrid w:val="0"/>
        </w:rPr>
        <w:tab/>
        <w:t>SAT’s additional powers as to s. 92, 93 and 97 orders; schemes for distributing funds</w:t>
      </w:r>
      <w:bookmarkEnd w:id="298"/>
      <w:bookmarkEnd w:id="299"/>
      <w:bookmarkEnd w:id="300"/>
    </w:p>
    <w:p>
      <w:pPr>
        <w:pStyle w:val="Subsection"/>
        <w:keepNext/>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 and</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[Section 98 amended by No. 59 of 1995 s. 40(1) and 42; No. 26 of 1999 s. 99(5); No. 55 of 2004 s. 1021; No. 77 of 2006 Sch. 1 cl. 147(6) and (7); No. 58 of 2010 s. 134.]</w:t>
      </w:r>
    </w:p>
    <w:p>
      <w:pPr>
        <w:pStyle w:val="Heading5"/>
        <w:rPr>
          <w:snapToGrid w:val="0"/>
        </w:rPr>
      </w:pPr>
      <w:bookmarkStart w:id="301" w:name="_Toc404159115"/>
      <w:bookmarkStart w:id="302" w:name="_Toc468701012"/>
      <w:bookmarkStart w:id="303" w:name="_Toc435024504"/>
      <w:r>
        <w:rPr>
          <w:rStyle w:val="CharSectno"/>
        </w:rPr>
        <w:t>99</w:t>
      </w:r>
      <w:r>
        <w:rPr>
          <w:snapToGrid w:val="0"/>
        </w:rPr>
        <w:t>.</w:t>
      </w:r>
      <w:r>
        <w:rPr>
          <w:snapToGrid w:val="0"/>
        </w:rPr>
        <w:tab/>
        <w:t>Service of s. 92, 93, 97 or 98 orders; penalty for breach of</w:t>
      </w:r>
      <w:bookmarkEnd w:id="301"/>
      <w:bookmarkEnd w:id="302"/>
      <w:bookmarkEnd w:id="303"/>
    </w:p>
    <w:p>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(8); No. 58 of 2010 s. 134.]</w:t>
      </w:r>
    </w:p>
    <w:p>
      <w:pPr>
        <w:pStyle w:val="Heading5"/>
        <w:spacing w:before="180"/>
      </w:pPr>
      <w:bookmarkStart w:id="304" w:name="_Toc404159116"/>
      <w:bookmarkStart w:id="305" w:name="_Toc468701013"/>
      <w:bookmarkStart w:id="306" w:name="_Toc435024505"/>
      <w:r>
        <w:rPr>
          <w:rStyle w:val="CharSectno"/>
        </w:rPr>
        <w:t>100</w:t>
      </w:r>
      <w:r>
        <w:t>.</w:t>
      </w:r>
      <w:r>
        <w:tab/>
        <w:t>Banks etc., duty to disclose certain accounts etc. if required to by authorised person</w:t>
      </w:r>
      <w:bookmarkEnd w:id="304"/>
      <w:bookmarkEnd w:id="305"/>
      <w:bookmarkEnd w:id="306"/>
    </w:p>
    <w:p>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pPr>
        <w:pStyle w:val="Footnotesection"/>
        <w:spacing w:before="80"/>
        <w:ind w:left="890" w:hanging="890"/>
      </w:pPr>
      <w:r>
        <w:tab/>
        <w:t>[Section 100 inserted by No. 58 of 2010 s. 102.]</w:t>
      </w:r>
    </w:p>
    <w:p>
      <w:pPr>
        <w:pStyle w:val="Heading5"/>
        <w:spacing w:before="180"/>
        <w:rPr>
          <w:snapToGrid w:val="0"/>
        </w:rPr>
      </w:pPr>
      <w:bookmarkStart w:id="307" w:name="_Toc404159117"/>
      <w:bookmarkStart w:id="308" w:name="_Toc468701014"/>
      <w:bookmarkStart w:id="309" w:name="_Toc435024506"/>
      <w:r>
        <w:rPr>
          <w:rStyle w:val="CharSectno"/>
        </w:rPr>
        <w:t>100A</w:t>
      </w:r>
      <w:r>
        <w:rPr>
          <w:snapToGrid w:val="0"/>
        </w:rPr>
        <w:t>.</w:t>
      </w:r>
      <w:r>
        <w:rPr>
          <w:snapToGrid w:val="0"/>
        </w:rPr>
        <w:tab/>
      </w:r>
      <w:r>
        <w:t>Information about trust accounts, Commissioner’s power to obtain</w:t>
      </w:r>
      <w:bookmarkEnd w:id="307"/>
      <w:bookmarkEnd w:id="308"/>
      <w:bookmarkEnd w:id="309"/>
    </w:p>
    <w:p>
      <w:pPr>
        <w:pStyle w:val="Subsection"/>
        <w:keepNext/>
        <w:spacing w:before="120"/>
        <w:rPr>
          <w:snapToGrid w:val="0"/>
        </w:rPr>
      </w:pPr>
      <w:r>
        <w:rPr>
          <w:snapToGrid w:val="0"/>
        </w:rPr>
        <w:tab/>
        <w:t>(1)</w:t>
      </w:r>
      <w:r>
        <w:rPr>
          <w:snapToGrid w:val="0"/>
        </w:rPr>
        <w:tab/>
        <w:t xml:space="preserve">The </w:t>
      </w:r>
      <w:r>
        <w:t>Commissioner</w:t>
      </w:r>
      <w:r>
        <w:rPr>
          <w:snapToGrid w:val="0"/>
        </w:rPr>
        <w:t xml:space="preserve"> may require —</w:t>
      </w:r>
    </w:p>
    <w:p>
      <w:pPr>
        <w:pStyle w:val="Indenta"/>
        <w:spacing w:before="60"/>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pPr>
        <w:pStyle w:val="Indenta"/>
        <w:spacing w:before="60"/>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pPr>
        <w:pStyle w:val="Subsection"/>
        <w:spacing w:before="80"/>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w:t>
      </w:r>
    </w:p>
    <w:p>
      <w:pPr>
        <w:pStyle w:val="Indenta"/>
        <w:spacing w:before="60"/>
        <w:rPr>
          <w:snapToGrid w:val="0"/>
        </w:rPr>
      </w:pPr>
      <w:r>
        <w:rPr>
          <w:snapToGrid w:val="0"/>
        </w:rPr>
        <w:tab/>
        <w:t>(a)</w:t>
      </w:r>
      <w:r>
        <w:rPr>
          <w:snapToGrid w:val="0"/>
        </w:rPr>
        <w:tab/>
        <w:t>shall be given by notice in writing to the person required to give the information; and</w:t>
      </w:r>
    </w:p>
    <w:p>
      <w:pPr>
        <w:pStyle w:val="Indenta"/>
        <w:spacing w:before="60"/>
        <w:rPr>
          <w:snapToGrid w:val="0"/>
        </w:rPr>
      </w:pPr>
      <w:r>
        <w:rPr>
          <w:snapToGrid w:val="0"/>
        </w:rPr>
        <w:tab/>
        <w:t>(b)</w:t>
      </w:r>
      <w:r>
        <w:rPr>
          <w:snapToGrid w:val="0"/>
        </w:rPr>
        <w:tab/>
        <w:t>shall specify the time at or within which the information is to be given; and</w:t>
      </w:r>
    </w:p>
    <w:p>
      <w:pPr>
        <w:pStyle w:val="Indenta"/>
        <w:keepNext/>
        <w:spacing w:before="60"/>
        <w:rPr>
          <w:snapToGrid w:val="0"/>
        </w:rPr>
      </w:pPr>
      <w:r>
        <w:rPr>
          <w:snapToGrid w:val="0"/>
        </w:rPr>
        <w:tab/>
        <w:t>(c)</w:t>
      </w:r>
      <w:r>
        <w:rPr>
          <w:snapToGrid w:val="0"/>
        </w:rPr>
        <w:tab/>
        <w:t>may, by its terms, require that the information be —</w:t>
      </w:r>
    </w:p>
    <w:p>
      <w:pPr>
        <w:pStyle w:val="Indenti"/>
        <w:spacing w:before="60"/>
        <w:rPr>
          <w:snapToGrid w:val="0"/>
        </w:rPr>
      </w:pPr>
      <w:r>
        <w:rPr>
          <w:snapToGrid w:val="0"/>
        </w:rPr>
        <w:tab/>
        <w:t>(i)</w:t>
      </w:r>
      <w:r>
        <w:rPr>
          <w:snapToGrid w:val="0"/>
        </w:rPr>
        <w:tab/>
        <w:t>given in writing; and</w:t>
      </w:r>
    </w:p>
    <w:p>
      <w:pPr>
        <w:pStyle w:val="Indenti"/>
        <w:spacing w:before="6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 and</w:t>
      </w:r>
    </w:p>
    <w:p>
      <w:pPr>
        <w:pStyle w:val="Indenti"/>
        <w:spacing w:before="60"/>
        <w:rPr>
          <w:snapToGrid w:val="0"/>
        </w:rPr>
      </w:pPr>
      <w:r>
        <w:rPr>
          <w:snapToGrid w:val="0"/>
        </w:rPr>
        <w:tab/>
        <w:t>(iii)</w:t>
      </w:r>
      <w:r>
        <w:rPr>
          <w:snapToGrid w:val="0"/>
        </w:rPr>
        <w:tab/>
        <w:t>given at or sent or delivered to any place specified in the requirement; and</w:t>
      </w:r>
    </w:p>
    <w:p>
      <w:pPr>
        <w:pStyle w:val="Indenti"/>
        <w:spacing w:before="60"/>
        <w:rPr>
          <w:snapToGrid w:val="0"/>
        </w:rPr>
      </w:pPr>
      <w:r>
        <w:rPr>
          <w:snapToGrid w:val="0"/>
        </w:rPr>
        <w:tab/>
        <w:t>(iv)</w:t>
      </w:r>
      <w:r>
        <w:rPr>
          <w:snapToGrid w:val="0"/>
        </w:rPr>
        <w:tab/>
        <w:t>sent or delivered by any means specified in the requirement; and</w:t>
      </w:r>
    </w:p>
    <w:p>
      <w:pPr>
        <w:pStyle w:val="Indenti"/>
        <w:spacing w:before="60"/>
        <w:rPr>
          <w:snapToGrid w:val="0"/>
        </w:rPr>
      </w:pPr>
      <w:r>
        <w:rPr>
          <w:snapToGrid w:val="0"/>
        </w:rPr>
        <w:tab/>
        <w:t>(v)</w:t>
      </w:r>
      <w:r>
        <w:rPr>
          <w:snapToGrid w:val="0"/>
        </w:rPr>
        <w:tab/>
        <w:t>given on oath or affirmation or by statutory declaration;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shall state that the person to whom the notice is given is required under this Act to give the information.</w:t>
      </w:r>
    </w:p>
    <w:p>
      <w:pPr>
        <w:pStyle w:val="Subsection"/>
        <w:spacing w:before="140"/>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spacing w:before="140"/>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spacing w:before="140"/>
        <w:rPr>
          <w:snapToGrid w:val="0"/>
        </w:rPr>
      </w:pPr>
      <w:r>
        <w:rPr>
          <w:snapToGrid w:val="0"/>
        </w:rPr>
        <w:tab/>
        <w:t>(5)</w:t>
      </w:r>
      <w:r>
        <w:rPr>
          <w:snapToGrid w:val="0"/>
        </w:rPr>
        <w:tab/>
        <w:t>It is a defence in proceedings for an offence against subsection (3) for the person to show that —</w:t>
      </w:r>
    </w:p>
    <w:p>
      <w:pPr>
        <w:pStyle w:val="Indenta"/>
        <w:spacing w:before="60"/>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pPr>
        <w:pStyle w:val="Footnotesection"/>
      </w:pPr>
      <w:r>
        <w:tab/>
        <w:t>[Section 100A inserted by No. 59 of 1995 s. 19; amended by No. 10 of 2001 s. 220; No. 58 of 2010 s. 134.]</w:t>
      </w:r>
    </w:p>
    <w:p>
      <w:pPr>
        <w:pStyle w:val="Heading2"/>
      </w:pPr>
      <w:bookmarkStart w:id="310" w:name="_Toc404159118"/>
      <w:bookmarkStart w:id="311" w:name="_Toc424293144"/>
      <w:bookmarkStart w:id="312" w:name="_Toc435024507"/>
      <w:bookmarkStart w:id="313" w:name="_Toc468701015"/>
      <w:r>
        <w:rPr>
          <w:rStyle w:val="CharPartNo"/>
        </w:rPr>
        <w:t>Part VII</w:t>
      </w:r>
      <w:r>
        <w:rPr>
          <w:rStyle w:val="CharDivNo"/>
        </w:rPr>
        <w:t> </w:t>
      </w:r>
      <w:r>
        <w:t>—</w:t>
      </w:r>
      <w:r>
        <w:rPr>
          <w:rStyle w:val="CharDivText"/>
        </w:rPr>
        <w:t> </w:t>
      </w:r>
      <w:r>
        <w:rPr>
          <w:rStyle w:val="CharPartText"/>
        </w:rPr>
        <w:t>Discipline of agents and sales representatives</w:t>
      </w:r>
      <w:bookmarkEnd w:id="310"/>
      <w:bookmarkEnd w:id="311"/>
      <w:bookmarkEnd w:id="312"/>
      <w:bookmarkEnd w:id="313"/>
    </w:p>
    <w:p>
      <w:pPr>
        <w:pStyle w:val="Heading5"/>
        <w:rPr>
          <w:snapToGrid w:val="0"/>
        </w:rPr>
      </w:pPr>
      <w:bookmarkStart w:id="314" w:name="_Toc404159119"/>
      <w:bookmarkStart w:id="315" w:name="_Toc468701016"/>
      <w:bookmarkStart w:id="316" w:name="_Toc435024508"/>
      <w:r>
        <w:rPr>
          <w:rStyle w:val="CharSectno"/>
        </w:rPr>
        <w:t>101</w:t>
      </w:r>
      <w:r>
        <w:rPr>
          <w:snapToGrid w:val="0"/>
        </w:rPr>
        <w:t>.</w:t>
      </w:r>
      <w:r>
        <w:rPr>
          <w:snapToGrid w:val="0"/>
        </w:rPr>
        <w:tab/>
      </w:r>
      <w:r>
        <w:t>Codes of conduct</w:t>
      </w:r>
      <w:bookmarkEnd w:id="314"/>
      <w:bookmarkEnd w:id="315"/>
      <w:bookmarkEnd w:id="316"/>
    </w:p>
    <w:p>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Footnotesection"/>
      </w:pPr>
      <w:r>
        <w:tab/>
        <w:t>[Section 101 amended by No. 58 of 2010 s. 134.]</w:t>
      </w:r>
    </w:p>
    <w:p>
      <w:pPr>
        <w:pStyle w:val="Heading5"/>
        <w:rPr>
          <w:snapToGrid w:val="0"/>
        </w:rPr>
      </w:pPr>
      <w:bookmarkStart w:id="317" w:name="_Toc404159120"/>
      <w:bookmarkStart w:id="318" w:name="_Toc468701017"/>
      <w:bookmarkStart w:id="319" w:name="_Toc435024509"/>
      <w:r>
        <w:rPr>
          <w:rStyle w:val="CharSectno"/>
        </w:rPr>
        <w:t>102</w:t>
      </w:r>
      <w:r>
        <w:rPr>
          <w:snapToGrid w:val="0"/>
        </w:rPr>
        <w:t>.</w:t>
      </w:r>
      <w:r>
        <w:rPr>
          <w:snapToGrid w:val="0"/>
        </w:rPr>
        <w:tab/>
        <w:t>Disciplinary action by SAT, alleging cause for</w:t>
      </w:r>
      <w:bookmarkEnd w:id="317"/>
      <w:bookmarkEnd w:id="318"/>
      <w:bookmarkEnd w:id="319"/>
    </w:p>
    <w:p>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[Section 102 amended by No. 74 of 1980 s. 10; No. 34 of 1998 s. 16; No. 55 of 2004 s. 1013 and 1020; No. 58 of 2010 s. 134.]</w:t>
      </w:r>
    </w:p>
    <w:p>
      <w:pPr>
        <w:pStyle w:val="Heading5"/>
        <w:rPr>
          <w:snapToGrid w:val="0"/>
        </w:rPr>
      </w:pPr>
      <w:bookmarkStart w:id="320" w:name="_Toc404159121"/>
      <w:bookmarkStart w:id="321" w:name="_Toc468701018"/>
      <w:bookmarkStart w:id="322" w:name="_Toc435024510"/>
      <w:r>
        <w:rPr>
          <w:rStyle w:val="CharSectno"/>
        </w:rPr>
        <w:t>103</w:t>
      </w:r>
      <w:r>
        <w:rPr>
          <w:snapToGrid w:val="0"/>
        </w:rPr>
        <w:t>.</w:t>
      </w:r>
      <w:r>
        <w:rPr>
          <w:snapToGrid w:val="0"/>
        </w:rPr>
        <w:tab/>
        <w:t>Disciplinary action, SAT’s powers as to</w:t>
      </w:r>
      <w:bookmarkEnd w:id="320"/>
      <w:bookmarkEnd w:id="321"/>
      <w:bookmarkEnd w:id="322"/>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w:t>
      </w:r>
    </w:p>
    <w:p>
      <w:pPr>
        <w:pStyle w:val="Indenta"/>
        <w:spacing w:before="70"/>
        <w:rPr>
          <w:snapToGrid w:val="0"/>
        </w:rPr>
      </w:pPr>
      <w:r>
        <w:rPr>
          <w:snapToGrid w:val="0"/>
        </w:rPr>
        <w:tab/>
        <w:t>(a)</w:t>
      </w:r>
      <w:r>
        <w:rPr>
          <w:snapToGrid w:val="0"/>
        </w:rPr>
        <w:tab/>
        <w:t>reprimand or caution the agent;</w:t>
      </w:r>
    </w:p>
    <w:p>
      <w:pPr>
        <w:pStyle w:val="Indenta"/>
        <w:spacing w:before="70"/>
        <w:rPr>
          <w:snapToGrid w:val="0"/>
        </w:rPr>
      </w:pPr>
      <w:r>
        <w:rPr>
          <w:snapToGrid w:val="0"/>
        </w:rPr>
        <w:tab/>
        <w:t>(b)</w:t>
      </w:r>
      <w:r>
        <w:rPr>
          <w:snapToGrid w:val="0"/>
        </w:rPr>
        <w:tab/>
        <w:t>impose a fine not exceeding $10 000 on him;</w:t>
      </w:r>
    </w:p>
    <w:p>
      <w:pPr>
        <w:pStyle w:val="Indenta"/>
        <w:spacing w:before="70"/>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spacing w:before="70"/>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w:t>
      </w:r>
    </w:p>
    <w:p>
      <w:pPr>
        <w:pStyle w:val="Indenti"/>
        <w:spacing w:before="70"/>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spacing w:before="70"/>
        <w:rPr>
          <w:snapToGrid w:val="0"/>
        </w:rPr>
      </w:pPr>
      <w:r>
        <w:rPr>
          <w:snapToGrid w:val="0"/>
        </w:rPr>
        <w:tab/>
        <w:t>(ii)</w:t>
      </w:r>
      <w:r>
        <w:rPr>
          <w:snapToGrid w:val="0"/>
        </w:rPr>
        <w:tab/>
        <w:t>order that a demand by the agent in contravention of a provision referred to in the subsection for the whole or part of any commission, reward or other valuable consideration not be made, or if made, be withdrawn or varied in accordance with the order;</w:t>
      </w:r>
    </w:p>
    <w:p>
      <w:pPr>
        <w:pStyle w:val="Indenta"/>
        <w:spacing w:before="70"/>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w:t>
      </w:r>
    </w:p>
    <w:p>
      <w:pPr>
        <w:pStyle w:val="Indenta"/>
        <w:rPr>
          <w:snapToGrid w:val="0"/>
        </w:rPr>
      </w:pPr>
      <w:r>
        <w:rPr>
          <w:snapToGrid w:val="0"/>
        </w:rPr>
        <w:tab/>
        <w:t>(a)</w:t>
      </w:r>
      <w:r>
        <w:rPr>
          <w:snapToGrid w:val="0"/>
        </w:rPr>
        <w:tab/>
        <w:t>the agent improperly obtained a licence or triennial certificate; or</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 or</w:t>
      </w:r>
    </w:p>
    <w:p>
      <w:pPr>
        <w:pStyle w:val="Indenta"/>
        <w:keepNext/>
        <w:rPr>
          <w:snapToGrid w:val="0"/>
        </w:rPr>
      </w:pPr>
      <w:r>
        <w:rPr>
          <w:snapToGrid w:val="0"/>
        </w:rPr>
        <w:tab/>
        <w:t>(c)</w:t>
      </w:r>
      <w:r>
        <w:rPr>
          <w:snapToGrid w:val="0"/>
        </w:rPr>
        <w:tab/>
        <w:t>the agent is acting or has acted in breach of —</w:t>
      </w:r>
    </w:p>
    <w:p>
      <w:pPr>
        <w:pStyle w:val="Indenti"/>
        <w:rPr>
          <w:snapToGrid w:val="0"/>
        </w:rPr>
      </w:pPr>
      <w:r>
        <w:rPr>
          <w:snapToGrid w:val="0"/>
        </w:rPr>
        <w:tab/>
        <w:t>(i)</w:t>
      </w:r>
      <w:r>
        <w:rPr>
          <w:snapToGrid w:val="0"/>
        </w:rPr>
        <w:tab/>
        <w:t>a special condition of his licence or triennial certificate;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w:t>
      </w:r>
    </w:p>
    <w:p>
      <w:pPr>
        <w:pStyle w:val="Indenta"/>
        <w:rPr>
          <w:snapToGrid w:val="0"/>
        </w:rPr>
      </w:pPr>
      <w:r>
        <w:rPr>
          <w:snapToGrid w:val="0"/>
        </w:rPr>
        <w:tab/>
        <w:t>(a)</w:t>
      </w:r>
      <w:r>
        <w:rPr>
          <w:snapToGrid w:val="0"/>
        </w:rPr>
        <w:tab/>
        <w:t>the sales representative improperly obtained registration; or</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 or</w:t>
      </w:r>
    </w:p>
    <w:p>
      <w:pPr>
        <w:pStyle w:val="Indenta"/>
        <w:keepNext/>
        <w:rPr>
          <w:snapToGrid w:val="0"/>
        </w:rPr>
      </w:pPr>
      <w:r>
        <w:rPr>
          <w:snapToGrid w:val="0"/>
        </w:rPr>
        <w:tab/>
        <w:t>(c)</w:t>
      </w:r>
      <w:r>
        <w:rPr>
          <w:snapToGrid w:val="0"/>
        </w:rPr>
        <w:tab/>
        <w:t>the sales representative is acting or has acted in breach of —</w:t>
      </w:r>
    </w:p>
    <w:p>
      <w:pPr>
        <w:pStyle w:val="Indenti"/>
        <w:rPr>
          <w:snapToGrid w:val="0"/>
        </w:rPr>
      </w:pPr>
      <w:r>
        <w:rPr>
          <w:snapToGrid w:val="0"/>
        </w:rPr>
        <w:tab/>
        <w:t>(i)</w:t>
      </w:r>
      <w:r>
        <w:rPr>
          <w:snapToGrid w:val="0"/>
        </w:rPr>
        <w:tab/>
        <w:t>a special condition of his registration;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code of conduct for sales representatives;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[Section 103 amended by No. 43 of 1994 s. 11; No. 59 of 1995 s. 20; No. 34 of 1998 s. 17; No. 55 of 2004 s. 1014 and 1020; No. 58 of 2010 s. 134.]</w:t>
      </w:r>
    </w:p>
    <w:p>
      <w:pPr>
        <w:pStyle w:val="Heading5"/>
        <w:rPr>
          <w:snapToGrid w:val="0"/>
        </w:rPr>
      </w:pPr>
      <w:bookmarkStart w:id="323" w:name="_Toc404159122"/>
      <w:bookmarkStart w:id="324" w:name="_Toc468701019"/>
      <w:bookmarkStart w:id="325" w:name="_Toc435024511"/>
      <w:r>
        <w:rPr>
          <w:rStyle w:val="CharSectno"/>
        </w:rPr>
        <w:t>104</w:t>
      </w:r>
      <w:r>
        <w:rPr>
          <w:snapToGrid w:val="0"/>
        </w:rPr>
        <w:t>.</w:t>
      </w:r>
      <w:r>
        <w:rPr>
          <w:snapToGrid w:val="0"/>
        </w:rPr>
        <w:tab/>
        <w:t>Offences that cause licence and triennial certificate to be cancelled</w:t>
      </w:r>
      <w:bookmarkEnd w:id="323"/>
      <w:bookmarkEnd w:id="324"/>
      <w:bookmarkEnd w:id="325"/>
    </w:p>
    <w:p>
      <w:pPr>
        <w:pStyle w:val="Subsection"/>
        <w:keepNext/>
        <w:rPr>
          <w:snapToGrid w:val="0"/>
        </w:rPr>
      </w:pPr>
      <w:r>
        <w:rPr>
          <w:snapToGrid w:val="0"/>
        </w:rPr>
        <w:tab/>
      </w:r>
      <w:r>
        <w:rPr>
          <w:snapToGrid w:val="0"/>
        </w:rPr>
        <w:tab/>
        <w:t>If a licensee is convicted of an offence involving —</w:t>
      </w:r>
    </w:p>
    <w:p>
      <w:pPr>
        <w:pStyle w:val="Indenta"/>
        <w:rPr>
          <w:snapToGrid w:val="0"/>
        </w:rPr>
      </w:pPr>
      <w:r>
        <w:rPr>
          <w:snapToGrid w:val="0"/>
        </w:rPr>
        <w:tab/>
        <w:t>(a)</w:t>
      </w:r>
      <w:r>
        <w:rPr>
          <w:snapToGrid w:val="0"/>
        </w:rPr>
        <w:tab/>
        <w:t>defalcation by the licensee; or</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pPr>
        <w:pStyle w:val="Footnotesection"/>
      </w:pPr>
      <w:r>
        <w:tab/>
        <w:t>[Section 104 amended by No. 59 of 2004 s. 141; No. 58 of 2010 s. 134.]</w:t>
      </w:r>
    </w:p>
    <w:p>
      <w:pPr>
        <w:pStyle w:val="Heading5"/>
        <w:rPr>
          <w:snapToGrid w:val="0"/>
        </w:rPr>
      </w:pPr>
      <w:bookmarkStart w:id="326" w:name="_Toc404159123"/>
      <w:bookmarkStart w:id="327" w:name="_Toc468701020"/>
      <w:bookmarkStart w:id="328" w:name="_Toc435024512"/>
      <w:r>
        <w:rPr>
          <w:rStyle w:val="CharSectno"/>
        </w:rPr>
        <w:t>105</w:t>
      </w:r>
      <w:r>
        <w:rPr>
          <w:snapToGrid w:val="0"/>
        </w:rPr>
        <w:t>.</w:t>
      </w:r>
      <w:r>
        <w:rPr>
          <w:snapToGrid w:val="0"/>
        </w:rPr>
        <w:tab/>
        <w:t>Certain offences by licensees, additional sentencing powers for</w:t>
      </w:r>
      <w:bookmarkEnd w:id="326"/>
      <w:bookmarkEnd w:id="327"/>
      <w:bookmarkEnd w:id="328"/>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w:t>
      </w:r>
    </w:p>
    <w:p>
      <w:pPr>
        <w:pStyle w:val="Indenta"/>
        <w:spacing w:before="60"/>
        <w:rPr>
          <w:snapToGrid w:val="0"/>
        </w:rPr>
      </w:pPr>
      <w:r>
        <w:rPr>
          <w:snapToGrid w:val="0"/>
        </w:rPr>
        <w:tab/>
        <w:t>(a)</w:t>
      </w:r>
      <w:r>
        <w:rPr>
          <w:snapToGrid w:val="0"/>
        </w:rPr>
        <w:tab/>
        <w:t>reprimand or caution the licensee;</w:t>
      </w:r>
    </w:p>
    <w:p>
      <w:pPr>
        <w:pStyle w:val="Indenta"/>
        <w:spacing w:before="60"/>
        <w:rPr>
          <w:snapToGrid w:val="0"/>
        </w:rPr>
      </w:pPr>
      <w:r>
        <w:rPr>
          <w:snapToGrid w:val="0"/>
        </w:rPr>
        <w:tab/>
        <w:t>(b)</w:t>
      </w:r>
      <w:r>
        <w:rPr>
          <w:snapToGrid w:val="0"/>
        </w:rPr>
        <w:tab/>
        <w:t>impose a fine not exceeding $10 000 on him;</w:t>
      </w:r>
    </w:p>
    <w:p>
      <w:pPr>
        <w:pStyle w:val="Indenta"/>
        <w:spacing w:before="60"/>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spacing w:before="120"/>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[Section 105 amended by No. 43 of 1994 s. 11; No. 55 of 2004 s. 1020; No. 59 of 2004 s. 141; No. 58 of 2010 s. 134.]</w:t>
      </w:r>
    </w:p>
    <w:p>
      <w:pPr>
        <w:pStyle w:val="Heading5"/>
        <w:rPr>
          <w:snapToGrid w:val="0"/>
        </w:rPr>
      </w:pPr>
      <w:bookmarkStart w:id="329" w:name="_Toc404159124"/>
      <w:bookmarkStart w:id="330" w:name="_Toc468701021"/>
      <w:bookmarkStart w:id="331" w:name="_Toc435024513"/>
      <w:r>
        <w:rPr>
          <w:rStyle w:val="CharSectno"/>
        </w:rPr>
        <w:t>106</w:t>
      </w:r>
      <w:r>
        <w:rPr>
          <w:snapToGrid w:val="0"/>
        </w:rPr>
        <w:t>.</w:t>
      </w:r>
      <w:r>
        <w:rPr>
          <w:snapToGrid w:val="0"/>
        </w:rPr>
        <w:tab/>
        <w:t>Persons with cancelled licences etc., offences by and in respect of</w:t>
      </w:r>
      <w:bookmarkEnd w:id="329"/>
      <w:bookmarkEnd w:id="330"/>
      <w:bookmarkEnd w:id="331"/>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has had his licence cancelled under this Act; or</w:t>
      </w:r>
    </w:p>
    <w:p>
      <w:pPr>
        <w:pStyle w:val="Indenta"/>
        <w:spacing w:before="60"/>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w:t>
      </w:r>
    </w:p>
    <w:p>
      <w:pPr>
        <w:pStyle w:val="Indenta"/>
        <w:rPr>
          <w:snapToGrid w:val="0"/>
        </w:rPr>
      </w:pPr>
      <w:r>
        <w:rPr>
          <w:snapToGrid w:val="0"/>
        </w:rPr>
        <w:tab/>
        <w:t>(a)</w:t>
      </w:r>
      <w:r>
        <w:rPr>
          <w:snapToGrid w:val="0"/>
        </w:rPr>
        <w:tab/>
        <w:t>has had his licence cancelled under this Act; or</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[Section 106 amended by No. 43 of 1994 s. 11; No. 58 of 2010 s. 134.]</w:t>
      </w:r>
    </w:p>
    <w:p>
      <w:pPr>
        <w:pStyle w:val="Heading2"/>
      </w:pPr>
      <w:bookmarkStart w:id="332" w:name="_Toc404159125"/>
      <w:bookmarkStart w:id="333" w:name="_Toc424293151"/>
      <w:bookmarkStart w:id="334" w:name="_Toc435024514"/>
      <w:bookmarkStart w:id="335" w:name="_Toc468701022"/>
      <w:r>
        <w:rPr>
          <w:rStyle w:val="CharPartNo"/>
        </w:rPr>
        <w:t>Part VIII</w:t>
      </w:r>
      <w:r>
        <w:rPr>
          <w:rStyle w:val="CharDivNo"/>
        </w:rPr>
        <w:t> </w:t>
      </w:r>
      <w:r>
        <w:t>—</w:t>
      </w:r>
      <w:r>
        <w:rPr>
          <w:rStyle w:val="CharDivText"/>
        </w:rPr>
        <w:t> </w:t>
      </w:r>
      <w:r>
        <w:rPr>
          <w:rStyle w:val="CharPartText"/>
        </w:rPr>
        <w:t>Fidelity Guarantee Account</w:t>
      </w:r>
      <w:bookmarkEnd w:id="332"/>
      <w:bookmarkEnd w:id="333"/>
      <w:bookmarkEnd w:id="334"/>
      <w:bookmarkEnd w:id="335"/>
    </w:p>
    <w:p>
      <w:pPr>
        <w:pStyle w:val="Footnoteheading"/>
      </w:pPr>
      <w:r>
        <w:tab/>
        <w:t>[Heading amended by No. 77 of 2006 Sch. 1 cl. 147(8).]</w:t>
      </w:r>
    </w:p>
    <w:p>
      <w:pPr>
        <w:pStyle w:val="Heading5"/>
      </w:pPr>
      <w:bookmarkStart w:id="336" w:name="_Toc404159126"/>
      <w:bookmarkStart w:id="337" w:name="_Toc468701023"/>
      <w:bookmarkStart w:id="338" w:name="_Toc435024515"/>
      <w:r>
        <w:rPr>
          <w:rStyle w:val="CharSectno"/>
        </w:rPr>
        <w:t>107</w:t>
      </w:r>
      <w:r>
        <w:t>.</w:t>
      </w:r>
      <w:r>
        <w:tab/>
        <w:t>Account established</w:t>
      </w:r>
      <w:bookmarkEnd w:id="336"/>
      <w:bookmarkEnd w:id="337"/>
      <w:bookmarkEnd w:id="338"/>
    </w:p>
    <w:p>
      <w:pPr>
        <w:pStyle w:val="Subsection"/>
      </w:pPr>
      <w:r>
        <w:tab/>
      </w:r>
      <w:r>
        <w:tab/>
        <w:t>An account called the Real Estate and Business Agents Fidelity Guarantee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inserted by No. 77 of 2006 Sch. 1 cl. 147(9).]</w:t>
      </w:r>
    </w:p>
    <w:p>
      <w:pPr>
        <w:pStyle w:val="Heading5"/>
        <w:rPr>
          <w:snapToGrid w:val="0"/>
        </w:rPr>
      </w:pPr>
      <w:bookmarkStart w:id="339" w:name="_Toc404159127"/>
      <w:bookmarkStart w:id="340" w:name="_Toc468701024"/>
      <w:bookmarkStart w:id="341" w:name="_Toc435024516"/>
      <w:r>
        <w:rPr>
          <w:rStyle w:val="CharSectno"/>
        </w:rPr>
        <w:t>108</w:t>
      </w:r>
      <w:r>
        <w:rPr>
          <w:snapToGrid w:val="0"/>
        </w:rPr>
        <w:t>.</w:t>
      </w:r>
      <w:r>
        <w:rPr>
          <w:snapToGrid w:val="0"/>
        </w:rPr>
        <w:tab/>
        <w:t>Investment of moneys in account</w:t>
      </w:r>
      <w:bookmarkEnd w:id="339"/>
      <w:bookmarkEnd w:id="340"/>
      <w:bookmarkEnd w:id="341"/>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[Section 108 inserted by No. 59 of 1995 s. 22; amended by No. 77 of 2006 Sch. 1 cl. 147(2) and (10).]</w:t>
      </w:r>
    </w:p>
    <w:p>
      <w:pPr>
        <w:pStyle w:val="Heading5"/>
        <w:rPr>
          <w:snapToGrid w:val="0"/>
        </w:rPr>
      </w:pPr>
      <w:bookmarkStart w:id="342" w:name="_Toc404159128"/>
      <w:bookmarkStart w:id="343" w:name="_Toc468701025"/>
      <w:bookmarkStart w:id="344" w:name="_Toc435024517"/>
      <w:r>
        <w:rPr>
          <w:rStyle w:val="CharSectno"/>
        </w:rPr>
        <w:t>109</w:t>
      </w:r>
      <w:r>
        <w:rPr>
          <w:snapToGrid w:val="0"/>
        </w:rPr>
        <w:t>.</w:t>
      </w:r>
      <w:r>
        <w:rPr>
          <w:snapToGrid w:val="0"/>
        </w:rPr>
        <w:tab/>
        <w:t>Moneys to be credited to account</w:t>
      </w:r>
      <w:bookmarkEnd w:id="342"/>
      <w:bookmarkEnd w:id="343"/>
      <w:bookmarkEnd w:id="344"/>
    </w:p>
    <w:p>
      <w:pPr>
        <w:pStyle w:val="Subsection"/>
        <w:keepNext/>
        <w:rPr>
          <w:snapToGrid w:val="0"/>
        </w:rPr>
      </w:pPr>
      <w:r>
        <w:rPr>
          <w:snapToGrid w:val="0"/>
        </w:rPr>
        <w:tab/>
      </w:r>
      <w:r>
        <w:rPr>
          <w:snapToGrid w:val="0"/>
        </w:rPr>
        <w:tab/>
        <w:t>There shall be credited to the Fidelity</w:t>
      </w:r>
      <w:r>
        <w:t xml:space="preserve"> Account</w:t>
      </w:r>
      <w:r>
        <w:rPr>
          <w:snapToGrid w:val="0"/>
        </w:rPr>
        <w:t>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 and</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 and</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 and</w:t>
      </w:r>
    </w:p>
    <w:p>
      <w:pPr>
        <w:pStyle w:val="Indenta"/>
        <w:rPr>
          <w:snapToGrid w:val="0"/>
        </w:rPr>
      </w:pPr>
      <w:r>
        <w:rPr>
          <w:snapToGrid w:val="0"/>
        </w:rPr>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[Section 109 amended by No. 29 of 1982 s. 5 and 12; No. 59 of 1995 s. 23 and 42; No. 77 of 2006 Sch. 1 cl. 147(2); No. 58 of 2010 s. 103.]</w:t>
      </w:r>
    </w:p>
    <w:p>
      <w:pPr>
        <w:pStyle w:val="Heading5"/>
        <w:rPr>
          <w:snapToGrid w:val="0"/>
        </w:rPr>
      </w:pPr>
      <w:bookmarkStart w:id="345" w:name="_Toc404159129"/>
      <w:bookmarkStart w:id="346" w:name="_Toc468701026"/>
      <w:bookmarkStart w:id="347" w:name="_Toc435024518"/>
      <w:r>
        <w:rPr>
          <w:rStyle w:val="CharSectno"/>
        </w:rPr>
        <w:t>110</w:t>
      </w:r>
      <w:r>
        <w:rPr>
          <w:snapToGrid w:val="0"/>
        </w:rPr>
        <w:t>.</w:t>
      </w:r>
      <w:r>
        <w:rPr>
          <w:snapToGrid w:val="0"/>
        </w:rPr>
        <w:tab/>
        <w:t>Expenditure from account</w:t>
      </w:r>
      <w:bookmarkEnd w:id="345"/>
      <w:bookmarkEnd w:id="346"/>
      <w:bookmarkEnd w:id="347"/>
    </w:p>
    <w:p>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 and</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 and</w:t>
      </w:r>
    </w:p>
    <w:p>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 and</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 and</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[Section 110 amended by No. 29 of 1982 s. 12; No. 59 of 1995 s. 24 and 42; No. 77 of 2006 Sch. 1 cl. 147(2); No. 58 of 2010 s. 104.]</w:t>
      </w:r>
    </w:p>
    <w:p>
      <w:pPr>
        <w:pStyle w:val="Ednotesection"/>
        <w:spacing w:before="180"/>
        <w:ind w:left="890" w:hanging="890"/>
      </w:pPr>
      <w:r>
        <w:t>[</w:t>
      </w:r>
      <w:r>
        <w:rPr>
          <w:b/>
        </w:rPr>
        <w:t>111.</w:t>
      </w:r>
      <w:r>
        <w:tab/>
        <w:t>Deleted by No. 98 of 1985 s. 3.]</w:t>
      </w:r>
    </w:p>
    <w:p>
      <w:pPr>
        <w:pStyle w:val="Heading5"/>
        <w:spacing w:before="180"/>
        <w:rPr>
          <w:snapToGrid w:val="0"/>
        </w:rPr>
      </w:pPr>
      <w:bookmarkStart w:id="348" w:name="_Toc404159130"/>
      <w:bookmarkStart w:id="349" w:name="_Toc468701027"/>
      <w:bookmarkStart w:id="350" w:name="_Toc435024519"/>
      <w:r>
        <w:rPr>
          <w:rStyle w:val="CharSectno"/>
        </w:rPr>
        <w:t>112</w:t>
      </w:r>
      <w:r>
        <w:rPr>
          <w:snapToGrid w:val="0"/>
        </w:rPr>
        <w:t>.</w:t>
      </w:r>
      <w:r>
        <w:rPr>
          <w:snapToGrid w:val="0"/>
        </w:rPr>
        <w:tab/>
      </w:r>
      <w:r>
        <w:t>Administration of account</w:t>
      </w:r>
      <w:bookmarkEnd w:id="348"/>
      <w:bookmarkEnd w:id="349"/>
      <w:bookmarkEnd w:id="350"/>
    </w:p>
    <w:p>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pPr>
        <w:pStyle w:val="Footnotesection"/>
      </w:pPr>
      <w:r>
        <w:tab/>
        <w:t>[Section 112 amended by No. 29 of 1982 s. 12; No. 77 of 2006 Sch. 1 cl. 147(2); No. 58 of 2010 s. 105.]</w:t>
      </w:r>
    </w:p>
    <w:p>
      <w:pPr>
        <w:pStyle w:val="Heading5"/>
        <w:rPr>
          <w:snapToGrid w:val="0"/>
        </w:rPr>
      </w:pPr>
      <w:bookmarkStart w:id="351" w:name="_Toc404159131"/>
      <w:bookmarkStart w:id="352" w:name="_Toc468701028"/>
      <w:bookmarkStart w:id="353" w:name="_Toc435024520"/>
      <w:r>
        <w:rPr>
          <w:rStyle w:val="CharSectno"/>
        </w:rPr>
        <w:t>113</w:t>
      </w:r>
      <w:r>
        <w:rPr>
          <w:snapToGrid w:val="0"/>
        </w:rPr>
        <w:t>.</w:t>
      </w:r>
      <w:r>
        <w:rPr>
          <w:snapToGrid w:val="0"/>
        </w:rPr>
        <w:tab/>
        <w:t>Payments to account by applicants for licences etc.</w:t>
      </w:r>
      <w:bookmarkEnd w:id="351"/>
      <w:bookmarkEnd w:id="352"/>
      <w:bookmarkEnd w:id="353"/>
    </w:p>
    <w:p>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pPr>
        <w:pStyle w:val="Footnotesection"/>
      </w:pPr>
      <w:r>
        <w:tab/>
        <w:t>[Section 113 amended by No. 29 of 1982 s. 12; No. 56 of 1995 s. 46; No. 59 of 1995 s. 42; No. 77 of 2006 Sch. 1 cl. 147(2); No. 58 of 2010 s. 106.]</w:t>
      </w:r>
    </w:p>
    <w:p>
      <w:pPr>
        <w:pStyle w:val="Heading5"/>
        <w:rPr>
          <w:snapToGrid w:val="0"/>
        </w:rPr>
      </w:pPr>
      <w:bookmarkStart w:id="354" w:name="_Toc404159132"/>
      <w:bookmarkStart w:id="355" w:name="_Toc468701029"/>
      <w:bookmarkStart w:id="356" w:name="_Toc435024521"/>
      <w:r>
        <w:rPr>
          <w:rStyle w:val="CharSectno"/>
        </w:rPr>
        <w:t>114</w:t>
      </w:r>
      <w:r>
        <w:rPr>
          <w:snapToGrid w:val="0"/>
        </w:rPr>
        <w:t>.</w:t>
      </w:r>
      <w:r>
        <w:rPr>
          <w:snapToGrid w:val="0"/>
        </w:rPr>
        <w:tab/>
        <w:t>Cap on payments under s. 113</w:t>
      </w:r>
      <w:bookmarkEnd w:id="354"/>
      <w:bookmarkEnd w:id="355"/>
      <w:bookmarkEnd w:id="356"/>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[Section 114 amended by No. 74 of 1980 s. 11; No. 29 of 1982 s. 12; No. 59 of 1995 s. 42; No. 77 of 2006 Sch. 1 cl. 147(2).]</w:t>
      </w:r>
    </w:p>
    <w:p>
      <w:pPr>
        <w:pStyle w:val="Heading5"/>
        <w:rPr>
          <w:snapToGrid w:val="0"/>
        </w:rPr>
      </w:pPr>
      <w:bookmarkStart w:id="357" w:name="_Toc404159133"/>
      <w:bookmarkStart w:id="358" w:name="_Toc468701030"/>
      <w:bookmarkStart w:id="359" w:name="_Toc435024522"/>
      <w:r>
        <w:rPr>
          <w:rStyle w:val="CharSectno"/>
        </w:rPr>
        <w:t>115</w:t>
      </w:r>
      <w:r>
        <w:rPr>
          <w:snapToGrid w:val="0"/>
        </w:rPr>
        <w:t>.</w:t>
      </w:r>
      <w:r>
        <w:rPr>
          <w:snapToGrid w:val="0"/>
        </w:rPr>
        <w:tab/>
        <w:t>Levies for account against certificate holders</w:t>
      </w:r>
      <w:bookmarkEnd w:id="357"/>
      <w:bookmarkEnd w:id="358"/>
      <w:bookmarkEnd w:id="359"/>
    </w:p>
    <w:p>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pPr>
        <w:pStyle w:val="Subsection"/>
        <w:keepNext/>
        <w:rPr>
          <w:snapToGrid w:val="0"/>
        </w:rPr>
      </w:pPr>
      <w:r>
        <w:rPr>
          <w:snapToGrid w:val="0"/>
        </w:rPr>
        <w:tab/>
        <w:t>(2)</w:t>
      </w:r>
      <w:r>
        <w:rPr>
          <w:snapToGrid w:val="0"/>
        </w:rPr>
        <w:tab/>
        <w:t>The amount of the levy shall not exceed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spacing w:before="140"/>
        <w:ind w:left="890" w:hanging="890"/>
      </w:pPr>
      <w:r>
        <w:tab/>
        <w:t>[Section 115 amended by No. 29 of 1982 s. 7; No. 77 of 1984 s. 3; No. 59 of 1995 s. 42; No. 77 of 2006 Sch. 1 cl. 147(2); No. 58 of 2010 s. 107.]</w:t>
      </w:r>
    </w:p>
    <w:p>
      <w:pPr>
        <w:pStyle w:val="Heading5"/>
        <w:rPr>
          <w:snapToGrid w:val="0"/>
        </w:rPr>
      </w:pPr>
      <w:bookmarkStart w:id="360" w:name="_Toc404159134"/>
      <w:bookmarkStart w:id="361" w:name="_Toc468701031"/>
      <w:bookmarkStart w:id="362" w:name="_Toc435024523"/>
      <w:r>
        <w:rPr>
          <w:rStyle w:val="CharSectno"/>
        </w:rPr>
        <w:t>116</w:t>
      </w:r>
      <w:r>
        <w:rPr>
          <w:snapToGrid w:val="0"/>
        </w:rPr>
        <w:t>.</w:t>
      </w:r>
      <w:r>
        <w:rPr>
          <w:snapToGrid w:val="0"/>
        </w:rPr>
        <w:tab/>
        <w:t>Purpose of account; making claims against account</w:t>
      </w:r>
      <w:bookmarkEnd w:id="360"/>
      <w:bookmarkEnd w:id="361"/>
      <w:bookmarkEnd w:id="362"/>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pPr>
      <w:r>
        <w:tab/>
        <w:t>(2A)</w:t>
      </w:r>
      <w:r>
        <w:tab/>
        <w:t>For the purposes of a claim against the Fidelity Account, the reference in subsection (1) to any period when the licensee was the holder of a current triennial certificate includes a period when the licensee was not the holder of a current triennial certificate if the chief executive officer considers that it is just and reasonable in the circumstances of the claim.</w:t>
      </w:r>
    </w:p>
    <w:p>
      <w:pPr>
        <w:pStyle w:val="Subsection"/>
        <w:keepNext/>
        <w:keepLines/>
      </w:pPr>
      <w:r>
        <w:tab/>
        <w:t>(2)</w:t>
      </w:r>
      <w:r>
        <w:tab/>
        <w:t>The chief executive officer is to disallow a claim against the Fidelity Account unless —</w:t>
      </w:r>
    </w:p>
    <w:p>
      <w:pPr>
        <w:pStyle w:val="Indenta"/>
      </w:pPr>
      <w:r>
        <w:tab/>
        <w:t>(a)</w:t>
      </w:r>
      <w:r>
        <w:tab/>
        <w:t>notice of the claim is given in writing to the chief executive officer within 3 years after the day on which the claimant became aware of the defalcation; or</w:t>
      </w:r>
    </w:p>
    <w:p>
      <w:pPr>
        <w:pStyle w:val="Indenta"/>
      </w:pPr>
      <w:r>
        <w:tab/>
        <w:t>(b)</w:t>
      </w:r>
      <w:r>
        <w:tab/>
        <w:t>the chief executive officer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[Section 116 amended by No. 29 of 1982 s. 12; No. 3 of 2000 s. 4(1); No. 77 of 2006 Sch. 1 cl. 147(2); No. 58 of 2010 s. 108; No. 23 of 2014 s. 76.]</w:t>
      </w:r>
    </w:p>
    <w:p>
      <w:pPr>
        <w:pStyle w:val="Heading5"/>
        <w:spacing w:before="180"/>
        <w:rPr>
          <w:snapToGrid w:val="0"/>
        </w:rPr>
      </w:pPr>
      <w:bookmarkStart w:id="363" w:name="_Toc404159135"/>
      <w:bookmarkStart w:id="364" w:name="_Toc468701032"/>
      <w:bookmarkStart w:id="365" w:name="_Toc435024524"/>
      <w:r>
        <w:rPr>
          <w:rStyle w:val="CharSectno"/>
        </w:rPr>
        <w:t>117</w:t>
      </w:r>
      <w:r>
        <w:rPr>
          <w:snapToGrid w:val="0"/>
        </w:rPr>
        <w:t>.</w:t>
      </w:r>
      <w:r>
        <w:rPr>
          <w:snapToGrid w:val="0"/>
        </w:rPr>
        <w:tab/>
        <w:t>Claims against account; recovery from account</w:t>
      </w:r>
      <w:bookmarkEnd w:id="363"/>
      <w:bookmarkEnd w:id="364"/>
      <w:bookmarkEnd w:id="365"/>
    </w:p>
    <w:p>
      <w:pPr>
        <w:pStyle w:val="Subsection"/>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pPr>
        <w:pStyle w:val="Subsection"/>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w:t>
      </w:r>
      <w:r>
        <w:rPr>
          <w:b/>
          <w:i/>
          <w:snapToGrid w:val="0"/>
        </w:rPr>
        <w:t>defalcation by a licensee</w:t>
      </w:r>
      <w:r>
        <w:rPr>
          <w:snapToGrid w:val="0"/>
        </w:rPr>
        <w:t xml:space="preserve"> in section 4.</w:t>
      </w:r>
    </w:p>
    <w:p>
      <w:pPr>
        <w:pStyle w:val="Footnotesection"/>
      </w:pPr>
      <w:r>
        <w:tab/>
        <w:t>[Section 117 amended by No. 29 of 1982 s. 12; No. 59 of 1995 s. 42; No. 3 of 2000 s. 5; No. 28 of 2003 s. 176; No. 77 of 2006 Sch. 1 cl. 147(2); No. 58 of 2010 s. 109.]</w:t>
      </w:r>
    </w:p>
    <w:p>
      <w:pPr>
        <w:pStyle w:val="Heading5"/>
        <w:rPr>
          <w:snapToGrid w:val="0"/>
        </w:rPr>
      </w:pPr>
      <w:bookmarkStart w:id="366" w:name="_Toc404159136"/>
      <w:bookmarkStart w:id="367" w:name="_Toc468701033"/>
      <w:bookmarkStart w:id="368" w:name="_Toc435024525"/>
      <w:r>
        <w:rPr>
          <w:rStyle w:val="CharSectno"/>
        </w:rPr>
        <w:t>118</w:t>
      </w:r>
      <w:r>
        <w:rPr>
          <w:snapToGrid w:val="0"/>
        </w:rPr>
        <w:t>.</w:t>
      </w:r>
      <w:r>
        <w:rPr>
          <w:snapToGrid w:val="0"/>
        </w:rPr>
        <w:tab/>
        <w:t>Defences to claims against account</w:t>
      </w:r>
      <w:bookmarkEnd w:id="366"/>
      <w:bookmarkEnd w:id="367"/>
      <w:bookmarkEnd w:id="368"/>
    </w:p>
    <w:p>
      <w:pPr>
        <w:pStyle w:val="Subsection"/>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pPr>
        <w:pStyle w:val="Footnotesection"/>
      </w:pPr>
      <w:r>
        <w:tab/>
        <w:t>[Section 118 amended by No. 28 of 1982 s. 12; No. 77 of 2006 Sch. 1 cl. 147(2); No. 58 of 2010 s. 110.]</w:t>
      </w:r>
    </w:p>
    <w:p>
      <w:pPr>
        <w:pStyle w:val="Heading5"/>
        <w:rPr>
          <w:snapToGrid w:val="0"/>
        </w:rPr>
      </w:pPr>
      <w:bookmarkStart w:id="369" w:name="_Toc404159137"/>
      <w:bookmarkStart w:id="370" w:name="_Toc468701034"/>
      <w:bookmarkStart w:id="371" w:name="_Toc435024526"/>
      <w:r>
        <w:rPr>
          <w:rStyle w:val="CharSectno"/>
        </w:rPr>
        <w:t>119</w:t>
      </w:r>
      <w:r>
        <w:rPr>
          <w:snapToGrid w:val="0"/>
        </w:rPr>
        <w:t>.</w:t>
      </w:r>
      <w:r>
        <w:rPr>
          <w:snapToGrid w:val="0"/>
        </w:rPr>
        <w:tab/>
      </w:r>
      <w:r>
        <w:t>Subrogation of rights of claimant against account</w:t>
      </w:r>
      <w:bookmarkEnd w:id="369"/>
      <w:bookmarkEnd w:id="370"/>
      <w:bookmarkEnd w:id="371"/>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[Section 119 amended by No. 59 of 1995 s. 42; No. 77 of 2006 Sch. 1 cl. 147(2); No. 58 of 2010 s. 111.]</w:t>
      </w:r>
    </w:p>
    <w:p>
      <w:pPr>
        <w:pStyle w:val="Heading5"/>
        <w:rPr>
          <w:snapToGrid w:val="0"/>
        </w:rPr>
      </w:pPr>
      <w:bookmarkStart w:id="372" w:name="_Toc404159138"/>
      <w:bookmarkStart w:id="373" w:name="_Toc468701035"/>
      <w:bookmarkStart w:id="374" w:name="_Toc435024527"/>
      <w:r>
        <w:rPr>
          <w:rStyle w:val="CharSectno"/>
        </w:rPr>
        <w:t>120</w:t>
      </w:r>
      <w:r>
        <w:rPr>
          <w:snapToGrid w:val="0"/>
        </w:rPr>
        <w:t>.</w:t>
      </w:r>
      <w:r>
        <w:rPr>
          <w:snapToGrid w:val="0"/>
        </w:rPr>
        <w:tab/>
        <w:t>Insufficiency in a</w:t>
      </w:r>
      <w:r>
        <w:t>ccount</w:t>
      </w:r>
      <w:bookmarkEnd w:id="372"/>
      <w:bookmarkEnd w:id="373"/>
      <w:bookmarkEnd w:id="374"/>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w:t>
      </w:r>
    </w:p>
    <w:p>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pPr>
        <w:pStyle w:val="Footnotesection"/>
      </w:pPr>
      <w:r>
        <w:tab/>
        <w:t>[Section 120 amended by No. 28 of 1982 s. 12; No. 59 of 1995 s. 25 and 42; No. 77 of 2006 Sch. 1 cl. 147(2); No. 58 of 2010 s. 112.]</w:t>
      </w:r>
    </w:p>
    <w:p>
      <w:pPr>
        <w:pStyle w:val="Heading5"/>
        <w:rPr>
          <w:snapToGrid w:val="0"/>
        </w:rPr>
      </w:pPr>
      <w:bookmarkStart w:id="375" w:name="_Toc404159139"/>
      <w:bookmarkStart w:id="376" w:name="_Toc468701036"/>
      <w:bookmarkStart w:id="377" w:name="_Toc435024528"/>
      <w:r>
        <w:rPr>
          <w:rStyle w:val="CharSectno"/>
        </w:rPr>
        <w:t>121</w:t>
      </w:r>
      <w:r>
        <w:rPr>
          <w:snapToGrid w:val="0"/>
        </w:rPr>
        <w:t>.</w:t>
      </w:r>
      <w:r>
        <w:rPr>
          <w:snapToGrid w:val="0"/>
        </w:rPr>
        <w:tab/>
      </w:r>
      <w:r>
        <w:t>State may insure against claims</w:t>
      </w:r>
      <w:bookmarkEnd w:id="375"/>
      <w:bookmarkEnd w:id="376"/>
      <w:bookmarkEnd w:id="377"/>
    </w:p>
    <w:p>
      <w:pPr>
        <w:pStyle w:val="Subsection"/>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pPr>
        <w:pStyle w:val="Footnotesection"/>
      </w:pPr>
      <w:r>
        <w:tab/>
        <w:t>[Section 121 amended by No. 51 of 1986 s. 46(2); No. 58 of 2010 s. 113.]</w:t>
      </w:r>
    </w:p>
    <w:p>
      <w:pPr>
        <w:pStyle w:val="Heading5"/>
        <w:rPr>
          <w:snapToGrid w:val="0"/>
        </w:rPr>
      </w:pPr>
      <w:bookmarkStart w:id="378" w:name="_Toc404159140"/>
      <w:bookmarkStart w:id="379" w:name="_Toc468701037"/>
      <w:bookmarkStart w:id="380" w:name="_Toc435024529"/>
      <w:r>
        <w:rPr>
          <w:rStyle w:val="CharSectno"/>
        </w:rPr>
        <w:t>122</w:t>
      </w:r>
      <w:r>
        <w:rPr>
          <w:snapToGrid w:val="0"/>
        </w:rPr>
        <w:t>.</w:t>
      </w:r>
      <w:r>
        <w:rPr>
          <w:snapToGrid w:val="0"/>
        </w:rPr>
        <w:tab/>
        <w:t>Application of insurance payouts</w:t>
      </w:r>
      <w:bookmarkEnd w:id="378"/>
      <w:bookmarkEnd w:id="379"/>
      <w:bookmarkEnd w:id="380"/>
    </w:p>
    <w:p>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[Section 122 amended by No. 29 of 1982 s. 12; No. 59 of 1995 s. 42; No. 77 of 2006 Sch. 1 cl. 147(2).]</w:t>
      </w:r>
    </w:p>
    <w:p>
      <w:pPr>
        <w:pStyle w:val="Heading5"/>
        <w:rPr>
          <w:snapToGrid w:val="0"/>
        </w:rPr>
      </w:pPr>
      <w:bookmarkStart w:id="381" w:name="_Toc404159141"/>
      <w:bookmarkStart w:id="382" w:name="_Toc468701038"/>
      <w:bookmarkStart w:id="383" w:name="_Toc435024530"/>
      <w:r>
        <w:rPr>
          <w:rStyle w:val="CharSectno"/>
        </w:rPr>
        <w:t>123</w:t>
      </w:r>
      <w:r>
        <w:rPr>
          <w:snapToGrid w:val="0"/>
        </w:rPr>
        <w:t>.</w:t>
      </w:r>
      <w:r>
        <w:rPr>
          <w:snapToGrid w:val="0"/>
        </w:rPr>
        <w:tab/>
        <w:t>Advertising for claims in relation to defaulting licensee</w:t>
      </w:r>
      <w:bookmarkEnd w:id="381"/>
      <w:bookmarkEnd w:id="382"/>
      <w:bookmarkEnd w:id="383"/>
    </w:p>
    <w:p>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[Section 123 amended by No. 29 of 1982 s. 12; No. 77 of 2006 Sch. 1 cl. 147(2); No. 58 of 2010 s. 114.]</w:t>
      </w:r>
    </w:p>
    <w:p>
      <w:pPr>
        <w:pStyle w:val="Heading5"/>
        <w:rPr>
          <w:snapToGrid w:val="0"/>
        </w:rPr>
      </w:pPr>
      <w:bookmarkStart w:id="384" w:name="_Toc404159142"/>
      <w:bookmarkStart w:id="385" w:name="_Toc468701039"/>
      <w:bookmarkStart w:id="386" w:name="_Toc435024531"/>
      <w:r>
        <w:rPr>
          <w:rStyle w:val="CharSectno"/>
        </w:rPr>
        <w:t>124</w:t>
      </w:r>
      <w:r>
        <w:rPr>
          <w:snapToGrid w:val="0"/>
        </w:rPr>
        <w:t>.</w:t>
      </w:r>
      <w:r>
        <w:rPr>
          <w:snapToGrid w:val="0"/>
        </w:rPr>
        <w:tab/>
      </w:r>
      <w:r>
        <w:t>Documents etc. to support claims, CEO may require</w:t>
      </w:r>
      <w:bookmarkEnd w:id="384"/>
      <w:bookmarkEnd w:id="385"/>
      <w:bookmarkEnd w:id="386"/>
    </w:p>
    <w:p>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pPr>
        <w:pStyle w:val="Footnotesection"/>
      </w:pPr>
      <w:r>
        <w:tab/>
        <w:t>[Section 124 amended by No. 58 of 2010 s. 115.]</w:t>
      </w:r>
    </w:p>
    <w:p>
      <w:pPr>
        <w:pStyle w:val="Heading5"/>
      </w:pPr>
      <w:bookmarkStart w:id="387" w:name="_Toc404159143"/>
      <w:bookmarkStart w:id="388" w:name="_Toc468701040"/>
      <w:bookmarkStart w:id="389" w:name="_Toc435024532"/>
      <w:r>
        <w:rPr>
          <w:rStyle w:val="CharSectno"/>
        </w:rPr>
        <w:t>124AA</w:t>
      </w:r>
      <w:r>
        <w:t>.</w:t>
      </w:r>
      <w:r>
        <w:tab/>
        <w:t>Commissioner may investigate claims against Fidelity Account</w:t>
      </w:r>
      <w:bookmarkEnd w:id="387"/>
      <w:bookmarkEnd w:id="388"/>
      <w:bookmarkEnd w:id="389"/>
    </w:p>
    <w:p>
      <w:pPr>
        <w:pStyle w:val="Subsection"/>
      </w:pPr>
      <w:r>
        <w:tab/>
        <w:t>(1)</w:t>
      </w:r>
      <w:r>
        <w:tab/>
        <w:t xml:space="preserve">Without limiting section 22, the Commissioner may, at and in accordance with the request of the chief executive officer, make an investigation or inquiry under the </w:t>
      </w:r>
      <w:r>
        <w:rPr>
          <w:i/>
        </w:rPr>
        <w:t>Fair Trading Act 2010</w:t>
      </w:r>
      <w:r>
        <w:t xml:space="preserve"> Part 6 in relation to a claim against the Fidelity Account.</w:t>
      </w:r>
    </w:p>
    <w:p>
      <w:pPr>
        <w:pStyle w:val="Subsection"/>
      </w:pPr>
      <w:r>
        <w:tab/>
        <w:t>(2)</w:t>
      </w:r>
      <w:r>
        <w:tab/>
        <w:t>For the purposes of the investigation or inquiry, the administration of the Fidelity Account is taken to be a function of the Commissioner.</w:t>
      </w:r>
    </w:p>
    <w:p>
      <w:pPr>
        <w:pStyle w:val="Subsection"/>
      </w:pPr>
      <w:r>
        <w:tab/>
        <w:t>(3)</w:t>
      </w:r>
      <w:r>
        <w:tab/>
        <w:t>The Commissioner must, as soon as practicable after completing the investigation or inquiry, prepare a report on the findings of the investigation or inquiry and give it to the chief executive officer.</w:t>
      </w:r>
    </w:p>
    <w:p>
      <w:pPr>
        <w:pStyle w:val="Footnotesection"/>
      </w:pPr>
      <w:r>
        <w:tab/>
        <w:t>[Section 124AA inserted by No. 23 of 2014 s. 77.]</w:t>
      </w:r>
    </w:p>
    <w:p>
      <w:pPr>
        <w:pStyle w:val="Heading2"/>
      </w:pPr>
      <w:bookmarkStart w:id="390" w:name="_Toc404159144"/>
      <w:bookmarkStart w:id="391" w:name="_Toc424293170"/>
      <w:bookmarkStart w:id="392" w:name="_Toc435024533"/>
      <w:bookmarkStart w:id="393" w:name="_Toc468701041"/>
      <w:r>
        <w:rPr>
          <w:rStyle w:val="CharPartNo"/>
        </w:rPr>
        <w:t>Part VIIIA</w:t>
      </w:r>
      <w:r>
        <w:rPr>
          <w:rStyle w:val="CharDivNo"/>
        </w:rPr>
        <w:t> </w:t>
      </w:r>
      <w:r>
        <w:t>—</w:t>
      </w:r>
      <w:r>
        <w:rPr>
          <w:rStyle w:val="CharDivText"/>
        </w:rPr>
        <w:t> </w:t>
      </w:r>
      <w:r>
        <w:rPr>
          <w:rStyle w:val="CharPartText"/>
        </w:rPr>
        <w:t>Education and General Purpose Account</w:t>
      </w:r>
      <w:bookmarkEnd w:id="390"/>
      <w:bookmarkEnd w:id="391"/>
      <w:bookmarkEnd w:id="392"/>
      <w:bookmarkEnd w:id="393"/>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w:t>
      </w:r>
      <w:r>
        <w:t>Sch. 1 cl. 147(11)</w:t>
      </w:r>
      <w:r>
        <w:rPr>
          <w:snapToGrid w:val="0"/>
        </w:rPr>
        <w:t>.]</w:t>
      </w:r>
    </w:p>
    <w:p>
      <w:pPr>
        <w:pStyle w:val="Heading5"/>
        <w:rPr>
          <w:snapToGrid w:val="0"/>
        </w:rPr>
      </w:pPr>
      <w:bookmarkStart w:id="394" w:name="_Toc404159145"/>
      <w:bookmarkStart w:id="395" w:name="_Toc468701042"/>
      <w:bookmarkStart w:id="396" w:name="_Toc435024534"/>
      <w:r>
        <w:rPr>
          <w:rStyle w:val="CharSectno"/>
        </w:rPr>
        <w:t>124A</w:t>
      </w:r>
      <w:r>
        <w:rPr>
          <w:snapToGrid w:val="0"/>
        </w:rPr>
        <w:t>.</w:t>
      </w:r>
      <w:r>
        <w:rPr>
          <w:snapToGrid w:val="0"/>
        </w:rPr>
        <w:tab/>
        <w:t>Account established; administration of account</w:t>
      </w:r>
      <w:bookmarkEnd w:id="394"/>
      <w:bookmarkEnd w:id="395"/>
      <w:bookmarkEnd w:id="396"/>
    </w:p>
    <w:p>
      <w:pPr>
        <w:pStyle w:val="Subsection"/>
      </w:pPr>
      <w:r>
        <w:tab/>
        <w:t>(1)</w:t>
      </w:r>
      <w:r>
        <w:tab/>
        <w:t>An account called the Education and General Purpose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chief executive officer.</w:t>
      </w:r>
    </w:p>
    <w:p>
      <w:pPr>
        <w:pStyle w:val="Footnotesection"/>
      </w:pPr>
      <w:r>
        <w:tab/>
        <w:t>[Section 124A inserted by No. 59 of 1995 s. 26; amended by No. 77 of 2006 Sch. 1 cl. 147(2) and (12); No. 58 of 2010 s. 134; No. 23 of 2014 s. 78.]</w:t>
      </w:r>
    </w:p>
    <w:p>
      <w:pPr>
        <w:pStyle w:val="Heading5"/>
        <w:rPr>
          <w:snapToGrid w:val="0"/>
        </w:rPr>
      </w:pPr>
      <w:bookmarkStart w:id="397" w:name="_Toc404159146"/>
      <w:bookmarkStart w:id="398" w:name="_Toc468701043"/>
      <w:bookmarkStart w:id="399" w:name="_Toc435024535"/>
      <w:r>
        <w:rPr>
          <w:rStyle w:val="CharSectno"/>
        </w:rPr>
        <w:t>124B</w:t>
      </w:r>
      <w:r>
        <w:rPr>
          <w:snapToGrid w:val="0"/>
        </w:rPr>
        <w:t>.</w:t>
      </w:r>
      <w:r>
        <w:rPr>
          <w:snapToGrid w:val="0"/>
        </w:rPr>
        <w:tab/>
        <w:t>Moneys to be credited to account</w:t>
      </w:r>
      <w:bookmarkEnd w:id="397"/>
      <w:bookmarkEnd w:id="398"/>
      <w:bookmarkEnd w:id="399"/>
    </w:p>
    <w:p>
      <w:pPr>
        <w:pStyle w:val="Subsection"/>
        <w:keepNext/>
        <w:rPr>
          <w:snapToGrid w:val="0"/>
        </w:rPr>
      </w:pPr>
      <w:r>
        <w:rPr>
          <w:snapToGrid w:val="0"/>
        </w:rPr>
        <w:tab/>
      </w:r>
      <w:r>
        <w:rPr>
          <w:snapToGrid w:val="0"/>
        </w:rPr>
        <w:tab/>
        <w:t>There are to be credited to the General Purpose</w:t>
      </w:r>
      <w:r>
        <w:t xml:space="preserve"> Account</w:t>
      </w:r>
      <w:r>
        <w:rPr>
          <w:snapToGrid w:val="0"/>
        </w:rPr>
        <w:t>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 and</w:t>
      </w:r>
    </w:p>
    <w:p>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 and</w:t>
      </w:r>
    </w:p>
    <w:p>
      <w:pPr>
        <w:pStyle w:val="Indenta"/>
        <w:rPr>
          <w:snapToGrid w:val="0"/>
        </w:rPr>
      </w:pPr>
      <w:r>
        <w:rPr>
          <w:snapToGrid w:val="0"/>
        </w:rPr>
        <w:tab/>
        <w:t>(d)</w:t>
      </w:r>
      <w:r>
        <w:rPr>
          <w:snapToGrid w:val="0"/>
        </w:rPr>
        <w:tab/>
        <w:t>fines imposed under section 105; and</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[Section 124B inserted by No. 59 of 1995 s. 26; amended by No. 55 of 2004 s. 1015; No. 77 of 2006 Sch. 1 cl. 147(2); No. 58 of 2010 s. 134.]</w:t>
      </w:r>
    </w:p>
    <w:p>
      <w:pPr>
        <w:pStyle w:val="Heading5"/>
        <w:rPr>
          <w:snapToGrid w:val="0"/>
        </w:rPr>
      </w:pPr>
      <w:bookmarkStart w:id="400" w:name="_Toc404159147"/>
      <w:bookmarkStart w:id="401" w:name="_Toc468701044"/>
      <w:bookmarkStart w:id="402" w:name="_Toc435024536"/>
      <w:r>
        <w:rPr>
          <w:rStyle w:val="CharSectno"/>
        </w:rPr>
        <w:t>124C</w:t>
      </w:r>
      <w:r>
        <w:rPr>
          <w:snapToGrid w:val="0"/>
        </w:rPr>
        <w:t>.</w:t>
      </w:r>
      <w:r>
        <w:rPr>
          <w:snapToGrid w:val="0"/>
        </w:rPr>
        <w:tab/>
        <w:t>Expenditure from account</w:t>
      </w:r>
      <w:bookmarkEnd w:id="400"/>
      <w:bookmarkEnd w:id="401"/>
      <w:bookmarkEnd w:id="402"/>
    </w:p>
    <w:p>
      <w:pPr>
        <w:pStyle w:val="Subsection"/>
        <w:keepNext/>
        <w:rPr>
          <w:snapToGrid w:val="0"/>
        </w:rPr>
      </w:pPr>
      <w:r>
        <w:rPr>
          <w:snapToGrid w:val="0"/>
        </w:rPr>
        <w:tab/>
      </w:r>
      <w:r>
        <w:rPr>
          <w:snapToGrid w:val="0"/>
        </w:rPr>
        <w:tab/>
        <w:t>There are to be charged to the General Purpose</w:t>
      </w:r>
      <w:r>
        <w:t xml:space="preserve"> Account</w:t>
      </w:r>
      <w:r>
        <w:rPr>
          <w:snapToGrid w:val="0"/>
        </w:rPr>
        <w:t> —</w:t>
      </w:r>
    </w:p>
    <w:p>
      <w:pPr>
        <w:pStyle w:val="Indenta"/>
        <w:rPr>
          <w:snapToGrid w:val="0"/>
        </w:rPr>
      </w:pPr>
      <w:r>
        <w:rPr>
          <w:snapToGrid w:val="0"/>
        </w:rPr>
        <w:tab/>
        <w:t>(a)</w:t>
      </w:r>
      <w:r>
        <w:rPr>
          <w:snapToGrid w:val="0"/>
        </w:rPr>
        <w:tab/>
        <w:t>the costs incurred in the administration of the General Purpose</w:t>
      </w:r>
      <w:r>
        <w:t xml:space="preserve"> Account; and</w:t>
      </w:r>
    </w:p>
    <w:p>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w:t>
      </w:r>
      <w:r>
        <w:t xml:space="preserve"> Act or the Commissioner’s functions under the </w:t>
      </w:r>
      <w:r>
        <w:rPr>
          <w:i/>
        </w:rPr>
        <w:t>Fair Trading Act 2010</w:t>
      </w:r>
      <w:r>
        <w:t xml:space="preserve"> section 57A that are performed for the purposes of this Act.</w:t>
      </w:r>
    </w:p>
    <w:p>
      <w:pPr>
        <w:pStyle w:val="Footnotesection"/>
      </w:pPr>
      <w:r>
        <w:tab/>
        <w:t>[Section 124C inserted by No. 59 of 1995 s. 26; amended by No. 34 of 1998 s. 18; No. 77 of 2006 Sch. 1 cl. 147(2); No. 58 of 2010 s. 116; No. 23 of 2014 s. 79.]</w:t>
      </w:r>
    </w:p>
    <w:p>
      <w:pPr>
        <w:pStyle w:val="Heading5"/>
        <w:rPr>
          <w:snapToGrid w:val="0"/>
        </w:rPr>
      </w:pPr>
      <w:bookmarkStart w:id="403" w:name="_Toc404159148"/>
      <w:bookmarkStart w:id="404" w:name="_Toc468701045"/>
      <w:bookmarkStart w:id="405" w:name="_Toc435024537"/>
      <w:r>
        <w:rPr>
          <w:rStyle w:val="CharSectno"/>
        </w:rPr>
        <w:t>124D</w:t>
      </w:r>
      <w:r>
        <w:rPr>
          <w:snapToGrid w:val="0"/>
        </w:rPr>
        <w:t>.</w:t>
      </w:r>
      <w:r>
        <w:rPr>
          <w:snapToGrid w:val="0"/>
        </w:rPr>
        <w:tab/>
        <w:t>Investment of moneys in account</w:t>
      </w:r>
      <w:bookmarkEnd w:id="403"/>
      <w:bookmarkEnd w:id="404"/>
      <w:bookmarkEnd w:id="405"/>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[Section 124D inserted by No. 59 of 1995 s. 26; amended by No. 77 of 2006 Sch. 1 cl. 147(2) and (13).]</w:t>
      </w:r>
    </w:p>
    <w:p>
      <w:pPr>
        <w:pStyle w:val="Heading2"/>
      </w:pPr>
      <w:bookmarkStart w:id="406" w:name="_Toc404159149"/>
      <w:bookmarkStart w:id="407" w:name="_Toc424293175"/>
      <w:bookmarkStart w:id="408" w:name="_Toc435024538"/>
      <w:bookmarkStart w:id="409" w:name="_Toc468701046"/>
      <w:r>
        <w:rPr>
          <w:rStyle w:val="CharPartNo"/>
        </w:rPr>
        <w:t>Part IX</w:t>
      </w:r>
      <w:r>
        <w:rPr>
          <w:rStyle w:val="CharDivNo"/>
        </w:rPr>
        <w:t> </w:t>
      </w:r>
      <w:r>
        <w:t>—</w:t>
      </w:r>
      <w:r>
        <w:rPr>
          <w:rStyle w:val="CharDivText"/>
        </w:rPr>
        <w:t> </w:t>
      </w:r>
      <w:r>
        <w:rPr>
          <w:rStyle w:val="CharPartText"/>
        </w:rPr>
        <w:t>Real Estate and Business Agents Interest Account</w:t>
      </w:r>
      <w:bookmarkEnd w:id="406"/>
      <w:bookmarkEnd w:id="407"/>
      <w:bookmarkEnd w:id="408"/>
      <w:bookmarkEnd w:id="409"/>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amended by </w:t>
      </w:r>
      <w:r>
        <w:t>No. 58 of 2010 s. 117</w:t>
      </w:r>
      <w:r>
        <w:rPr>
          <w:snapToGrid w:val="0"/>
        </w:rPr>
        <w:t>.]</w:t>
      </w:r>
    </w:p>
    <w:p>
      <w:pPr>
        <w:pStyle w:val="Heading5"/>
        <w:rPr>
          <w:snapToGrid w:val="0"/>
        </w:rPr>
      </w:pPr>
      <w:bookmarkStart w:id="410" w:name="_Toc404159150"/>
      <w:bookmarkStart w:id="411" w:name="_Toc468701047"/>
      <w:bookmarkStart w:id="412" w:name="_Toc435024539"/>
      <w:r>
        <w:rPr>
          <w:rStyle w:val="CharSectno"/>
        </w:rPr>
        <w:t>125</w:t>
      </w:r>
      <w:r>
        <w:rPr>
          <w:snapToGrid w:val="0"/>
        </w:rPr>
        <w:t>.</w:t>
      </w:r>
      <w:r>
        <w:rPr>
          <w:snapToGrid w:val="0"/>
        </w:rPr>
        <w:tab/>
      </w:r>
      <w:r>
        <w:t>Account established; administration of account</w:t>
      </w:r>
      <w:bookmarkEnd w:id="410"/>
      <w:bookmarkEnd w:id="411"/>
      <w:bookmarkEnd w:id="412"/>
    </w:p>
    <w:p>
      <w:pPr>
        <w:pStyle w:val="Subsection"/>
      </w:pPr>
      <w:r>
        <w:tab/>
        <w:t>(1)</w:t>
      </w:r>
      <w:r>
        <w:tab/>
        <w:t>An account called the Real Estate and Business Agents Interest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w:t>
      </w:r>
      <w:r>
        <w:t xml:space="preserve">Interest </w:t>
      </w:r>
      <w:r>
        <w:rPr>
          <w:snapToGrid w:val="0"/>
        </w:rPr>
        <w:t xml:space="preserve">Account is to be administered by the </w:t>
      </w:r>
      <w:r>
        <w:t>chief executive officer.</w:t>
      </w:r>
    </w:p>
    <w:p>
      <w:pPr>
        <w:pStyle w:val="Footnotesection"/>
      </w:pPr>
      <w:r>
        <w:tab/>
        <w:t>[Section 125 inserted by No. 59 of 1995 s. 27; amended by No. 77 of 2006 Sch. 1 cl. 147(14); No. 58 of 2010 s. 118</w:t>
      </w:r>
      <w:r>
        <w:rPr>
          <w:spacing w:val="-4"/>
        </w:rPr>
        <w:t>; No. 47 of 2011 s.</w:t>
      </w:r>
      <w:r>
        <w:t> 25(4).]</w:t>
      </w:r>
    </w:p>
    <w:p>
      <w:pPr>
        <w:pStyle w:val="Heading5"/>
        <w:rPr>
          <w:snapToGrid w:val="0"/>
        </w:rPr>
      </w:pPr>
      <w:bookmarkStart w:id="413" w:name="_Toc404159151"/>
      <w:bookmarkStart w:id="414" w:name="_Toc468701048"/>
      <w:bookmarkStart w:id="415" w:name="_Toc435024540"/>
      <w:r>
        <w:rPr>
          <w:rStyle w:val="CharSectno"/>
        </w:rPr>
        <w:t>126</w:t>
      </w:r>
      <w:r>
        <w:rPr>
          <w:snapToGrid w:val="0"/>
        </w:rPr>
        <w:t>.</w:t>
      </w:r>
      <w:r>
        <w:rPr>
          <w:snapToGrid w:val="0"/>
        </w:rPr>
        <w:tab/>
        <w:t>Moneys to be credited to account</w:t>
      </w:r>
      <w:bookmarkEnd w:id="413"/>
      <w:bookmarkEnd w:id="414"/>
      <w:bookmarkEnd w:id="415"/>
    </w:p>
    <w:p>
      <w:pPr>
        <w:pStyle w:val="Subsection"/>
        <w:keepNext/>
        <w:rPr>
          <w:snapToGrid w:val="0"/>
        </w:rPr>
      </w:pPr>
      <w:r>
        <w:rPr>
          <w:snapToGrid w:val="0"/>
        </w:rPr>
        <w:tab/>
      </w:r>
      <w:r>
        <w:rPr>
          <w:snapToGrid w:val="0"/>
        </w:rPr>
        <w:tab/>
        <w:t>There are to be credited to the </w:t>
      </w:r>
      <w:r>
        <w:t xml:space="preserve">Interest </w:t>
      </w:r>
      <w:r>
        <w:rPr>
          <w:snapToGrid w:val="0"/>
        </w:rPr>
        <w:t>Account —</w:t>
      </w:r>
    </w:p>
    <w:p>
      <w:pPr>
        <w:pStyle w:val="Indenta"/>
        <w:rPr>
          <w:snapToGrid w:val="0"/>
        </w:rPr>
      </w:pPr>
      <w:r>
        <w:rPr>
          <w:snapToGrid w:val="0"/>
        </w:rPr>
        <w:tab/>
        <w:t>(a)</w:t>
      </w:r>
      <w:r>
        <w:rPr>
          <w:snapToGrid w:val="0"/>
        </w:rPr>
        <w:tab/>
        <w:t xml:space="preserve">all moneys paid to the credit of the </w:t>
      </w:r>
      <w:r>
        <w:t xml:space="preserve">Interest </w:t>
      </w:r>
      <w:r>
        <w:rPr>
          <w:snapToGrid w:val="0"/>
        </w:rPr>
        <w:t>Account under section 68B; and</w:t>
      </w:r>
    </w:p>
    <w:p>
      <w:pPr>
        <w:pStyle w:val="Indenta"/>
        <w:rPr>
          <w:snapToGrid w:val="0"/>
        </w:rPr>
      </w:pPr>
      <w:r>
        <w:rPr>
          <w:snapToGrid w:val="0"/>
        </w:rPr>
        <w:tab/>
        <w:t>(b)</w:t>
      </w:r>
      <w:r>
        <w:rPr>
          <w:snapToGrid w:val="0"/>
        </w:rPr>
        <w:tab/>
        <w:t xml:space="preserve">income derived from the investment, under section 128, of moneys standing to the credit of the </w:t>
      </w:r>
      <w:r>
        <w:t xml:space="preserve">Interest </w:t>
      </w:r>
      <w:r>
        <w:rPr>
          <w:snapToGrid w:val="0"/>
        </w:rPr>
        <w:t>Account; and</w:t>
      </w:r>
    </w:p>
    <w:p>
      <w:pPr>
        <w:pStyle w:val="Indenta"/>
        <w:rPr>
          <w:snapToGrid w:val="0"/>
        </w:rPr>
      </w:pPr>
      <w:r>
        <w:rPr>
          <w:snapToGrid w:val="0"/>
        </w:rPr>
        <w:tab/>
        <w:t>(c)</w:t>
      </w:r>
      <w:r>
        <w:rPr>
          <w:snapToGrid w:val="0"/>
        </w:rPr>
        <w:tab/>
        <w:t xml:space="preserve">any moneys, other than moneys referred to in paragraphs (a) and (b), that may lawfully be credited to the </w:t>
      </w:r>
      <w:r>
        <w:t xml:space="preserve">Interest </w:t>
      </w:r>
      <w:r>
        <w:rPr>
          <w:snapToGrid w:val="0"/>
        </w:rPr>
        <w:t>Account.</w:t>
      </w:r>
    </w:p>
    <w:p>
      <w:pPr>
        <w:pStyle w:val="Footnotesection"/>
      </w:pPr>
      <w:r>
        <w:tab/>
        <w:t>[Section 126 inserted by No. 59 of 1995 s. 27</w:t>
      </w:r>
      <w:r>
        <w:rPr>
          <w:spacing w:val="-4"/>
        </w:rPr>
        <w:t>; amended by No. 47 of 2011 s.</w:t>
      </w:r>
      <w:r>
        <w:t> 25(4).]</w:t>
      </w:r>
    </w:p>
    <w:p>
      <w:pPr>
        <w:pStyle w:val="Heading5"/>
      </w:pPr>
      <w:bookmarkStart w:id="416" w:name="_Toc404159152"/>
      <w:bookmarkStart w:id="417" w:name="_Toc468701049"/>
      <w:bookmarkStart w:id="418" w:name="_Toc435024541"/>
      <w:r>
        <w:rPr>
          <w:rStyle w:val="CharSectno"/>
        </w:rPr>
        <w:t>127</w:t>
      </w:r>
      <w:r>
        <w:rPr>
          <w:snapToGrid w:val="0"/>
        </w:rPr>
        <w:t>.</w:t>
      </w:r>
      <w:r>
        <w:rPr>
          <w:snapToGrid w:val="0"/>
        </w:rPr>
        <w:tab/>
        <w:t>E</w:t>
      </w:r>
      <w:r>
        <w:t>xpenditure from account</w:t>
      </w:r>
      <w:bookmarkEnd w:id="416"/>
      <w:bookmarkEnd w:id="417"/>
      <w:bookmarkEnd w:id="418"/>
    </w:p>
    <w:p>
      <w:pPr>
        <w:pStyle w:val="Subsection"/>
        <w:keepNext/>
        <w:rPr>
          <w:snapToGrid w:val="0"/>
        </w:rPr>
      </w:pPr>
      <w:r>
        <w:rPr>
          <w:snapToGrid w:val="0"/>
        </w:rPr>
        <w:tab/>
      </w:r>
      <w:r>
        <w:rPr>
          <w:snapToGrid w:val="0"/>
        </w:rPr>
        <w:tab/>
        <w:t xml:space="preserve">Moneys standing to the credit of the </w:t>
      </w:r>
      <w:r>
        <w:t xml:space="preserve">Interest </w:t>
      </w:r>
      <w:r>
        <w:rPr>
          <w:snapToGrid w:val="0"/>
        </w:rPr>
        <w:t>Account are to be applied at such times as are prescribed —</w:t>
      </w:r>
    </w:p>
    <w:p>
      <w:pPr>
        <w:pStyle w:val="Indenta"/>
        <w:rPr>
          <w:snapToGrid w:val="0"/>
        </w:rPr>
      </w:pPr>
      <w:r>
        <w:rPr>
          <w:snapToGrid w:val="0"/>
        </w:rPr>
        <w:tab/>
        <w:t>(a)</w:t>
      </w:r>
      <w:r>
        <w:rPr>
          <w:snapToGrid w:val="0"/>
        </w:rPr>
        <w:tab/>
        <w:t xml:space="preserve">first, in payment of the costs involved in administering the </w:t>
      </w:r>
      <w:r>
        <w:t xml:space="preserve">Interest </w:t>
      </w:r>
      <w:r>
        <w:rPr>
          <w:snapToGrid w:val="0"/>
        </w:rPr>
        <w:t>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w:t>
      </w:r>
    </w:p>
    <w:p>
      <w:pPr>
        <w:pStyle w:val="Indenti"/>
        <w:rPr>
          <w:snapToGrid w:val="0"/>
        </w:rPr>
      </w:pPr>
      <w:r>
        <w:rPr>
          <w:snapToGrid w:val="0"/>
        </w:rPr>
        <w:tab/>
        <w:t>(i)</w:t>
      </w:r>
      <w:r>
        <w:rPr>
          <w:snapToGrid w:val="0"/>
        </w:rPr>
        <w:tab/>
        <w:t>the Fidelity</w:t>
      </w:r>
      <w:r>
        <w:t xml:space="preserve"> Account</w:t>
      </w:r>
      <w:r>
        <w:rPr>
          <w:snapToGrid w:val="0"/>
        </w:rPr>
        <w:t>; and</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[Section 127 inserted by No. 59 of 1995 s. 27; amended by No. 77 of 2006 Sch. 1 cl. 147(2)</w:t>
      </w:r>
      <w:r>
        <w:rPr>
          <w:spacing w:val="-4"/>
        </w:rPr>
        <w:t>; No. 47 of 2011 s.</w:t>
      </w:r>
      <w:r>
        <w:t> 25(4).]</w:t>
      </w:r>
    </w:p>
    <w:p>
      <w:pPr>
        <w:pStyle w:val="Heading5"/>
        <w:rPr>
          <w:snapToGrid w:val="0"/>
        </w:rPr>
      </w:pPr>
      <w:bookmarkStart w:id="419" w:name="_Toc404159153"/>
      <w:bookmarkStart w:id="420" w:name="_Toc468701050"/>
      <w:bookmarkStart w:id="421" w:name="_Toc435024542"/>
      <w:r>
        <w:rPr>
          <w:rStyle w:val="CharSectno"/>
        </w:rPr>
        <w:t>128</w:t>
      </w:r>
      <w:r>
        <w:rPr>
          <w:snapToGrid w:val="0"/>
        </w:rPr>
        <w:t>.</w:t>
      </w:r>
      <w:r>
        <w:rPr>
          <w:snapToGrid w:val="0"/>
        </w:rPr>
        <w:tab/>
        <w:t>I</w:t>
      </w:r>
      <w:r>
        <w:t>nvestment of moneys in account</w:t>
      </w:r>
      <w:bookmarkEnd w:id="419"/>
      <w:bookmarkEnd w:id="420"/>
      <w:bookmarkEnd w:id="421"/>
    </w:p>
    <w:p>
      <w:pPr>
        <w:pStyle w:val="Subsection"/>
        <w:rPr>
          <w:snapToGrid w:val="0"/>
        </w:rPr>
      </w:pPr>
      <w:r>
        <w:rPr>
          <w:snapToGrid w:val="0"/>
        </w:rPr>
        <w:tab/>
        <w:t>(1)</w:t>
      </w:r>
      <w:r>
        <w:rPr>
          <w:snapToGrid w:val="0"/>
        </w:rPr>
        <w:tab/>
        <w:t xml:space="preserve">Moneys standing to the credit of the </w:t>
      </w:r>
      <w:r>
        <w:t xml:space="preserve">Interest </w:t>
      </w:r>
      <w:r>
        <w:rPr>
          <w:snapToGrid w:val="0"/>
        </w:rPr>
        <w:t>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 xml:space="preserve">Income derived from any such investment is to be credited to the </w:t>
      </w:r>
      <w:r>
        <w:t xml:space="preserve">Interest </w:t>
      </w:r>
      <w:r>
        <w:rPr>
          <w:snapToGrid w:val="0"/>
        </w:rPr>
        <w:t>Account.</w:t>
      </w:r>
    </w:p>
    <w:p>
      <w:pPr>
        <w:pStyle w:val="Footnotesection"/>
      </w:pPr>
      <w:r>
        <w:tab/>
        <w:t>[Section 128 inserted by No. 59 of 1995 s. 27; amended by No. 77 of 2006 Sch. 1 cl. 147(15)</w:t>
      </w:r>
      <w:r>
        <w:rPr>
          <w:spacing w:val="-4"/>
        </w:rPr>
        <w:t>; No. 47 of 2011 s.</w:t>
      </w:r>
      <w:r>
        <w:t> 25(4).]</w:t>
      </w:r>
    </w:p>
    <w:p>
      <w:pPr>
        <w:pStyle w:val="Ednotesection"/>
      </w:pPr>
      <w:r>
        <w:t>[</w:t>
      </w:r>
      <w:r>
        <w:rPr>
          <w:b/>
        </w:rPr>
        <w:t>129, 130.</w:t>
      </w:r>
      <w:r>
        <w:tab/>
        <w:t>Deleted by No. 59 of 1995 s. 27.]</w:t>
      </w:r>
    </w:p>
    <w:p>
      <w:pPr>
        <w:pStyle w:val="Ednotesection"/>
      </w:pPr>
      <w:r>
        <w:t>[</w:t>
      </w:r>
      <w:r>
        <w:rPr>
          <w:b/>
        </w:rPr>
        <w:t>131.</w:t>
      </w:r>
      <w:r>
        <w:tab/>
        <w:t>Deleted by No. 98 of 1985 s. 3.]</w:t>
      </w:r>
    </w:p>
    <w:p>
      <w:pPr>
        <w:pStyle w:val="Heading2"/>
      </w:pPr>
      <w:bookmarkStart w:id="422" w:name="_Toc404159154"/>
      <w:bookmarkStart w:id="423" w:name="_Toc424293180"/>
      <w:bookmarkStart w:id="424" w:name="_Toc435024543"/>
      <w:bookmarkStart w:id="425" w:name="_Toc468701051"/>
      <w:r>
        <w:rPr>
          <w:rStyle w:val="CharPartNo"/>
        </w:rPr>
        <w:t>Part IXA</w:t>
      </w:r>
      <w:r>
        <w:rPr>
          <w:rStyle w:val="CharDivNo"/>
        </w:rPr>
        <w:t> </w:t>
      </w:r>
      <w:r>
        <w:t>—</w:t>
      </w:r>
      <w:r>
        <w:rPr>
          <w:rStyle w:val="CharDivText"/>
        </w:rPr>
        <w:t> </w:t>
      </w:r>
      <w:r>
        <w:rPr>
          <w:rStyle w:val="CharPartText"/>
        </w:rPr>
        <w:t>Assistance to home buyers</w:t>
      </w:r>
      <w:bookmarkEnd w:id="422"/>
      <w:bookmarkEnd w:id="423"/>
      <w:bookmarkEnd w:id="424"/>
      <w:bookmarkEnd w:id="425"/>
    </w:p>
    <w:p>
      <w:pPr>
        <w:pStyle w:val="Heading5"/>
        <w:rPr>
          <w:snapToGrid w:val="0"/>
        </w:rPr>
      </w:pPr>
      <w:bookmarkStart w:id="426" w:name="_Toc404159155"/>
      <w:bookmarkStart w:id="427" w:name="_Toc468701052"/>
      <w:bookmarkStart w:id="428" w:name="_Toc435024544"/>
      <w:r>
        <w:rPr>
          <w:rStyle w:val="CharSectno"/>
        </w:rPr>
        <w:t>131A</w:t>
      </w:r>
      <w:r>
        <w:rPr>
          <w:snapToGrid w:val="0"/>
        </w:rPr>
        <w:t>.</w:t>
      </w:r>
      <w:r>
        <w:rPr>
          <w:snapToGrid w:val="0"/>
        </w:rPr>
        <w:tab/>
        <w:t>Terms used</w:t>
      </w:r>
      <w:bookmarkEnd w:id="426"/>
      <w:bookmarkEnd w:id="427"/>
      <w:bookmarkEnd w:id="428"/>
    </w:p>
    <w:p>
      <w:pPr>
        <w:pStyle w:val="Subsection"/>
        <w:keepNext/>
        <w:rPr>
          <w:snapToGrid w:val="0"/>
        </w:rPr>
      </w:pPr>
      <w:r>
        <w:rPr>
          <w:snapToGrid w:val="0"/>
        </w:rPr>
        <w:tab/>
      </w:r>
      <w:r>
        <w:rPr>
          <w:snapToGrid w:val="0"/>
        </w:rPr>
        <w:tab/>
        <w:t>In this Part, unless the contrary intention appears —</w:t>
      </w:r>
    </w:p>
    <w:p>
      <w:pPr>
        <w:pStyle w:val="Defstart"/>
        <w:spacing w:before="100"/>
      </w:pPr>
      <w:r>
        <w:rPr>
          <w:b/>
        </w:rPr>
        <w:tab/>
      </w:r>
      <w:r>
        <w:rPr>
          <w:rStyle w:val="CharDefText"/>
        </w:rPr>
        <w:t>applicant</w:t>
      </w:r>
      <w:r>
        <w:t xml:space="preserve"> means person on whose behalf an application has been lodged under section 131L(1);</w:t>
      </w:r>
    </w:p>
    <w:p>
      <w:pPr>
        <w:pStyle w:val="Defstart"/>
        <w:spacing w:before="100"/>
      </w:pPr>
      <w:r>
        <w:rPr>
          <w:b/>
        </w:rPr>
        <w:tab/>
      </w:r>
      <w:r>
        <w:rPr>
          <w:rStyle w:val="CharDefText"/>
        </w:rPr>
        <w:t>assisted person</w:t>
      </w:r>
      <w:r>
        <w:t xml:space="preserve"> means applicant to whom a grant has been made under section 131M(3);</w:t>
      </w:r>
    </w:p>
    <w:p>
      <w:pPr>
        <w:pStyle w:val="Defstart"/>
        <w:keepNext/>
        <w:spacing w:before="100"/>
      </w:pPr>
      <w:r>
        <w:rPr>
          <w:b/>
        </w:rPr>
        <w:tab/>
      </w:r>
      <w:r>
        <w:rPr>
          <w:rStyle w:val="CharDefText"/>
        </w:rPr>
        <w:t>dwelling</w:t>
      </w:r>
      <w:r>
        <w:t xml:space="preserve"> includes —</w:t>
      </w:r>
    </w:p>
    <w:p>
      <w:pPr>
        <w:pStyle w:val="Defpara"/>
        <w:spacing w:before="100"/>
      </w:pPr>
      <w:r>
        <w:tab/>
        <w:t>(a)</w:t>
      </w:r>
      <w:r>
        <w:tab/>
        <w:t xml:space="preserve">lot within the meaning of the </w:t>
      </w:r>
      <w:r>
        <w:rPr>
          <w:i/>
        </w:rPr>
        <w:t>Strata Titles Act 1985</w:t>
      </w:r>
      <w:r>
        <w:t>; and</w:t>
      </w:r>
    </w:p>
    <w:p>
      <w:pPr>
        <w:pStyle w:val="Defpara"/>
        <w:spacing w:before="100"/>
      </w:pPr>
      <w:r>
        <w:tab/>
        <w:t>(b)</w:t>
      </w:r>
      <w:r>
        <w:tab/>
        <w:t>except in the case of a dwelling which is a lot referred to in paragraph (a), land on which the dwelling concerned is erected or is being erected, as the case requires;</w:t>
      </w:r>
    </w:p>
    <w:p>
      <w:pPr>
        <w:pStyle w:val="Defstart"/>
        <w:keepNext/>
        <w:spacing w:before="100"/>
      </w:pPr>
      <w:r>
        <w:rPr>
          <w:b/>
        </w:rPr>
        <w:tab/>
      </w:r>
      <w:r>
        <w:rPr>
          <w:rStyle w:val="CharDefText"/>
        </w:rPr>
        <w:t>incidental expenses</w:t>
      </w:r>
      <w:r>
        <w:t>, in relation to a purchase, or purchase and completion, referred to in section 131L(1), includes —</w:t>
      </w:r>
    </w:p>
    <w:p>
      <w:pPr>
        <w:pStyle w:val="Defpara"/>
        <w:spacing w:before="100"/>
      </w:pPr>
      <w:r>
        <w:tab/>
        <w:t>(a)</w:t>
      </w:r>
      <w:r>
        <w:tab/>
        <w:t xml:space="preserve">duty chargeable under the </w:t>
      </w:r>
      <w:r>
        <w:rPr>
          <w:i/>
          <w:iCs/>
        </w:rPr>
        <w:t>Duties Act 2008</w:t>
      </w:r>
      <w:r>
        <w:t>; and</w:t>
      </w:r>
    </w:p>
    <w:p>
      <w:pPr>
        <w:pStyle w:val="Defpara"/>
        <w:spacing w:before="100"/>
      </w:pPr>
      <w:r>
        <w:tab/>
        <w:t>(b)</w:t>
      </w:r>
      <w:r>
        <w:tab/>
        <w:t>registration fees; and</w:t>
      </w:r>
    </w:p>
    <w:p>
      <w:pPr>
        <w:pStyle w:val="Defpara"/>
        <w:spacing w:before="100"/>
      </w:pPr>
      <w:r>
        <w:tab/>
        <w:t>(c)</w:t>
      </w:r>
      <w:r>
        <w:tab/>
        <w:t xml:space="preserve">the remuneration of a real estate settlement agent within the meaning of the </w:t>
      </w:r>
      <w:r>
        <w:rPr>
          <w:i/>
        </w:rPr>
        <w:t>Settlement Agents Act 1981</w:t>
      </w:r>
      <w:r>
        <w:t>; and</w:t>
      </w:r>
    </w:p>
    <w:p>
      <w:pPr>
        <w:pStyle w:val="Defpara"/>
        <w:spacing w:before="100"/>
      </w:pPr>
      <w:r>
        <w:tab/>
        <w:t>(d)</w:t>
      </w:r>
      <w:r>
        <w:tab/>
        <w:t>the costs of a legal practitioner; and</w:t>
      </w:r>
    </w:p>
    <w:p>
      <w:pPr>
        <w:pStyle w:val="Defpara"/>
        <w:spacing w:before="100"/>
      </w:pPr>
      <w:r>
        <w:tab/>
        <w:t>(e)</w:t>
      </w:r>
      <w:r>
        <w:tab/>
        <w:t>valuation fees; and</w:t>
      </w:r>
    </w:p>
    <w:p>
      <w:pPr>
        <w:pStyle w:val="Defpara"/>
        <w:spacing w:before="100"/>
      </w:pPr>
      <w:r>
        <w:tab/>
        <w:t>(f)</w:t>
      </w:r>
      <w:r>
        <w:tab/>
        <w:t>inspection fees; and</w:t>
      </w:r>
    </w:p>
    <w:p>
      <w:pPr>
        <w:pStyle w:val="Defpara"/>
        <w:spacing w:before="100"/>
      </w:pPr>
      <w:r>
        <w:tab/>
        <w:t>(g)</w:t>
      </w:r>
      <w:r>
        <w:tab/>
        <w:t>any fees payable to the lending institution lodging an application under section 131L(1) on behalf of the applicant concerned to assist him in that purchase or purchase and completion; and</w:t>
      </w:r>
    </w:p>
    <w:p>
      <w:pPr>
        <w:pStyle w:val="Defpara"/>
        <w:spacing w:before="100"/>
      </w:pPr>
      <w:r>
        <w:tab/>
        <w:t>(h)</w:t>
      </w:r>
      <w:r>
        <w:tab/>
        <w:t>any mortgage guarantee fee or mortgage insurance premium;</w:t>
      </w:r>
    </w:p>
    <w:p>
      <w:pPr>
        <w:pStyle w:val="Defstart"/>
        <w:keepNext/>
        <w:spacing w:before="100"/>
      </w:pPr>
      <w:r>
        <w:rPr>
          <w:b/>
        </w:rPr>
        <w:tab/>
      </w:r>
      <w:r>
        <w:rPr>
          <w:rStyle w:val="CharDefText"/>
        </w:rPr>
        <w:t>lending institution</w:t>
      </w:r>
      <w:r>
        <w:t xml:space="preserve"> means —</w:t>
      </w:r>
    </w:p>
    <w:p>
      <w:pPr>
        <w:pStyle w:val="Defpara"/>
        <w:spacing w:before="100"/>
      </w:pPr>
      <w:r>
        <w:tab/>
        <w:t>(a)</w:t>
      </w:r>
      <w:r>
        <w:tab/>
        <w:t>a bank; or</w:t>
      </w:r>
    </w:p>
    <w:p>
      <w:pPr>
        <w:pStyle w:val="Ednotedefpara"/>
        <w:keepNext/>
        <w:rPr>
          <w:iCs/>
        </w:rPr>
      </w:pPr>
      <w:r>
        <w:tab/>
      </w:r>
      <w:r>
        <w:rPr>
          <w:iCs/>
        </w:rPr>
        <w:t>[(b), (c)</w:t>
      </w:r>
      <w:r>
        <w:rPr>
          <w:iCs/>
        </w:rPr>
        <w:tab/>
        <w:t>deleted]</w:t>
      </w:r>
    </w:p>
    <w:p>
      <w:pPr>
        <w:pStyle w:val="Defpara"/>
      </w:pPr>
      <w:r>
        <w:tab/>
        <w:t>(d)</w:t>
      </w:r>
      <w:r>
        <w:tab/>
        <w:t>a body that is prescribed, or that belongs to a class of bodies that is prescribed.</w:t>
      </w:r>
    </w:p>
    <w:p>
      <w:pPr>
        <w:pStyle w:val="Footnotesection"/>
      </w:pPr>
      <w:r>
        <w:tab/>
        <w:t>[Section 131A inserted by No. 29 of 1982 s. 10; amended by No. 59 of 1995 s. 28; No. 26 of 1999 s. 99(10); No. 12 of 2001 s. 51; No. 65 of 2003 s. 59(3); No. 17 of 2005 s. 29(2); No. 12 of 2008 Sch. 1 cl. 32.]</w:t>
      </w:r>
    </w:p>
    <w:p>
      <w:pPr>
        <w:pStyle w:val="Heading5"/>
      </w:pPr>
      <w:bookmarkStart w:id="429" w:name="_Toc404159156"/>
      <w:bookmarkStart w:id="430" w:name="_Toc468701053"/>
      <w:bookmarkStart w:id="431" w:name="_Toc435024545"/>
      <w:r>
        <w:rPr>
          <w:rStyle w:val="CharSectno"/>
        </w:rPr>
        <w:t>131B</w:t>
      </w:r>
      <w:r>
        <w:t>.</w:t>
      </w:r>
      <w:r>
        <w:tab/>
        <w:t>Home Buyers Assistance Account established</w:t>
      </w:r>
      <w:bookmarkEnd w:id="429"/>
      <w:bookmarkEnd w:id="430"/>
      <w:bookmarkEnd w:id="431"/>
    </w:p>
    <w:p>
      <w:pPr>
        <w:pStyle w:val="Subsection"/>
      </w:pPr>
      <w:r>
        <w:tab/>
      </w:r>
      <w:r>
        <w:tab/>
        <w:t>An account called the Home Buyers Assistance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131B inserted by No. 77 of 2006 Sch. 1 cl. 147(16).]</w:t>
      </w:r>
    </w:p>
    <w:p>
      <w:pPr>
        <w:pStyle w:val="Heading5"/>
        <w:rPr>
          <w:snapToGrid w:val="0"/>
        </w:rPr>
      </w:pPr>
      <w:bookmarkStart w:id="432" w:name="_Toc404159157"/>
      <w:bookmarkStart w:id="433" w:name="_Toc468701054"/>
      <w:bookmarkStart w:id="434" w:name="_Toc435024546"/>
      <w:r>
        <w:rPr>
          <w:rStyle w:val="CharSectno"/>
        </w:rPr>
        <w:t>131C</w:t>
      </w:r>
      <w:r>
        <w:rPr>
          <w:snapToGrid w:val="0"/>
        </w:rPr>
        <w:t>.</w:t>
      </w:r>
      <w:r>
        <w:rPr>
          <w:snapToGrid w:val="0"/>
        </w:rPr>
        <w:tab/>
        <w:t>Investment of moneys in account</w:t>
      </w:r>
      <w:bookmarkEnd w:id="432"/>
      <w:bookmarkEnd w:id="433"/>
      <w:bookmarkEnd w:id="434"/>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[Section 131C inserted by No. 59 of 1995 s. 30; amended by No. 77 of 2006 Sch. 1 cl. 147(2) and (17).]</w:t>
      </w:r>
    </w:p>
    <w:p>
      <w:pPr>
        <w:pStyle w:val="Heading5"/>
        <w:rPr>
          <w:snapToGrid w:val="0"/>
        </w:rPr>
      </w:pPr>
      <w:bookmarkStart w:id="435" w:name="_Toc404159158"/>
      <w:bookmarkStart w:id="436" w:name="_Toc468701055"/>
      <w:bookmarkStart w:id="437" w:name="_Toc435024547"/>
      <w:r>
        <w:rPr>
          <w:rStyle w:val="CharSectno"/>
        </w:rPr>
        <w:t>131D</w:t>
      </w:r>
      <w:r>
        <w:rPr>
          <w:snapToGrid w:val="0"/>
        </w:rPr>
        <w:t>.</w:t>
      </w:r>
      <w:r>
        <w:rPr>
          <w:snapToGrid w:val="0"/>
        </w:rPr>
        <w:tab/>
        <w:t>Moneys to be credited to account</w:t>
      </w:r>
      <w:bookmarkEnd w:id="435"/>
      <w:bookmarkEnd w:id="436"/>
      <w:bookmarkEnd w:id="437"/>
    </w:p>
    <w:p>
      <w:pPr>
        <w:pStyle w:val="Subsection"/>
        <w:keepNext/>
        <w:rPr>
          <w:snapToGrid w:val="0"/>
        </w:rPr>
      </w:pPr>
      <w:r>
        <w:rPr>
          <w:snapToGrid w:val="0"/>
        </w:rPr>
        <w:tab/>
      </w:r>
      <w:r>
        <w:rPr>
          <w:snapToGrid w:val="0"/>
        </w:rPr>
        <w:tab/>
        <w:t>There shall be credited to the Assistance</w:t>
      </w:r>
      <w:r>
        <w:t xml:space="preserve"> Account</w:t>
      </w:r>
      <w:r>
        <w:rPr>
          <w:snapToGrid w:val="0"/>
        </w:rPr>
        <w:t>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 and</w:t>
      </w:r>
    </w:p>
    <w:p>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[Section 131D inserted by No. 29 of 1982 s. 10; amended by No. 59 of 1995 s. 31 and 42; No. 77 of 2006 Sch. 1 cl. 147(2); No. 58 of 2010 s. 119.]</w:t>
      </w:r>
    </w:p>
    <w:p>
      <w:pPr>
        <w:pStyle w:val="Heading5"/>
        <w:rPr>
          <w:snapToGrid w:val="0"/>
        </w:rPr>
      </w:pPr>
      <w:bookmarkStart w:id="438" w:name="_Toc404159159"/>
      <w:bookmarkStart w:id="439" w:name="_Toc468701056"/>
      <w:bookmarkStart w:id="440" w:name="_Toc435024548"/>
      <w:r>
        <w:rPr>
          <w:rStyle w:val="CharSectno"/>
        </w:rPr>
        <w:t>131E</w:t>
      </w:r>
      <w:r>
        <w:rPr>
          <w:snapToGrid w:val="0"/>
        </w:rPr>
        <w:t>.</w:t>
      </w:r>
      <w:r>
        <w:rPr>
          <w:snapToGrid w:val="0"/>
        </w:rPr>
        <w:tab/>
        <w:t>Expenditure from account</w:t>
      </w:r>
      <w:bookmarkEnd w:id="438"/>
      <w:bookmarkEnd w:id="439"/>
      <w:bookmarkEnd w:id="440"/>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w:t>
      </w:r>
    </w:p>
    <w:p>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 and</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 and</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 and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[Section 131E inserted by No. 29 of 1982 s. 10; amended by No. 59 of 1995 s. 32 and 42; No. 77 of 2006 Sch. 1 cl. 147(2); No. 58 of 2010 s. 120.]</w:t>
      </w:r>
    </w:p>
    <w:p>
      <w:pPr>
        <w:pStyle w:val="Ednotesection"/>
      </w:pPr>
      <w:r>
        <w:t>[</w:t>
      </w:r>
      <w:r>
        <w:rPr>
          <w:b/>
        </w:rPr>
        <w:t>131F.</w:t>
      </w:r>
      <w:r>
        <w:tab/>
        <w:t>Deleted by No. 98 of 1985 s. 3.]</w:t>
      </w:r>
    </w:p>
    <w:p>
      <w:pPr>
        <w:pStyle w:val="Heading5"/>
        <w:rPr>
          <w:snapToGrid w:val="0"/>
        </w:rPr>
      </w:pPr>
      <w:bookmarkStart w:id="441" w:name="_Toc404159160"/>
      <w:bookmarkStart w:id="442" w:name="_Toc468701057"/>
      <w:bookmarkStart w:id="443" w:name="_Toc435024549"/>
      <w:r>
        <w:rPr>
          <w:rStyle w:val="CharSectno"/>
        </w:rPr>
        <w:t>131G</w:t>
      </w:r>
      <w:r>
        <w:rPr>
          <w:snapToGrid w:val="0"/>
        </w:rPr>
        <w:t>.</w:t>
      </w:r>
      <w:r>
        <w:rPr>
          <w:snapToGrid w:val="0"/>
        </w:rPr>
        <w:tab/>
      </w:r>
      <w:r>
        <w:t>Administration of account</w:t>
      </w:r>
      <w:bookmarkEnd w:id="441"/>
      <w:bookmarkEnd w:id="442"/>
      <w:bookmarkEnd w:id="443"/>
    </w:p>
    <w:p>
      <w:pPr>
        <w:pStyle w:val="Subsection"/>
        <w:spacing w:before="18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pPr>
        <w:pStyle w:val="Footnotesection"/>
      </w:pPr>
      <w:r>
        <w:tab/>
        <w:t>[Section 131G inserted by No. 29 of 1982 s. 10; amended by No. 77 of 2006 Sch. 1 cl. 147(2); No. 58 of 2010 s. 121.]</w:t>
      </w:r>
    </w:p>
    <w:p>
      <w:pPr>
        <w:pStyle w:val="Ednotesection"/>
        <w:spacing w:before="260"/>
        <w:rPr>
          <w:b/>
        </w:rPr>
      </w:pPr>
      <w:r>
        <w:t>[</w:t>
      </w:r>
      <w:r>
        <w:rPr>
          <w:b/>
        </w:rPr>
        <w:t>131H-131KA.</w:t>
      </w:r>
      <w:r>
        <w:t xml:space="preserve">   Deleted by No. 58 of 2010 s. 122.]</w:t>
      </w:r>
    </w:p>
    <w:p>
      <w:pPr>
        <w:pStyle w:val="Heading5"/>
        <w:spacing w:before="260"/>
        <w:rPr>
          <w:snapToGrid w:val="0"/>
        </w:rPr>
      </w:pPr>
      <w:bookmarkStart w:id="444" w:name="_Toc404159161"/>
      <w:bookmarkStart w:id="445" w:name="_Toc468701058"/>
      <w:bookmarkStart w:id="446" w:name="_Toc435024550"/>
      <w:r>
        <w:rPr>
          <w:rStyle w:val="CharSectno"/>
        </w:rPr>
        <w:t>131L</w:t>
      </w:r>
      <w:r>
        <w:rPr>
          <w:snapToGrid w:val="0"/>
        </w:rPr>
        <w:t>.</w:t>
      </w:r>
      <w:r>
        <w:rPr>
          <w:snapToGrid w:val="0"/>
        </w:rPr>
        <w:tab/>
        <w:t>Applying for assistance for buyers of first homes</w:t>
      </w:r>
      <w:bookmarkEnd w:id="444"/>
      <w:bookmarkEnd w:id="445"/>
      <w:bookmarkEnd w:id="446"/>
    </w:p>
    <w:p>
      <w:pPr>
        <w:pStyle w:val="Subsection"/>
        <w:keepNext/>
        <w:spacing w:before="180"/>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spacing w:before="180"/>
        <w:rPr>
          <w:snapToGrid w:val="0"/>
        </w:rPr>
      </w:pPr>
      <w:r>
        <w:rPr>
          <w:snapToGrid w:val="0"/>
        </w:rPr>
        <w:tab/>
      </w:r>
      <w:r>
        <w:rPr>
          <w:snapToGrid w:val="0"/>
        </w:rPr>
        <w:tab/>
        <w:t xml:space="preserve">may, not later than 90 days after the date of the contract to purchase the dwelling, on behalf of the person lodge with the </w:t>
      </w:r>
      <w:r>
        <w:t>chief executive officer</w:t>
      </w:r>
      <w:r>
        <w:rPr>
          <w:snapToGrid w:val="0"/>
        </w:rPr>
        <w:t xml:space="preserve">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spacing w:before="180"/>
        <w:rPr>
          <w:snapToGrid w:val="0"/>
        </w:rPr>
      </w:pPr>
      <w:r>
        <w:rPr>
          <w:snapToGrid w:val="0"/>
        </w:rPr>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pPr>
        <w:pStyle w:val="Subsection"/>
        <w:spacing w:before="180"/>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[Section 131L inserted by No. 29 of 1982 s. 10; amended by No. 43 of 1994 s. 7; No. 59 of 1995 s. 35 and 40(2); No. 58 of 2010 s. 123.]</w:t>
      </w:r>
    </w:p>
    <w:p>
      <w:pPr>
        <w:pStyle w:val="Heading5"/>
        <w:rPr>
          <w:snapToGrid w:val="0"/>
        </w:rPr>
      </w:pPr>
      <w:bookmarkStart w:id="447" w:name="_Toc404159162"/>
      <w:bookmarkStart w:id="448" w:name="_Toc468701059"/>
      <w:bookmarkStart w:id="449" w:name="_Toc435024551"/>
      <w:r>
        <w:rPr>
          <w:rStyle w:val="CharSectno"/>
        </w:rPr>
        <w:t>131M</w:t>
      </w:r>
      <w:r>
        <w:rPr>
          <w:snapToGrid w:val="0"/>
        </w:rPr>
        <w:t>.</w:t>
      </w:r>
      <w:r>
        <w:rPr>
          <w:snapToGrid w:val="0"/>
        </w:rPr>
        <w:tab/>
      </w:r>
      <w:r>
        <w:t>Deciding applications for assistance</w:t>
      </w:r>
      <w:bookmarkEnd w:id="447"/>
      <w:bookmarkEnd w:id="448"/>
      <w:bookmarkEnd w:id="449"/>
    </w:p>
    <w:p>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w:t>
      </w:r>
    </w:p>
    <w:p>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Indenta"/>
      </w:pPr>
      <w:r>
        <w:tab/>
        <w:t>(b)</w:t>
      </w:r>
      <w:r>
        <w:tab/>
        <w:t>referring the application to an advisory committee established for that purpose under section 23A, or to the Property Industry Advisory Committee, for consideration.</w:t>
      </w:r>
    </w:p>
    <w:p>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pPr>
        <w:pStyle w:val="Subsection"/>
        <w:rPr>
          <w:snapToGrid w:val="0"/>
        </w:rPr>
      </w:pPr>
      <w:r>
        <w:rPr>
          <w:snapToGrid w:val="0"/>
        </w:rPr>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keepNext/>
        <w:keepLines/>
        <w:rPr>
          <w:snapToGrid w:val="0"/>
        </w:rPr>
      </w:pPr>
      <w:r>
        <w:rPr>
          <w:snapToGrid w:val="0"/>
        </w:rPr>
        <w:tab/>
        <w:t>(b)</w:t>
      </w:r>
      <w:r>
        <w:rPr>
          <w:snapToGrid w:val="0"/>
        </w:rPr>
        <w:tab/>
        <w:t>refuse that application.</w:t>
      </w:r>
    </w:p>
    <w:p>
      <w:pPr>
        <w:pStyle w:val="Footnotesection"/>
      </w:pPr>
      <w:r>
        <w:tab/>
        <w:t>[Section 131M inserted by No. 29 of 1982 s. 10; amended by No. 43 of 1994 s. 8; No. 59 of 1995 s. 36; No. 58 of 2010 s. 124.]</w:t>
      </w:r>
    </w:p>
    <w:p>
      <w:pPr>
        <w:pStyle w:val="Heading5"/>
        <w:rPr>
          <w:snapToGrid w:val="0"/>
        </w:rPr>
      </w:pPr>
      <w:bookmarkStart w:id="450" w:name="_Toc404159163"/>
      <w:bookmarkStart w:id="451" w:name="_Toc468701060"/>
      <w:bookmarkStart w:id="452" w:name="_Toc435024552"/>
      <w:r>
        <w:rPr>
          <w:rStyle w:val="CharSectno"/>
        </w:rPr>
        <w:t>131N</w:t>
      </w:r>
      <w:r>
        <w:rPr>
          <w:snapToGrid w:val="0"/>
        </w:rPr>
        <w:t>.</w:t>
      </w:r>
      <w:r>
        <w:rPr>
          <w:snapToGrid w:val="0"/>
        </w:rPr>
        <w:tab/>
        <w:t>Assistance, payment and application of</w:t>
      </w:r>
      <w:bookmarkEnd w:id="450"/>
      <w:bookmarkEnd w:id="451"/>
      <w:bookmarkEnd w:id="452"/>
    </w:p>
    <w:p>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w:t>
      </w:r>
    </w:p>
    <w:p>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pPr>
        <w:pStyle w:val="Indenta"/>
        <w:rPr>
          <w:snapToGrid w:val="0"/>
        </w:rPr>
      </w:pPr>
      <w:r>
        <w:rPr>
          <w:snapToGrid w:val="0"/>
        </w:rPr>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pPr>
        <w:pStyle w:val="Subsection"/>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[Section 131N inserted by No. 29 of 1982 s. 10; amended by No. 59 of 1995 s. 40(2); No. 77 of 2006 Sch. 1 cl. 147(2); No. 58 of 2010 s. 125.]</w:t>
      </w:r>
    </w:p>
    <w:p>
      <w:pPr>
        <w:pStyle w:val="Heading5"/>
        <w:rPr>
          <w:snapToGrid w:val="0"/>
        </w:rPr>
      </w:pPr>
      <w:bookmarkStart w:id="453" w:name="_Toc404159164"/>
      <w:bookmarkStart w:id="454" w:name="_Toc468701061"/>
      <w:bookmarkStart w:id="455" w:name="_Toc435024553"/>
      <w:r>
        <w:rPr>
          <w:rStyle w:val="CharSectno"/>
        </w:rPr>
        <w:t>131O</w:t>
      </w:r>
      <w:r>
        <w:rPr>
          <w:snapToGrid w:val="0"/>
        </w:rPr>
        <w:t>.</w:t>
      </w:r>
      <w:r>
        <w:rPr>
          <w:snapToGrid w:val="0"/>
        </w:rPr>
        <w:tab/>
      </w:r>
      <w:r>
        <w:t>Criteria for granting assistance, formulating</w:t>
      </w:r>
      <w:bookmarkEnd w:id="453"/>
      <w:bookmarkEnd w:id="454"/>
      <w:bookmarkEnd w:id="455"/>
    </w:p>
    <w:p>
      <w:pPr>
        <w:pStyle w:val="Subsection"/>
        <w:keepNext/>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w:t>
      </w:r>
    </w:p>
    <w:p>
      <w:pPr>
        <w:pStyle w:val="Ednotepara"/>
        <w:spacing w:before="80"/>
      </w:pPr>
      <w:r>
        <w:tab/>
        <w:t>[(a)</w:t>
      </w:r>
      <w:r>
        <w:tab/>
        <w:t>deleted]</w:t>
      </w:r>
    </w:p>
    <w:p>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pPr>
        <w:pStyle w:val="Ednotepara"/>
        <w:spacing w:before="80"/>
      </w:pPr>
      <w:r>
        <w:tab/>
        <w:t>[(c)-(e)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criteria in accordance with which applications </w:t>
      </w:r>
      <w:r>
        <w:t>received by the chief executive officer under section 131M</w:t>
      </w:r>
      <w:r>
        <w:rPr>
          <w:snapToGrid w:val="0"/>
        </w:rPr>
        <w:t xml:space="preserve"> are to be decided.</w:t>
      </w:r>
    </w:p>
    <w:p>
      <w:pPr>
        <w:pStyle w:val="Footnotesection"/>
      </w:pPr>
      <w:r>
        <w:tab/>
        <w:t>[Section 131O inserted by No. 29 of 1982 s. 10; amended by No. 6 of 1994 s. 13; No. 43 of 1994 s. 9; No. 14 of 1995 s. 44; No. 59 of 1995 s. 37; No. 12 of 2001 s. 50; No. 17 of 2005 s. 29(3); No. 58 of 2010 s. 126.]</w:t>
      </w:r>
    </w:p>
    <w:p>
      <w:pPr>
        <w:pStyle w:val="Heading2"/>
      </w:pPr>
      <w:bookmarkStart w:id="456" w:name="_Toc404159165"/>
      <w:bookmarkStart w:id="457" w:name="_Toc424293191"/>
      <w:bookmarkStart w:id="458" w:name="_Toc435024554"/>
      <w:bookmarkStart w:id="459" w:name="_Toc468701062"/>
      <w:r>
        <w:rPr>
          <w:rStyle w:val="CharPartNo"/>
        </w:rPr>
        <w:t>Part X</w:t>
      </w:r>
      <w:r>
        <w:rPr>
          <w:rStyle w:val="CharDivNo"/>
        </w:rPr>
        <w:t> </w:t>
      </w:r>
      <w:r>
        <w:t>—</w:t>
      </w:r>
      <w:r>
        <w:rPr>
          <w:rStyle w:val="CharDivText"/>
        </w:rPr>
        <w:t> </w:t>
      </w:r>
      <w:r>
        <w:rPr>
          <w:rStyle w:val="CharPartText"/>
        </w:rPr>
        <w:t>Miscellaneous</w:t>
      </w:r>
      <w:bookmarkEnd w:id="456"/>
      <w:bookmarkEnd w:id="457"/>
      <w:bookmarkEnd w:id="458"/>
      <w:bookmarkEnd w:id="459"/>
    </w:p>
    <w:p>
      <w:pPr>
        <w:pStyle w:val="Heading5"/>
        <w:rPr>
          <w:snapToGrid w:val="0"/>
        </w:rPr>
      </w:pPr>
      <w:bookmarkStart w:id="460" w:name="_Toc404159166"/>
      <w:bookmarkStart w:id="461" w:name="_Toc468701063"/>
      <w:bookmarkStart w:id="462" w:name="_Toc435024555"/>
      <w:r>
        <w:rPr>
          <w:rStyle w:val="CharSectno"/>
        </w:rPr>
        <w:t>132</w:t>
      </w:r>
      <w:r>
        <w:rPr>
          <w:snapToGrid w:val="0"/>
        </w:rPr>
        <w:t>.</w:t>
      </w:r>
      <w:r>
        <w:rPr>
          <w:snapToGrid w:val="0"/>
        </w:rPr>
        <w:tab/>
        <w:t>Unlicensed assistants to be supervised etc.</w:t>
      </w:r>
      <w:bookmarkEnd w:id="460"/>
      <w:bookmarkEnd w:id="461"/>
      <w:bookmarkEnd w:id="462"/>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w:t>
      </w:r>
    </w:p>
    <w:p>
      <w:pPr>
        <w:pStyle w:val="Indenta"/>
        <w:keepNext/>
        <w:rPr>
          <w:snapToGrid w:val="0"/>
        </w:rPr>
      </w:pPr>
      <w:r>
        <w:rPr>
          <w:snapToGrid w:val="0"/>
        </w:rPr>
        <w:tab/>
        <w:t>(a)</w:t>
      </w:r>
      <w:r>
        <w:rPr>
          <w:snapToGrid w:val="0"/>
        </w:rPr>
        <w:tab/>
        <w:t>where the licensee of the business involved is not a firm or a body corporate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the manager of a branch office of the business shall give substantial time and attention to the business at that office;</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 and</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 and</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463" w:name="_Toc404159167"/>
      <w:bookmarkStart w:id="464" w:name="_Toc468701064"/>
      <w:bookmarkStart w:id="465" w:name="_Toc435024556"/>
      <w:r>
        <w:rPr>
          <w:rStyle w:val="CharSectno"/>
        </w:rPr>
        <w:t>133</w:t>
      </w:r>
      <w:r>
        <w:rPr>
          <w:snapToGrid w:val="0"/>
        </w:rPr>
        <w:t>.</w:t>
      </w:r>
      <w:r>
        <w:rPr>
          <w:snapToGrid w:val="0"/>
        </w:rPr>
        <w:tab/>
      </w:r>
      <w:r>
        <w:t>Registers of licensees etc., Commissioner to keep etc.</w:t>
      </w:r>
      <w:bookmarkEnd w:id="463"/>
      <w:bookmarkEnd w:id="464"/>
      <w:bookmarkEnd w:id="465"/>
    </w:p>
    <w:p>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w:t>
      </w:r>
    </w:p>
    <w:p>
      <w:pPr>
        <w:pStyle w:val="Indenta"/>
        <w:rPr>
          <w:snapToGrid w:val="0"/>
        </w:rPr>
      </w:pPr>
      <w:r>
        <w:rPr>
          <w:snapToGrid w:val="0"/>
        </w:rPr>
        <w:tab/>
        <w:t>(a)</w:t>
      </w:r>
      <w:r>
        <w:rPr>
          <w:snapToGrid w:val="0"/>
        </w:rPr>
        <w:tab/>
        <w:t>a register of licensees; and</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pPr>
        <w:pStyle w:val="Footnotesection"/>
      </w:pPr>
      <w:r>
        <w:tab/>
        <w:t>[Section 133 amended by No. 56 of 1995 s. 47; No. 58 of 2010 s. 134.]</w:t>
      </w:r>
    </w:p>
    <w:p>
      <w:pPr>
        <w:pStyle w:val="Heading5"/>
        <w:rPr>
          <w:snapToGrid w:val="0"/>
        </w:rPr>
      </w:pPr>
      <w:bookmarkStart w:id="466" w:name="_Toc404159168"/>
      <w:bookmarkStart w:id="467" w:name="_Toc468701065"/>
      <w:bookmarkStart w:id="468" w:name="_Toc435024557"/>
      <w:r>
        <w:rPr>
          <w:rStyle w:val="CharSectno"/>
        </w:rPr>
        <w:t>134</w:t>
      </w:r>
      <w:r>
        <w:rPr>
          <w:snapToGrid w:val="0"/>
        </w:rPr>
        <w:t>.</w:t>
      </w:r>
      <w:r>
        <w:rPr>
          <w:snapToGrid w:val="0"/>
        </w:rPr>
        <w:tab/>
        <w:t>Commissioner’s certificate</w:t>
      </w:r>
      <w:bookmarkEnd w:id="466"/>
      <w:bookmarkEnd w:id="467"/>
      <w:bookmarkEnd w:id="468"/>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134 amended by No. 58 of 2010 s. 134; No. 23 of 2014 s. 80.]</w:t>
      </w:r>
    </w:p>
    <w:p>
      <w:pPr>
        <w:pStyle w:val="Heading5"/>
        <w:rPr>
          <w:snapToGrid w:val="0"/>
        </w:rPr>
      </w:pPr>
      <w:bookmarkStart w:id="469" w:name="_Toc404159169"/>
      <w:bookmarkStart w:id="470" w:name="_Toc468701066"/>
      <w:bookmarkStart w:id="471" w:name="_Toc435024558"/>
      <w:r>
        <w:rPr>
          <w:rStyle w:val="CharSectno"/>
        </w:rPr>
        <w:t>135</w:t>
      </w:r>
      <w:r>
        <w:rPr>
          <w:snapToGrid w:val="0"/>
        </w:rPr>
        <w:t>.</w:t>
      </w:r>
      <w:r>
        <w:rPr>
          <w:snapToGrid w:val="0"/>
        </w:rPr>
        <w:tab/>
      </w:r>
      <w:r>
        <w:t>Annual report by department</w:t>
      </w:r>
      <w:bookmarkEnd w:id="469"/>
      <w:bookmarkEnd w:id="470"/>
      <w:bookmarkEnd w:id="471"/>
    </w:p>
    <w:p>
      <w:pPr>
        <w:pStyle w:val="Ednotesubsection"/>
      </w:pPr>
      <w:r>
        <w:tab/>
        <w:t>[(1)</w:t>
      </w:r>
      <w:r>
        <w:tab/>
        <w:t>deleted]</w:t>
      </w:r>
    </w:p>
    <w:p>
      <w:pPr>
        <w:pStyle w:val="Subsection"/>
      </w:pPr>
      <w:r>
        <w:tab/>
        <w:t>(2)</w:t>
      </w:r>
      <w:r>
        <w:tab/>
        <w:t>The department’s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and</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the year after the year to which the report relates; and</w:t>
      </w:r>
    </w:p>
    <w:p>
      <w:pPr>
        <w:pStyle w:val="Indenta"/>
        <w:keepNext/>
        <w:keepLines/>
      </w:pPr>
      <w:r>
        <w:tab/>
        <w:t>(e)</w:t>
      </w:r>
      <w:r>
        <w:tab/>
        <w:t>any proposals for improving the operation of the Commissioner.</w:t>
      </w:r>
    </w:p>
    <w:p>
      <w:pPr>
        <w:pStyle w:val="Footnotesection"/>
        <w:spacing w:before="80"/>
        <w:ind w:left="890" w:hanging="890"/>
      </w:pPr>
      <w:r>
        <w:tab/>
        <w:t>[Section 135 inserted by No. 98 of 1985 s. 3; amended by No. 59 of 1995 s. 38; No. 55 of 2004 s. 1016; No. 77 of 2006 Sch. 1 cl. 147(18); No. 58 of 2010 s. 127.]</w:t>
      </w:r>
    </w:p>
    <w:p>
      <w:pPr>
        <w:pStyle w:val="Heading5"/>
        <w:spacing w:before="200"/>
        <w:rPr>
          <w:snapToGrid w:val="0"/>
        </w:rPr>
      </w:pPr>
      <w:bookmarkStart w:id="472" w:name="_Toc404159170"/>
      <w:bookmarkStart w:id="473" w:name="_Toc468701067"/>
      <w:bookmarkStart w:id="474" w:name="_Toc435024559"/>
      <w:r>
        <w:t>136</w:t>
      </w:r>
      <w:r>
        <w:rPr>
          <w:snapToGrid w:val="0"/>
        </w:rPr>
        <w:t>.</w:t>
      </w:r>
      <w:r>
        <w:rPr>
          <w:snapToGrid w:val="0"/>
        </w:rPr>
        <w:tab/>
      </w:r>
      <w:r>
        <w:t>Commissioner to report to Minister on Act’s effectiveness as to protecting against defalcations</w:t>
      </w:r>
      <w:bookmarkEnd w:id="472"/>
      <w:bookmarkEnd w:id="473"/>
      <w:bookmarkEnd w:id="474"/>
    </w:p>
    <w:p>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w:t>
      </w:r>
    </w:p>
    <w:p>
      <w:pPr>
        <w:pStyle w:val="Indenta"/>
        <w:spacing w:before="60"/>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spacing w:before="60"/>
        <w:rPr>
          <w:snapToGrid w:val="0"/>
        </w:rPr>
      </w:pPr>
      <w:r>
        <w:rPr>
          <w:snapToGrid w:val="0"/>
        </w:rPr>
        <w:tab/>
        <w:t>(b)</w:t>
      </w:r>
      <w:r>
        <w:rPr>
          <w:snapToGrid w:val="0"/>
        </w:rPr>
        <w:tab/>
        <w:t>the desirability or otherwise of having further or alternative measures for that purpose,</w:t>
      </w:r>
    </w:p>
    <w:p>
      <w:pPr>
        <w:pStyle w:val="Subsection"/>
        <w:spacing w:before="120"/>
        <w:rPr>
          <w:snapToGrid w:val="0"/>
        </w:rPr>
      </w:pPr>
      <w:r>
        <w:rPr>
          <w:snapToGrid w:val="0"/>
        </w:rPr>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pPr>
        <w:pStyle w:val="Footnotesection"/>
        <w:spacing w:before="80"/>
        <w:ind w:left="890" w:hanging="890"/>
      </w:pPr>
      <w:r>
        <w:tab/>
        <w:t>[Section 136 amended by No. 58 of 2010 s. 134.]</w:t>
      </w:r>
    </w:p>
    <w:p>
      <w:pPr>
        <w:pStyle w:val="Heading5"/>
        <w:spacing w:before="200"/>
        <w:rPr>
          <w:snapToGrid w:val="0"/>
        </w:rPr>
      </w:pPr>
      <w:bookmarkStart w:id="475" w:name="_Toc404159171"/>
      <w:bookmarkStart w:id="476" w:name="_Toc468701068"/>
      <w:bookmarkStart w:id="477" w:name="_Toc435024560"/>
      <w:r>
        <w:t>136A</w:t>
      </w:r>
      <w:r>
        <w:rPr>
          <w:snapToGrid w:val="0"/>
        </w:rPr>
        <w:t>.</w:t>
      </w:r>
      <w:r>
        <w:rPr>
          <w:snapToGrid w:val="0"/>
        </w:rPr>
        <w:tab/>
        <w:t>Refunds of fees, Commissioner’s powers as to</w:t>
      </w:r>
      <w:bookmarkEnd w:id="475"/>
      <w:bookmarkEnd w:id="476"/>
      <w:bookmarkEnd w:id="477"/>
    </w:p>
    <w:p>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licence or triennial certificate or any sum paid to the </w:t>
      </w:r>
      <w:r>
        <w:t>Commissioner</w:t>
      </w:r>
      <w:r>
        <w:rPr>
          <w:snapToGrid w:val="0"/>
        </w:rPr>
        <w:t xml:space="preserve"> by way of contribution or levy to the Fidelity</w:t>
      </w:r>
      <w:r>
        <w:t xml:space="preserve"> Account</w:t>
      </w:r>
      <w:r>
        <w:rPr>
          <w:snapToGrid w:val="0"/>
        </w:rPr>
        <w:t>.</w:t>
      </w:r>
    </w:p>
    <w:p>
      <w:pPr>
        <w:pStyle w:val="Footnotesection"/>
        <w:spacing w:before="80"/>
        <w:ind w:left="890" w:hanging="890"/>
      </w:pPr>
      <w:r>
        <w:tab/>
        <w:t>[Section 136A inserted by No. 74 of 1980 s. 12; amended by No. 29 of 1982 s. 12; No. 77 of 2006 Sch. 1 cl. 147(2); No. 58 of 2010 s. 134.]</w:t>
      </w:r>
    </w:p>
    <w:p>
      <w:pPr>
        <w:pStyle w:val="Heading5"/>
        <w:spacing w:before="200"/>
      </w:pPr>
      <w:bookmarkStart w:id="478" w:name="_Toc404159172"/>
      <w:bookmarkStart w:id="479" w:name="_Toc468701069"/>
      <w:bookmarkStart w:id="480" w:name="_Toc435024561"/>
      <w:r>
        <w:rPr>
          <w:rStyle w:val="CharSectno"/>
        </w:rPr>
        <w:t>137</w:t>
      </w:r>
      <w:r>
        <w:t>.</w:t>
      </w:r>
      <w:r>
        <w:tab/>
        <w:t>Protection from personal liability</w:t>
      </w:r>
      <w:bookmarkEnd w:id="478"/>
      <w:bookmarkEnd w:id="479"/>
      <w:bookmarkEnd w:id="480"/>
    </w:p>
    <w:p>
      <w:pPr>
        <w:pStyle w:val="Subsection"/>
        <w:spacing w:before="120"/>
      </w:pPr>
      <w:r>
        <w:tab/>
      </w:r>
      <w:r>
        <w:tab/>
        <w:t>A person does not incur any liability in tort for anything that the person does, in good faith, in the performance or purported performance of a function under this Act.</w:t>
      </w:r>
    </w:p>
    <w:p>
      <w:pPr>
        <w:pStyle w:val="Footnotesection"/>
        <w:spacing w:before="80"/>
        <w:ind w:left="890" w:hanging="890"/>
      </w:pPr>
      <w:r>
        <w:tab/>
        <w:t>[Section 137 inserted by No. 58 of 2010 s. 128.]</w:t>
      </w:r>
    </w:p>
    <w:p>
      <w:pPr>
        <w:pStyle w:val="Heading5"/>
      </w:pPr>
      <w:bookmarkStart w:id="481" w:name="_Toc404159173"/>
      <w:bookmarkStart w:id="482" w:name="_Toc468701070"/>
      <w:bookmarkStart w:id="483" w:name="_Toc435024562"/>
      <w:r>
        <w:rPr>
          <w:rStyle w:val="CharSectno"/>
        </w:rPr>
        <w:t>138</w:t>
      </w:r>
      <w:r>
        <w:t>.</w:t>
      </w:r>
      <w:r>
        <w:tab/>
        <w:t>Confidentiality of information officially obtained</w:t>
      </w:r>
      <w:bookmarkEnd w:id="481"/>
      <w:bookmarkEnd w:id="482"/>
      <w:bookmarkEnd w:id="483"/>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138 inserted by No. 58 of 2010 s. 129.]</w:t>
      </w:r>
    </w:p>
    <w:p>
      <w:pPr>
        <w:pStyle w:val="Heading5"/>
        <w:rPr>
          <w:snapToGrid w:val="0"/>
        </w:rPr>
      </w:pPr>
      <w:bookmarkStart w:id="484" w:name="_Toc404159174"/>
      <w:bookmarkStart w:id="485" w:name="_Toc468701071"/>
      <w:bookmarkStart w:id="486" w:name="_Toc435024563"/>
      <w:r>
        <w:rPr>
          <w:rStyle w:val="CharSectno"/>
        </w:rPr>
        <w:t>139</w:t>
      </w:r>
      <w:r>
        <w:rPr>
          <w:snapToGrid w:val="0"/>
        </w:rPr>
        <w:t>.</w:t>
      </w:r>
      <w:r>
        <w:rPr>
          <w:snapToGrid w:val="0"/>
        </w:rPr>
        <w:tab/>
        <w:t>Directors of body corporate, liability of</w:t>
      </w:r>
      <w:bookmarkEnd w:id="484"/>
      <w:bookmarkEnd w:id="485"/>
      <w:bookmarkEnd w:id="486"/>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 No. 58 of 2010 s. 134.]</w:t>
      </w:r>
    </w:p>
    <w:p>
      <w:pPr>
        <w:pStyle w:val="Heading5"/>
        <w:rPr>
          <w:snapToGrid w:val="0"/>
        </w:rPr>
      </w:pPr>
      <w:bookmarkStart w:id="487" w:name="_Toc404159175"/>
      <w:bookmarkStart w:id="488" w:name="_Toc468701072"/>
      <w:bookmarkStart w:id="489" w:name="_Toc435024564"/>
      <w:r>
        <w:rPr>
          <w:rStyle w:val="CharSectno"/>
        </w:rPr>
        <w:t>140</w:t>
      </w:r>
      <w:r>
        <w:rPr>
          <w:snapToGrid w:val="0"/>
        </w:rPr>
        <w:t>.</w:t>
      </w:r>
      <w:r>
        <w:rPr>
          <w:snapToGrid w:val="0"/>
        </w:rPr>
        <w:tab/>
        <w:t>Other rights and remedies not affected by this Act</w:t>
      </w:r>
      <w:bookmarkEnd w:id="487"/>
      <w:bookmarkEnd w:id="488"/>
      <w:bookmarkEnd w:id="489"/>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490" w:name="_Toc404159176"/>
      <w:bookmarkStart w:id="491" w:name="_Toc468701073"/>
      <w:bookmarkStart w:id="492" w:name="_Toc435024565"/>
      <w:r>
        <w:rPr>
          <w:rStyle w:val="CharSectno"/>
        </w:rPr>
        <w:t>141</w:t>
      </w:r>
      <w:r>
        <w:rPr>
          <w:snapToGrid w:val="0"/>
        </w:rPr>
        <w:t>.</w:t>
      </w:r>
      <w:r>
        <w:rPr>
          <w:snapToGrid w:val="0"/>
        </w:rPr>
        <w:tab/>
        <w:t>Rights conferred by Act cannot be waived</w:t>
      </w:r>
      <w:bookmarkEnd w:id="490"/>
      <w:bookmarkEnd w:id="491"/>
      <w:bookmarkEnd w:id="492"/>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493" w:name="_Toc404159177"/>
      <w:bookmarkStart w:id="494" w:name="_Toc468701074"/>
      <w:bookmarkStart w:id="495" w:name="_Toc435024566"/>
      <w:r>
        <w:rPr>
          <w:rStyle w:val="CharSectno"/>
        </w:rPr>
        <w:t>142</w:t>
      </w:r>
      <w:r>
        <w:rPr>
          <w:snapToGrid w:val="0"/>
        </w:rPr>
        <w:t>.</w:t>
      </w:r>
      <w:r>
        <w:rPr>
          <w:snapToGrid w:val="0"/>
        </w:rPr>
        <w:tab/>
        <w:t>General penalty for offences</w:t>
      </w:r>
      <w:bookmarkEnd w:id="493"/>
      <w:bookmarkEnd w:id="494"/>
      <w:bookmarkEnd w:id="495"/>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142 amended by No. 43 of 1994 s. 11.]</w:t>
      </w:r>
    </w:p>
    <w:p>
      <w:pPr>
        <w:pStyle w:val="Heading5"/>
        <w:rPr>
          <w:snapToGrid w:val="0"/>
        </w:rPr>
      </w:pPr>
      <w:bookmarkStart w:id="496" w:name="_Toc404159178"/>
      <w:bookmarkStart w:id="497" w:name="_Toc468701075"/>
      <w:bookmarkStart w:id="498" w:name="_Toc435024567"/>
      <w:r>
        <w:rPr>
          <w:rStyle w:val="CharSectno"/>
        </w:rPr>
        <w:t>143</w:t>
      </w:r>
      <w:r>
        <w:rPr>
          <w:snapToGrid w:val="0"/>
        </w:rPr>
        <w:t>.</w:t>
      </w:r>
      <w:r>
        <w:rPr>
          <w:snapToGrid w:val="0"/>
        </w:rPr>
        <w:tab/>
        <w:t>Proceedings for offences</w:t>
      </w:r>
      <w:bookmarkEnd w:id="496"/>
      <w:bookmarkEnd w:id="497"/>
      <w:bookmarkEnd w:id="498"/>
    </w:p>
    <w:p>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[Section 143 amended by No. 59 of 2004 s. 141; No. 84 of 2004 s. 80; No. 58 of 2010 s. 134.]</w:t>
      </w:r>
    </w:p>
    <w:p>
      <w:pPr>
        <w:pStyle w:val="Heading5"/>
        <w:rPr>
          <w:snapToGrid w:val="0"/>
        </w:rPr>
      </w:pPr>
      <w:bookmarkStart w:id="499" w:name="_Toc404159179"/>
      <w:bookmarkStart w:id="500" w:name="_Toc468701076"/>
      <w:bookmarkStart w:id="501" w:name="_Toc435024568"/>
      <w:r>
        <w:rPr>
          <w:rStyle w:val="CharSectno"/>
        </w:rPr>
        <w:t>144</w:t>
      </w:r>
      <w:r>
        <w:rPr>
          <w:snapToGrid w:val="0"/>
        </w:rPr>
        <w:t>.</w:t>
      </w:r>
      <w:r>
        <w:rPr>
          <w:snapToGrid w:val="0"/>
        </w:rPr>
        <w:tab/>
      </w:r>
      <w:r>
        <w:t>Forms</w:t>
      </w:r>
      <w:bookmarkEnd w:id="499"/>
      <w:bookmarkEnd w:id="500"/>
      <w:bookmarkEnd w:id="501"/>
    </w:p>
    <w:p>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pPr>
        <w:pStyle w:val="Footnotesection"/>
      </w:pPr>
      <w:r>
        <w:tab/>
        <w:t>[Section 144 amended by No. 58 of 2010 s. 134.]</w:t>
      </w:r>
    </w:p>
    <w:p>
      <w:pPr>
        <w:pStyle w:val="Heading5"/>
        <w:rPr>
          <w:snapToGrid w:val="0"/>
        </w:rPr>
      </w:pPr>
      <w:bookmarkStart w:id="502" w:name="_Toc404159180"/>
      <w:bookmarkStart w:id="503" w:name="_Toc468701077"/>
      <w:bookmarkStart w:id="504" w:name="_Toc435024569"/>
      <w:r>
        <w:rPr>
          <w:rStyle w:val="CharSectno"/>
        </w:rPr>
        <w:t>145</w:t>
      </w:r>
      <w:r>
        <w:rPr>
          <w:snapToGrid w:val="0"/>
        </w:rPr>
        <w:t>.</w:t>
      </w:r>
      <w:r>
        <w:rPr>
          <w:snapToGrid w:val="0"/>
        </w:rPr>
        <w:tab/>
        <w:t>Regulations</w:t>
      </w:r>
      <w:bookmarkEnd w:id="502"/>
      <w:bookmarkEnd w:id="503"/>
      <w:bookmarkEnd w:id="504"/>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procedure of the</w:t>
      </w:r>
      <w:r>
        <w:t xml:space="preserve"> Commissioner</w:t>
      </w:r>
      <w:r>
        <w:rPr>
          <w:snapToGrid w:val="0"/>
        </w:rPr>
        <w: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a body or class of bodies for the purposes of the definition of </w:t>
      </w:r>
      <w:r>
        <w:rPr>
          <w:b/>
          <w:i/>
          <w:snapToGrid w:val="0"/>
        </w:rPr>
        <w:t>authorised financial institution</w:t>
      </w:r>
      <w:r>
        <w:rPr>
          <w:snapToGrid w:val="0"/>
        </w:rPr>
        <w:t xml:space="preserve">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 xml:space="preserve">prescribe a body or class of bodies for the purposes of the definition of </w:t>
      </w:r>
      <w:r>
        <w:rPr>
          <w:b/>
          <w:i/>
          <w:snapToGrid w:val="0"/>
        </w:rPr>
        <w:t>lending institution</w:t>
      </w:r>
      <w:r>
        <w:rPr>
          <w:snapToGrid w:val="0"/>
        </w:rPr>
        <w:t xml:space="preserve">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145 amended by No. 29 of 1982 s. 11; No. 77 of 1984 s. 5; No. 65 of 1987 s. 42; No. 18 of 1988 s. 5; No. 43 of 1994 s. 10; No. 56 of 1995 s. 48; No. 59 of 1995 s. 39 and 41; No. 55 of 2004 s. 1018; No. 77 of 2006 Sch. 1 cl. 147(2); No. 58 of 2010 s. 130 and 134.]</w:t>
      </w:r>
    </w:p>
    <w:p>
      <w:pPr>
        <w:pStyle w:val="Heading2"/>
      </w:pPr>
      <w:bookmarkStart w:id="505" w:name="_Toc404159181"/>
      <w:bookmarkStart w:id="506" w:name="_Toc424293207"/>
      <w:bookmarkStart w:id="507" w:name="_Toc435024570"/>
      <w:bookmarkStart w:id="508" w:name="_Toc468701078"/>
      <w:r>
        <w:rPr>
          <w:rStyle w:val="CharPartNo"/>
        </w:rPr>
        <w:t>Part XI</w:t>
      </w:r>
      <w:r>
        <w:t> — </w:t>
      </w:r>
      <w:r>
        <w:rPr>
          <w:rStyle w:val="CharPartText"/>
        </w:rPr>
        <w:t>Savings and transitional</w:t>
      </w:r>
      <w:bookmarkEnd w:id="505"/>
      <w:bookmarkEnd w:id="506"/>
      <w:bookmarkEnd w:id="507"/>
      <w:bookmarkEnd w:id="508"/>
    </w:p>
    <w:p>
      <w:pPr>
        <w:pStyle w:val="Ednotedivision"/>
      </w:pPr>
      <w:r>
        <w:t>[Division 1 (s. 146, 147) deleted by No. 23 of 2014 s. 81.]</w:t>
      </w:r>
    </w:p>
    <w:p>
      <w:pPr>
        <w:pStyle w:val="Ednotedivision"/>
      </w:pPr>
      <w:r>
        <w:t>[Division heading deleted by No. 23 of 2014 s. 82.]</w:t>
      </w:r>
    </w:p>
    <w:p>
      <w:pPr>
        <w:pStyle w:val="Heading5"/>
      </w:pPr>
      <w:bookmarkStart w:id="509" w:name="_Toc404159182"/>
      <w:bookmarkStart w:id="510" w:name="_Toc468701079"/>
      <w:bookmarkStart w:id="511" w:name="_Toc435024571"/>
      <w:r>
        <w:rPr>
          <w:rStyle w:val="CharSectno"/>
        </w:rPr>
        <w:t>148</w:t>
      </w:r>
      <w:r>
        <w:t>.</w:t>
      </w:r>
      <w:r>
        <w:tab/>
        <w:t>Terms used</w:t>
      </w:r>
      <w:bookmarkEnd w:id="509"/>
      <w:bookmarkEnd w:id="510"/>
      <w:bookmarkEnd w:id="511"/>
    </w:p>
    <w:p>
      <w:pPr>
        <w:pStyle w:val="Subsection"/>
      </w:pPr>
      <w:r>
        <w:tab/>
      </w:r>
      <w:r>
        <w:tab/>
        <w:t>In this Division —</w:t>
      </w:r>
    </w:p>
    <w:p>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Defstart"/>
      </w:pPr>
      <w:r>
        <w:tab/>
      </w:r>
      <w:r>
        <w:rPr>
          <w:rStyle w:val="CharDefText"/>
        </w:rPr>
        <w:t>former Board</w:t>
      </w:r>
      <w:r>
        <w:t xml:space="preserve"> means the Real Estate and Business Agents Supervisory Board established by section 6 of the Act immediately prior to the commencement day;</w:t>
      </w:r>
    </w:p>
    <w:p>
      <w:pPr>
        <w:pStyle w:val="Defstart"/>
      </w:pPr>
      <w:r>
        <w:tab/>
      </w:r>
      <w:r>
        <w:rPr>
          <w:rStyle w:val="CharDefText"/>
        </w:rPr>
        <w:t>former Registrar</w:t>
      </w:r>
      <w:r>
        <w:t xml:space="preserve"> means a Registrar appointed under section 12 of the Act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148 inserted by No. 58 of 2010 s. 132.]</w:t>
      </w:r>
    </w:p>
    <w:p>
      <w:pPr>
        <w:pStyle w:val="Heading5"/>
      </w:pPr>
      <w:bookmarkStart w:id="512" w:name="_Toc404159183"/>
      <w:bookmarkStart w:id="513" w:name="_Toc468701080"/>
      <w:bookmarkStart w:id="514" w:name="_Toc435024572"/>
      <w:r>
        <w:rPr>
          <w:rStyle w:val="CharSectno"/>
        </w:rPr>
        <w:t>149</w:t>
      </w:r>
      <w:r>
        <w:t>.</w:t>
      </w:r>
      <w:r>
        <w:tab/>
        <w:t>Former Board abolished</w:t>
      </w:r>
      <w:bookmarkEnd w:id="512"/>
      <w:bookmarkEnd w:id="513"/>
      <w:bookmarkEnd w:id="514"/>
    </w:p>
    <w:p>
      <w:pPr>
        <w:pStyle w:val="Subsection"/>
      </w:pPr>
      <w:r>
        <w:tab/>
      </w:r>
      <w:r>
        <w:tab/>
        <w:t>Subject to sections 156 and 157, at the beginning of the commencement day, the former Board is abolished and its members go out of office.</w:t>
      </w:r>
    </w:p>
    <w:p>
      <w:pPr>
        <w:pStyle w:val="Footnotesection"/>
      </w:pPr>
      <w:r>
        <w:tab/>
        <w:t>[Section 149 inserted by No. 58 of 2010 s. 132.]</w:t>
      </w:r>
    </w:p>
    <w:p>
      <w:pPr>
        <w:pStyle w:val="Heading5"/>
      </w:pPr>
      <w:bookmarkStart w:id="515" w:name="_Toc404159184"/>
      <w:bookmarkStart w:id="516" w:name="_Toc468701081"/>
      <w:bookmarkStart w:id="517" w:name="_Toc435024573"/>
      <w:r>
        <w:rPr>
          <w:rStyle w:val="CharSectno"/>
        </w:rPr>
        <w:t>150</w:t>
      </w:r>
      <w:r>
        <w:t>.</w:t>
      </w:r>
      <w:r>
        <w:tab/>
        <w:t>References to former Board</w:t>
      </w:r>
      <w:bookmarkEnd w:id="515"/>
      <w:bookmarkEnd w:id="516"/>
      <w:bookmarkEnd w:id="517"/>
    </w:p>
    <w:p>
      <w:pPr>
        <w:pStyle w:val="Subsection"/>
      </w:pPr>
      <w:r>
        <w:tab/>
      </w:r>
      <w:r>
        <w:tab/>
        <w:t>If in a written law or other document or instrument there is a reference to the former Board, that reference may, where the context so requires, be read as if it had been amended to be a reference to the Commissioner.</w:t>
      </w:r>
    </w:p>
    <w:p>
      <w:pPr>
        <w:pStyle w:val="Footnotesection"/>
      </w:pPr>
      <w:r>
        <w:tab/>
        <w:t>[Section 150 inserted by No. 58 of 2010 s. 132.]</w:t>
      </w:r>
    </w:p>
    <w:p>
      <w:pPr>
        <w:pStyle w:val="Heading5"/>
      </w:pPr>
      <w:bookmarkStart w:id="518" w:name="_Toc404159185"/>
      <w:bookmarkStart w:id="519" w:name="_Toc468701082"/>
      <w:bookmarkStart w:id="520" w:name="_Toc435024574"/>
      <w:r>
        <w:rPr>
          <w:rStyle w:val="CharSectno"/>
        </w:rPr>
        <w:t>151</w:t>
      </w:r>
      <w:r>
        <w:t>.</w:t>
      </w:r>
      <w:r>
        <w:tab/>
        <w:t>Immunity continues</w:t>
      </w:r>
      <w:bookmarkEnd w:id="518"/>
      <w:bookmarkEnd w:id="519"/>
      <w:bookmarkEnd w:id="520"/>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151 inserted by No. 58 of 2010 s. 132.]</w:t>
      </w:r>
    </w:p>
    <w:p>
      <w:pPr>
        <w:pStyle w:val="Heading5"/>
      </w:pPr>
      <w:bookmarkStart w:id="521" w:name="_Toc404159186"/>
      <w:bookmarkStart w:id="522" w:name="_Toc468701083"/>
      <w:bookmarkStart w:id="523" w:name="_Toc435024575"/>
      <w:r>
        <w:rPr>
          <w:rStyle w:val="CharSectno"/>
        </w:rPr>
        <w:t>152</w:t>
      </w:r>
      <w:r>
        <w:t>.</w:t>
      </w:r>
      <w:r>
        <w:tab/>
        <w:t>Notices by former Board</w:t>
      </w:r>
      <w:bookmarkEnd w:id="521"/>
      <w:bookmarkEnd w:id="522"/>
      <w:bookmarkEnd w:id="523"/>
    </w:p>
    <w:p>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Footnotesection"/>
      </w:pPr>
      <w:r>
        <w:tab/>
        <w:t>[Section 152 inserted by No. 58 of 2010 s. 132.]</w:t>
      </w:r>
    </w:p>
    <w:p>
      <w:pPr>
        <w:pStyle w:val="Heading5"/>
      </w:pPr>
      <w:bookmarkStart w:id="524" w:name="_Toc404159187"/>
      <w:bookmarkStart w:id="525" w:name="_Toc468701084"/>
      <w:bookmarkStart w:id="526" w:name="_Toc435024576"/>
      <w:r>
        <w:rPr>
          <w:rStyle w:val="CharSectno"/>
        </w:rPr>
        <w:t>153</w:t>
      </w:r>
      <w:r>
        <w:t>.</w:t>
      </w:r>
      <w:r>
        <w:tab/>
        <w:t>References to former Registrar</w:t>
      </w:r>
      <w:bookmarkEnd w:id="524"/>
      <w:bookmarkEnd w:id="525"/>
      <w:bookmarkEnd w:id="526"/>
    </w:p>
    <w:p>
      <w:pPr>
        <w:pStyle w:val="Subsection"/>
        <w:spacing w:before="180"/>
      </w:pPr>
      <w:r>
        <w:tab/>
        <w:t>(1)</w:t>
      </w:r>
      <w:r>
        <w:tab/>
        <w:t>If in a written law or other document or instrument there is a reference to the former Registrar, that reference may, where the context so requires, be read as if it had been amended to be a reference to the Commissioner.</w:t>
      </w:r>
    </w:p>
    <w:p>
      <w:pPr>
        <w:pStyle w:val="Subsection"/>
        <w:spacing w:before="180"/>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pPr>
        <w:pStyle w:val="Footnotesection"/>
        <w:spacing w:before="140"/>
        <w:ind w:left="890" w:hanging="890"/>
      </w:pPr>
      <w:r>
        <w:tab/>
        <w:t>[Section 153 inserted by No. 58 of 2010 s. 132.]</w:t>
      </w:r>
    </w:p>
    <w:p>
      <w:pPr>
        <w:pStyle w:val="Heading5"/>
        <w:spacing w:before="280"/>
      </w:pPr>
      <w:bookmarkStart w:id="527" w:name="_Toc404159188"/>
      <w:bookmarkStart w:id="528" w:name="_Toc468701085"/>
      <w:bookmarkStart w:id="529" w:name="_Toc435024577"/>
      <w:r>
        <w:rPr>
          <w:rStyle w:val="CharSectno"/>
        </w:rPr>
        <w:t>154</w:t>
      </w:r>
      <w:r>
        <w:t>.</w:t>
      </w:r>
      <w:r>
        <w:tab/>
        <w:t>Unfinished investigations by former Board</w:t>
      </w:r>
      <w:bookmarkEnd w:id="527"/>
      <w:bookmarkEnd w:id="528"/>
      <w:bookmarkEnd w:id="529"/>
    </w:p>
    <w:p>
      <w:pPr>
        <w:pStyle w:val="Subsection"/>
        <w:spacing w:before="180"/>
      </w:pPr>
      <w:r>
        <w:tab/>
      </w:r>
      <w:r>
        <w:tab/>
        <w:t>Investigations being carried out by the former Board under the Act as it was prior to the commencement day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Footnotesection"/>
        <w:spacing w:before="140"/>
        <w:ind w:left="890" w:hanging="890"/>
      </w:pPr>
      <w:r>
        <w:tab/>
        <w:t>[Section 154 inserted by No. 58 of 2010 s. 132.]</w:t>
      </w:r>
    </w:p>
    <w:p>
      <w:pPr>
        <w:pStyle w:val="Heading5"/>
        <w:spacing w:before="280"/>
      </w:pPr>
      <w:bookmarkStart w:id="530" w:name="_Toc404159189"/>
      <w:bookmarkStart w:id="531" w:name="_Toc468701086"/>
      <w:bookmarkStart w:id="532" w:name="_Toc435024578"/>
      <w:r>
        <w:rPr>
          <w:rStyle w:val="CharSectno"/>
        </w:rPr>
        <w:t>155</w:t>
      </w:r>
      <w:r>
        <w:t>.</w:t>
      </w:r>
      <w:r>
        <w:tab/>
        <w:t>Unfinished proceedings by former Board</w:t>
      </w:r>
      <w:bookmarkEnd w:id="530"/>
      <w:bookmarkEnd w:id="531"/>
      <w:bookmarkEnd w:id="532"/>
    </w:p>
    <w:p>
      <w:pPr>
        <w:pStyle w:val="Subsection"/>
        <w:spacing w:before="180"/>
      </w:pPr>
      <w:r>
        <w:tab/>
        <w:t>(1)</w:t>
      </w:r>
      <w:r>
        <w:tab/>
        <w:t>Proceedings before the former Board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Subsection"/>
        <w:spacing w:before="180"/>
      </w:pPr>
      <w:r>
        <w:tab/>
        <w:t>(2)</w:t>
      </w:r>
      <w:r>
        <w:tab/>
        <w:t>Proceedings before the State Administrative Tribunal or another court commenced by allegation against a licensed real estate or business agent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155 inserted by No. 58 of 2010 s. 132.]</w:t>
      </w:r>
    </w:p>
    <w:p>
      <w:pPr>
        <w:pStyle w:val="Heading5"/>
      </w:pPr>
      <w:bookmarkStart w:id="533" w:name="_Toc404159190"/>
      <w:bookmarkStart w:id="534" w:name="_Toc468701087"/>
      <w:bookmarkStart w:id="535" w:name="_Toc435024579"/>
      <w:r>
        <w:rPr>
          <w:rStyle w:val="CharSectno"/>
        </w:rPr>
        <w:t>156</w:t>
      </w:r>
      <w:r>
        <w:t>.</w:t>
      </w:r>
      <w:r>
        <w:tab/>
        <w:t>Winding</w:t>
      </w:r>
      <w:r>
        <w:noBreakHyphen/>
        <w:t>up former Board</w:t>
      </w:r>
      <w:bookmarkEnd w:id="533"/>
      <w:bookmarkEnd w:id="534"/>
      <w:bookmarkEnd w:id="535"/>
    </w:p>
    <w:p>
      <w:pPr>
        <w:pStyle w:val="Subsection"/>
      </w:pPr>
      <w:r>
        <w:tab/>
      </w:r>
      <w:r>
        <w:tab/>
        <w:t>On and after the commencement day —</w:t>
      </w:r>
    </w:p>
    <w:p>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Indenta"/>
      </w:pPr>
      <w:r>
        <w:tab/>
        <w:t>(c)</w:t>
      </w:r>
      <w:r>
        <w:tab/>
        <w:t>all rights, liabilities and obligations of the former Board that existed immediately before the commencement day devolve on the Commissioner acting on behalf of, and in the name of, the State; and</w:t>
      </w:r>
    </w:p>
    <w:p>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Indenta"/>
        <w:spacing w:before="60"/>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pPr>
        <w:pStyle w:val="Footnotesection"/>
        <w:spacing w:before="100"/>
        <w:ind w:left="890" w:hanging="890"/>
      </w:pPr>
      <w:r>
        <w:tab/>
        <w:t>[Section 156 inserted by No. 58 of 2010 s. 132.]</w:t>
      </w:r>
    </w:p>
    <w:p>
      <w:pPr>
        <w:pStyle w:val="Heading5"/>
      </w:pPr>
      <w:bookmarkStart w:id="536" w:name="_Toc404159191"/>
      <w:bookmarkStart w:id="537" w:name="_Toc468701088"/>
      <w:bookmarkStart w:id="538" w:name="_Toc435024580"/>
      <w:r>
        <w:rPr>
          <w:rStyle w:val="CharSectno"/>
        </w:rPr>
        <w:t>157</w:t>
      </w:r>
      <w:r>
        <w:t>.</w:t>
      </w:r>
      <w:r>
        <w:tab/>
        <w:t>Final report by former Board</w:t>
      </w:r>
      <w:bookmarkEnd w:id="536"/>
      <w:bookmarkEnd w:id="537"/>
      <w:bookmarkEnd w:id="538"/>
    </w:p>
    <w:p>
      <w:pPr>
        <w:pStyle w:val="Subsection"/>
        <w:spacing w:before="140"/>
      </w:pPr>
      <w:r>
        <w:tab/>
        <w:t>(1)</w:t>
      </w:r>
      <w:r>
        <w:tab/>
        <w:t xml:space="preserve">The provisions of the </w:t>
      </w:r>
      <w:r>
        <w:rPr>
          <w:i/>
          <w:iCs/>
        </w:rPr>
        <w:t>Financial Management Act 2006</w:t>
      </w:r>
      <w:r>
        <w:t xml:space="preserve"> Part 5 Division 3 apply to the former Board.</w:t>
      </w:r>
    </w:p>
    <w:p>
      <w:pPr>
        <w:pStyle w:val="Subsection"/>
        <w:spacing w:before="140"/>
      </w:pPr>
      <w:r>
        <w:tab/>
        <w:t>(2)</w:t>
      </w:r>
      <w:r>
        <w:tab/>
        <w:t>The chief executive officer is to include the final report submitted under subsection (1) in the department’s annual report for that financial year.</w:t>
      </w:r>
    </w:p>
    <w:p>
      <w:pPr>
        <w:pStyle w:val="Footnotesection"/>
        <w:spacing w:before="100"/>
        <w:ind w:left="890" w:hanging="890"/>
      </w:pPr>
      <w:r>
        <w:tab/>
        <w:t>[Section 157 inserted by No. 58 of 2010 s. 132.]</w:t>
      </w:r>
    </w:p>
    <w:p>
      <w:pPr>
        <w:pStyle w:val="Heading5"/>
      </w:pPr>
      <w:bookmarkStart w:id="539" w:name="_Toc404159192"/>
      <w:bookmarkStart w:id="540" w:name="_Toc468701089"/>
      <w:bookmarkStart w:id="541" w:name="_Toc435024581"/>
      <w:r>
        <w:rPr>
          <w:rStyle w:val="CharSectno"/>
        </w:rPr>
        <w:t>158</w:t>
      </w:r>
      <w:r>
        <w:t>.</w:t>
      </w:r>
      <w:r>
        <w:tab/>
        <w:t>Staff of former Board</w:t>
      </w:r>
      <w:bookmarkEnd w:id="539"/>
      <w:bookmarkEnd w:id="540"/>
      <w:bookmarkEnd w:id="541"/>
    </w:p>
    <w:p>
      <w:pPr>
        <w:pStyle w:val="Subsection"/>
        <w:spacing w:before="140"/>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Subsection"/>
        <w:spacing w:before="140"/>
      </w:pPr>
      <w:r>
        <w:tab/>
        <w:t>(2)</w:t>
      </w:r>
      <w:r>
        <w:tab/>
        <w:t>A person mentioned in subsection (1) is to be regarded as having been engaged or employed, as is relevant, by the chief executive officer.</w:t>
      </w:r>
    </w:p>
    <w:p>
      <w:pPr>
        <w:pStyle w:val="Subsection"/>
        <w:spacing w:before="140"/>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Footnotesection"/>
        <w:spacing w:before="100"/>
        <w:ind w:left="890" w:hanging="890"/>
      </w:pPr>
      <w:r>
        <w:tab/>
        <w:t>[Section 158 inserted by No. 58 of 2010 s. 132.]</w:t>
      </w:r>
    </w:p>
    <w:p>
      <w:pPr>
        <w:pStyle w:val="Heading5"/>
      </w:pPr>
      <w:bookmarkStart w:id="542" w:name="_Toc404159193"/>
      <w:bookmarkStart w:id="543" w:name="_Toc468701090"/>
      <w:bookmarkStart w:id="544" w:name="_Toc435024582"/>
      <w:r>
        <w:rPr>
          <w:rStyle w:val="CharSectno"/>
        </w:rPr>
        <w:t>159</w:t>
      </w:r>
      <w:r>
        <w:t>.</w:t>
      </w:r>
      <w:r>
        <w:tab/>
        <w:t>Transitional regulations</w:t>
      </w:r>
      <w:bookmarkEnd w:id="542"/>
      <w:bookmarkEnd w:id="543"/>
      <w:bookmarkEnd w:id="544"/>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159 inserted by No. 58 of 2010 s. 132.]</w:t>
      </w:r>
    </w:p>
    <w:p>
      <w:pPr>
        <w:pStyle w:val="Subsection"/>
        <w:rPr>
          <w:snapToGrid w:val="0"/>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545" w:name="_Toc404159194"/>
      <w:bookmarkStart w:id="546" w:name="_Toc424293220"/>
      <w:bookmarkStart w:id="547" w:name="_Toc435024583"/>
      <w:bookmarkStart w:id="548" w:name="_Toc468701091"/>
      <w:r>
        <w:rPr>
          <w:rStyle w:val="CharSchNo"/>
          <w:rFonts w:eastAsia="MS Mincho"/>
        </w:rPr>
        <w:t>Schedule 1</w:t>
      </w:r>
      <w:r>
        <w:t> — </w:t>
      </w:r>
      <w:r>
        <w:rPr>
          <w:rStyle w:val="CharSchText"/>
          <w:rFonts w:eastAsia="MS Mincho"/>
        </w:rPr>
        <w:t>Qualifications for grant of licence and related matters</w:t>
      </w:r>
      <w:bookmarkEnd w:id="545"/>
      <w:bookmarkEnd w:id="546"/>
      <w:bookmarkEnd w:id="547"/>
      <w:bookmarkEnd w:id="548"/>
    </w:p>
    <w:p>
      <w:pPr>
        <w:pStyle w:val="yShoulderClause"/>
      </w:pPr>
      <w:r>
        <w:t>[s. 27]</w:t>
      </w:r>
    </w:p>
    <w:p>
      <w:pPr>
        <w:pStyle w:val="yFootnoteheading"/>
        <w:rPr>
          <w:rFonts w:eastAsia="MS Mincho"/>
        </w:rPr>
      </w:pPr>
      <w:r>
        <w:rPr>
          <w:rFonts w:eastAsia="MS Mincho"/>
        </w:rPr>
        <w:tab/>
        <w:t>[Heading inserted by No. 23 of 2014 s. 83(1).]</w:t>
      </w:r>
    </w:p>
    <w:p>
      <w:pPr>
        <w:pStyle w:val="yEdnotedivision"/>
        <w:rPr>
          <w:rFonts w:eastAsia="MS Mincho"/>
        </w:rPr>
      </w:pPr>
      <w:r>
        <w:rPr>
          <w:rFonts w:eastAsia="MS Mincho"/>
        </w:rPr>
        <w:t>[Division heading deleted by No. 23 of 2014 s. 83(2).]</w:t>
      </w:r>
    </w:p>
    <w:p>
      <w:pPr>
        <w:pStyle w:val="yHeading5"/>
        <w:rPr>
          <w:snapToGrid w:val="0"/>
        </w:rPr>
      </w:pPr>
      <w:bookmarkStart w:id="549" w:name="_Toc404159195"/>
      <w:bookmarkStart w:id="550" w:name="_Toc468701092"/>
      <w:bookmarkStart w:id="551" w:name="_Toc435024584"/>
      <w:r>
        <w:rPr>
          <w:rStyle w:val="CharSClsNo"/>
        </w:rPr>
        <w:t>1</w:t>
      </w:r>
      <w:r>
        <w:rPr>
          <w:snapToGrid w:val="0"/>
        </w:rPr>
        <w:t>.</w:t>
      </w:r>
      <w:r>
        <w:rPr>
          <w:snapToGrid w:val="0"/>
        </w:rPr>
        <w:tab/>
        <w:t>Qualifications</w:t>
      </w:r>
      <w:bookmarkEnd w:id="549"/>
      <w:bookmarkEnd w:id="550"/>
      <w:bookmarkEnd w:id="551"/>
    </w:p>
    <w:p>
      <w:pPr>
        <w:pStyle w:val="ySubsection"/>
        <w:rPr>
          <w:snapToGrid w:val="0"/>
        </w:rPr>
      </w:pPr>
      <w:r>
        <w:rPr>
          <w:snapToGrid w:val="0"/>
        </w:rPr>
        <w:tab/>
      </w:r>
      <w:r>
        <w:rPr>
          <w:snapToGrid w:val="0"/>
        </w:rPr>
        <w:tab/>
        <w:t>A person —</w:t>
      </w:r>
    </w:p>
    <w:p>
      <w:pPr>
        <w:pStyle w:val="yIndenta"/>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 or</w:t>
      </w:r>
    </w:p>
    <w:p>
      <w:pPr>
        <w:pStyle w:val="yIndenta"/>
        <w:rPr>
          <w:snapToGrid w:val="0"/>
        </w:rPr>
      </w:pPr>
      <w:r>
        <w:rPr>
          <w:snapToGrid w:val="0"/>
        </w:rPr>
        <w:tab/>
        <w:t>(b)</w:t>
      </w:r>
      <w:r>
        <w:rPr>
          <w:snapToGrid w:val="0"/>
        </w:rPr>
        <w:tab/>
        <w:t>who has within a period of 5 years immediately preceding his application —</w:t>
      </w:r>
    </w:p>
    <w:p>
      <w:pPr>
        <w:pStyle w:val="yIndenti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rPr>
          <w:snapToGrid w:val="0"/>
        </w:rPr>
      </w:pPr>
      <w:r>
        <w:rPr>
          <w:snapToGrid w:val="0"/>
        </w:rPr>
        <w:tab/>
        <w:t>(ii)</w:t>
      </w:r>
      <w:r>
        <w:rPr>
          <w:snapToGrid w:val="0"/>
        </w:rPr>
        <w:tab/>
        <w:t>in that State or Territory for a period of at least 2 years acted as and carried out the functions of an agent,</w:t>
      </w:r>
    </w:p>
    <w:p>
      <w:pPr>
        <w:pStyle w:val="yIndenta"/>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 or</w:t>
      </w:r>
    </w:p>
    <w:p>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keepNext/>
        <w:keepLines/>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[Clause 1 amended by No. 74 of 1980 s. 13(a); No. 28 of 2003 s. 177(1); No. 19 of 2010 s. 51.]</w:t>
      </w:r>
    </w:p>
    <w:p>
      <w:pPr>
        <w:pStyle w:val="yHeading5"/>
        <w:rPr>
          <w:snapToGrid w:val="0"/>
        </w:rPr>
      </w:pPr>
      <w:bookmarkStart w:id="552" w:name="_Toc404159196"/>
      <w:bookmarkStart w:id="553" w:name="_Toc468701093"/>
      <w:bookmarkStart w:id="554" w:name="_Toc435024585"/>
      <w:r>
        <w:rPr>
          <w:rStyle w:val="CharSClsNo"/>
        </w:rPr>
        <w:t>2</w:t>
      </w:r>
      <w:r>
        <w:rPr>
          <w:snapToGrid w:val="0"/>
        </w:rPr>
        <w:t>.</w:t>
      </w:r>
      <w:r>
        <w:rPr>
          <w:snapToGrid w:val="0"/>
        </w:rPr>
        <w:tab/>
        <w:t>Sufficient practical experience defined</w:t>
      </w:r>
      <w:bookmarkEnd w:id="552"/>
      <w:bookmarkEnd w:id="553"/>
      <w:bookmarkEnd w:id="554"/>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by No. 19 of 2010 s. 51.]</w:t>
      </w:r>
    </w:p>
    <w:p>
      <w:pPr>
        <w:pStyle w:val="yHeading5"/>
        <w:rPr>
          <w:snapToGrid w:val="0"/>
        </w:rPr>
      </w:pPr>
      <w:bookmarkStart w:id="555" w:name="_Toc404159197"/>
      <w:bookmarkStart w:id="556" w:name="_Toc468701094"/>
      <w:bookmarkStart w:id="557" w:name="_Toc435024586"/>
      <w:r>
        <w:rPr>
          <w:rStyle w:val="CharSClsNo"/>
        </w:rPr>
        <w:t>3</w:t>
      </w:r>
      <w:r>
        <w:rPr>
          <w:snapToGrid w:val="0"/>
        </w:rPr>
        <w:t>.</w:t>
      </w:r>
      <w:r>
        <w:rPr>
          <w:snapToGrid w:val="0"/>
        </w:rPr>
        <w:tab/>
        <w:t>Licence by reason of qualification under cl. 1(c)</w:t>
      </w:r>
      <w:bookmarkEnd w:id="555"/>
      <w:bookmarkEnd w:id="556"/>
      <w:bookmarkEnd w:id="557"/>
    </w:p>
    <w:p>
      <w:pPr>
        <w:pStyle w:val="ySubsection"/>
        <w:rPr>
          <w:snapToGrid w:val="0"/>
        </w:rPr>
      </w:pPr>
      <w:r>
        <w:rPr>
          <w:snapToGrid w:val="0"/>
        </w:rPr>
        <w:tab/>
      </w:r>
      <w:r>
        <w:rPr>
          <w:snapToGrid w:val="0"/>
        </w:rPr>
        <w:tab/>
      </w:r>
      <w:r>
        <w:rPr>
          <w:szCs w:val="22"/>
        </w:rPr>
        <w:t>A licence granted to a person who is qualified under clause 1(c)</w:t>
      </w:r>
      <w:r>
        <w:rPr>
          <w:snapToGrid w:val="0"/>
        </w:rPr>
        <w:t xml:space="preserv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by No. 19 of 2010 s. 51; No. 23 of 2014 s. 83(3).]</w:t>
      </w:r>
    </w:p>
    <w:p>
      <w:pPr>
        <w:pStyle w:val="yHeading5"/>
        <w:rPr>
          <w:snapToGrid w:val="0"/>
        </w:rPr>
      </w:pPr>
      <w:bookmarkStart w:id="558" w:name="_Toc404159198"/>
      <w:bookmarkStart w:id="559" w:name="_Toc468701095"/>
      <w:bookmarkStart w:id="560" w:name="_Toc435024587"/>
      <w:r>
        <w:rPr>
          <w:rStyle w:val="CharSClsNo"/>
        </w:rPr>
        <w:t>4</w:t>
      </w:r>
      <w:r>
        <w:rPr>
          <w:snapToGrid w:val="0"/>
        </w:rPr>
        <w:t>.</w:t>
      </w:r>
      <w:r>
        <w:rPr>
          <w:snapToGrid w:val="0"/>
        </w:rPr>
        <w:tab/>
        <w:t>Licence by reason of qualification under cl. 1(d)</w:t>
      </w:r>
      <w:bookmarkEnd w:id="558"/>
      <w:bookmarkEnd w:id="559"/>
      <w:bookmarkEnd w:id="560"/>
    </w:p>
    <w:p>
      <w:pPr>
        <w:pStyle w:val="ySubsection"/>
        <w:rPr>
          <w:snapToGrid w:val="0"/>
        </w:rPr>
      </w:pPr>
      <w:r>
        <w:rPr>
          <w:snapToGrid w:val="0"/>
        </w:rPr>
        <w:tab/>
      </w:r>
      <w:r>
        <w:rPr>
          <w:snapToGrid w:val="0"/>
        </w:rPr>
        <w:tab/>
      </w:r>
      <w:r>
        <w:rPr>
          <w:szCs w:val="22"/>
        </w:rPr>
        <w:t xml:space="preserve">A licence applied for by a person who is qualified under clause 1(d)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pPr>
        <w:pStyle w:val="yFootnotesection"/>
      </w:pPr>
      <w:r>
        <w:tab/>
        <w:t>[Clause 4 amended by No. 28 of 2003 s. 177(2); No. 19 of 2010 s. 51; No. 58 of 2010 s. 134; No. 23 of 2014 s. 83(4).]</w:t>
      </w:r>
    </w:p>
    <w:p>
      <w:pPr>
        <w:pStyle w:val="yHeading5"/>
        <w:rPr>
          <w:snapToGrid w:val="0"/>
        </w:rPr>
      </w:pPr>
      <w:bookmarkStart w:id="561" w:name="_Toc404159199"/>
      <w:bookmarkStart w:id="562" w:name="_Toc468701096"/>
      <w:bookmarkStart w:id="563" w:name="_Toc435024588"/>
      <w:r>
        <w:rPr>
          <w:rStyle w:val="CharSClsNo"/>
        </w:rPr>
        <w:t>5</w:t>
      </w:r>
      <w:r>
        <w:rPr>
          <w:snapToGrid w:val="0"/>
        </w:rPr>
        <w:t>.</w:t>
      </w:r>
      <w:r>
        <w:rPr>
          <w:snapToGrid w:val="0"/>
        </w:rPr>
        <w:tab/>
        <w:t>Dead or incapacitated licensee, conduct of business of</w:t>
      </w:r>
      <w:bookmarkEnd w:id="561"/>
      <w:bookmarkEnd w:id="562"/>
      <w:bookmarkEnd w:id="563"/>
    </w:p>
    <w:p>
      <w:pPr>
        <w:pStyle w:val="ySubsection"/>
        <w:rPr>
          <w:snapToGrid w:val="0"/>
        </w:rPr>
      </w:pPr>
      <w:r>
        <w:rPr>
          <w:snapToGrid w:val="0"/>
        </w:rPr>
        <w:tab/>
        <w:t>(1)</w:t>
      </w:r>
      <w:r>
        <w:rPr>
          <w:snapToGrid w:val="0"/>
        </w:rPr>
        <w:tab/>
        <w:t>A person who is not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w:t>
      </w:r>
    </w:p>
    <w:p>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[Clause 5 amended by No. 28 of 2003 s. 177(3); No. 19 of 2010 s. 51; No. 58 of 2010 s. 134.]</w:t>
      </w:r>
    </w:p>
    <w:p>
      <w:pPr>
        <w:pStyle w:val="yHeading5"/>
        <w:rPr>
          <w:snapToGrid w:val="0"/>
        </w:rPr>
      </w:pPr>
      <w:bookmarkStart w:id="564" w:name="_Toc404159200"/>
      <w:bookmarkStart w:id="565" w:name="_Toc468701097"/>
      <w:bookmarkStart w:id="566" w:name="_Toc435024589"/>
      <w:r>
        <w:rPr>
          <w:rStyle w:val="CharSClsNo"/>
        </w:rPr>
        <w:t>6</w:t>
      </w:r>
      <w:r>
        <w:rPr>
          <w:snapToGrid w:val="0"/>
        </w:rPr>
        <w:t>.</w:t>
      </w:r>
      <w:r>
        <w:rPr>
          <w:snapToGrid w:val="0"/>
        </w:rPr>
        <w:tab/>
        <w:t>Death or withdrawal of partner in firm or director of body corporate, Commissioner to be notified</w:t>
      </w:r>
      <w:bookmarkEnd w:id="564"/>
      <w:bookmarkEnd w:id="565"/>
      <w:bookmarkEnd w:id="566"/>
    </w:p>
    <w:p>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[Clause 6 amended by No. 74 of 1980 s. 13(c); No. 19 of 2010 s. 51; No. 58 of 2010 s. 134.]</w:t>
      </w:r>
    </w:p>
    <w:p>
      <w:pPr>
        <w:pStyle w:val="yEdnotedivision"/>
        <w:tabs>
          <w:tab w:val="left" w:pos="1418"/>
        </w:tabs>
      </w:pPr>
      <w:r>
        <w:rPr>
          <w:rFonts w:eastAsia="MS Mincho"/>
        </w:rPr>
        <w:t>[Division 2:</w:t>
      </w:r>
      <w:r>
        <w:rPr>
          <w:rFonts w:eastAsia="MS Mincho"/>
        </w:rPr>
        <w:tab/>
        <w:t xml:space="preserve">cl. 7, 9-12 and 15 </w:t>
      </w:r>
      <w:r>
        <w:t>deleted by No. 58 of 2010 s. 133;</w:t>
      </w:r>
      <w:r>
        <w:br/>
      </w:r>
      <w:r>
        <w:rPr>
          <w:rFonts w:eastAsia="MS Mincho"/>
        </w:rPr>
        <w:tab/>
        <w:t xml:space="preserve">balance deleted by No. 23 of 2014 s. 83(5); </w:t>
      </w:r>
      <w:r>
        <w:rPr>
          <w:rFonts w:eastAsia="MS Mincho"/>
        </w:rPr>
        <w:br/>
      </w:r>
      <w:r>
        <w:tab/>
        <w:t xml:space="preserve">Heading deleted by No. 55 of 2004 s. 1019; </w:t>
      </w:r>
      <w:r>
        <w:br/>
      </w:r>
      <w:r>
        <w:tab/>
        <w:t>cl. </w:t>
      </w:r>
      <w:r>
        <w:rPr>
          <w:bCs/>
        </w:rPr>
        <w:t>17</w:t>
      </w:r>
      <w:r>
        <w:rPr>
          <w:bCs/>
        </w:rPr>
        <w:noBreakHyphen/>
        <w:t>24 d</w:t>
      </w:r>
      <w:r>
        <w:t>eleted by No. 55 of 2004 s. 1019.]</w:t>
      </w:r>
    </w:p>
    <w:p>
      <w:pPr>
        <w:pStyle w:val="CentredBaseLine"/>
        <w:spacing w:before="1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outlineLvl w:val="0"/>
      </w:pPr>
      <w:bookmarkStart w:id="568" w:name="_Toc404159201"/>
      <w:bookmarkStart w:id="569" w:name="_Toc424293227"/>
      <w:bookmarkStart w:id="570" w:name="_Toc435024590"/>
      <w:bookmarkStart w:id="571" w:name="_Toc468701098"/>
      <w:r>
        <w:t>Notes</w:t>
      </w:r>
      <w:bookmarkEnd w:id="568"/>
      <w:bookmarkEnd w:id="569"/>
      <w:bookmarkEnd w:id="570"/>
      <w:bookmarkEnd w:id="571"/>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w:t>
      </w:r>
      <w:ins w:id="572" w:author="svcMRProcess" w:date="2018-09-08T07:39:00Z">
        <w:r>
          <w:rPr>
            <w:snapToGrid w:val="0"/>
            <w:vertAlign w:val="superscript"/>
          </w:rPr>
          <w:t> 1a</w:t>
        </w:r>
      </w:ins>
      <w:r>
        <w:rPr>
          <w:snapToGrid w:val="0"/>
        </w:rPr>
        <w:t>.  The table also contains information about any reprint.</w:t>
      </w:r>
    </w:p>
    <w:p>
      <w:pPr>
        <w:pStyle w:val="nHeading3"/>
        <w:rPr>
          <w:snapToGrid w:val="0"/>
        </w:rPr>
      </w:pPr>
      <w:bookmarkStart w:id="573" w:name="_Toc404159202"/>
      <w:bookmarkStart w:id="574" w:name="_Toc468701099"/>
      <w:bookmarkStart w:id="575" w:name="_Toc435024591"/>
      <w:r>
        <w:rPr>
          <w:snapToGrid w:val="0"/>
        </w:rPr>
        <w:t>Compilation table</w:t>
      </w:r>
      <w:bookmarkEnd w:id="573"/>
      <w:bookmarkEnd w:id="574"/>
      <w:bookmarkEnd w:id="575"/>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Real Estate and Business Agents Act 1978</w:t>
            </w:r>
          </w:p>
        </w:tc>
        <w:tc>
          <w:tcPr>
            <w:tcW w:w="1135" w:type="dxa"/>
          </w:tcPr>
          <w:p>
            <w:pPr>
              <w:pStyle w:val="nTable"/>
              <w:spacing w:after="40"/>
            </w:pPr>
            <w:r>
              <w:t>72 of 1978</w:t>
            </w:r>
          </w:p>
        </w:tc>
        <w:tc>
          <w:tcPr>
            <w:tcW w:w="1135" w:type="dxa"/>
          </w:tcPr>
          <w:p>
            <w:pPr>
              <w:pStyle w:val="nTable"/>
              <w:spacing w:after="40"/>
            </w:pPr>
            <w:r>
              <w:t>20 Oct 1978</w:t>
            </w:r>
          </w:p>
        </w:tc>
        <w:tc>
          <w:tcPr>
            <w:tcW w:w="2551" w:type="dxa"/>
          </w:tcPr>
          <w:p>
            <w:pPr>
              <w:pStyle w:val="nTable"/>
              <w:spacing w:after="40"/>
            </w:pPr>
            <w:r>
              <w:t>Act other than s. 5, 54, 55, 57</w:t>
            </w:r>
            <w:r>
              <w:noBreakHyphen/>
              <w:t>100, 102</w:t>
            </w:r>
            <w:r>
              <w:noBreakHyphen/>
              <w:t xml:space="preserve">131 and 135: 1 Sep 1979 (see s. 2(1) and </w:t>
            </w:r>
            <w:r>
              <w:rPr>
                <w:i/>
              </w:rPr>
              <w:t>Gazette</w:t>
            </w:r>
            <w:r>
              <w:t xml:space="preserve"> 31 Aug 1979 p. 2601);</w:t>
            </w:r>
            <w:r>
              <w:br/>
              <w:t xml:space="preserve">s. 5: 1 Dec 1979 (see s. 2(2) and </w:t>
            </w:r>
            <w:r>
              <w:rPr>
                <w:i/>
              </w:rPr>
              <w:t>Gazette</w:t>
            </w:r>
            <w:r>
              <w:t xml:space="preserve"> 31 Aug 1979 p. 2615); </w:t>
            </w:r>
            <w:r>
              <w:br/>
              <w:t>s. 54, 55, 57</w:t>
            </w:r>
            <w:r>
              <w:noBreakHyphen/>
              <w:t>100, 102</w:t>
            </w:r>
            <w:r>
              <w:noBreakHyphen/>
              <w:t xml:space="preserve">131 and 135: 1 Dec 1979 (see s. 2(1) and </w:t>
            </w:r>
            <w:r>
              <w:rPr>
                <w:i/>
              </w:rPr>
              <w:t>Gazette</w:t>
            </w:r>
            <w:r>
              <w:t xml:space="preserve"> 31 Aug 1979 p. 2601)</w:t>
            </w:r>
          </w:p>
        </w:tc>
      </w:tr>
      <w:tr>
        <w:trPr>
          <w:cantSplit/>
        </w:trPr>
        <w:tc>
          <w:tcPr>
            <w:tcW w:w="2268" w:type="dxa"/>
          </w:tcPr>
          <w:p>
            <w:pPr>
              <w:pStyle w:val="nTable"/>
              <w:spacing w:after="40"/>
              <w:ind w:right="113"/>
            </w:pPr>
            <w:r>
              <w:rPr>
                <w:i/>
              </w:rPr>
              <w:t>Real Estate and Business Agents Act Amendment Act 1979</w:t>
            </w:r>
          </w:p>
        </w:tc>
        <w:tc>
          <w:tcPr>
            <w:tcW w:w="1135" w:type="dxa"/>
          </w:tcPr>
          <w:p>
            <w:pPr>
              <w:pStyle w:val="nTable"/>
              <w:spacing w:after="40"/>
            </w:pPr>
            <w:r>
              <w:t>74 of 1979</w:t>
            </w:r>
          </w:p>
        </w:tc>
        <w:tc>
          <w:tcPr>
            <w:tcW w:w="1135" w:type="dxa"/>
          </w:tcPr>
          <w:p>
            <w:pPr>
              <w:pStyle w:val="nTable"/>
              <w:spacing w:after="40"/>
            </w:pPr>
            <w:r>
              <w:t>27 Nov 1979</w:t>
            </w:r>
          </w:p>
        </w:tc>
        <w:tc>
          <w:tcPr>
            <w:tcW w:w="2551" w:type="dxa"/>
          </w:tcPr>
          <w:p>
            <w:pPr>
              <w:pStyle w:val="nTable"/>
              <w:spacing w:after="40"/>
            </w:pPr>
            <w:r>
              <w:t>27 Nov 1979</w:t>
            </w:r>
          </w:p>
        </w:tc>
      </w:tr>
      <w:tr>
        <w:trPr>
          <w:cantSplit/>
        </w:trPr>
        <w:tc>
          <w:tcPr>
            <w:tcW w:w="2268" w:type="dxa"/>
          </w:tcPr>
          <w:p>
            <w:pPr>
              <w:pStyle w:val="nTable"/>
              <w:spacing w:after="40"/>
              <w:ind w:right="113"/>
            </w:pPr>
            <w:r>
              <w:rPr>
                <w:i/>
              </w:rPr>
              <w:t>Real Estate and Business Agents Amendment Act 1980</w:t>
            </w:r>
          </w:p>
        </w:tc>
        <w:tc>
          <w:tcPr>
            <w:tcW w:w="1135" w:type="dxa"/>
          </w:tcPr>
          <w:p>
            <w:pPr>
              <w:pStyle w:val="nTable"/>
              <w:spacing w:after="40"/>
            </w:pPr>
            <w:r>
              <w:t>74 of 1980</w:t>
            </w:r>
          </w:p>
        </w:tc>
        <w:tc>
          <w:tcPr>
            <w:tcW w:w="1135" w:type="dxa"/>
          </w:tcPr>
          <w:p>
            <w:pPr>
              <w:pStyle w:val="nTable"/>
              <w:spacing w:after="40"/>
            </w:pPr>
            <w:r>
              <w:t>5 Dec 1980</w:t>
            </w:r>
          </w:p>
        </w:tc>
        <w:tc>
          <w:tcPr>
            <w:tcW w:w="2551" w:type="dxa"/>
          </w:tcPr>
          <w:p>
            <w:pPr>
              <w:pStyle w:val="nTable"/>
              <w:spacing w:after="40"/>
            </w:pPr>
            <w:r>
              <w:t xml:space="preserve">s. 13: 1 Dec 1980 (see s. 2(2)); </w:t>
            </w:r>
            <w:r>
              <w:br/>
              <w:t>Act other than s. 13: 2 Jan 1981 (see s. 2(1))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approved 23 Feb 1982</w:t>
            </w:r>
            <w:r>
              <w:t xml:space="preserve"> (includes amendments listed above)</w:t>
            </w:r>
          </w:p>
        </w:tc>
      </w:tr>
      <w:tr>
        <w:trPr>
          <w:cantSplit/>
        </w:trPr>
        <w:tc>
          <w:tcPr>
            <w:tcW w:w="2268" w:type="dxa"/>
          </w:tcPr>
          <w:p>
            <w:pPr>
              <w:pStyle w:val="nTable"/>
              <w:spacing w:after="40"/>
              <w:ind w:right="113"/>
            </w:pPr>
            <w:r>
              <w:rPr>
                <w:i/>
              </w:rPr>
              <w:t>Companies (Consequential Amendments) Act 1982</w:t>
            </w:r>
            <w:r>
              <w:t xml:space="preserve"> s. 28</w:t>
            </w:r>
          </w:p>
        </w:tc>
        <w:tc>
          <w:tcPr>
            <w:tcW w:w="1135" w:type="dxa"/>
          </w:tcPr>
          <w:p>
            <w:pPr>
              <w:pStyle w:val="nTable"/>
              <w:spacing w:after="40"/>
            </w:pPr>
            <w:r>
              <w:t>10 of 1982</w:t>
            </w:r>
          </w:p>
        </w:tc>
        <w:tc>
          <w:tcPr>
            <w:tcW w:w="1135"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keepNext/>
              <w:keepLines/>
              <w:spacing w:after="40"/>
              <w:ind w:right="113"/>
            </w:pPr>
            <w:r>
              <w:rPr>
                <w:i/>
              </w:rPr>
              <w:t>Real Estate and Business Agents Amendment Act 1982</w:t>
            </w:r>
          </w:p>
        </w:tc>
        <w:tc>
          <w:tcPr>
            <w:tcW w:w="1135" w:type="dxa"/>
          </w:tcPr>
          <w:p>
            <w:pPr>
              <w:pStyle w:val="nTable"/>
              <w:keepNext/>
              <w:keepLines/>
              <w:spacing w:after="40"/>
            </w:pPr>
            <w:r>
              <w:t>29 of 1982</w:t>
            </w:r>
          </w:p>
        </w:tc>
        <w:tc>
          <w:tcPr>
            <w:tcW w:w="1135" w:type="dxa"/>
          </w:tcPr>
          <w:p>
            <w:pPr>
              <w:pStyle w:val="nTable"/>
              <w:keepNext/>
              <w:keepLines/>
              <w:spacing w:after="40"/>
            </w:pPr>
            <w:r>
              <w:t>27 May 1982</w:t>
            </w:r>
          </w:p>
        </w:tc>
        <w:tc>
          <w:tcPr>
            <w:tcW w:w="2551" w:type="dxa"/>
          </w:tcPr>
          <w:p>
            <w:pPr>
              <w:pStyle w:val="nTable"/>
              <w:keepNext/>
              <w:keepLines/>
              <w:spacing w:after="40"/>
            </w:pPr>
            <w:r>
              <w:t xml:space="preserve">25 Jun 1982 (see s. 2 and </w:t>
            </w:r>
            <w:r>
              <w:rPr>
                <w:i/>
              </w:rPr>
              <w:t>Gazette</w:t>
            </w:r>
            <w:r>
              <w:t xml:space="preserve"> 25 Jun 1982 p. 2091)</w:t>
            </w:r>
          </w:p>
        </w:tc>
      </w:tr>
      <w:tr>
        <w:trPr>
          <w:cantSplit/>
        </w:trPr>
        <w:tc>
          <w:tcPr>
            <w:tcW w:w="2268" w:type="dxa"/>
          </w:tcPr>
          <w:p>
            <w:pPr>
              <w:pStyle w:val="nTable"/>
              <w:spacing w:after="40"/>
              <w:ind w:right="113"/>
            </w:pPr>
            <w:r>
              <w:rPr>
                <w:i/>
              </w:rPr>
              <w:t>Real Estate and Business Agents Amendment Act 1984</w:t>
            </w:r>
          </w:p>
        </w:tc>
        <w:tc>
          <w:tcPr>
            <w:tcW w:w="1135" w:type="dxa"/>
          </w:tcPr>
          <w:p>
            <w:pPr>
              <w:pStyle w:val="nTable"/>
              <w:spacing w:after="40"/>
            </w:pPr>
            <w:r>
              <w:t>77 of 1984</w:t>
            </w:r>
          </w:p>
        </w:tc>
        <w:tc>
          <w:tcPr>
            <w:tcW w:w="1135" w:type="dxa"/>
          </w:tcPr>
          <w:p>
            <w:pPr>
              <w:pStyle w:val="nTable"/>
              <w:spacing w:after="40"/>
            </w:pPr>
            <w:r>
              <w:t>26 Nov 1984</w:t>
            </w:r>
          </w:p>
        </w:tc>
        <w:tc>
          <w:tcPr>
            <w:tcW w:w="2551" w:type="dxa"/>
          </w:tcPr>
          <w:p>
            <w:pPr>
              <w:pStyle w:val="nTable"/>
              <w:spacing w:after="40"/>
            </w:pPr>
            <w:r>
              <w:t>26 Nov 1984 (see s. 2)</w:t>
            </w:r>
          </w:p>
        </w:tc>
      </w:tr>
      <w:tr>
        <w:trPr>
          <w:cantSplit/>
        </w:trPr>
        <w:tc>
          <w:tcPr>
            <w:tcW w:w="2268" w:type="dxa"/>
          </w:tcPr>
          <w:p>
            <w:pPr>
              <w:pStyle w:val="nTable"/>
              <w:spacing w:after="40"/>
              <w:ind w:right="113"/>
            </w:pPr>
            <w:r>
              <w:rPr>
                <w:i/>
              </w:rPr>
              <w:t>Acts Amendment (Strata Titles) Act 1985</w:t>
            </w:r>
            <w:r>
              <w:t xml:space="preserve"> Pt. III</w:t>
            </w:r>
          </w:p>
        </w:tc>
        <w:tc>
          <w:tcPr>
            <w:tcW w:w="1135" w:type="dxa"/>
          </w:tcPr>
          <w:p>
            <w:pPr>
              <w:pStyle w:val="nTable"/>
              <w:spacing w:after="40"/>
            </w:pPr>
            <w:r>
              <w:t>40 of 1985</w:t>
            </w:r>
          </w:p>
        </w:tc>
        <w:tc>
          <w:tcPr>
            <w:tcW w:w="1135" w:type="dxa"/>
          </w:tcPr>
          <w:p>
            <w:pPr>
              <w:pStyle w:val="nTable"/>
              <w:spacing w:after="40"/>
            </w:pPr>
            <w:r>
              <w:t>13 May 1985</w:t>
            </w:r>
          </w:p>
        </w:tc>
        <w:tc>
          <w:tcPr>
            <w:tcW w:w="2551" w:type="dxa"/>
          </w:tcPr>
          <w:p>
            <w:pPr>
              <w:pStyle w:val="nTable"/>
              <w:spacing w:after="40"/>
            </w:pPr>
            <w:r>
              <w:t xml:space="preserve">30 Jun 1985 (see s. 2 and </w:t>
            </w:r>
            <w:r>
              <w:rPr>
                <w:i/>
              </w:rPr>
              <w:t>Gazette</w:t>
            </w:r>
            <w:r>
              <w:t xml:space="preserve"> 21 Jun 1985 p. 2188)</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7 Nov 1985</w:t>
            </w:r>
            <w:r>
              <w:t xml:space="preserve"> (includes amendments listed above)</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5"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State Government Insurance Commission Act 1986</w:t>
            </w:r>
            <w:r>
              <w:t xml:space="preserve"> s. 46(2)</w:t>
            </w:r>
          </w:p>
        </w:tc>
        <w:tc>
          <w:tcPr>
            <w:tcW w:w="1135" w:type="dxa"/>
          </w:tcPr>
          <w:p>
            <w:pPr>
              <w:pStyle w:val="nTable"/>
              <w:spacing w:after="40"/>
            </w:pPr>
            <w:r>
              <w:t>51 of 1986</w:t>
            </w:r>
          </w:p>
        </w:tc>
        <w:tc>
          <w:tcPr>
            <w:tcW w:w="1135" w:type="dxa"/>
          </w:tcPr>
          <w:p>
            <w:pPr>
              <w:pStyle w:val="nTable"/>
              <w:spacing w:after="40"/>
            </w:pPr>
            <w:r>
              <w:t>5 Aug 1986</w:t>
            </w:r>
          </w:p>
        </w:tc>
        <w:tc>
          <w:tcPr>
            <w:tcW w:w="2551" w:type="dxa"/>
          </w:tcPr>
          <w:p>
            <w:pPr>
              <w:pStyle w:val="nTable"/>
              <w:spacing w:after="40"/>
            </w:pPr>
            <w:r>
              <w:t xml:space="preserve">1 Jan 1987 (see s. 2 and </w:t>
            </w:r>
            <w:r>
              <w:rPr>
                <w:i/>
              </w:rPr>
              <w:t>Gazette</w:t>
            </w:r>
            <w:r>
              <w:t xml:space="preserve"> 19 Dec 1986 p. 4859)</w:t>
            </w:r>
          </w:p>
        </w:tc>
      </w:tr>
      <w:tr>
        <w:trPr>
          <w:cantSplit/>
        </w:trPr>
        <w:tc>
          <w:tcPr>
            <w:tcW w:w="2268" w:type="dxa"/>
          </w:tcPr>
          <w:p>
            <w:pPr>
              <w:pStyle w:val="nTable"/>
              <w:spacing w:after="40"/>
              <w:ind w:right="113"/>
            </w:pPr>
            <w:r>
              <w:rPr>
                <w:i/>
              </w:rPr>
              <w:t>Acts Amendment (Legal Practitioners, Costs and Taxation) Act 1987</w:t>
            </w:r>
            <w:r>
              <w:t xml:space="preserve"> Pt. XV</w:t>
            </w:r>
          </w:p>
        </w:tc>
        <w:tc>
          <w:tcPr>
            <w:tcW w:w="1135" w:type="dxa"/>
          </w:tcPr>
          <w:p>
            <w:pPr>
              <w:pStyle w:val="nTable"/>
              <w:spacing w:after="40"/>
            </w:pPr>
            <w:r>
              <w:t>65 of 1987</w:t>
            </w:r>
          </w:p>
        </w:tc>
        <w:tc>
          <w:tcPr>
            <w:tcW w:w="1135"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Residential Tenancies Act 1987</w:t>
            </w:r>
            <w:r>
              <w:t xml:space="preserve"> s. 89</w:t>
            </w:r>
          </w:p>
        </w:tc>
        <w:tc>
          <w:tcPr>
            <w:tcW w:w="1135" w:type="dxa"/>
          </w:tcPr>
          <w:p>
            <w:pPr>
              <w:pStyle w:val="nTable"/>
              <w:spacing w:after="40"/>
            </w:pPr>
            <w:r>
              <w:t>128 of 1987</w:t>
            </w:r>
          </w:p>
        </w:tc>
        <w:tc>
          <w:tcPr>
            <w:tcW w:w="1135" w:type="dxa"/>
          </w:tcPr>
          <w:p>
            <w:pPr>
              <w:pStyle w:val="nTable"/>
              <w:spacing w:after="40"/>
            </w:pPr>
            <w:r>
              <w:t>21 Jan 1988</w:t>
            </w:r>
          </w:p>
        </w:tc>
        <w:tc>
          <w:tcPr>
            <w:tcW w:w="2551" w:type="dxa"/>
          </w:tcPr>
          <w:p>
            <w:pPr>
              <w:pStyle w:val="nTable"/>
              <w:spacing w:after="40"/>
            </w:pPr>
            <w:r>
              <w:t xml:space="preserve">1 Oct 1989 (see s. 2 and </w:t>
            </w:r>
            <w:r>
              <w:rPr>
                <w:i/>
              </w:rPr>
              <w:t>Gazette</w:t>
            </w:r>
            <w:r>
              <w:t xml:space="preserve"> 18 Aug 1989 p. 2748)</w:t>
            </w:r>
          </w:p>
        </w:tc>
      </w:tr>
      <w:tr>
        <w:trPr>
          <w:cantSplit/>
        </w:trPr>
        <w:tc>
          <w:tcPr>
            <w:tcW w:w="2268" w:type="dxa"/>
          </w:tcPr>
          <w:p>
            <w:pPr>
              <w:pStyle w:val="nTable"/>
              <w:spacing w:after="40"/>
              <w:ind w:right="113"/>
            </w:pPr>
            <w:r>
              <w:rPr>
                <w:i/>
              </w:rPr>
              <w:t>Real Estate and Business Agents Amendment Act 1988</w:t>
            </w:r>
          </w:p>
        </w:tc>
        <w:tc>
          <w:tcPr>
            <w:tcW w:w="1135" w:type="dxa"/>
          </w:tcPr>
          <w:p>
            <w:pPr>
              <w:pStyle w:val="nTable"/>
              <w:spacing w:after="40"/>
            </w:pPr>
            <w:r>
              <w:t>18 of 1988</w:t>
            </w:r>
          </w:p>
        </w:tc>
        <w:tc>
          <w:tcPr>
            <w:tcW w:w="1135" w:type="dxa"/>
          </w:tcPr>
          <w:p>
            <w:pPr>
              <w:pStyle w:val="nTable"/>
              <w:spacing w:after="40"/>
            </w:pPr>
            <w:r>
              <w:t>9 Sep 1988</w:t>
            </w:r>
          </w:p>
        </w:tc>
        <w:tc>
          <w:tcPr>
            <w:tcW w:w="2551" w:type="dxa"/>
          </w:tcPr>
          <w:p>
            <w:pPr>
              <w:pStyle w:val="nTable"/>
              <w:spacing w:after="40"/>
            </w:pPr>
            <w:r>
              <w:t>s. 1 and 2: 9 Sep 1988;</w:t>
            </w:r>
            <w:r>
              <w:br/>
              <w:t xml:space="preserve">Act other than s. 1 and 2: 28 Oct 1988 (see s. 2 and </w:t>
            </w:r>
            <w:r>
              <w:rPr>
                <w:i/>
              </w:rPr>
              <w:t>Gazette</w:t>
            </w:r>
            <w:r>
              <w:t xml:space="preserve"> 28 Oct 1988 p. 4327)</w:t>
            </w:r>
          </w:p>
        </w:tc>
      </w:tr>
      <w:tr>
        <w:trPr>
          <w:cantSplit/>
        </w:trPr>
        <w:tc>
          <w:tcPr>
            <w:tcW w:w="2268" w:type="dxa"/>
          </w:tcPr>
          <w:p>
            <w:pPr>
              <w:pStyle w:val="nTable"/>
              <w:spacing w:after="40"/>
              <w:ind w:right="113"/>
            </w:pPr>
            <w:r>
              <w:rPr>
                <w:i/>
              </w:rPr>
              <w:t>R &amp; I Bank Act 1990</w:t>
            </w:r>
            <w:r>
              <w:t xml:space="preserve"> s. 45(1)</w:t>
            </w:r>
          </w:p>
        </w:tc>
        <w:tc>
          <w:tcPr>
            <w:tcW w:w="1135" w:type="dxa"/>
          </w:tcPr>
          <w:p>
            <w:pPr>
              <w:pStyle w:val="nTable"/>
              <w:spacing w:after="40"/>
            </w:pPr>
            <w:r>
              <w:t>73 of 1990</w:t>
            </w:r>
          </w:p>
        </w:tc>
        <w:tc>
          <w:tcPr>
            <w:tcW w:w="1135" w:type="dxa"/>
          </w:tcPr>
          <w:p>
            <w:pPr>
              <w:pStyle w:val="nTable"/>
              <w:spacing w:after="40"/>
            </w:pPr>
            <w:r>
              <w:t>20 Dec 1990</w:t>
            </w:r>
          </w:p>
        </w:tc>
        <w:tc>
          <w:tcPr>
            <w:tcW w:w="2551" w:type="dxa"/>
          </w:tcPr>
          <w:p>
            <w:pPr>
              <w:pStyle w:val="nTable"/>
              <w:spacing w:after="40"/>
            </w:pPr>
            <w:r>
              <w:t xml:space="preserve">1 Jan 1991 (see s. 2(2) and </w:t>
            </w:r>
            <w:r>
              <w:rPr>
                <w:i/>
              </w:rPr>
              <w:t>Gazette</w:t>
            </w:r>
            <w:r>
              <w:t xml:space="preserve"> 28 Dec 1990 p. 6369)</w:t>
            </w:r>
          </w:p>
        </w:tc>
      </w:tr>
      <w:tr>
        <w:trPr>
          <w:cantSplit/>
        </w:trPr>
        <w:tc>
          <w:tcPr>
            <w:tcW w:w="2268" w:type="dxa"/>
          </w:tcPr>
          <w:p>
            <w:pPr>
              <w:pStyle w:val="nTable"/>
              <w:spacing w:after="40"/>
              <w:ind w:right="113"/>
            </w:pPr>
            <w:r>
              <w:rPr>
                <w:i/>
              </w:rPr>
              <w:t>R &amp; I Bank Amendment Act 1994</w:t>
            </w:r>
            <w:r>
              <w:t xml:space="preserve"> s. 13</w:t>
            </w:r>
          </w:p>
        </w:tc>
        <w:tc>
          <w:tcPr>
            <w:tcW w:w="1135" w:type="dxa"/>
          </w:tcPr>
          <w:p>
            <w:pPr>
              <w:pStyle w:val="nTable"/>
              <w:spacing w:after="40"/>
            </w:pPr>
            <w:r>
              <w:t>6 of 1994</w:t>
            </w:r>
          </w:p>
        </w:tc>
        <w:tc>
          <w:tcPr>
            <w:tcW w:w="1135" w:type="dxa"/>
          </w:tcPr>
          <w:p>
            <w:pPr>
              <w:pStyle w:val="nTable"/>
              <w:spacing w:after="40"/>
            </w:pPr>
            <w:r>
              <w:t>11 Apr 1994</w:t>
            </w:r>
          </w:p>
        </w:tc>
        <w:tc>
          <w:tcPr>
            <w:tcW w:w="2551" w:type="dxa"/>
          </w:tcPr>
          <w:p>
            <w:pPr>
              <w:pStyle w:val="nTable"/>
              <w:spacing w:after="40"/>
            </w:pPr>
            <w:r>
              <w:t xml:space="preserve">26 Apr 1994 (see s. 2(2) and </w:t>
            </w:r>
            <w:r>
              <w:rPr>
                <w:i/>
              </w:rPr>
              <w:t>Gazette</w:t>
            </w:r>
            <w:r>
              <w:t xml:space="preserve"> 26 Apr 1994 p. 1743)</w:t>
            </w:r>
          </w:p>
        </w:tc>
      </w:tr>
      <w:tr>
        <w:trPr>
          <w:cantSplit/>
        </w:trPr>
        <w:tc>
          <w:tcPr>
            <w:tcW w:w="2268" w:type="dxa"/>
          </w:tcPr>
          <w:p>
            <w:pPr>
              <w:pStyle w:val="nTable"/>
              <w:spacing w:after="40"/>
              <w:ind w:right="113"/>
            </w:pPr>
            <w:r>
              <w:rPr>
                <w:i/>
              </w:rPr>
              <w:t>Acts Amendment (Public Sector Management) Act 1994</w:t>
            </w:r>
            <w:r>
              <w:t xml:space="preserve"> s. 3(2)</w:t>
            </w:r>
          </w:p>
        </w:tc>
        <w:tc>
          <w:tcPr>
            <w:tcW w:w="1135"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Real Estate and Business Agents Amendment Act 1994</w:t>
            </w:r>
          </w:p>
        </w:tc>
        <w:tc>
          <w:tcPr>
            <w:tcW w:w="1135" w:type="dxa"/>
          </w:tcPr>
          <w:p>
            <w:pPr>
              <w:pStyle w:val="nTable"/>
              <w:spacing w:after="40"/>
            </w:pPr>
            <w:r>
              <w:t>43 of 1994</w:t>
            </w:r>
          </w:p>
        </w:tc>
        <w:tc>
          <w:tcPr>
            <w:tcW w:w="1135" w:type="dxa"/>
          </w:tcPr>
          <w:p>
            <w:pPr>
              <w:pStyle w:val="nTable"/>
              <w:spacing w:after="40"/>
            </w:pPr>
            <w:r>
              <w:t>31 Aug 1994</w:t>
            </w:r>
          </w:p>
        </w:tc>
        <w:tc>
          <w:tcPr>
            <w:tcW w:w="2551" w:type="dxa"/>
          </w:tcPr>
          <w:p>
            <w:pPr>
              <w:pStyle w:val="nTable"/>
              <w:spacing w:after="40"/>
            </w:pPr>
            <w:r>
              <w:t>Act other than s. 7 and 8(b)(i): 31 Aug 1994 (see s. 2(1));</w:t>
            </w:r>
            <w:r>
              <w:br/>
              <w:t xml:space="preserve">s. 7 and 8(b)(i): 6 Oct 1994 (see s. 2(2) and </w:t>
            </w:r>
            <w:r>
              <w:rPr>
                <w:i/>
              </w:rPr>
              <w:t>Gazette</w:t>
            </w:r>
            <w:r>
              <w:t xml:space="preserve"> 30 Sep 1994 p. 4947)</w:t>
            </w:r>
          </w:p>
        </w:tc>
      </w:tr>
      <w:tr>
        <w:trPr>
          <w:cantSplit/>
        </w:trPr>
        <w:tc>
          <w:tcPr>
            <w:tcW w:w="2268"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44(1)</w:t>
            </w:r>
          </w:p>
        </w:tc>
        <w:tc>
          <w:tcPr>
            <w:tcW w:w="1135" w:type="dxa"/>
          </w:tcPr>
          <w:p>
            <w:pPr>
              <w:pStyle w:val="nTable"/>
              <w:spacing w:after="40"/>
            </w:pPr>
            <w:r>
              <w:t>14 of 1995</w:t>
            </w:r>
          </w:p>
        </w:tc>
        <w:tc>
          <w:tcPr>
            <w:tcW w:w="1135" w:type="dxa"/>
          </w:tcPr>
          <w:p>
            <w:pPr>
              <w:pStyle w:val="nTable"/>
              <w:spacing w:after="40"/>
            </w:pPr>
            <w:r>
              <w:t>4 Jul 1995</w:t>
            </w:r>
          </w:p>
        </w:tc>
        <w:tc>
          <w:tcPr>
            <w:tcW w:w="2551" w:type="dxa"/>
          </w:tcPr>
          <w:p>
            <w:pPr>
              <w:pStyle w:val="nTable"/>
              <w:spacing w:after="40"/>
            </w:pPr>
            <w:r>
              <w:t xml:space="preserve">1 Dec 1995 (see s. 2(3) and 9(1) and </w:t>
            </w:r>
            <w:r>
              <w:rPr>
                <w:i/>
              </w:rPr>
              <w:t>Gazette</w:t>
            </w:r>
            <w:r>
              <w:t xml:space="preserve"> 29 Nov 1995 p. 5529)</w:t>
            </w:r>
          </w:p>
        </w:tc>
      </w:tr>
      <w:tr>
        <w:trPr>
          <w:cantSplit/>
        </w:trPr>
        <w:tc>
          <w:tcPr>
            <w:tcW w:w="2268" w:type="dxa"/>
          </w:tcPr>
          <w:p>
            <w:pPr>
              <w:pStyle w:val="nTable"/>
              <w:spacing w:after="40"/>
              <w:ind w:right="113"/>
              <w:rPr>
                <w:rFonts w:ascii="Times" w:hAnsi="Times"/>
                <w:vertAlign w:val="superscript"/>
              </w:rPr>
            </w:pPr>
            <w:r>
              <w:rPr>
                <w:i/>
              </w:rPr>
              <w:t>Business Licensing Amendment Act 1995</w:t>
            </w:r>
            <w:r>
              <w:t xml:space="preserve"> Pt. 8</w:t>
            </w:r>
            <w:r>
              <w:rPr>
                <w:vertAlign w:val="superscript"/>
              </w:rPr>
              <w:t> 7</w:t>
            </w:r>
          </w:p>
        </w:tc>
        <w:tc>
          <w:tcPr>
            <w:tcW w:w="1135" w:type="dxa"/>
          </w:tcPr>
          <w:p>
            <w:pPr>
              <w:pStyle w:val="nTable"/>
              <w:spacing w:after="40"/>
            </w:pPr>
            <w:r>
              <w:t>56 of 1995</w:t>
            </w:r>
          </w:p>
        </w:tc>
        <w:tc>
          <w:tcPr>
            <w:tcW w:w="1135" w:type="dxa"/>
          </w:tcPr>
          <w:p>
            <w:pPr>
              <w:pStyle w:val="nTable"/>
              <w:spacing w:after="40"/>
            </w:pPr>
            <w:r>
              <w:t>20 Dec 1995</w:t>
            </w:r>
          </w:p>
        </w:tc>
        <w:tc>
          <w:tcPr>
            <w:tcW w:w="2551" w:type="dxa"/>
          </w:tcPr>
          <w:p>
            <w:pPr>
              <w:pStyle w:val="nTable"/>
              <w:spacing w:after="40"/>
            </w:pPr>
            <w:r>
              <w:t xml:space="preserve">1 Jul 1996 (see s. 2(2) and </w:t>
            </w:r>
            <w:r>
              <w:rPr>
                <w:i/>
              </w:rPr>
              <w:t>Gazette</w:t>
            </w:r>
            <w:r>
              <w:t xml:space="preserve"> 1 Jul 1996 p. 3179)</w:t>
            </w:r>
          </w:p>
        </w:tc>
      </w:tr>
      <w:tr>
        <w:trPr>
          <w:cantSplit/>
        </w:trPr>
        <w:tc>
          <w:tcPr>
            <w:tcW w:w="2268" w:type="dxa"/>
          </w:tcPr>
          <w:p>
            <w:pPr>
              <w:pStyle w:val="nTable"/>
              <w:spacing w:after="40"/>
              <w:ind w:right="113"/>
            </w:pPr>
            <w:r>
              <w:rPr>
                <w:i/>
              </w:rPr>
              <w:t>Real Estate Legislation Amendment Act 1995</w:t>
            </w:r>
            <w:r>
              <w:t xml:space="preserve"> Pt. 2</w:t>
            </w:r>
            <w:r>
              <w:rPr>
                <w:vertAlign w:val="superscript"/>
              </w:rPr>
              <w:t> 8</w:t>
            </w:r>
          </w:p>
        </w:tc>
        <w:tc>
          <w:tcPr>
            <w:tcW w:w="1135" w:type="dxa"/>
          </w:tcPr>
          <w:p>
            <w:pPr>
              <w:pStyle w:val="nTable"/>
              <w:spacing w:after="40"/>
            </w:pPr>
            <w:r>
              <w:t>59 of 1995</w:t>
            </w:r>
          </w:p>
        </w:tc>
        <w:tc>
          <w:tcPr>
            <w:tcW w:w="1135" w:type="dxa"/>
          </w:tcPr>
          <w:p>
            <w:pPr>
              <w:pStyle w:val="nTable"/>
              <w:spacing w:after="40"/>
            </w:pPr>
            <w:r>
              <w:t>20 Dec 1995</w:t>
            </w:r>
          </w:p>
        </w:tc>
        <w:tc>
          <w:tcPr>
            <w:tcW w:w="2551" w:type="dxa"/>
          </w:tcPr>
          <w:p>
            <w:pPr>
              <w:pStyle w:val="nTable"/>
              <w:spacing w:after="40"/>
            </w:pPr>
            <w:r>
              <w:t>Pt. 2, other than s. 11: 1 Jul 1996 (see s. 2 and </w:t>
            </w:r>
            <w:r>
              <w:rPr>
                <w:i/>
              </w:rPr>
              <w:t>Gazette</w:t>
            </w:r>
            <w:r>
              <w:t xml:space="preserve"> 25 Jun 1996 p. 2902 and 6 Sep 1996 p. 4405);</w:t>
            </w:r>
            <w:r>
              <w:br/>
              <w:t xml:space="preserve">s. 11: 5 Apr 2007 (see s. 2 and </w:t>
            </w:r>
            <w:r>
              <w:rPr>
                <w:i/>
                <w:iCs/>
              </w:rPr>
              <w:t>Gazette</w:t>
            </w:r>
            <w:r>
              <w:t xml:space="preserve"> 30 Mar 2007 p. 1451)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6 Sep 1996</w:t>
            </w:r>
            <w:r>
              <w:t xml:space="preserve"> (includes amendments listed above except those in the </w:t>
            </w:r>
            <w:r>
              <w:rPr>
                <w:i/>
              </w:rPr>
              <w:t>Real Estate Legislation Amendment Act 1995</w:t>
            </w:r>
            <w:r>
              <w:t xml:space="preserve"> s. 11) (correction in </w:t>
            </w:r>
            <w:r>
              <w:rPr>
                <w:i/>
              </w:rPr>
              <w:t>Gazette</w:t>
            </w:r>
            <w:r>
              <w:t xml:space="preserve"> 11 Oct 1996 p. 5396)</w:t>
            </w:r>
          </w:p>
        </w:tc>
      </w:tr>
      <w:tr>
        <w:trPr>
          <w:cantSplit/>
        </w:trPr>
        <w:tc>
          <w:tcPr>
            <w:tcW w:w="2268" w:type="dxa"/>
          </w:tcPr>
          <w:p>
            <w:pPr>
              <w:pStyle w:val="nTable"/>
              <w:spacing w:after="40"/>
              <w:ind w:right="113"/>
              <w:rPr>
                <w:i/>
              </w:rPr>
            </w:pPr>
            <w:r>
              <w:rPr>
                <w:i/>
              </w:rPr>
              <w:t>Real Estate and Business Agents Amendment Act 1998</w:t>
            </w:r>
          </w:p>
        </w:tc>
        <w:tc>
          <w:tcPr>
            <w:tcW w:w="1135" w:type="dxa"/>
          </w:tcPr>
          <w:p>
            <w:pPr>
              <w:pStyle w:val="nTable"/>
              <w:spacing w:after="40"/>
            </w:pPr>
            <w:r>
              <w:t>34 of 1998</w:t>
            </w:r>
          </w:p>
        </w:tc>
        <w:tc>
          <w:tcPr>
            <w:tcW w:w="1135" w:type="dxa"/>
          </w:tcPr>
          <w:p>
            <w:pPr>
              <w:pStyle w:val="nTable"/>
              <w:spacing w:after="40"/>
            </w:pPr>
            <w:r>
              <w:t>6 Jul 1998</w:t>
            </w:r>
          </w:p>
        </w:tc>
        <w:tc>
          <w:tcPr>
            <w:tcW w:w="2551" w:type="dxa"/>
          </w:tcPr>
          <w:p>
            <w:pPr>
              <w:pStyle w:val="nTable"/>
              <w:spacing w:after="40"/>
            </w:pPr>
            <w:r>
              <w:t>s. 1 and 2: 6 Jul 1998;</w:t>
            </w:r>
            <w:r>
              <w:br/>
              <w:t xml:space="preserve">Act other than s. 1 and 2: 1 Nov 1998 (see s. 2 and </w:t>
            </w:r>
            <w:r>
              <w:rPr>
                <w:i/>
              </w:rPr>
              <w:t>Gazette</w:t>
            </w:r>
            <w:r>
              <w:t xml:space="preserve"> 16 Oct 1998 p. 5729)</w:t>
            </w:r>
          </w:p>
        </w:tc>
      </w:tr>
      <w:tr>
        <w:trPr>
          <w:cantSplit/>
        </w:trPr>
        <w:tc>
          <w:tcPr>
            <w:tcW w:w="2268" w:type="dxa"/>
          </w:tcPr>
          <w:p>
            <w:pPr>
              <w:pStyle w:val="nTable"/>
              <w:spacing w:after="40"/>
              <w:ind w:right="113"/>
            </w:pPr>
            <w:r>
              <w:rPr>
                <w:i/>
              </w:rPr>
              <w:t>Acts Amendment and Repeal (Financial Sector Reform) Act 1999</w:t>
            </w:r>
            <w:r>
              <w:t xml:space="preserve"> s. 99</w:t>
            </w:r>
          </w:p>
        </w:tc>
        <w:tc>
          <w:tcPr>
            <w:tcW w:w="1135" w:type="dxa"/>
          </w:tcPr>
          <w:p>
            <w:pPr>
              <w:pStyle w:val="nTable"/>
              <w:spacing w:after="40"/>
            </w:pPr>
            <w:r>
              <w:t>26 of 1999</w:t>
            </w:r>
          </w:p>
        </w:tc>
        <w:tc>
          <w:tcPr>
            <w:tcW w:w="1135"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tcPr>
          <w:p>
            <w:pPr>
              <w:pStyle w:val="nTable"/>
              <w:spacing w:after="40"/>
              <w:ind w:right="113"/>
            </w:pPr>
            <w:r>
              <w:rPr>
                <w:i/>
              </w:rPr>
              <w:t>Real Estate Legislation (Fidelity Guarantee Funds) Amendment Act 2000</w:t>
            </w:r>
            <w:r>
              <w:t xml:space="preserve"> Pt. 2</w:t>
            </w:r>
            <w:r>
              <w:rPr>
                <w:vertAlign w:val="superscript"/>
              </w:rPr>
              <w:t> 9</w:t>
            </w:r>
          </w:p>
        </w:tc>
        <w:tc>
          <w:tcPr>
            <w:tcW w:w="1135" w:type="dxa"/>
          </w:tcPr>
          <w:p>
            <w:pPr>
              <w:pStyle w:val="nTable"/>
              <w:spacing w:after="40"/>
            </w:pPr>
            <w:r>
              <w:t>3 of 2000</w:t>
            </w:r>
          </w:p>
        </w:tc>
        <w:tc>
          <w:tcPr>
            <w:tcW w:w="1135" w:type="dxa"/>
          </w:tcPr>
          <w:p>
            <w:pPr>
              <w:pStyle w:val="nTable"/>
              <w:spacing w:after="40"/>
            </w:pPr>
            <w:r>
              <w:t>12 Apr 2000</w:t>
            </w:r>
          </w:p>
        </w:tc>
        <w:tc>
          <w:tcPr>
            <w:tcW w:w="2551" w:type="dxa"/>
          </w:tcPr>
          <w:p>
            <w:pPr>
              <w:pStyle w:val="nTable"/>
              <w:spacing w:after="40"/>
            </w:pPr>
            <w:r>
              <w:t>12 Apr 2000 (see s. 2)</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9 Mar 2001</w:t>
            </w:r>
            <w:r>
              <w:t xml:space="preserve"> (includes amendments listed above except those in the </w:t>
            </w:r>
            <w:r>
              <w:rPr>
                <w:i/>
              </w:rPr>
              <w:t>Real Estate Legislation Amendment Act 1995</w:t>
            </w:r>
            <w:r>
              <w:t xml:space="preserve"> s. 11)</w:t>
            </w:r>
          </w:p>
        </w:tc>
      </w:tr>
      <w:tr>
        <w:trPr>
          <w:cantSplit/>
        </w:trPr>
        <w:tc>
          <w:tcPr>
            <w:tcW w:w="2268" w:type="dxa"/>
          </w:tcPr>
          <w:p>
            <w:pPr>
              <w:pStyle w:val="nTable"/>
              <w:spacing w:after="40"/>
              <w:ind w:right="113"/>
              <w:rPr>
                <w:i/>
              </w:rPr>
            </w:pPr>
            <w:r>
              <w:rPr>
                <w:i/>
              </w:rPr>
              <w:t>Corporations (Consequential Amendments) Act 2001</w:t>
            </w:r>
            <w:r>
              <w:t xml:space="preserve"> s. 220 and 222</w:t>
            </w:r>
          </w:p>
        </w:tc>
        <w:tc>
          <w:tcPr>
            <w:tcW w:w="1135"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i/>
              </w:rPr>
            </w:pPr>
            <w:r>
              <w:rPr>
                <w:i/>
              </w:rPr>
              <w:t xml:space="preserve">Building Societies Amendment Act 2001 </w:t>
            </w:r>
            <w:r>
              <w:t>s. 50 and 51</w:t>
            </w:r>
          </w:p>
        </w:tc>
        <w:tc>
          <w:tcPr>
            <w:tcW w:w="1135" w:type="dxa"/>
          </w:tcPr>
          <w:p>
            <w:pPr>
              <w:pStyle w:val="nTable"/>
              <w:spacing w:after="40"/>
            </w:pPr>
            <w:r>
              <w:t>12 of 2001</w:t>
            </w:r>
          </w:p>
        </w:tc>
        <w:tc>
          <w:tcPr>
            <w:tcW w:w="1135" w:type="dxa"/>
          </w:tcPr>
          <w:p>
            <w:pPr>
              <w:pStyle w:val="nTable"/>
              <w:spacing w:after="40"/>
            </w:pPr>
            <w:r>
              <w:t>13 Jul 2001</w:t>
            </w:r>
          </w:p>
        </w:tc>
        <w:tc>
          <w:tcPr>
            <w:tcW w:w="2551" w:type="dxa"/>
          </w:tcPr>
          <w:p>
            <w:pPr>
              <w:pStyle w:val="nTable"/>
              <w:spacing w:after="40"/>
            </w:pPr>
            <w:r>
              <w:t>13 Jul 2001 (see s. 2)</w:t>
            </w:r>
          </w:p>
        </w:tc>
      </w:tr>
      <w:tr>
        <w:trPr>
          <w:cantSplit/>
        </w:trPr>
        <w:tc>
          <w:tcPr>
            <w:tcW w:w="2268" w:type="dxa"/>
          </w:tcPr>
          <w:p>
            <w:pPr>
              <w:pStyle w:val="nTable"/>
              <w:spacing w:after="40"/>
              <w:ind w:right="170"/>
              <w:rPr>
                <w:i/>
              </w:rPr>
            </w:pPr>
            <w:r>
              <w:rPr>
                <w:i/>
              </w:rPr>
              <w:t xml:space="preserve">Corporations (Consequential Amendments) Act (No. 3) 2003 </w:t>
            </w:r>
            <w:r>
              <w:t>Pt. 12 </w:t>
            </w:r>
            <w:r>
              <w:rPr>
                <w:vertAlign w:val="superscript"/>
              </w:rPr>
              <w:t>10</w:t>
            </w:r>
          </w:p>
        </w:tc>
        <w:tc>
          <w:tcPr>
            <w:tcW w:w="1135" w:type="dxa"/>
          </w:tcPr>
          <w:p>
            <w:pPr>
              <w:pStyle w:val="nTable"/>
              <w:spacing w:after="40"/>
            </w:pPr>
            <w:r>
              <w:t>21 of 2003</w:t>
            </w:r>
          </w:p>
        </w:tc>
        <w:tc>
          <w:tcPr>
            <w:tcW w:w="1135" w:type="dxa"/>
          </w:tcPr>
          <w:p>
            <w:pPr>
              <w:pStyle w:val="nTable"/>
              <w:spacing w:after="40"/>
            </w:pPr>
            <w:r>
              <w:t>23 Apr 2003</w:t>
            </w:r>
          </w:p>
        </w:tc>
        <w:tc>
          <w:tcPr>
            <w:tcW w:w="2551"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ind w:right="170"/>
            </w:pPr>
            <w:r>
              <w:rPr>
                <w:i/>
              </w:rPr>
              <w:t>Acts Amendment (Equality of Status) Act 2003</w:t>
            </w:r>
            <w:r>
              <w:t xml:space="preserve"> Pt. 51</w:t>
            </w:r>
          </w:p>
        </w:tc>
        <w:tc>
          <w:tcPr>
            <w:tcW w:w="1135"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ind w:right="170"/>
              <w:rPr>
                <w:i/>
              </w:rPr>
            </w:pPr>
            <w:r>
              <w:rPr>
                <w:i/>
              </w:rPr>
              <w:t xml:space="preserve">Sentencing Legislation Amendment and Repeal Act 2003 </w:t>
            </w:r>
            <w:r>
              <w:t>s. 88</w:t>
            </w:r>
          </w:p>
        </w:tc>
        <w:tc>
          <w:tcPr>
            <w:tcW w:w="1135"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pPr>
            <w:r>
              <w:rPr>
                <w:i/>
              </w:rPr>
              <w:t>Acts Amendment and Repeal (Courts and Legal Practice) Act 2003</w:t>
            </w:r>
            <w:r>
              <w:t xml:space="preserve"> s. 59</w:t>
            </w:r>
          </w:p>
        </w:tc>
        <w:tc>
          <w:tcPr>
            <w:tcW w:w="1135"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101</w:t>
            </w:r>
          </w:p>
        </w:tc>
        <w:tc>
          <w:tcPr>
            <w:tcW w:w="1135"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snapToGrid w:val="0"/>
              </w:rPr>
              <w:t>Courts Legislation Amendment and Repeal Act 2004</w:t>
            </w:r>
            <w:r>
              <w:rPr>
                <w:snapToGrid w:val="0"/>
              </w:rPr>
              <w:t xml:space="preserve"> s. 141</w:t>
            </w:r>
          </w:p>
        </w:tc>
        <w:tc>
          <w:tcPr>
            <w:tcW w:w="1135"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vertAlign w:val="superscript"/>
              </w:rPr>
            </w:pPr>
            <w:r>
              <w:rPr>
                <w:i/>
              </w:rPr>
              <w:t xml:space="preserve">State Administrative Tribunal (Conferral of Jurisdiction) Amendment and Repeal Act 2004 </w:t>
            </w:r>
            <w:r>
              <w:t>Pt. 2 Div. 112</w:t>
            </w:r>
            <w:r>
              <w:rPr>
                <w:vertAlign w:val="superscript"/>
              </w:rPr>
              <w:t> 11</w:t>
            </w:r>
          </w:p>
        </w:tc>
        <w:tc>
          <w:tcPr>
            <w:tcW w:w="1135"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8" w:type="dxa"/>
          </w:tcPr>
          <w:p>
            <w:pPr>
              <w:pStyle w:val="nTable"/>
              <w:spacing w:after="40"/>
              <w:ind w:right="170"/>
              <w:rPr>
                <w:i/>
                <w:vertAlign w:val="superscript"/>
              </w:rPr>
            </w:pPr>
            <w:r>
              <w:rPr>
                <w:i/>
                <w:snapToGrid w:val="0"/>
              </w:rPr>
              <w:t>Criminal Procedure and Appeals (Consequential and Other Provisions) Act 2004</w:t>
            </w:r>
            <w:r>
              <w:rPr>
                <w:snapToGrid w:val="0"/>
              </w:rPr>
              <w:t xml:space="preserve"> s. 80 and 82</w:t>
            </w:r>
          </w:p>
        </w:tc>
        <w:tc>
          <w:tcPr>
            <w:tcW w:w="1135" w:type="dxa"/>
          </w:tcPr>
          <w:p>
            <w:pPr>
              <w:pStyle w:val="nTable"/>
              <w:spacing w:after="40"/>
            </w:pPr>
            <w:r>
              <w:rPr>
                <w:snapToGrid w:val="0"/>
              </w:rPr>
              <w:t>84 of 2004</w:t>
            </w:r>
          </w:p>
        </w:tc>
        <w:tc>
          <w:tcPr>
            <w:tcW w:w="1135"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pacing w:val="-2"/>
              </w:rPr>
            </w:pPr>
            <w:r>
              <w:rPr>
                <w:b/>
              </w:rPr>
              <w:t xml:space="preserve">Reprint 5: The </w:t>
            </w:r>
            <w:r>
              <w:rPr>
                <w:b/>
                <w:i/>
              </w:rPr>
              <w:t>Real Estate and Business Agents Act 1978</w:t>
            </w:r>
            <w:r>
              <w:rPr>
                <w:b/>
              </w:rPr>
              <w:t xml:space="preserve"> as at 8 Apr 2005</w:t>
            </w:r>
            <w:r>
              <w:t xml:space="preserve"> (includes amendments listed above except those in the </w:t>
            </w:r>
            <w:r>
              <w:rPr>
                <w:i/>
              </w:rPr>
              <w:t>Real Estate Legislation Amendment Act 1995</w:t>
            </w:r>
            <w:r>
              <w:t xml:space="preserve"> s. 11, </w:t>
            </w:r>
            <w:r>
              <w:rPr>
                <w:i/>
                <w:snapToGrid w:val="0"/>
              </w:rPr>
              <w:t>Courts Legislation Amendment and Repeal Act 2004</w:t>
            </w:r>
            <w:r>
              <w:rPr>
                <w:iCs/>
                <w:snapToGrid w:val="0"/>
              </w:rPr>
              <w:t xml:space="preserve"> and the </w:t>
            </w:r>
            <w:r>
              <w:rPr>
                <w:i/>
                <w:snapToGrid w:val="0"/>
              </w:rPr>
              <w:t>Criminal Procedure and Appeals (Consequential and Other Provisions) Act 2004</w:t>
            </w:r>
            <w:r>
              <w:t>)</w:t>
            </w:r>
          </w:p>
        </w:tc>
      </w:tr>
      <w:tr>
        <w:trPr>
          <w:cantSplit/>
        </w:trPr>
        <w:tc>
          <w:tcPr>
            <w:tcW w:w="2268" w:type="dxa"/>
          </w:tcPr>
          <w:p>
            <w:pPr>
              <w:pStyle w:val="nTable"/>
              <w:spacing w:after="40"/>
              <w:ind w:right="113"/>
              <w:rPr>
                <w:i/>
              </w:rPr>
            </w:pPr>
            <w:r>
              <w:rPr>
                <w:i/>
              </w:rPr>
              <w:t>Housing Societies Repeal Act 2005</w:t>
            </w:r>
            <w:r>
              <w:t xml:space="preserve"> s. 29</w:t>
            </w:r>
          </w:p>
        </w:tc>
        <w:tc>
          <w:tcPr>
            <w:tcW w:w="1135" w:type="dxa"/>
          </w:tcPr>
          <w:p>
            <w:pPr>
              <w:pStyle w:val="nTable"/>
              <w:spacing w:after="40"/>
            </w:pPr>
            <w:r>
              <w:t>17 of 2005</w:t>
            </w:r>
          </w:p>
        </w:tc>
        <w:tc>
          <w:tcPr>
            <w:tcW w:w="1135" w:type="dxa"/>
          </w:tcPr>
          <w:p>
            <w:pPr>
              <w:pStyle w:val="nTable"/>
              <w:spacing w:after="40"/>
            </w:pPr>
            <w:r>
              <w:t>5 Oct 2005</w:t>
            </w:r>
          </w:p>
        </w:tc>
        <w:tc>
          <w:tcPr>
            <w:tcW w:w="2551" w:type="dxa"/>
          </w:tcPr>
          <w:p>
            <w:pPr>
              <w:pStyle w:val="nTable"/>
              <w:spacing w:after="40"/>
            </w:pPr>
            <w:r>
              <w:t xml:space="preserve">10 Jul 2010 (see s. 2(3) and </w:t>
            </w:r>
            <w:r>
              <w:rPr>
                <w:i/>
                <w:iCs/>
              </w:rPr>
              <w:t>Gazette</w:t>
            </w:r>
            <w:r>
              <w:t xml:space="preserve"> 9 Jul 2010 p. 3239)</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s. 63</w:t>
            </w:r>
          </w:p>
        </w:tc>
        <w:tc>
          <w:tcPr>
            <w:tcW w:w="1135" w:type="dxa"/>
          </w:tcPr>
          <w:p>
            <w:pPr>
              <w:pStyle w:val="nTable"/>
              <w:spacing w:after="40"/>
            </w:pPr>
            <w:r>
              <w:t>24 of 2005</w:t>
            </w:r>
          </w:p>
        </w:tc>
        <w:tc>
          <w:tcPr>
            <w:tcW w:w="1135"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 xml:space="preserve">Machinery of Government (Miscellaneous Amendments) Act 2006 </w:t>
            </w:r>
            <w:r>
              <w:t>Pt. 4 Div. 19</w:t>
            </w:r>
          </w:p>
        </w:tc>
        <w:tc>
          <w:tcPr>
            <w:tcW w:w="1135" w:type="dxa"/>
          </w:tcPr>
          <w:p>
            <w:pPr>
              <w:pStyle w:val="nTable"/>
              <w:spacing w:after="40"/>
            </w:pPr>
            <w: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right="113"/>
              <w:rPr>
                <w:i/>
              </w:rPr>
            </w:pPr>
            <w:r>
              <w:rPr>
                <w:i/>
                <w:snapToGrid w:val="0"/>
              </w:rPr>
              <w:t xml:space="preserve">Consumer Protection Legislation Amendment and Repeal Act 2006 </w:t>
            </w:r>
            <w:r>
              <w:rPr>
                <w:snapToGrid w:val="0"/>
              </w:rPr>
              <w:t>Pt. 8</w:t>
            </w:r>
          </w:p>
        </w:tc>
        <w:tc>
          <w:tcPr>
            <w:tcW w:w="1135" w:type="dxa"/>
          </w:tcPr>
          <w:p>
            <w:pPr>
              <w:pStyle w:val="nTable"/>
              <w:spacing w:after="40"/>
            </w:pPr>
            <w:r>
              <w:t>69 of 2006</w:t>
            </w:r>
          </w:p>
        </w:tc>
        <w:tc>
          <w:tcPr>
            <w:tcW w:w="1135" w:type="dxa"/>
          </w:tcPr>
          <w:p>
            <w:pPr>
              <w:pStyle w:val="nTable"/>
              <w:spacing w:after="40"/>
            </w:pPr>
            <w:r>
              <w:rPr>
                <w:snapToGrid w:val="0"/>
              </w:rPr>
              <w:t>13 Dec 2006</w:t>
            </w:r>
          </w:p>
        </w:tc>
        <w:tc>
          <w:tcPr>
            <w:tcW w:w="2551" w:type="dxa"/>
          </w:tcPr>
          <w:p>
            <w:pPr>
              <w:pStyle w:val="nTable"/>
              <w:spacing w:after="40"/>
            </w:pPr>
            <w:r>
              <w:rPr>
                <w:snapToGrid w:val="0"/>
              </w:rPr>
              <w:t xml:space="preserve">25 Jul 2007 (see s. 2 and </w:t>
            </w:r>
            <w:r>
              <w:rPr>
                <w:i/>
                <w:iCs/>
                <w:snapToGrid w:val="0"/>
              </w:rPr>
              <w:t>Gazette</w:t>
            </w:r>
            <w:r>
              <w:rPr>
                <w:snapToGrid w:val="0"/>
              </w:rPr>
              <w:t xml:space="preserve"> 24 Jul 2007 p. 3657)</w:t>
            </w:r>
          </w:p>
        </w:tc>
      </w:tr>
      <w:tr>
        <w:trPr>
          <w:cantSplit/>
        </w:trPr>
        <w:tc>
          <w:tcPr>
            <w:tcW w:w="2268" w:type="dxa"/>
          </w:tcPr>
          <w:p>
            <w:pPr>
              <w:pStyle w:val="nTable"/>
              <w:spacing w:after="40"/>
              <w:ind w:right="113"/>
              <w:rPr>
                <w:i/>
              </w:rPr>
            </w:pPr>
            <w:r>
              <w:rPr>
                <w:i/>
                <w:snapToGrid w:val="0"/>
              </w:rPr>
              <w:t>Financial Legislation Amendment and Repeal Act 2006</w:t>
            </w:r>
            <w:r>
              <w:rPr>
                <w:snapToGrid w:val="0"/>
              </w:rPr>
              <w:t xml:space="preserve"> Sch. 1 cl. 147</w:t>
            </w:r>
          </w:p>
        </w:tc>
        <w:tc>
          <w:tcPr>
            <w:tcW w:w="1135" w:type="dxa"/>
          </w:tcPr>
          <w:p>
            <w:pPr>
              <w:pStyle w:val="nTable"/>
              <w:spacing w:after="40"/>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6: The </w:t>
            </w:r>
            <w:r>
              <w:rPr>
                <w:b/>
                <w:i/>
              </w:rPr>
              <w:t>Real Estate and Business Agents Act 1978</w:t>
            </w:r>
            <w:r>
              <w:rPr>
                <w:b/>
              </w:rPr>
              <w:t xml:space="preserve"> as at 24 Aug 2007</w:t>
            </w:r>
            <w:r>
              <w:t xml:space="preserve"> (includes amendments listed above </w:t>
            </w:r>
            <w:r>
              <w:rPr>
                <w:snapToGrid w:val="0"/>
              </w:rPr>
              <w:t xml:space="preserve">except those in the </w:t>
            </w:r>
            <w:r>
              <w:rPr>
                <w:i/>
                <w:iCs/>
              </w:rPr>
              <w:t>Housing Societies Repeal Act 2005</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32</w:t>
            </w:r>
          </w:p>
        </w:tc>
        <w:tc>
          <w:tcPr>
            <w:tcW w:w="1135" w:type="dxa"/>
          </w:tcPr>
          <w:p>
            <w:pPr>
              <w:pStyle w:val="nTable"/>
              <w:spacing w:after="40"/>
            </w:pPr>
            <w:r>
              <w:t>12 of 2008</w:t>
            </w:r>
          </w:p>
        </w:tc>
        <w:tc>
          <w:tcPr>
            <w:tcW w:w="1135"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snapToGrid w:val="0"/>
              </w:rPr>
              <w:t xml:space="preserve"> s. 696</w:t>
            </w:r>
          </w:p>
        </w:tc>
        <w:tc>
          <w:tcPr>
            <w:tcW w:w="1135"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74</w:t>
            </w:r>
          </w:p>
        </w:tc>
        <w:tc>
          <w:tcPr>
            <w:tcW w:w="1135"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28 and 51</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iCs/>
                <w:snapToGrid w:val="0"/>
              </w:rPr>
              <w:t>Acts Amendment (Fair Trading) Act 2010</w:t>
            </w:r>
            <w:r>
              <w:rPr>
                <w:iCs/>
                <w:snapToGrid w:val="0"/>
              </w:rPr>
              <w:t xml:space="preserve"> Pt. 6</w:t>
            </w:r>
          </w:p>
        </w:tc>
        <w:tc>
          <w:tcPr>
            <w:tcW w:w="1135" w:type="dxa"/>
            <w:shd w:val="clear" w:color="auto" w:fill="auto"/>
          </w:tcPr>
          <w:p>
            <w:pPr>
              <w:pStyle w:val="nTable"/>
              <w:spacing w:after="40"/>
              <w:rPr>
                <w:snapToGrid w:val="0"/>
              </w:rPr>
            </w:pPr>
            <w:r>
              <w:rPr>
                <w:snapToGrid w:val="0"/>
              </w:rPr>
              <w:t>58 of 2010</w:t>
            </w:r>
          </w:p>
        </w:tc>
        <w:tc>
          <w:tcPr>
            <w:tcW w:w="1135" w:type="dxa"/>
            <w:shd w:val="clear" w:color="auto" w:fill="auto"/>
          </w:tcPr>
          <w:p>
            <w:pPr>
              <w:pStyle w:val="nTable"/>
              <w:spacing w:after="40"/>
              <w:rPr>
                <w:snapToGrid w:val="0"/>
              </w:rPr>
            </w:pPr>
            <w:r>
              <w:rPr>
                <w:snapToGrid w:val="0"/>
              </w:rPr>
              <w:t>8 Dec 2010</w:t>
            </w:r>
          </w:p>
        </w:tc>
        <w:tc>
          <w:tcPr>
            <w:tcW w:w="2551" w:type="dxa"/>
            <w:shd w:val="clear" w:color="auto" w:fill="auto"/>
          </w:tcPr>
          <w:p>
            <w:pPr>
              <w:pStyle w:val="nTable"/>
              <w:spacing w:after="40"/>
              <w:rPr>
                <w:snapToGrid w:val="0"/>
              </w:rPr>
            </w:pPr>
            <w:r>
              <w:rPr>
                <w:snapToGrid w:val="0"/>
              </w:rPr>
              <w:t xml:space="preserve">1 Jul 2011 (see s. 2(c) and </w:t>
            </w:r>
            <w:r>
              <w:rPr>
                <w:i/>
                <w:snapToGrid w:val="0"/>
              </w:rPr>
              <w:t xml:space="preserve">Gazette </w:t>
            </w:r>
            <w:r>
              <w:rPr>
                <w:snapToGrid w:val="0"/>
              </w:rPr>
              <w:t>7 Jun 2011 p. 2057)</w:t>
            </w:r>
          </w:p>
        </w:tc>
      </w:tr>
      <w:tr>
        <w:trPr>
          <w:cantSplit/>
        </w:trPr>
        <w:tc>
          <w:tcPr>
            <w:tcW w:w="2268" w:type="dxa"/>
            <w:shd w:val="clear" w:color="auto" w:fill="auto"/>
          </w:tcPr>
          <w:p>
            <w:pPr>
              <w:pStyle w:val="nTable"/>
              <w:spacing w:after="40"/>
              <w:ind w:right="113"/>
              <w:rPr>
                <w:i/>
                <w:iCs/>
                <w:snapToGrid w:val="0"/>
              </w:rPr>
            </w:pPr>
            <w:r>
              <w:rPr>
                <w:i/>
                <w:iCs/>
                <w:snapToGrid w:val="0"/>
              </w:rPr>
              <w:t>Statutes (Repeals and Minor Amendments) Act 2011</w:t>
            </w:r>
            <w:r>
              <w:t xml:space="preserve"> s. 25</w:t>
            </w:r>
          </w:p>
        </w:tc>
        <w:tc>
          <w:tcPr>
            <w:tcW w:w="1135" w:type="dxa"/>
            <w:shd w:val="clear" w:color="auto" w:fill="auto"/>
          </w:tcPr>
          <w:p>
            <w:pPr>
              <w:pStyle w:val="nTable"/>
              <w:spacing w:after="40"/>
              <w:rPr>
                <w:snapToGrid w:val="0"/>
              </w:rPr>
            </w:pPr>
            <w:r>
              <w:rPr>
                <w:snapToGrid w:val="0"/>
              </w:rPr>
              <w:t>47 of 2011</w:t>
            </w:r>
          </w:p>
        </w:tc>
        <w:tc>
          <w:tcPr>
            <w:tcW w:w="1135" w:type="dxa"/>
            <w:shd w:val="clear" w:color="auto" w:fill="auto"/>
          </w:tcPr>
          <w:p>
            <w:pPr>
              <w:pStyle w:val="nTable"/>
              <w:spacing w:after="40"/>
              <w:rPr>
                <w:snapToGrid w:val="0"/>
              </w:rPr>
            </w:pPr>
            <w:r>
              <w:rPr>
                <w:snapToGrid w:val="0"/>
              </w:rPr>
              <w:t>25 Oct 2011</w:t>
            </w:r>
          </w:p>
        </w:tc>
        <w:tc>
          <w:tcPr>
            <w:tcW w:w="2551" w:type="dxa"/>
            <w:shd w:val="clear" w:color="auto" w:fill="auto"/>
          </w:tcPr>
          <w:p>
            <w:pPr>
              <w:pStyle w:val="nTable"/>
              <w:spacing w:after="40"/>
              <w:rPr>
                <w:snapToGrid w:val="0"/>
              </w:rPr>
            </w:pPr>
            <w:r>
              <w:rPr>
                <w:snapToGrid w:val="0"/>
              </w:rPr>
              <w:t>26 Oct 2011 (see s. 2(b))</w:t>
            </w:r>
          </w:p>
        </w:tc>
      </w:tr>
      <w:tr>
        <w:trPr>
          <w:cantSplit/>
        </w:trPr>
        <w:tc>
          <w:tcPr>
            <w:tcW w:w="7089" w:type="dxa"/>
            <w:gridSpan w:val="4"/>
            <w:shd w:val="clear" w:color="auto" w:fill="auto"/>
          </w:tcPr>
          <w:p>
            <w:pPr>
              <w:pStyle w:val="nTable"/>
              <w:spacing w:after="40"/>
              <w:rPr>
                <w:snapToGrid w:val="0"/>
              </w:rPr>
            </w:pPr>
            <w:r>
              <w:rPr>
                <w:b/>
              </w:rPr>
              <w:t xml:space="preserve">Reprint 7: The </w:t>
            </w:r>
            <w:r>
              <w:rPr>
                <w:b/>
                <w:i/>
              </w:rPr>
              <w:t>Real Estate and Business Agents Act 1978</w:t>
            </w:r>
            <w:r>
              <w:rPr>
                <w:b/>
              </w:rPr>
              <w:t xml:space="preserve"> as at 18 Nov 2011</w:t>
            </w:r>
            <w: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ind w:right="113"/>
              <w:rPr>
                <w:i/>
                <w:iCs/>
                <w:snapToGrid w:val="0"/>
              </w:rPr>
            </w:pPr>
            <w:r>
              <w:rPr>
                <w:i/>
                <w:iCs/>
                <w:snapToGrid w:val="0"/>
              </w:rPr>
              <w:t>Consumer Protection Legislation Amendment Act 2014</w:t>
            </w:r>
            <w:r>
              <w:rPr>
                <w:iCs/>
                <w:snapToGrid w:val="0"/>
              </w:rPr>
              <w:t xml:space="preserve"> Pt. 10</w:t>
            </w:r>
          </w:p>
        </w:tc>
        <w:tc>
          <w:tcPr>
            <w:tcW w:w="1135" w:type="dxa"/>
            <w:tcBorders>
              <w:bottom w:val="single" w:sz="4" w:space="0" w:color="auto"/>
            </w:tcBorders>
            <w:shd w:val="clear" w:color="auto" w:fill="auto"/>
          </w:tcPr>
          <w:p>
            <w:pPr>
              <w:pStyle w:val="nTable"/>
              <w:spacing w:after="40"/>
              <w:rPr>
                <w:snapToGrid w:val="0"/>
              </w:rPr>
            </w:pPr>
            <w:r>
              <w:rPr>
                <w:snapToGrid w:val="0"/>
              </w:rPr>
              <w:t>23 of 2014</w:t>
            </w:r>
          </w:p>
        </w:tc>
        <w:tc>
          <w:tcPr>
            <w:tcW w:w="1135" w:type="dxa"/>
            <w:tcBorders>
              <w:bottom w:val="single" w:sz="4" w:space="0" w:color="auto"/>
            </w:tcBorders>
            <w:shd w:val="clear" w:color="auto" w:fill="auto"/>
          </w:tcPr>
          <w:p>
            <w:pPr>
              <w:pStyle w:val="nTable"/>
              <w:spacing w:after="40"/>
              <w:rPr>
                <w:snapToGrid w:val="0"/>
              </w:rPr>
            </w:pPr>
            <w:r>
              <w:rPr>
                <w:snapToGrid w:val="0"/>
              </w:rPr>
              <w:t>9 Oct 2014</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bl>
    <w:p>
      <w:pPr>
        <w:pStyle w:val="nSubsection"/>
        <w:widowControl w:val="0"/>
        <w:spacing w:before="360"/>
        <w:ind w:left="482" w:hanging="482"/>
        <w:rPr>
          <w:ins w:id="576" w:author="svcMRProcess" w:date="2018-09-08T07:39:00Z"/>
        </w:rPr>
      </w:pPr>
      <w:ins w:id="577" w:author="svcMRProcess" w:date="2018-09-08T07:39: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78" w:author="svcMRProcess" w:date="2018-09-08T07:39:00Z"/>
        </w:rPr>
      </w:pPr>
      <w:bookmarkStart w:id="579" w:name="_Toc377996655"/>
      <w:bookmarkStart w:id="580" w:name="_Toc412629096"/>
      <w:bookmarkStart w:id="581" w:name="_Toc468701100"/>
      <w:ins w:id="582" w:author="svcMRProcess" w:date="2018-09-08T07:39:00Z">
        <w:r>
          <w:t>Provisions that have not come into operation</w:t>
        </w:r>
        <w:bookmarkEnd w:id="579"/>
        <w:bookmarkEnd w:id="580"/>
        <w:bookmarkEnd w:id="581"/>
      </w:ins>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6"/>
      </w:tblGrid>
      <w:tr>
        <w:trPr>
          <w:cantSplit/>
          <w:tblHeader/>
          <w:ins w:id="583" w:author="svcMRProcess" w:date="2018-09-08T07:39:00Z"/>
        </w:trPr>
        <w:tc>
          <w:tcPr>
            <w:tcW w:w="2273" w:type="dxa"/>
            <w:tcBorders>
              <w:top w:val="single" w:sz="4" w:space="0" w:color="auto"/>
              <w:bottom w:val="single" w:sz="4" w:space="0" w:color="auto"/>
            </w:tcBorders>
          </w:tcPr>
          <w:p>
            <w:pPr>
              <w:pStyle w:val="nTable"/>
              <w:keepNext/>
              <w:spacing w:after="40"/>
              <w:ind w:right="113"/>
              <w:rPr>
                <w:ins w:id="584" w:author="svcMRProcess" w:date="2018-09-08T07:39:00Z"/>
                <w:b/>
              </w:rPr>
            </w:pPr>
            <w:ins w:id="585" w:author="svcMRProcess" w:date="2018-09-08T07:39:00Z">
              <w:r>
                <w:rPr>
                  <w:b/>
                </w:rPr>
                <w:t>Short title</w:t>
              </w:r>
            </w:ins>
          </w:p>
        </w:tc>
        <w:tc>
          <w:tcPr>
            <w:tcW w:w="1139" w:type="dxa"/>
            <w:tcBorders>
              <w:top w:val="single" w:sz="4" w:space="0" w:color="auto"/>
              <w:bottom w:val="single" w:sz="4" w:space="0" w:color="auto"/>
            </w:tcBorders>
          </w:tcPr>
          <w:p>
            <w:pPr>
              <w:pStyle w:val="nTable"/>
              <w:keepNext/>
              <w:spacing w:after="40"/>
              <w:rPr>
                <w:ins w:id="586" w:author="svcMRProcess" w:date="2018-09-08T07:39:00Z"/>
                <w:b/>
              </w:rPr>
            </w:pPr>
            <w:ins w:id="587" w:author="svcMRProcess" w:date="2018-09-08T07:39:00Z">
              <w:r>
                <w:rPr>
                  <w:b/>
                </w:rPr>
                <w:t>Number and year</w:t>
              </w:r>
            </w:ins>
          </w:p>
        </w:tc>
        <w:tc>
          <w:tcPr>
            <w:tcW w:w="1138" w:type="dxa"/>
            <w:tcBorders>
              <w:top w:val="single" w:sz="4" w:space="0" w:color="auto"/>
              <w:bottom w:val="single" w:sz="4" w:space="0" w:color="auto"/>
            </w:tcBorders>
          </w:tcPr>
          <w:p>
            <w:pPr>
              <w:pStyle w:val="nTable"/>
              <w:keepNext/>
              <w:spacing w:after="40"/>
              <w:rPr>
                <w:ins w:id="588" w:author="svcMRProcess" w:date="2018-09-08T07:39:00Z"/>
                <w:b/>
              </w:rPr>
            </w:pPr>
            <w:ins w:id="589" w:author="svcMRProcess" w:date="2018-09-08T07:39:00Z">
              <w:r>
                <w:rPr>
                  <w:b/>
                </w:rPr>
                <w:t>Assent</w:t>
              </w:r>
            </w:ins>
          </w:p>
        </w:tc>
        <w:tc>
          <w:tcPr>
            <w:tcW w:w="2556" w:type="dxa"/>
            <w:tcBorders>
              <w:top w:val="single" w:sz="4" w:space="0" w:color="auto"/>
              <w:bottom w:val="single" w:sz="4" w:space="0" w:color="auto"/>
            </w:tcBorders>
          </w:tcPr>
          <w:p>
            <w:pPr>
              <w:pStyle w:val="nTable"/>
              <w:keepNext/>
              <w:spacing w:after="40"/>
              <w:rPr>
                <w:ins w:id="590" w:author="svcMRProcess" w:date="2018-09-08T07:39:00Z"/>
                <w:b/>
              </w:rPr>
            </w:pPr>
            <w:ins w:id="591" w:author="svcMRProcess" w:date="2018-09-08T07:39:00Z">
              <w:r>
                <w:rPr>
                  <w:b/>
                </w:rPr>
                <w:t>Commencement</w:t>
              </w:r>
            </w:ins>
          </w:p>
        </w:tc>
      </w:tr>
      <w:tr>
        <w:trPr>
          <w:cantSplit/>
          <w:ins w:id="592" w:author="svcMRProcess" w:date="2018-09-08T07:39:00Z"/>
        </w:trPr>
        <w:tc>
          <w:tcPr>
            <w:tcW w:w="2273" w:type="dxa"/>
            <w:tcBorders>
              <w:bottom w:val="single" w:sz="4" w:space="0" w:color="auto"/>
            </w:tcBorders>
          </w:tcPr>
          <w:p>
            <w:pPr>
              <w:pStyle w:val="nTable"/>
              <w:spacing w:after="40"/>
              <w:rPr>
                <w:ins w:id="593" w:author="svcMRProcess" w:date="2018-09-08T07:39:00Z"/>
                <w:snapToGrid w:val="0"/>
              </w:rPr>
            </w:pPr>
            <w:ins w:id="594" w:author="svcMRProcess" w:date="2018-09-08T07:39:00Z">
              <w:r>
                <w:rPr>
                  <w:i/>
                </w:rPr>
                <w:t>Licensing Provisions Amendment Act 2016</w:t>
              </w:r>
              <w:r>
                <w:t xml:space="preserve"> Pt. 7</w:t>
              </w:r>
              <w:r>
                <w:rPr>
                  <w:vertAlign w:val="superscript"/>
                </w:rPr>
                <w:t> 12</w:t>
              </w:r>
            </w:ins>
          </w:p>
        </w:tc>
        <w:tc>
          <w:tcPr>
            <w:tcW w:w="1139" w:type="dxa"/>
            <w:tcBorders>
              <w:bottom w:val="single" w:sz="4" w:space="0" w:color="auto"/>
            </w:tcBorders>
          </w:tcPr>
          <w:p>
            <w:pPr>
              <w:pStyle w:val="nTable"/>
              <w:spacing w:after="40"/>
              <w:rPr>
                <w:ins w:id="595" w:author="svcMRProcess" w:date="2018-09-08T07:39:00Z"/>
              </w:rPr>
            </w:pPr>
            <w:ins w:id="596" w:author="svcMRProcess" w:date="2018-09-08T07:39:00Z">
              <w:r>
                <w:t>44 of 2016</w:t>
              </w:r>
            </w:ins>
          </w:p>
        </w:tc>
        <w:tc>
          <w:tcPr>
            <w:tcW w:w="1138" w:type="dxa"/>
            <w:tcBorders>
              <w:bottom w:val="single" w:sz="4" w:space="0" w:color="auto"/>
            </w:tcBorders>
          </w:tcPr>
          <w:p>
            <w:pPr>
              <w:pStyle w:val="nTable"/>
              <w:spacing w:after="40"/>
              <w:rPr>
                <w:ins w:id="597" w:author="svcMRProcess" w:date="2018-09-08T07:39:00Z"/>
              </w:rPr>
            </w:pPr>
            <w:ins w:id="598" w:author="svcMRProcess" w:date="2018-09-08T07:39:00Z">
              <w:r>
                <w:t>1 Dec 2016</w:t>
              </w:r>
            </w:ins>
          </w:p>
        </w:tc>
        <w:tc>
          <w:tcPr>
            <w:tcW w:w="2556" w:type="dxa"/>
            <w:tcBorders>
              <w:bottom w:val="single" w:sz="4" w:space="0" w:color="auto"/>
            </w:tcBorders>
          </w:tcPr>
          <w:p>
            <w:pPr>
              <w:pStyle w:val="nTable"/>
              <w:spacing w:after="40"/>
              <w:rPr>
                <w:ins w:id="599" w:author="svcMRProcess" w:date="2018-09-08T07:39:00Z"/>
                <w:snapToGrid w:val="0"/>
              </w:rPr>
            </w:pPr>
            <w:ins w:id="600" w:author="svcMRProcess" w:date="2018-09-08T07:39:00Z">
              <w:r>
                <w:rPr>
                  <w:snapToGrid w:val="0"/>
                </w:rPr>
                <w:t>To be proclaimed (see s. 2(b))</w:t>
              </w:r>
            </w:ins>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BlankOpen"/>
        <w:rPr>
          <w:snapToGrid w:val="0"/>
        </w:rPr>
      </w:pP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BlankOpen"/>
        <w:rPr>
          <w:snapToGrid w:val="0"/>
        </w:rPr>
      </w:pP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BlankClose"/>
        <w:rPr>
          <w:snapToGrid w:val="0"/>
        </w:rPr>
      </w:pPr>
    </w:p>
    <w:p>
      <w:pPr>
        <w:pStyle w:val="nSubsection"/>
      </w:pPr>
      <w:r>
        <w:rPr>
          <w:vertAlign w:val="superscript"/>
        </w:rPr>
        <w:t>10</w:t>
      </w:r>
      <w:r>
        <w:tab/>
        <w:t xml:space="preserve">The </w:t>
      </w:r>
      <w:r>
        <w:rPr>
          <w:i/>
        </w:rPr>
        <w:t>Corporations (Consequential Amendments) Act (No. 3) 2003</w:t>
      </w:r>
      <w:r>
        <w:t xml:space="preserve"> s. 2</w:t>
      </w:r>
      <w:r>
        <w:noBreakHyphen/>
        <w:t>4 contain validation provisions which may be relevant to this Act.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ins w:id="601" w:author="svcMRProcess" w:date="2018-09-08T07:39:00Z"/>
        </w:rPr>
      </w:pPr>
      <w:ins w:id="602" w:author="svcMRProcess" w:date="2018-09-08T07:39:00Z">
        <w:r>
          <w:rPr>
            <w:snapToGrid w:val="0"/>
            <w:vertAlign w:val="superscript"/>
          </w:rPr>
          <w:t>12</w:t>
        </w:r>
        <w:r>
          <w:rPr>
            <w:snapToGrid w:val="0"/>
          </w:rPr>
          <w:tab/>
        </w:r>
        <w:r>
          <w:t>On</w:t>
        </w:r>
        <w:r>
          <w:rPr>
            <w:snapToGrid w:val="0"/>
          </w:rPr>
          <w:t xml:space="preserve"> the date as at which this compilation was prepared, </w:t>
        </w:r>
        <w:r>
          <w:t xml:space="preserve">the </w:t>
        </w:r>
        <w:r>
          <w:rPr>
            <w:i/>
          </w:rPr>
          <w:t xml:space="preserve">Licensing Provisions Amendment Act 2016 </w:t>
        </w:r>
        <w:r>
          <w:t xml:space="preserve">Pt. 7 </w:t>
        </w:r>
        <w:r>
          <w:rPr>
            <w:snapToGrid w:val="0"/>
          </w:rPr>
          <w:t>had not come into operation. It reads as follows:</w:t>
        </w:r>
      </w:ins>
    </w:p>
    <w:p>
      <w:pPr>
        <w:pStyle w:val="BlankOpen"/>
        <w:rPr>
          <w:ins w:id="603" w:author="svcMRProcess" w:date="2018-09-08T07:39:00Z"/>
        </w:rPr>
      </w:pPr>
    </w:p>
    <w:p>
      <w:pPr>
        <w:pStyle w:val="nzHeading2"/>
        <w:rPr>
          <w:ins w:id="604" w:author="svcMRProcess" w:date="2018-09-08T07:39:00Z"/>
        </w:rPr>
      </w:pPr>
      <w:bookmarkStart w:id="605" w:name="_Toc433181785"/>
      <w:bookmarkStart w:id="606" w:name="_Toc433181843"/>
      <w:bookmarkStart w:id="607" w:name="_Toc433181901"/>
      <w:bookmarkStart w:id="608" w:name="_Toc433182020"/>
      <w:bookmarkStart w:id="609" w:name="_Toc433285383"/>
      <w:bookmarkStart w:id="610" w:name="_Toc434580871"/>
      <w:ins w:id="611" w:author="svcMRProcess" w:date="2018-09-08T07:39:00Z">
        <w:r>
          <w:rPr>
            <w:rStyle w:val="CharPartNo"/>
          </w:rPr>
          <w:t>Part 7</w:t>
        </w:r>
        <w:r>
          <w:rPr>
            <w:rStyle w:val="CharDivNo"/>
          </w:rPr>
          <w:t> </w:t>
        </w:r>
        <w:r>
          <w:t>—</w:t>
        </w:r>
        <w:r>
          <w:rPr>
            <w:rStyle w:val="CharDivText"/>
          </w:rPr>
          <w:t> </w:t>
        </w:r>
        <w:r>
          <w:rPr>
            <w:rStyle w:val="CharPartText"/>
            <w:i/>
          </w:rPr>
          <w:t>Real Estate and Business Agents Act 1978</w:t>
        </w:r>
        <w:r>
          <w:rPr>
            <w:rStyle w:val="CharPartText"/>
          </w:rPr>
          <w:t> amended</w:t>
        </w:r>
        <w:bookmarkEnd w:id="605"/>
        <w:bookmarkEnd w:id="606"/>
        <w:bookmarkEnd w:id="607"/>
        <w:bookmarkEnd w:id="608"/>
        <w:bookmarkEnd w:id="609"/>
        <w:bookmarkEnd w:id="610"/>
      </w:ins>
    </w:p>
    <w:p>
      <w:pPr>
        <w:pStyle w:val="nzHeading5"/>
        <w:rPr>
          <w:ins w:id="612" w:author="svcMRProcess" w:date="2018-09-08T07:39:00Z"/>
          <w:snapToGrid w:val="0"/>
        </w:rPr>
      </w:pPr>
      <w:bookmarkStart w:id="613" w:name="_Toc434580872"/>
      <w:ins w:id="614" w:author="svcMRProcess" w:date="2018-09-08T07:39:00Z">
        <w:r>
          <w:rPr>
            <w:rStyle w:val="CharSectno"/>
          </w:rPr>
          <w:t>29</w:t>
        </w:r>
        <w:r>
          <w:rPr>
            <w:snapToGrid w:val="0"/>
          </w:rPr>
          <w:t>.</w:t>
        </w:r>
        <w:r>
          <w:rPr>
            <w:snapToGrid w:val="0"/>
          </w:rPr>
          <w:tab/>
          <w:t>Act amended</w:t>
        </w:r>
        <w:bookmarkEnd w:id="613"/>
      </w:ins>
    </w:p>
    <w:p>
      <w:pPr>
        <w:pStyle w:val="nzSubsection"/>
        <w:rPr>
          <w:ins w:id="615" w:author="svcMRProcess" w:date="2018-09-08T07:39:00Z"/>
        </w:rPr>
      </w:pPr>
      <w:ins w:id="616" w:author="svcMRProcess" w:date="2018-09-08T07:39:00Z">
        <w:r>
          <w:tab/>
        </w:r>
        <w:r>
          <w:tab/>
          <w:t>This Part amends the</w:t>
        </w:r>
        <w:r>
          <w:rPr>
            <w:i/>
          </w:rPr>
          <w:t xml:space="preserve"> Real Estate and Business Agents Act 1978</w:t>
        </w:r>
        <w:r>
          <w:t>.</w:t>
        </w:r>
      </w:ins>
    </w:p>
    <w:p>
      <w:pPr>
        <w:pStyle w:val="nzHeading5"/>
        <w:rPr>
          <w:ins w:id="617" w:author="svcMRProcess" w:date="2018-09-08T07:39:00Z"/>
        </w:rPr>
      </w:pPr>
      <w:bookmarkStart w:id="618" w:name="_Toc434580873"/>
      <w:ins w:id="619" w:author="svcMRProcess" w:date="2018-09-08T07:39:00Z">
        <w:r>
          <w:rPr>
            <w:rStyle w:val="CharSectno"/>
          </w:rPr>
          <w:t>30</w:t>
        </w:r>
        <w:r>
          <w:t>.</w:t>
        </w:r>
        <w:r>
          <w:tab/>
          <w:t>Section 24 amended</w:t>
        </w:r>
        <w:bookmarkEnd w:id="618"/>
      </w:ins>
    </w:p>
    <w:p>
      <w:pPr>
        <w:pStyle w:val="nzSubsection"/>
        <w:rPr>
          <w:ins w:id="620" w:author="svcMRProcess" w:date="2018-09-08T07:39:00Z"/>
        </w:rPr>
      </w:pPr>
      <w:ins w:id="621" w:author="svcMRProcess" w:date="2018-09-08T07:39:00Z">
        <w:r>
          <w:tab/>
          <w:t>(1)</w:t>
        </w:r>
        <w:r>
          <w:tab/>
          <w:t>Delete section 24(3).</w:t>
        </w:r>
      </w:ins>
    </w:p>
    <w:p>
      <w:pPr>
        <w:pStyle w:val="nzSubsection"/>
        <w:rPr>
          <w:ins w:id="622" w:author="svcMRProcess" w:date="2018-09-08T07:39:00Z"/>
        </w:rPr>
      </w:pPr>
      <w:ins w:id="623" w:author="svcMRProcess" w:date="2018-09-08T07:39:00Z">
        <w:r>
          <w:tab/>
          <w:t>(2)</w:t>
        </w:r>
        <w:r>
          <w:tab/>
          <w:t>In section 24(4) delete “determines, verified if the Commissioner so requires by statutory declaration.” and insert:</w:t>
        </w:r>
      </w:ins>
    </w:p>
    <w:p>
      <w:pPr>
        <w:pStyle w:val="BlankOpen"/>
        <w:rPr>
          <w:ins w:id="624" w:author="svcMRProcess" w:date="2018-09-08T07:39:00Z"/>
        </w:rPr>
      </w:pPr>
    </w:p>
    <w:p>
      <w:pPr>
        <w:pStyle w:val="nzSubsection"/>
        <w:rPr>
          <w:ins w:id="625" w:author="svcMRProcess" w:date="2018-09-08T07:39:00Z"/>
        </w:rPr>
      </w:pPr>
      <w:ins w:id="626" w:author="svcMRProcess" w:date="2018-09-08T07:39:00Z">
        <w:r>
          <w:tab/>
        </w:r>
        <w:r>
          <w:tab/>
          <w:t>determines.</w:t>
        </w:r>
      </w:ins>
    </w:p>
    <w:p>
      <w:pPr>
        <w:pStyle w:val="BlankClose"/>
        <w:rPr>
          <w:ins w:id="627" w:author="svcMRProcess" w:date="2018-09-08T07:39:00Z"/>
        </w:rPr>
      </w:pPr>
    </w:p>
    <w:p>
      <w:pPr>
        <w:pStyle w:val="nzHeading5"/>
        <w:rPr>
          <w:ins w:id="628" w:author="svcMRProcess" w:date="2018-09-08T07:39:00Z"/>
        </w:rPr>
      </w:pPr>
      <w:bookmarkStart w:id="629" w:name="_Toc434580874"/>
      <w:ins w:id="630" w:author="svcMRProcess" w:date="2018-09-08T07:39:00Z">
        <w:r>
          <w:rPr>
            <w:rStyle w:val="CharSectno"/>
          </w:rPr>
          <w:t>31</w:t>
        </w:r>
        <w:r>
          <w:t>.</w:t>
        </w:r>
        <w:r>
          <w:tab/>
          <w:t>Section 33 amended</w:t>
        </w:r>
        <w:bookmarkEnd w:id="629"/>
      </w:ins>
    </w:p>
    <w:p>
      <w:pPr>
        <w:pStyle w:val="nzSubsection"/>
        <w:rPr>
          <w:ins w:id="631" w:author="svcMRProcess" w:date="2018-09-08T07:39:00Z"/>
        </w:rPr>
      </w:pPr>
      <w:ins w:id="632" w:author="svcMRProcess" w:date="2018-09-08T07:39:00Z">
        <w:r>
          <w:tab/>
          <w:t>(1)</w:t>
        </w:r>
        <w:r>
          <w:tab/>
          <w:t>Delete section 33(3).</w:t>
        </w:r>
      </w:ins>
    </w:p>
    <w:p>
      <w:pPr>
        <w:pStyle w:val="nzSubsection"/>
        <w:rPr>
          <w:ins w:id="633" w:author="svcMRProcess" w:date="2018-09-08T07:39:00Z"/>
        </w:rPr>
      </w:pPr>
      <w:ins w:id="634" w:author="svcMRProcess" w:date="2018-09-08T07:39:00Z">
        <w:r>
          <w:tab/>
          <w:t>(2)</w:t>
        </w:r>
        <w:r>
          <w:tab/>
          <w:t>In section 33(4) delete “determines, verified if the Commissioner so requires by statutory declaration.” and insert:</w:t>
        </w:r>
      </w:ins>
    </w:p>
    <w:p>
      <w:pPr>
        <w:pStyle w:val="BlankOpen"/>
        <w:rPr>
          <w:ins w:id="635" w:author="svcMRProcess" w:date="2018-09-08T07:39:00Z"/>
        </w:rPr>
      </w:pPr>
    </w:p>
    <w:p>
      <w:pPr>
        <w:pStyle w:val="nzSubsection"/>
        <w:rPr>
          <w:ins w:id="636" w:author="svcMRProcess" w:date="2018-09-08T07:39:00Z"/>
        </w:rPr>
      </w:pPr>
      <w:ins w:id="637" w:author="svcMRProcess" w:date="2018-09-08T07:39:00Z">
        <w:r>
          <w:tab/>
        </w:r>
        <w:r>
          <w:tab/>
          <w:t>determines.</w:t>
        </w:r>
      </w:ins>
    </w:p>
    <w:p>
      <w:pPr>
        <w:pStyle w:val="nzSubsection"/>
        <w:rPr>
          <w:ins w:id="638" w:author="svcMRProcess" w:date="2018-09-08T07:39:00Z"/>
        </w:rPr>
      </w:pPr>
    </w:p>
    <w:p>
      <w:pPr>
        <w:pStyle w:val="nzHeading5"/>
        <w:rPr>
          <w:ins w:id="639" w:author="svcMRProcess" w:date="2018-09-08T07:39:00Z"/>
        </w:rPr>
      </w:pPr>
      <w:bookmarkStart w:id="640" w:name="_Toc434580875"/>
      <w:ins w:id="641" w:author="svcMRProcess" w:date="2018-09-08T07:39:00Z">
        <w:r>
          <w:rPr>
            <w:rStyle w:val="CharSectno"/>
          </w:rPr>
          <w:t>32</w:t>
        </w:r>
        <w:r>
          <w:t>.</w:t>
        </w:r>
        <w:r>
          <w:tab/>
          <w:t>Section 43 amended</w:t>
        </w:r>
        <w:bookmarkEnd w:id="640"/>
      </w:ins>
    </w:p>
    <w:p>
      <w:pPr>
        <w:pStyle w:val="nzSubsection"/>
        <w:rPr>
          <w:ins w:id="642" w:author="svcMRProcess" w:date="2018-09-08T07:39:00Z"/>
        </w:rPr>
      </w:pPr>
      <w:ins w:id="643" w:author="svcMRProcess" w:date="2018-09-08T07:39:00Z">
        <w:r>
          <w:tab/>
          <w:t>(1)</w:t>
        </w:r>
        <w:r>
          <w:tab/>
          <w:t>Delete section 43(2).</w:t>
        </w:r>
      </w:ins>
    </w:p>
    <w:p>
      <w:pPr>
        <w:pStyle w:val="nzSubsection"/>
        <w:rPr>
          <w:ins w:id="644" w:author="svcMRProcess" w:date="2018-09-08T07:39:00Z"/>
        </w:rPr>
      </w:pPr>
      <w:ins w:id="645" w:author="svcMRProcess" w:date="2018-09-08T07:39:00Z">
        <w:r>
          <w:tab/>
          <w:t>(2)</w:t>
        </w:r>
        <w:r>
          <w:tab/>
          <w:t>In section 43(3) delete “determines, verified if the Commissioner so requires by statutory declaration.” and insert:</w:t>
        </w:r>
      </w:ins>
    </w:p>
    <w:p>
      <w:pPr>
        <w:pStyle w:val="BlankOpen"/>
        <w:rPr>
          <w:ins w:id="646" w:author="svcMRProcess" w:date="2018-09-08T07:39:00Z"/>
        </w:rPr>
      </w:pPr>
    </w:p>
    <w:p>
      <w:pPr>
        <w:pStyle w:val="nzSubsection"/>
        <w:rPr>
          <w:ins w:id="647" w:author="svcMRProcess" w:date="2018-09-08T07:39:00Z"/>
        </w:rPr>
      </w:pPr>
      <w:ins w:id="648" w:author="svcMRProcess" w:date="2018-09-08T07:39:00Z">
        <w:r>
          <w:tab/>
        </w:r>
        <w:r>
          <w:tab/>
          <w:t>determines.</w:t>
        </w:r>
      </w:ins>
    </w:p>
    <w:p>
      <w:pPr>
        <w:pStyle w:val="nzSubsection"/>
        <w:rPr>
          <w:ins w:id="649" w:author="svcMRProcess" w:date="2018-09-08T07:39:00Z"/>
        </w:rPr>
      </w:pPr>
    </w:p>
    <w:p>
      <w:pPr>
        <w:pStyle w:val="nzHeading5"/>
        <w:rPr>
          <w:ins w:id="650" w:author="svcMRProcess" w:date="2018-09-08T07:39:00Z"/>
        </w:rPr>
      </w:pPr>
      <w:bookmarkStart w:id="651" w:name="_Toc434580876"/>
      <w:ins w:id="652" w:author="svcMRProcess" w:date="2018-09-08T07:39:00Z">
        <w:r>
          <w:rPr>
            <w:rStyle w:val="CharSectno"/>
          </w:rPr>
          <w:t>33</w:t>
        </w:r>
        <w:r>
          <w:t>.</w:t>
        </w:r>
        <w:r>
          <w:tab/>
          <w:t>Section 49 amended</w:t>
        </w:r>
        <w:bookmarkEnd w:id="651"/>
      </w:ins>
    </w:p>
    <w:p>
      <w:pPr>
        <w:pStyle w:val="nzSubsection"/>
        <w:rPr>
          <w:ins w:id="653" w:author="svcMRProcess" w:date="2018-09-08T07:39:00Z"/>
        </w:rPr>
      </w:pPr>
      <w:ins w:id="654" w:author="svcMRProcess" w:date="2018-09-08T07:39:00Z">
        <w:r>
          <w:tab/>
          <w:t>(1)</w:t>
        </w:r>
        <w:r>
          <w:tab/>
          <w:t>Delete section 49(5).</w:t>
        </w:r>
      </w:ins>
    </w:p>
    <w:p>
      <w:pPr>
        <w:pStyle w:val="nzSubsection"/>
        <w:rPr>
          <w:ins w:id="655" w:author="svcMRProcess" w:date="2018-09-08T07:39:00Z"/>
        </w:rPr>
      </w:pPr>
      <w:ins w:id="656" w:author="svcMRProcess" w:date="2018-09-08T07:39:00Z">
        <w:r>
          <w:tab/>
          <w:t>(2)</w:t>
        </w:r>
        <w:r>
          <w:tab/>
          <w:t>In section 49(6) delete “determines, verified if the Commissioner so determines by statutory declaration.” and insert:</w:t>
        </w:r>
      </w:ins>
    </w:p>
    <w:p>
      <w:pPr>
        <w:pStyle w:val="BlankOpen"/>
        <w:rPr>
          <w:ins w:id="657" w:author="svcMRProcess" w:date="2018-09-08T07:39:00Z"/>
        </w:rPr>
      </w:pPr>
    </w:p>
    <w:p>
      <w:pPr>
        <w:pStyle w:val="nzSubsection"/>
        <w:rPr>
          <w:ins w:id="658" w:author="svcMRProcess" w:date="2018-09-08T07:39:00Z"/>
        </w:rPr>
      </w:pPr>
      <w:ins w:id="659" w:author="svcMRProcess" w:date="2018-09-08T07:39:00Z">
        <w:r>
          <w:tab/>
        </w:r>
        <w:r>
          <w:tab/>
          <w:t>determines.</w:t>
        </w:r>
      </w:ins>
    </w:p>
    <w:p>
      <w:pPr>
        <w:pStyle w:val="nzSubsection"/>
        <w:rPr>
          <w:ins w:id="660" w:author="svcMRProcess" w:date="2018-09-08T07:39:00Z"/>
        </w:rPr>
      </w:pPr>
    </w:p>
    <w:p>
      <w:pPr>
        <w:pStyle w:val="nzHeading5"/>
        <w:rPr>
          <w:ins w:id="661" w:author="svcMRProcess" w:date="2018-09-08T07:39:00Z"/>
        </w:rPr>
      </w:pPr>
      <w:bookmarkStart w:id="662" w:name="_Toc434580877"/>
      <w:ins w:id="663" w:author="svcMRProcess" w:date="2018-09-08T07:39:00Z">
        <w:r>
          <w:rPr>
            <w:rStyle w:val="CharSectno"/>
          </w:rPr>
          <w:t>34</w:t>
        </w:r>
        <w:r>
          <w:t>.</w:t>
        </w:r>
        <w:r>
          <w:tab/>
          <w:t>Section 61 amended</w:t>
        </w:r>
        <w:bookmarkEnd w:id="662"/>
      </w:ins>
    </w:p>
    <w:p>
      <w:pPr>
        <w:pStyle w:val="nzSubsection"/>
        <w:rPr>
          <w:ins w:id="664" w:author="svcMRProcess" w:date="2018-09-08T07:39:00Z"/>
        </w:rPr>
      </w:pPr>
      <w:ins w:id="665" w:author="svcMRProcess" w:date="2018-09-08T07:39:00Z">
        <w:r>
          <w:tab/>
          <w:t>(1)</w:t>
        </w:r>
        <w:r>
          <w:tab/>
          <w:t>In section 61(4) delete “unless there is a failure to settle the transaction and that failure is due to the fault of the agent’s principal.” and insert:</w:t>
        </w:r>
      </w:ins>
    </w:p>
    <w:p>
      <w:pPr>
        <w:pStyle w:val="BlankOpen"/>
        <w:rPr>
          <w:ins w:id="666" w:author="svcMRProcess" w:date="2018-09-08T07:39:00Z"/>
        </w:rPr>
      </w:pPr>
    </w:p>
    <w:p>
      <w:pPr>
        <w:pStyle w:val="nzSubsection"/>
        <w:rPr>
          <w:ins w:id="667" w:author="svcMRProcess" w:date="2018-09-08T07:39:00Z"/>
        </w:rPr>
      </w:pPr>
      <w:ins w:id="668" w:author="svcMRProcess" w:date="2018-09-08T07:39:00Z">
        <w:r>
          <w:tab/>
        </w:r>
        <w:r>
          <w:tab/>
          <w:t xml:space="preserve">unless — </w:t>
        </w:r>
      </w:ins>
    </w:p>
    <w:p>
      <w:pPr>
        <w:pStyle w:val="nzIndenta"/>
        <w:rPr>
          <w:ins w:id="669" w:author="svcMRProcess" w:date="2018-09-08T07:39:00Z"/>
        </w:rPr>
      </w:pPr>
      <w:ins w:id="670" w:author="svcMRProcess" w:date="2018-09-08T07:39:00Z">
        <w:r>
          <w:tab/>
          <w:t>(a)</w:t>
        </w:r>
        <w:r>
          <w:tab/>
          <w:t>there is a failure to settle the transaction and that failure is due to the fault of the agent’s principal; or</w:t>
        </w:r>
      </w:ins>
    </w:p>
    <w:p>
      <w:pPr>
        <w:pStyle w:val="nzIndenta"/>
        <w:rPr>
          <w:ins w:id="671" w:author="svcMRProcess" w:date="2018-09-08T07:39:00Z"/>
        </w:rPr>
      </w:pPr>
      <w:ins w:id="672" w:author="svcMRProcess" w:date="2018-09-08T07:39:00Z">
        <w:r>
          <w:tab/>
          <w:t>(b)</w:t>
        </w:r>
        <w:r>
          <w:tab/>
          <w:t>it is a prescribed transaction.</w:t>
        </w:r>
      </w:ins>
    </w:p>
    <w:p>
      <w:pPr>
        <w:pStyle w:val="BlankClose"/>
        <w:rPr>
          <w:ins w:id="673" w:author="svcMRProcess" w:date="2018-09-08T07:39:00Z"/>
        </w:rPr>
      </w:pPr>
    </w:p>
    <w:p>
      <w:pPr>
        <w:pStyle w:val="nzSubsection"/>
        <w:rPr>
          <w:ins w:id="674" w:author="svcMRProcess" w:date="2018-09-08T07:39:00Z"/>
        </w:rPr>
      </w:pPr>
      <w:ins w:id="675" w:author="svcMRProcess" w:date="2018-09-08T07:39:00Z">
        <w:r>
          <w:tab/>
          <w:t>(2)</w:t>
        </w:r>
        <w:r>
          <w:tab/>
          <w:t xml:space="preserve">In section 61(4a) insert in alphabetical order — </w:t>
        </w:r>
      </w:ins>
    </w:p>
    <w:p>
      <w:pPr>
        <w:pStyle w:val="BlankOpen"/>
        <w:rPr>
          <w:ins w:id="676" w:author="svcMRProcess" w:date="2018-09-08T07:39:00Z"/>
        </w:rPr>
      </w:pPr>
    </w:p>
    <w:p>
      <w:pPr>
        <w:pStyle w:val="nzDefstart"/>
        <w:rPr>
          <w:ins w:id="677" w:author="svcMRProcess" w:date="2018-09-08T07:39:00Z"/>
        </w:rPr>
      </w:pPr>
      <w:ins w:id="678" w:author="svcMRProcess" w:date="2018-09-08T07:39:00Z">
        <w:r>
          <w:tab/>
        </w:r>
        <w:r>
          <w:rPr>
            <w:rStyle w:val="CharDefText"/>
          </w:rPr>
          <w:t>prescribed transaction</w:t>
        </w:r>
        <w:r>
          <w:t xml:space="preserve"> means any of the following transactions — </w:t>
        </w:r>
      </w:ins>
    </w:p>
    <w:p>
      <w:pPr>
        <w:pStyle w:val="nzDefpara"/>
        <w:rPr>
          <w:ins w:id="679" w:author="svcMRProcess" w:date="2018-09-08T07:39:00Z"/>
        </w:rPr>
      </w:pPr>
      <w:ins w:id="680" w:author="svcMRProcess" w:date="2018-09-08T07:39:00Z">
        <w:r>
          <w:tab/>
          <w:t>(a)</w:t>
        </w:r>
        <w:r>
          <w:tab/>
          <w:t xml:space="preserve">the sale of a lot in a proposed scheme described in the </w:t>
        </w:r>
        <w:r>
          <w:rPr>
            <w:i/>
          </w:rPr>
          <w:t>Strata Titles Act 1985</w:t>
        </w:r>
        <w:r>
          <w:t xml:space="preserve"> section 70(1);</w:t>
        </w:r>
      </w:ins>
    </w:p>
    <w:p>
      <w:pPr>
        <w:pStyle w:val="nzIndenta"/>
        <w:rPr>
          <w:ins w:id="681" w:author="svcMRProcess" w:date="2018-09-08T07:39:00Z"/>
        </w:rPr>
      </w:pPr>
      <w:ins w:id="682" w:author="svcMRProcess" w:date="2018-09-08T07:39:00Z">
        <w:r>
          <w:tab/>
          <w:t>(b)</w:t>
        </w:r>
        <w:r>
          <w:tab/>
          <w:t>any other transaction prescribed, or that belongs to a class of transactions prescribed, for the purposes of this definition;</w:t>
        </w:r>
      </w:ins>
    </w:p>
    <w:p>
      <w:pPr>
        <w:pStyle w:val="BlankClose"/>
        <w:rPr>
          <w:ins w:id="683" w:author="svcMRProcess" w:date="2018-09-08T07:39:00Z"/>
        </w:rPr>
      </w:pPr>
    </w:p>
    <w:p>
      <w:pPr>
        <w:pStyle w:val="nzHeading5"/>
        <w:rPr>
          <w:ins w:id="684" w:author="svcMRProcess" w:date="2018-09-08T07:39:00Z"/>
        </w:rPr>
      </w:pPr>
      <w:bookmarkStart w:id="685" w:name="_Toc434580878"/>
      <w:ins w:id="686" w:author="svcMRProcess" w:date="2018-09-08T07:39:00Z">
        <w:r>
          <w:rPr>
            <w:rStyle w:val="CharSectno"/>
          </w:rPr>
          <w:t>35</w:t>
        </w:r>
        <w:r>
          <w:t>.</w:t>
        </w:r>
        <w:r>
          <w:tab/>
          <w:t>Section 134A inserted</w:t>
        </w:r>
        <w:bookmarkEnd w:id="685"/>
      </w:ins>
    </w:p>
    <w:p>
      <w:pPr>
        <w:pStyle w:val="nzSubsection"/>
        <w:rPr>
          <w:ins w:id="687" w:author="svcMRProcess" w:date="2018-09-08T07:39:00Z"/>
        </w:rPr>
      </w:pPr>
      <w:ins w:id="688" w:author="svcMRProcess" w:date="2018-09-08T07:39:00Z">
        <w:r>
          <w:tab/>
        </w:r>
        <w:r>
          <w:tab/>
          <w:t>After section 133 insert:</w:t>
        </w:r>
      </w:ins>
    </w:p>
    <w:p>
      <w:pPr>
        <w:pStyle w:val="BlankOpen"/>
        <w:rPr>
          <w:ins w:id="689" w:author="svcMRProcess" w:date="2018-09-08T07:39:00Z"/>
        </w:rPr>
      </w:pPr>
    </w:p>
    <w:p>
      <w:pPr>
        <w:pStyle w:val="nzHeading5"/>
        <w:rPr>
          <w:ins w:id="690" w:author="svcMRProcess" w:date="2018-09-08T07:39:00Z"/>
        </w:rPr>
      </w:pPr>
      <w:bookmarkStart w:id="691" w:name="_Toc434580879"/>
      <w:ins w:id="692" w:author="svcMRProcess" w:date="2018-09-08T07:39:00Z">
        <w:r>
          <w:t>134A.</w:t>
        </w:r>
        <w:r>
          <w:tab/>
          <w:t>Offence to give false or misleading information</w:t>
        </w:r>
        <w:bookmarkEnd w:id="691"/>
      </w:ins>
    </w:p>
    <w:p>
      <w:pPr>
        <w:pStyle w:val="nzSubsection"/>
        <w:rPr>
          <w:ins w:id="693" w:author="svcMRProcess" w:date="2018-09-08T07:39:00Z"/>
        </w:rPr>
      </w:pPr>
      <w:ins w:id="694" w:author="svcMRProcess" w:date="2018-09-08T07:39:00Z">
        <w:r>
          <w:tab/>
          <w:t>(1)</w:t>
        </w:r>
        <w:r>
          <w:tab/>
          <w:t>A person who gives false or misleading information in relation to an application under section 24, 33, 43, 48 or 49 commits an offence.</w:t>
        </w:r>
      </w:ins>
    </w:p>
    <w:p>
      <w:pPr>
        <w:pStyle w:val="nzPenstart"/>
        <w:rPr>
          <w:ins w:id="695" w:author="svcMRProcess" w:date="2018-09-08T07:39:00Z"/>
        </w:rPr>
      </w:pPr>
      <w:ins w:id="696" w:author="svcMRProcess" w:date="2018-09-08T07:39:00Z">
        <w:r>
          <w:tab/>
          <w:t>Penalty for this subsection: a fine of $20 000.</w:t>
        </w:r>
      </w:ins>
    </w:p>
    <w:p>
      <w:pPr>
        <w:pStyle w:val="nzSubsection"/>
        <w:rPr>
          <w:ins w:id="697" w:author="svcMRProcess" w:date="2018-09-08T07:39:00Z"/>
        </w:rPr>
      </w:pPr>
      <w:ins w:id="698" w:author="svcMRProcess" w:date="2018-09-08T07:39:00Z">
        <w:r>
          <w:tab/>
          <w:t>(2)</w:t>
        </w:r>
        <w:r>
          <w:tab/>
          <w:t>For the purposes of subsection (1), a person gives false or misleading information in relation to an application referred to in subsection (1) if the person does one or more of the following —</w:t>
        </w:r>
      </w:ins>
    </w:p>
    <w:p>
      <w:pPr>
        <w:pStyle w:val="nzIndenta"/>
        <w:rPr>
          <w:ins w:id="699" w:author="svcMRProcess" w:date="2018-09-08T07:39:00Z"/>
        </w:rPr>
      </w:pPr>
      <w:ins w:id="700" w:author="svcMRProcess" w:date="2018-09-08T07:39:00Z">
        <w:r>
          <w:tab/>
          <w:t>(a)</w:t>
        </w:r>
        <w:r>
          <w:tab/>
          <w:t>states anything in relation to an application that the person knows is false or misleading in a material particular;</w:t>
        </w:r>
      </w:ins>
    </w:p>
    <w:p>
      <w:pPr>
        <w:pStyle w:val="nzIndenta"/>
        <w:rPr>
          <w:ins w:id="701" w:author="svcMRProcess" w:date="2018-09-08T07:39:00Z"/>
        </w:rPr>
      </w:pPr>
      <w:ins w:id="702" w:author="svcMRProcess" w:date="2018-09-08T07:39:00Z">
        <w:r>
          <w:tab/>
          <w:t>(b)</w:t>
        </w:r>
        <w:r>
          <w:tab/>
          <w:t>omits anything from a statement made in relation to an application without which the statement is, to the person’s knowledge, misleading in a material particular;</w:t>
        </w:r>
      </w:ins>
    </w:p>
    <w:p>
      <w:pPr>
        <w:pStyle w:val="nzIndenta"/>
        <w:rPr>
          <w:ins w:id="703" w:author="svcMRProcess" w:date="2018-09-08T07:39:00Z"/>
        </w:rPr>
      </w:pPr>
      <w:ins w:id="704" w:author="svcMRProcess" w:date="2018-09-08T07:39:00Z">
        <w:r>
          <w:tab/>
          <w:t>(c)</w:t>
        </w:r>
        <w:r>
          <w:tab/>
          <w:t>gives or produces any information in relation to an application that —</w:t>
        </w:r>
      </w:ins>
    </w:p>
    <w:p>
      <w:pPr>
        <w:pStyle w:val="nzIndenti"/>
        <w:rPr>
          <w:ins w:id="705" w:author="svcMRProcess" w:date="2018-09-08T07:39:00Z"/>
        </w:rPr>
      </w:pPr>
      <w:ins w:id="706" w:author="svcMRProcess" w:date="2018-09-08T07:39:00Z">
        <w:r>
          <w:tab/>
          <w:t>(i)</w:t>
        </w:r>
        <w:r>
          <w:tab/>
          <w:t>the person knows is false or misleading in a material particular; or</w:t>
        </w:r>
      </w:ins>
    </w:p>
    <w:p>
      <w:pPr>
        <w:pStyle w:val="nzIndenti"/>
        <w:rPr>
          <w:ins w:id="707" w:author="svcMRProcess" w:date="2018-09-08T07:39:00Z"/>
        </w:rPr>
      </w:pPr>
      <w:ins w:id="708" w:author="svcMRProcess" w:date="2018-09-08T07:39:00Z">
        <w:r>
          <w:tab/>
          <w:t>(ii)</w:t>
        </w:r>
        <w:r>
          <w:tab/>
          <w:t>omits anything without which the information is, to the person’s knowledge, misleading in a material particular.</w:t>
        </w:r>
      </w:ins>
    </w:p>
    <w:p>
      <w:pPr>
        <w:pStyle w:val="BlankClose"/>
        <w:rPr>
          <w:ins w:id="709" w:author="svcMRProcess" w:date="2018-09-08T07:39:00Z"/>
        </w:rPr>
      </w:pPr>
    </w:p>
    <w:p>
      <w:pPr>
        <w:pStyle w:val="BlankClose"/>
        <w:rPr>
          <w:ins w:id="710" w:author="svcMRProcess" w:date="2018-09-08T07:39: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67" w:name="Schedule"/>
    <w:bookmarkEnd w:id="56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11" w:name="Compilation"/>
    <w:bookmarkEnd w:id="7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2" w:name="Coversheet"/>
    <w:bookmarkEnd w:id="7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160B9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724"/>
    <w:docVar w:name="WAFER_20140128103514" w:val="RemoveTocBookmarks,RemoveUnusedBookmarks,RemoveLanguageTags,UsedStyles,ResetPageSize,UpdateArrangement"/>
    <w:docVar w:name="WAFER_20140128103514_GUID" w:val="82d23b57-9927-4e52-a435-f44f28bcf9d0"/>
    <w:docVar w:name="WAFER_20140128112227" w:val="RemoveTocBookmarks,RunningHeaders"/>
    <w:docVar w:name="WAFER_20140128112227_GUID" w:val="77b987c8-f2f4-4173-927f-93f5d60036e9"/>
    <w:docVar w:name="WAFER_20141015123210" w:val="RemoveTocBookmarks,RemoveUnusedBookmarks,RemoveLanguageTags,UsedStyles,ResetPageSize,UpdateArrangement"/>
    <w:docVar w:name="WAFER_20141015123210_GUID" w:val="64a3355d-7a26-45e2-bd22-de9f30038f17"/>
    <w:docVar w:name="WAFER_20141119103439" w:val="RemoveTocBookmarks,RunningHeaders"/>
    <w:docVar w:name="WAFER_20141119103439_GUID" w:val="238c4c98-8065-46db-ab23-ff5cff7f0da8"/>
    <w:docVar w:name="WAFER_20150710114227" w:val="ResetPageSize,UpdateArrangement,UpdateNTable"/>
    <w:docVar w:name="WAFER_20150710114227_GUID" w:val="ad99801e-4621-4a3b-873d-a113a8440bd8"/>
    <w:docVar w:name="WAFER_20151111162724" w:val="UpdateStyles,UsedStyles"/>
    <w:docVar w:name="WAFER_20151111162724_GUID" w:val="18489fbf-4911-4b9f-a5b9-fc67e4ffc4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33984</Words>
  <Characters>158368</Characters>
  <Application>Microsoft Office Word</Application>
  <DocSecurity>0</DocSecurity>
  <Lines>4060</Lines>
  <Paragraphs>1904</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190448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07-c0-03 - 07-d0-00</dc:title>
  <dc:subject/>
  <dc:creator/>
  <cp:keywords/>
  <dc:description/>
  <cp:lastModifiedBy>svcMRProcess</cp:lastModifiedBy>
  <cp:revision>2</cp:revision>
  <cp:lastPrinted>2014-11-19T02:18:00Z</cp:lastPrinted>
  <dcterms:created xsi:type="dcterms:W3CDTF">2018-09-07T23:39:00Z</dcterms:created>
  <dcterms:modified xsi:type="dcterms:W3CDTF">2018-09-07T23:39:00Z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DocumentType">
    <vt:lpwstr>Act</vt:lpwstr>
  </property>
  <property fmtid="{D5CDD505-2E9C-101B-9397-08002B2CF9AE}" pid="4" name="OwlsUID">
    <vt:i4>672</vt:i4>
  </property>
  <property fmtid="{D5CDD505-2E9C-101B-9397-08002B2CF9AE}" pid="5" name="ReprintNo">
    <vt:lpwstr>7</vt:lpwstr>
  </property>
  <property fmtid="{D5CDD505-2E9C-101B-9397-08002B2CF9AE}" pid="6" name="ReprintedAsAt">
    <vt:filetime>2011-11-17T16:00:00Z</vt:filetime>
  </property>
  <property fmtid="{D5CDD505-2E9C-101B-9397-08002B2CF9AE}" pid="7" name="CommencementDate">
    <vt:lpwstr>20161201</vt:lpwstr>
  </property>
  <property fmtid="{D5CDD505-2E9C-101B-9397-08002B2CF9AE}" pid="8" name="FromSuffix">
    <vt:lpwstr>07-c0-03</vt:lpwstr>
  </property>
  <property fmtid="{D5CDD505-2E9C-101B-9397-08002B2CF9AE}" pid="9" name="FromAsAtDate">
    <vt:lpwstr>19 Nov 2014</vt:lpwstr>
  </property>
  <property fmtid="{D5CDD505-2E9C-101B-9397-08002B2CF9AE}" pid="10" name="ToSuffix">
    <vt:lpwstr>07-d0-00</vt:lpwstr>
  </property>
  <property fmtid="{D5CDD505-2E9C-101B-9397-08002B2CF9AE}" pid="11" name="ToAsAtDate">
    <vt:lpwstr>01 Dec 2016</vt:lpwstr>
  </property>
</Properties>
</file>