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21 Sep 2016</w:t>
      </w:r>
      <w:r>
        <w:fldChar w:fldCharType="end"/>
      </w:r>
      <w:r>
        <w:t xml:space="preserve">, </w:t>
      </w:r>
      <w:r>
        <w:fldChar w:fldCharType="begin"/>
      </w:r>
      <w:r>
        <w:instrText xml:space="preserve"> DocProperty FromSuffix </w:instrText>
      </w:r>
      <w:r>
        <w:fldChar w:fldCharType="separate"/>
      </w:r>
      <w:r>
        <w:t>10-b0-00</w:t>
      </w:r>
      <w:r>
        <w:fldChar w:fldCharType="end"/>
      </w:r>
      <w:r>
        <w:t>] and [</w:t>
      </w:r>
      <w:r>
        <w:fldChar w:fldCharType="begin"/>
      </w:r>
      <w:r>
        <w:instrText xml:space="preserve"> DocProperty ToAsAtDate</w:instrText>
      </w:r>
      <w:r>
        <w:fldChar w:fldCharType="separate"/>
      </w:r>
      <w:r>
        <w:t>21 Jan 2017</w:t>
      </w:r>
      <w:r>
        <w:fldChar w:fldCharType="end"/>
      </w:r>
      <w:r>
        <w:t xml:space="preserve">, </w:t>
      </w:r>
      <w:r>
        <w:fldChar w:fldCharType="begin"/>
      </w:r>
      <w:r>
        <w:instrText xml:space="preserve"> DocProperty ToSuffix</w:instrText>
      </w:r>
      <w:r>
        <w:fldChar w:fldCharType="separate"/>
      </w:r>
      <w:r>
        <w:t>10-c0-01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
        <w:spacing w:before="960"/>
      </w:pPr>
      <w:r>
        <w:t>Parliamentary Commissioner Act 1971</w:t>
      </w:r>
    </w:p>
    <w:p>
      <w:pPr>
        <w:pStyle w:val="LongTitle"/>
        <w:rPr>
          <w:snapToGrid w:val="0"/>
        </w:rPr>
      </w:pPr>
      <w:r>
        <w:rPr>
          <w:snapToGrid w:val="0"/>
        </w:rPr>
        <w:t>A</w:t>
      </w:r>
      <w:bookmarkStart w:id="1" w:name="_GoBack"/>
      <w:bookmarkEnd w:id="1"/>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w:t>
      </w:r>
      <w:del w:id="2" w:author="svcMRProcess" w:date="2019-01-22T15:16:00Z">
        <w:r>
          <w:delText xml:space="preserve"> by</w:delText>
        </w:r>
      </w:del>
      <w:ins w:id="3" w:author="svcMRProcess" w:date="2019-01-22T15:16:00Z">
        <w:r>
          <w:t>:</w:t>
        </w:r>
      </w:ins>
      <w:r>
        <w:t xml:space="preserve"> No. 78 of 1996 s. 4; No. 78 of 2003 s. 72(1); No. 10 of 2009 s. 4.]</w:t>
      </w:r>
    </w:p>
    <w:p>
      <w:pPr>
        <w:pStyle w:val="Heading2"/>
      </w:pPr>
      <w:bookmarkStart w:id="4" w:name="_Toc441668298"/>
      <w:bookmarkStart w:id="5" w:name="_Toc446320691"/>
      <w:bookmarkStart w:id="6" w:name="_Toc462730917"/>
      <w:bookmarkStart w:id="7" w:name="_Toc462751376"/>
      <w:bookmarkStart w:id="8" w:name="_Toc472678878"/>
      <w:bookmarkStart w:id="9" w:name="_Toc472684253"/>
      <w:r>
        <w:rPr>
          <w:rStyle w:val="CharPartNo"/>
        </w:rPr>
        <w:lastRenderedPageBreak/>
        <w:t>Part I</w:t>
      </w:r>
      <w:r>
        <w:rPr>
          <w:rStyle w:val="CharDivNo"/>
        </w:rPr>
        <w:t> </w:t>
      </w:r>
      <w:r>
        <w:t>—</w:t>
      </w:r>
      <w:r>
        <w:rPr>
          <w:rStyle w:val="CharDivText"/>
        </w:rPr>
        <w:t> </w:t>
      </w:r>
      <w:r>
        <w:rPr>
          <w:rStyle w:val="CharPartText"/>
        </w:rPr>
        <w:t>Preliminary</w:t>
      </w:r>
      <w:bookmarkEnd w:id="4"/>
      <w:bookmarkEnd w:id="5"/>
      <w:bookmarkEnd w:id="6"/>
      <w:bookmarkEnd w:id="7"/>
      <w:bookmarkEnd w:id="8"/>
      <w:bookmarkEnd w:id="9"/>
    </w:p>
    <w:p>
      <w:pPr>
        <w:pStyle w:val="Heading5"/>
        <w:rPr>
          <w:snapToGrid w:val="0"/>
        </w:rPr>
      </w:pPr>
      <w:bookmarkStart w:id="10" w:name="_Toc472684254"/>
      <w:bookmarkStart w:id="11" w:name="_Toc462751377"/>
      <w:r>
        <w:rPr>
          <w:rStyle w:val="CharSectno"/>
        </w:rPr>
        <w:t>1</w:t>
      </w:r>
      <w:r>
        <w:rPr>
          <w:snapToGrid w:val="0"/>
        </w:rPr>
        <w:t>.</w:t>
      </w:r>
      <w:r>
        <w:rPr>
          <w:snapToGrid w:val="0"/>
        </w:rPr>
        <w:tab/>
        <w:t>Short title</w:t>
      </w:r>
      <w:bookmarkEnd w:id="10"/>
      <w:bookmarkEnd w:id="11"/>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2" w:name="_Toc472684255"/>
      <w:bookmarkStart w:id="13" w:name="_Toc462751378"/>
      <w:r>
        <w:rPr>
          <w:rStyle w:val="CharSectno"/>
        </w:rPr>
        <w:t>2</w:t>
      </w:r>
      <w:r>
        <w:rPr>
          <w:snapToGrid w:val="0"/>
        </w:rPr>
        <w:t>.</w:t>
      </w:r>
      <w:r>
        <w:rPr>
          <w:snapToGrid w:val="0"/>
        </w:rPr>
        <w:tab/>
        <w:t>Commencement</w:t>
      </w:r>
      <w:bookmarkEnd w:id="12"/>
      <w:bookmarkEnd w:id="13"/>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w:t>
      </w:r>
      <w:del w:id="14" w:author="svcMRProcess" w:date="2019-01-22T15:16:00Z">
        <w:r>
          <w:delText xml:space="preserve"> by</w:delText>
        </w:r>
      </w:del>
      <w:ins w:id="15" w:author="svcMRProcess" w:date="2019-01-22T15:16:00Z">
        <w:r>
          <w:t>:</w:t>
        </w:r>
      </w:ins>
      <w:r>
        <w:t> No. 10 of 1998 s. 76.]</w:t>
      </w:r>
    </w:p>
    <w:p>
      <w:pPr>
        <w:pStyle w:val="Heading5"/>
        <w:rPr>
          <w:snapToGrid w:val="0"/>
        </w:rPr>
      </w:pPr>
      <w:bookmarkStart w:id="16" w:name="_Toc472684256"/>
      <w:bookmarkStart w:id="17" w:name="_Toc462751379"/>
      <w:r>
        <w:rPr>
          <w:rStyle w:val="CharSectno"/>
        </w:rPr>
        <w:t>4</w:t>
      </w:r>
      <w:r>
        <w:rPr>
          <w:snapToGrid w:val="0"/>
        </w:rPr>
        <w:t>.</w:t>
      </w:r>
      <w:r>
        <w:rPr>
          <w:snapToGrid w:val="0"/>
        </w:rPr>
        <w:tab/>
        <w:t>Terms used</w:t>
      </w:r>
      <w:bookmarkEnd w:id="16"/>
      <w:bookmarkEnd w:id="1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lastRenderedPageBreak/>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w:t>
      </w:r>
      <w:del w:id="18" w:author="svcMRProcess" w:date="2019-01-22T15:16:00Z">
        <w:r>
          <w:delText xml:space="preserve"> by</w:delText>
        </w:r>
      </w:del>
      <w:ins w:id="19" w:author="svcMRProcess" w:date="2019-01-22T15:16:00Z">
        <w:r>
          <w:t>:</w:t>
        </w:r>
      </w:ins>
      <w:r>
        <w:t xml:space="preserve">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20" w:name="_Toc472684257"/>
      <w:bookmarkStart w:id="21" w:name="_Toc462751380"/>
      <w:r>
        <w:rPr>
          <w:rStyle w:val="CharSectno"/>
        </w:rPr>
        <w:t>4A</w:t>
      </w:r>
      <w:r>
        <w:rPr>
          <w:snapToGrid w:val="0"/>
        </w:rPr>
        <w:t>.</w:t>
      </w:r>
      <w:r>
        <w:rPr>
          <w:snapToGrid w:val="0"/>
        </w:rPr>
        <w:tab/>
        <w:t>Term used: authority</w:t>
      </w:r>
      <w:bookmarkEnd w:id="20"/>
      <w:bookmarkEnd w:id="21"/>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w:t>
      </w:r>
      <w:del w:id="22" w:author="svcMRProcess" w:date="2019-01-22T15:16:00Z">
        <w:r>
          <w:rPr>
            <w:snapToGrid w:val="0"/>
          </w:rPr>
          <w:delText xml:space="preserve"> or</w:delText>
        </w:r>
      </w:del>
      <w:ins w:id="23" w:author="svcMRProcess" w:date="2019-01-22T15:16:00Z">
        <w:r>
          <w:t>,</w:t>
        </w:r>
      </w:ins>
      <w:r>
        <w:t xml:space="preserve"> regional local government</w:t>
      </w:r>
      <w:ins w:id="24" w:author="svcMRProcess" w:date="2019-01-22T15:16:00Z">
        <w:r>
          <w:t xml:space="preserve"> or regional subsidiary</w:t>
        </w:r>
      </w:ins>
      <w:r>
        <w: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w:t>
      </w:r>
      <w:del w:id="25" w:author="svcMRProcess" w:date="2019-01-22T15:16:00Z">
        <w:r>
          <w:delText xml:space="preserve"> by</w:delText>
        </w:r>
      </w:del>
      <w:ins w:id="26" w:author="svcMRProcess" w:date="2019-01-22T15:16:00Z">
        <w:r>
          <w:t>:</w:t>
        </w:r>
      </w:ins>
      <w:r>
        <w:t xml:space="preserve"> No. 78 of 1996 s. 6; amended</w:t>
      </w:r>
      <w:del w:id="27" w:author="svcMRProcess" w:date="2019-01-22T15:16:00Z">
        <w:r>
          <w:delText xml:space="preserve"> by</w:delText>
        </w:r>
      </w:del>
      <w:ins w:id="28" w:author="svcMRProcess" w:date="2019-01-22T15:16:00Z">
        <w:r>
          <w:t>:</w:t>
        </w:r>
      </w:ins>
      <w:r>
        <w:t xml:space="preserve"> No. 47 of 1999 s. 24</w:t>
      </w:r>
      <w:ins w:id="29" w:author="svcMRProcess" w:date="2019-01-22T15:16:00Z">
        <w:r>
          <w:t>; No. 26 of 2016 s. 78</w:t>
        </w:r>
      </w:ins>
      <w:r>
        <w:t>.]</w:t>
      </w:r>
    </w:p>
    <w:p>
      <w:pPr>
        <w:pStyle w:val="Heading2"/>
      </w:pPr>
      <w:bookmarkStart w:id="30" w:name="_Toc441668303"/>
      <w:bookmarkStart w:id="31" w:name="_Toc446320696"/>
      <w:bookmarkStart w:id="32" w:name="_Toc462730922"/>
      <w:bookmarkStart w:id="33" w:name="_Toc462751381"/>
      <w:bookmarkStart w:id="34" w:name="_Toc472678883"/>
      <w:bookmarkStart w:id="35" w:name="_Toc472684258"/>
      <w:r>
        <w:rPr>
          <w:rStyle w:val="CharPartNo"/>
        </w:rPr>
        <w:t>Part II</w:t>
      </w:r>
      <w:r>
        <w:rPr>
          <w:rStyle w:val="CharDivNo"/>
        </w:rPr>
        <w:t> </w:t>
      </w:r>
      <w:r>
        <w:t>—</w:t>
      </w:r>
      <w:r>
        <w:rPr>
          <w:rStyle w:val="CharDivText"/>
        </w:rPr>
        <w:t> </w:t>
      </w:r>
      <w:r>
        <w:rPr>
          <w:rStyle w:val="CharPartText"/>
        </w:rPr>
        <w:t>The Parliamentary Commissioner for Administrative Investigations</w:t>
      </w:r>
      <w:bookmarkEnd w:id="30"/>
      <w:bookmarkEnd w:id="31"/>
      <w:bookmarkEnd w:id="32"/>
      <w:bookmarkEnd w:id="33"/>
      <w:bookmarkEnd w:id="34"/>
      <w:bookmarkEnd w:id="35"/>
    </w:p>
    <w:p>
      <w:pPr>
        <w:pStyle w:val="Heading5"/>
        <w:rPr>
          <w:snapToGrid w:val="0"/>
        </w:rPr>
      </w:pPr>
      <w:bookmarkStart w:id="36" w:name="_Toc472684259"/>
      <w:bookmarkStart w:id="37" w:name="_Toc462751382"/>
      <w:r>
        <w:rPr>
          <w:rStyle w:val="CharSectno"/>
        </w:rPr>
        <w:t>5</w:t>
      </w:r>
      <w:r>
        <w:rPr>
          <w:snapToGrid w:val="0"/>
        </w:rPr>
        <w:t>.</w:t>
      </w:r>
      <w:r>
        <w:rPr>
          <w:snapToGrid w:val="0"/>
        </w:rPr>
        <w:tab/>
        <w:t>Commissioner and Deputy Commissioner, appointment of etc.</w:t>
      </w:r>
      <w:bookmarkEnd w:id="36"/>
      <w:bookmarkEnd w:id="37"/>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w:t>
      </w:r>
      <w:del w:id="38" w:author="svcMRProcess" w:date="2019-01-22T15:16:00Z">
        <w:r>
          <w:delText xml:space="preserve"> by</w:delText>
        </w:r>
      </w:del>
      <w:ins w:id="39" w:author="svcMRProcess" w:date="2019-01-22T15:16:00Z">
        <w:r>
          <w:t>:</w:t>
        </w:r>
      </w:ins>
      <w:r>
        <w:t xml:space="preserve"> No. 13 of 1982 s. 3; No. 6 of 1993 s. 11; No. 49 of 1996 s. 64; No. 78 of 1996 s. 7; No. 10 of 1998 s. 57(1); No. 77 of 2006 s. 4.]</w:t>
      </w:r>
    </w:p>
    <w:p>
      <w:pPr>
        <w:pStyle w:val="Heading5"/>
        <w:spacing w:before="180"/>
        <w:rPr>
          <w:snapToGrid w:val="0"/>
        </w:rPr>
      </w:pPr>
      <w:bookmarkStart w:id="40" w:name="_Toc472684260"/>
      <w:bookmarkStart w:id="41" w:name="_Toc462751383"/>
      <w:r>
        <w:rPr>
          <w:rStyle w:val="CharSectno"/>
        </w:rPr>
        <w:t>6</w:t>
      </w:r>
      <w:r>
        <w:rPr>
          <w:snapToGrid w:val="0"/>
        </w:rPr>
        <w:t>.</w:t>
      </w:r>
      <w:r>
        <w:rPr>
          <w:snapToGrid w:val="0"/>
        </w:rPr>
        <w:tab/>
        <w:t>Removal or suspension of Commissioner or Deputy Commissioner</w:t>
      </w:r>
      <w:bookmarkEnd w:id="40"/>
      <w:bookmarkEnd w:id="41"/>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w:t>
      </w:r>
      <w:del w:id="42" w:author="svcMRProcess" w:date="2019-01-22T15:16:00Z">
        <w:r>
          <w:delText xml:space="preserve"> by</w:delText>
        </w:r>
      </w:del>
      <w:ins w:id="43" w:author="svcMRProcess" w:date="2019-01-22T15:16:00Z">
        <w:r>
          <w:t>:</w:t>
        </w:r>
      </w:ins>
      <w:r>
        <w:t xml:space="preserve"> No. 13 of 1982 s. 4; No. 18 of 2009 s. 62.]</w:t>
      </w:r>
    </w:p>
    <w:p>
      <w:pPr>
        <w:pStyle w:val="Heading5"/>
        <w:rPr>
          <w:snapToGrid w:val="0"/>
        </w:rPr>
      </w:pPr>
      <w:bookmarkStart w:id="44" w:name="_Toc472684261"/>
      <w:bookmarkStart w:id="45" w:name="_Toc462751384"/>
      <w:r>
        <w:rPr>
          <w:rStyle w:val="CharSectno"/>
        </w:rPr>
        <w:t>6A</w:t>
      </w:r>
      <w:r>
        <w:rPr>
          <w:snapToGrid w:val="0"/>
        </w:rPr>
        <w:t>.</w:t>
      </w:r>
      <w:r>
        <w:rPr>
          <w:snapToGrid w:val="0"/>
        </w:rPr>
        <w:tab/>
        <w:t>Deputy Parliamentary Commissioner, functions of</w:t>
      </w:r>
      <w:bookmarkEnd w:id="44"/>
      <w:bookmarkEnd w:id="45"/>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w:t>
      </w:r>
      <w:del w:id="46" w:author="svcMRProcess" w:date="2019-01-22T15:16:00Z">
        <w:r>
          <w:delText xml:space="preserve"> by</w:delText>
        </w:r>
      </w:del>
      <w:ins w:id="47" w:author="svcMRProcess" w:date="2019-01-22T15:16:00Z">
        <w:r>
          <w:t>:</w:t>
        </w:r>
      </w:ins>
      <w:r>
        <w:t xml:space="preserve"> No. 13 of 1982 s. 5.]</w:t>
      </w:r>
    </w:p>
    <w:p>
      <w:pPr>
        <w:pStyle w:val="Heading5"/>
        <w:rPr>
          <w:snapToGrid w:val="0"/>
        </w:rPr>
      </w:pPr>
      <w:bookmarkStart w:id="48" w:name="_Toc472684262"/>
      <w:bookmarkStart w:id="49" w:name="_Toc462751385"/>
      <w:r>
        <w:rPr>
          <w:rStyle w:val="CharSectno"/>
        </w:rPr>
        <w:t>7</w:t>
      </w:r>
      <w:r>
        <w:rPr>
          <w:snapToGrid w:val="0"/>
        </w:rPr>
        <w:t>.</w:t>
      </w:r>
      <w:r>
        <w:rPr>
          <w:snapToGrid w:val="0"/>
        </w:rPr>
        <w:tab/>
        <w:t>Acting Parliamentary Commissioner, appointment of etc.</w:t>
      </w:r>
      <w:bookmarkEnd w:id="48"/>
      <w:bookmarkEnd w:id="49"/>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w:t>
      </w:r>
      <w:del w:id="50" w:author="svcMRProcess" w:date="2019-01-22T15:16:00Z">
        <w:r>
          <w:delText xml:space="preserve"> by</w:delText>
        </w:r>
      </w:del>
      <w:ins w:id="51" w:author="svcMRProcess" w:date="2019-01-22T15:16:00Z">
        <w:r>
          <w:t>:</w:t>
        </w:r>
      </w:ins>
      <w:r>
        <w:t xml:space="preserve"> No. 13 of 1982 s. 6.]</w:t>
      </w:r>
    </w:p>
    <w:p>
      <w:pPr>
        <w:pStyle w:val="Heading5"/>
        <w:rPr>
          <w:snapToGrid w:val="0"/>
        </w:rPr>
      </w:pPr>
      <w:bookmarkStart w:id="52" w:name="_Toc472684263"/>
      <w:bookmarkStart w:id="53" w:name="_Toc462751386"/>
      <w:r>
        <w:rPr>
          <w:rStyle w:val="CharSectno"/>
        </w:rPr>
        <w:t>8</w:t>
      </w:r>
      <w:r>
        <w:rPr>
          <w:snapToGrid w:val="0"/>
        </w:rPr>
        <w:t>.</w:t>
      </w:r>
      <w:r>
        <w:rPr>
          <w:snapToGrid w:val="0"/>
        </w:rPr>
        <w:tab/>
        <w:t>Oath or affirmation of Commissioner, Deputy Commissioner and Acting Commissioner</w:t>
      </w:r>
      <w:bookmarkEnd w:id="52"/>
      <w:bookmarkEnd w:id="53"/>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w:t>
      </w:r>
      <w:del w:id="54" w:author="svcMRProcess" w:date="2019-01-22T15:16:00Z">
        <w:r>
          <w:delText xml:space="preserve"> by</w:delText>
        </w:r>
      </w:del>
      <w:ins w:id="55" w:author="svcMRProcess" w:date="2019-01-22T15:16:00Z">
        <w:r>
          <w:t>:</w:t>
        </w:r>
      </w:ins>
      <w:r>
        <w:t xml:space="preserve"> No. 68 of 1976 s. 2; No. 13 of 1982 s. 7.]</w:t>
      </w:r>
    </w:p>
    <w:p>
      <w:pPr>
        <w:pStyle w:val="Heading5"/>
        <w:rPr>
          <w:snapToGrid w:val="0"/>
        </w:rPr>
      </w:pPr>
      <w:bookmarkStart w:id="56" w:name="_Toc472684264"/>
      <w:bookmarkStart w:id="57" w:name="_Toc462751387"/>
      <w:r>
        <w:rPr>
          <w:rStyle w:val="CharSectno"/>
        </w:rPr>
        <w:t>9</w:t>
      </w:r>
      <w:r>
        <w:rPr>
          <w:snapToGrid w:val="0"/>
        </w:rPr>
        <w:t>.</w:t>
      </w:r>
      <w:r>
        <w:rPr>
          <w:snapToGrid w:val="0"/>
        </w:rPr>
        <w:tab/>
        <w:t>Staff of Commissioner</w:t>
      </w:r>
      <w:bookmarkEnd w:id="56"/>
      <w:bookmarkEnd w:id="57"/>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w:t>
      </w:r>
      <w:del w:id="58" w:author="svcMRProcess" w:date="2019-01-22T15:16:00Z">
        <w:r>
          <w:delText xml:space="preserve"> by</w:delText>
        </w:r>
      </w:del>
      <w:ins w:id="59" w:author="svcMRProcess" w:date="2019-01-22T15:16:00Z">
        <w:r>
          <w:t>:</w:t>
        </w:r>
      </w:ins>
      <w:r>
        <w:t xml:space="preserve"> No. 74 of 2003 s. 91(3), (4), (6), (8) and (9); No. 10 of 2009 s. 6.]</w:t>
      </w:r>
    </w:p>
    <w:p>
      <w:pPr>
        <w:pStyle w:val="Heading5"/>
        <w:spacing w:before="200"/>
        <w:rPr>
          <w:snapToGrid w:val="0"/>
        </w:rPr>
      </w:pPr>
      <w:bookmarkStart w:id="60" w:name="_Toc472684265"/>
      <w:bookmarkStart w:id="61" w:name="_Toc462751388"/>
      <w:r>
        <w:rPr>
          <w:rStyle w:val="CharSectno"/>
        </w:rPr>
        <w:t>10</w:t>
      </w:r>
      <w:r>
        <w:rPr>
          <w:snapToGrid w:val="0"/>
        </w:rPr>
        <w:t>.</w:t>
      </w:r>
      <w:r>
        <w:rPr>
          <w:snapToGrid w:val="0"/>
        </w:rPr>
        <w:tab/>
        <w:t>Other provisions as to Commissioner and other officers</w:t>
      </w:r>
      <w:bookmarkEnd w:id="60"/>
      <w:bookmarkEnd w:id="61"/>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w:t>
      </w:r>
      <w:del w:id="62" w:author="svcMRProcess" w:date="2019-01-22T15:16:00Z">
        <w:r>
          <w:delText xml:space="preserve"> by</w:delText>
        </w:r>
      </w:del>
      <w:ins w:id="63" w:author="svcMRProcess" w:date="2019-01-22T15:16:00Z">
        <w:r>
          <w:t>:</w:t>
        </w:r>
      </w:ins>
      <w:r>
        <w:t xml:space="preserve"> No. 68 of 1976 s. 3; No. 13 of 1982 s. 8; No. 32 of 1994 s. 19; No. 78 of 1996 s. 8; No. 74 of 2003 s. 91(10) and (11).]</w:t>
      </w:r>
    </w:p>
    <w:p>
      <w:pPr>
        <w:pStyle w:val="Heading5"/>
        <w:rPr>
          <w:snapToGrid w:val="0"/>
        </w:rPr>
      </w:pPr>
      <w:bookmarkStart w:id="64" w:name="_Toc472684266"/>
      <w:bookmarkStart w:id="65" w:name="_Toc462751389"/>
      <w:r>
        <w:rPr>
          <w:rStyle w:val="CharSectno"/>
        </w:rPr>
        <w:t>11</w:t>
      </w:r>
      <w:r>
        <w:rPr>
          <w:snapToGrid w:val="0"/>
        </w:rPr>
        <w:t>.</w:t>
      </w:r>
      <w:r>
        <w:rPr>
          <w:snapToGrid w:val="0"/>
        </w:rPr>
        <w:tab/>
        <w:t>Delegation by Commissioner</w:t>
      </w:r>
      <w:bookmarkEnd w:id="64"/>
      <w:bookmarkEnd w:id="65"/>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w:t>
      </w:r>
      <w:del w:id="66" w:author="svcMRProcess" w:date="2019-01-22T15:16:00Z">
        <w:r>
          <w:delText xml:space="preserve"> by</w:delText>
        </w:r>
      </w:del>
      <w:ins w:id="67" w:author="svcMRProcess" w:date="2019-01-22T15:16:00Z">
        <w:r>
          <w:t>:</w:t>
        </w:r>
      </w:ins>
      <w:r>
        <w:t xml:space="preserve"> No. 124 of 1984 s. 3; No. 74 of 2003 s. 91(12).]</w:t>
      </w:r>
    </w:p>
    <w:p>
      <w:pPr>
        <w:pStyle w:val="Heading5"/>
        <w:spacing w:before="200"/>
        <w:rPr>
          <w:snapToGrid w:val="0"/>
        </w:rPr>
      </w:pPr>
      <w:bookmarkStart w:id="68" w:name="_Toc472684267"/>
      <w:bookmarkStart w:id="69" w:name="_Toc462751390"/>
      <w:r>
        <w:rPr>
          <w:rStyle w:val="CharSectno"/>
        </w:rPr>
        <w:t>12</w:t>
      </w:r>
      <w:r>
        <w:rPr>
          <w:snapToGrid w:val="0"/>
        </w:rPr>
        <w:t>.</w:t>
      </w:r>
      <w:r>
        <w:rPr>
          <w:snapToGrid w:val="0"/>
        </w:rPr>
        <w:tab/>
        <w:t>Rules of Parliament</w:t>
      </w:r>
      <w:bookmarkEnd w:id="68"/>
      <w:bookmarkEnd w:id="69"/>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w:t>
      </w:r>
      <w:del w:id="70" w:author="svcMRProcess" w:date="2019-01-22T15:16:00Z">
        <w:r>
          <w:delText xml:space="preserve"> by</w:delText>
        </w:r>
      </w:del>
      <w:ins w:id="71" w:author="svcMRProcess" w:date="2019-01-22T15:16:00Z">
        <w:r>
          <w:t>:</w:t>
        </w:r>
      </w:ins>
      <w:r>
        <w:t xml:space="preserve"> No. 78 of 1996 s. 9.]</w:t>
      </w:r>
    </w:p>
    <w:p>
      <w:pPr>
        <w:pStyle w:val="Heading2"/>
      </w:pPr>
      <w:bookmarkStart w:id="72" w:name="_Toc441668313"/>
      <w:bookmarkStart w:id="73" w:name="_Toc446320706"/>
      <w:bookmarkStart w:id="74" w:name="_Toc462730932"/>
      <w:bookmarkStart w:id="75" w:name="_Toc462751391"/>
      <w:bookmarkStart w:id="76" w:name="_Toc472678893"/>
      <w:bookmarkStart w:id="77" w:name="_Toc472684268"/>
      <w:r>
        <w:rPr>
          <w:rStyle w:val="CharPartNo"/>
        </w:rPr>
        <w:t>Part III</w:t>
      </w:r>
      <w:r>
        <w:t> — </w:t>
      </w:r>
      <w:r>
        <w:rPr>
          <w:rStyle w:val="CharPartText"/>
        </w:rPr>
        <w:t>Jurisdiction and functions of the Commissioner</w:t>
      </w:r>
      <w:bookmarkEnd w:id="72"/>
      <w:bookmarkEnd w:id="73"/>
      <w:bookmarkEnd w:id="74"/>
      <w:bookmarkEnd w:id="75"/>
      <w:bookmarkEnd w:id="76"/>
      <w:bookmarkEnd w:id="77"/>
    </w:p>
    <w:p>
      <w:pPr>
        <w:pStyle w:val="Heading3"/>
      </w:pPr>
      <w:bookmarkStart w:id="78" w:name="_Toc441668314"/>
      <w:bookmarkStart w:id="79" w:name="_Toc446320707"/>
      <w:bookmarkStart w:id="80" w:name="_Toc462730933"/>
      <w:bookmarkStart w:id="81" w:name="_Toc462751392"/>
      <w:bookmarkStart w:id="82" w:name="_Toc472678894"/>
      <w:bookmarkStart w:id="83" w:name="_Toc472684269"/>
      <w:r>
        <w:rPr>
          <w:rStyle w:val="CharDivNo"/>
        </w:rPr>
        <w:t>Division 1</w:t>
      </w:r>
      <w:r>
        <w:rPr>
          <w:snapToGrid w:val="0"/>
        </w:rPr>
        <w:t> — </w:t>
      </w:r>
      <w:r>
        <w:rPr>
          <w:rStyle w:val="CharDivText"/>
        </w:rPr>
        <w:t>Extent of jurisdiction</w:t>
      </w:r>
      <w:bookmarkEnd w:id="78"/>
      <w:bookmarkEnd w:id="79"/>
      <w:bookmarkEnd w:id="80"/>
      <w:bookmarkEnd w:id="81"/>
      <w:bookmarkEnd w:id="82"/>
      <w:bookmarkEnd w:id="83"/>
    </w:p>
    <w:p>
      <w:pPr>
        <w:pStyle w:val="Heading5"/>
        <w:rPr>
          <w:snapToGrid w:val="0"/>
        </w:rPr>
      </w:pPr>
      <w:bookmarkStart w:id="84" w:name="_Toc472684270"/>
      <w:bookmarkStart w:id="85" w:name="_Toc462751393"/>
      <w:r>
        <w:rPr>
          <w:rStyle w:val="CharSectno"/>
        </w:rPr>
        <w:t>13</w:t>
      </w:r>
      <w:r>
        <w:rPr>
          <w:snapToGrid w:val="0"/>
        </w:rPr>
        <w:t>.</w:t>
      </w:r>
      <w:r>
        <w:rPr>
          <w:snapToGrid w:val="0"/>
        </w:rPr>
        <w:tab/>
        <w:t>Departments and authorities subject to investigation</w:t>
      </w:r>
      <w:bookmarkEnd w:id="84"/>
      <w:bookmarkEnd w:id="85"/>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w:t>
      </w:r>
      <w:del w:id="86" w:author="svcMRProcess" w:date="2019-01-22T15:16:00Z">
        <w:r>
          <w:delText xml:space="preserve"> by</w:delText>
        </w:r>
      </w:del>
      <w:ins w:id="87" w:author="svcMRProcess" w:date="2019-01-22T15:16:00Z">
        <w:r>
          <w:t>:</w:t>
        </w:r>
      </w:ins>
      <w:r>
        <w:t xml:space="preserve"> No. 13 of 1982 s. 9; No. 14 of 1994 s. 19(1); No. 29 of 1996 s. 26; No. 78 of 1996 s. 10 and 21; No. 41 of 1997 s. 34; No. 47 of 1999 s. 25; No. 55 of 2004 s. 1325; No. 59 of 2004 s. 141.]</w:t>
      </w:r>
    </w:p>
    <w:p>
      <w:pPr>
        <w:pStyle w:val="Heading5"/>
        <w:rPr>
          <w:snapToGrid w:val="0"/>
        </w:rPr>
      </w:pPr>
      <w:bookmarkStart w:id="88" w:name="_Toc472684271"/>
      <w:bookmarkStart w:id="89" w:name="_Toc462751394"/>
      <w:r>
        <w:rPr>
          <w:rStyle w:val="CharSectno"/>
        </w:rPr>
        <w:t>14</w:t>
      </w:r>
      <w:r>
        <w:rPr>
          <w:snapToGrid w:val="0"/>
        </w:rPr>
        <w:t>.</w:t>
      </w:r>
      <w:r>
        <w:rPr>
          <w:snapToGrid w:val="0"/>
        </w:rPr>
        <w:tab/>
        <w:t>Matters subject to investigation</w:t>
      </w:r>
      <w:bookmarkEnd w:id="88"/>
      <w:bookmarkEnd w:id="89"/>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w:t>
      </w:r>
      <w:del w:id="90" w:author="svcMRProcess" w:date="2019-01-22T15:16:00Z">
        <w:r>
          <w:delText xml:space="preserve"> by</w:delText>
        </w:r>
      </w:del>
      <w:ins w:id="91" w:author="svcMRProcess" w:date="2019-01-22T15:16:00Z">
        <w:r>
          <w:t>:</w:t>
        </w:r>
      </w:ins>
      <w:r>
        <w:t xml:space="preserve"> No. 68 of 1976 s. 4; No. 124 of 1984 s. 4; No. 78 of 1996 s. 21; No. 78 of 2003 s. 72(1).]</w:t>
      </w:r>
    </w:p>
    <w:p>
      <w:pPr>
        <w:pStyle w:val="Heading3"/>
        <w:spacing w:before="300"/>
      </w:pPr>
      <w:bookmarkStart w:id="92" w:name="_Toc441668317"/>
      <w:bookmarkStart w:id="93" w:name="_Toc446320710"/>
      <w:bookmarkStart w:id="94" w:name="_Toc462730936"/>
      <w:bookmarkStart w:id="95" w:name="_Toc462751395"/>
      <w:bookmarkStart w:id="96" w:name="_Toc472678897"/>
      <w:bookmarkStart w:id="97" w:name="_Toc472684272"/>
      <w:r>
        <w:rPr>
          <w:rStyle w:val="CharDivNo"/>
        </w:rPr>
        <w:t>Division 2</w:t>
      </w:r>
      <w:r>
        <w:rPr>
          <w:snapToGrid w:val="0"/>
        </w:rPr>
        <w:t> — </w:t>
      </w:r>
      <w:r>
        <w:rPr>
          <w:rStyle w:val="CharDivText"/>
        </w:rPr>
        <w:t>Initiation of investigations</w:t>
      </w:r>
      <w:bookmarkEnd w:id="92"/>
      <w:bookmarkEnd w:id="93"/>
      <w:bookmarkEnd w:id="94"/>
      <w:bookmarkEnd w:id="95"/>
      <w:bookmarkEnd w:id="96"/>
      <w:bookmarkEnd w:id="97"/>
    </w:p>
    <w:p>
      <w:pPr>
        <w:pStyle w:val="Heading5"/>
        <w:rPr>
          <w:snapToGrid w:val="0"/>
        </w:rPr>
      </w:pPr>
      <w:bookmarkStart w:id="98" w:name="_Toc472684273"/>
      <w:bookmarkStart w:id="99" w:name="_Toc462751396"/>
      <w:r>
        <w:rPr>
          <w:rStyle w:val="CharSectno"/>
        </w:rPr>
        <w:t>15</w:t>
      </w:r>
      <w:r>
        <w:rPr>
          <w:snapToGrid w:val="0"/>
        </w:rPr>
        <w:t>.</w:t>
      </w:r>
      <w:r>
        <w:rPr>
          <w:snapToGrid w:val="0"/>
        </w:rPr>
        <w:tab/>
        <w:t>Investigations on reference by Parliament</w:t>
      </w:r>
      <w:bookmarkEnd w:id="98"/>
      <w:bookmarkEnd w:id="99"/>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w:t>
      </w:r>
      <w:del w:id="100" w:author="svcMRProcess" w:date="2019-01-22T15:16:00Z">
        <w:r>
          <w:delText xml:space="preserve"> by</w:delText>
        </w:r>
      </w:del>
      <w:ins w:id="101" w:author="svcMRProcess" w:date="2019-01-22T15:16:00Z">
        <w:r>
          <w:t>:</w:t>
        </w:r>
      </w:ins>
      <w:r>
        <w:t xml:space="preserve"> No. 68 of 1976 s. 5.]</w:t>
      </w:r>
    </w:p>
    <w:p>
      <w:pPr>
        <w:pStyle w:val="Heading5"/>
        <w:rPr>
          <w:snapToGrid w:val="0"/>
        </w:rPr>
      </w:pPr>
      <w:bookmarkStart w:id="102" w:name="_Toc472684274"/>
      <w:bookmarkStart w:id="103" w:name="_Toc462751397"/>
      <w:r>
        <w:rPr>
          <w:rStyle w:val="CharSectno"/>
        </w:rPr>
        <w:t>16</w:t>
      </w:r>
      <w:r>
        <w:rPr>
          <w:snapToGrid w:val="0"/>
        </w:rPr>
        <w:t>.</w:t>
      </w:r>
      <w:r>
        <w:rPr>
          <w:snapToGrid w:val="0"/>
        </w:rPr>
        <w:tab/>
        <w:t>Initiation of investigations</w:t>
      </w:r>
      <w:bookmarkEnd w:id="102"/>
      <w:bookmarkEnd w:id="103"/>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104" w:name="_Toc472684275"/>
      <w:bookmarkStart w:id="105" w:name="_Toc462751398"/>
      <w:r>
        <w:rPr>
          <w:rStyle w:val="CharSectno"/>
        </w:rPr>
        <w:t>17</w:t>
      </w:r>
      <w:r>
        <w:rPr>
          <w:snapToGrid w:val="0"/>
        </w:rPr>
        <w:t>.</w:t>
      </w:r>
      <w:r>
        <w:rPr>
          <w:snapToGrid w:val="0"/>
        </w:rPr>
        <w:tab/>
        <w:t>Complaints to Commissioner</w:t>
      </w:r>
      <w:bookmarkEnd w:id="104"/>
      <w:bookmarkEnd w:id="105"/>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w:t>
      </w:r>
      <w:del w:id="106" w:author="svcMRProcess" w:date="2019-01-22T15:16:00Z">
        <w:r>
          <w:delText xml:space="preserve"> by</w:delText>
        </w:r>
      </w:del>
      <w:ins w:id="107" w:author="svcMRProcess" w:date="2019-01-22T15:16:00Z">
        <w:r>
          <w:t>:</w:t>
        </w:r>
      </w:ins>
      <w:r>
        <w:t xml:space="preserve"> No. 124 of 1984 s. 5; No. 78 of 1996 s. 11.]</w:t>
      </w:r>
    </w:p>
    <w:p>
      <w:pPr>
        <w:pStyle w:val="Heading5"/>
        <w:rPr>
          <w:snapToGrid w:val="0"/>
        </w:rPr>
      </w:pPr>
      <w:bookmarkStart w:id="108" w:name="_Toc472684276"/>
      <w:bookmarkStart w:id="109" w:name="_Toc462751399"/>
      <w:r>
        <w:rPr>
          <w:rStyle w:val="CharSectno"/>
        </w:rPr>
        <w:t>17A</w:t>
      </w:r>
      <w:r>
        <w:rPr>
          <w:snapToGrid w:val="0"/>
        </w:rPr>
        <w:t>.</w:t>
      </w:r>
      <w:r>
        <w:rPr>
          <w:snapToGrid w:val="0"/>
        </w:rPr>
        <w:tab/>
        <w:t>Complaints by persons in custody</w:t>
      </w:r>
      <w:bookmarkEnd w:id="108"/>
      <w:bookmarkEnd w:id="109"/>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w:t>
      </w:r>
      <w:del w:id="110" w:author="svcMRProcess" w:date="2019-01-22T15:16:00Z">
        <w:r>
          <w:delText xml:space="preserve"> by</w:delText>
        </w:r>
      </w:del>
      <w:ins w:id="111" w:author="svcMRProcess" w:date="2019-01-22T15:16:00Z">
        <w:r>
          <w:t>:</w:t>
        </w:r>
      </w:ins>
      <w:r>
        <w:t xml:space="preserve"> No. 124 of 1984 s. 6; amended</w:t>
      </w:r>
      <w:del w:id="112" w:author="svcMRProcess" w:date="2019-01-22T15:16:00Z">
        <w:r>
          <w:delText xml:space="preserve"> by</w:delText>
        </w:r>
      </w:del>
      <w:ins w:id="113" w:author="svcMRProcess" w:date="2019-01-22T15:16:00Z">
        <w:r>
          <w:t>:</w:t>
        </w:r>
      </w:ins>
      <w:r>
        <w:t xml:space="preserve"> No. 47 of 1987 s. 26; No. 113 of 1987 s. 31; No. 78 of 1996 s. 12; No. 47 of 1999 s. 26; No. 25 of 2014 s. 75; No. 4 of 2015 s. 87(3).]</w:t>
      </w:r>
    </w:p>
    <w:p>
      <w:pPr>
        <w:pStyle w:val="Heading5"/>
        <w:rPr>
          <w:snapToGrid w:val="0"/>
        </w:rPr>
      </w:pPr>
      <w:bookmarkStart w:id="114" w:name="_Toc472684277"/>
      <w:bookmarkStart w:id="115" w:name="_Toc462751400"/>
      <w:r>
        <w:rPr>
          <w:rStyle w:val="CharSectno"/>
        </w:rPr>
        <w:t>18</w:t>
      </w:r>
      <w:r>
        <w:rPr>
          <w:snapToGrid w:val="0"/>
        </w:rPr>
        <w:t>.</w:t>
      </w:r>
      <w:r>
        <w:rPr>
          <w:snapToGrid w:val="0"/>
        </w:rPr>
        <w:tab/>
        <w:t>Refusal to investigate complaints</w:t>
      </w:r>
      <w:bookmarkEnd w:id="114"/>
      <w:bookmarkEnd w:id="11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116" w:name="_Toc441668323"/>
      <w:bookmarkStart w:id="117" w:name="_Toc446320716"/>
      <w:bookmarkStart w:id="118" w:name="_Toc462730942"/>
      <w:bookmarkStart w:id="119" w:name="_Toc462751401"/>
      <w:bookmarkStart w:id="120" w:name="_Toc472678903"/>
      <w:bookmarkStart w:id="121" w:name="_Toc472684278"/>
      <w:r>
        <w:rPr>
          <w:rStyle w:val="CharDivNo"/>
        </w:rPr>
        <w:t>Division 3A</w:t>
      </w:r>
      <w:r>
        <w:t> — </w:t>
      </w:r>
      <w:r>
        <w:rPr>
          <w:rStyle w:val="CharDivText"/>
        </w:rPr>
        <w:t>Deaths of certain children</w:t>
      </w:r>
      <w:bookmarkEnd w:id="116"/>
      <w:bookmarkEnd w:id="117"/>
      <w:bookmarkEnd w:id="118"/>
      <w:bookmarkEnd w:id="119"/>
      <w:bookmarkEnd w:id="120"/>
      <w:bookmarkEnd w:id="121"/>
    </w:p>
    <w:p>
      <w:pPr>
        <w:pStyle w:val="Footnoteheading"/>
      </w:pPr>
      <w:r>
        <w:tab/>
        <w:t>[Heading inserted</w:t>
      </w:r>
      <w:del w:id="122" w:author="svcMRProcess" w:date="2019-01-22T15:16:00Z">
        <w:r>
          <w:delText xml:space="preserve"> by</w:delText>
        </w:r>
      </w:del>
      <w:ins w:id="123" w:author="svcMRProcess" w:date="2019-01-22T15:16:00Z">
        <w:r>
          <w:t>:</w:t>
        </w:r>
      </w:ins>
      <w:r>
        <w:t xml:space="preserve"> No. 10 of 2009 s. 7.]</w:t>
      </w:r>
    </w:p>
    <w:p>
      <w:pPr>
        <w:pStyle w:val="Heading5"/>
      </w:pPr>
      <w:bookmarkStart w:id="124" w:name="_Toc472684279"/>
      <w:bookmarkStart w:id="125" w:name="_Toc462751402"/>
      <w:r>
        <w:rPr>
          <w:rStyle w:val="CharSectno"/>
        </w:rPr>
        <w:t>19A</w:t>
      </w:r>
      <w:r>
        <w:t>.</w:t>
      </w:r>
      <w:r>
        <w:tab/>
        <w:t>Terms used</w:t>
      </w:r>
      <w:bookmarkEnd w:id="124"/>
      <w:bookmarkEnd w:id="125"/>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w:t>
      </w:r>
      <w:del w:id="126" w:author="svcMRProcess" w:date="2019-01-22T15:16:00Z">
        <w:r>
          <w:delText xml:space="preserve"> by</w:delText>
        </w:r>
      </w:del>
      <w:ins w:id="127" w:author="svcMRProcess" w:date="2019-01-22T15:16:00Z">
        <w:r>
          <w:t>:</w:t>
        </w:r>
      </w:ins>
      <w:r>
        <w:t xml:space="preserve"> No. 10 of 2009 s. 7.]</w:t>
      </w:r>
    </w:p>
    <w:p>
      <w:pPr>
        <w:pStyle w:val="Heading5"/>
      </w:pPr>
      <w:bookmarkStart w:id="128" w:name="_Toc472684280"/>
      <w:bookmarkStart w:id="129" w:name="_Toc462751403"/>
      <w:r>
        <w:rPr>
          <w:rStyle w:val="CharSectno"/>
        </w:rPr>
        <w:t>19B</w:t>
      </w:r>
      <w:r>
        <w:t>.</w:t>
      </w:r>
      <w:r>
        <w:tab/>
        <w:t>Functions as to investigable deaths</w:t>
      </w:r>
      <w:bookmarkEnd w:id="128"/>
      <w:bookmarkEnd w:id="129"/>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w:t>
      </w:r>
      <w:del w:id="130" w:author="svcMRProcess" w:date="2019-01-22T15:16:00Z">
        <w:r>
          <w:delText xml:space="preserve"> by</w:delText>
        </w:r>
      </w:del>
      <w:ins w:id="131" w:author="svcMRProcess" w:date="2019-01-22T15:16:00Z">
        <w:r>
          <w:t>:</w:t>
        </w:r>
      </w:ins>
      <w:r>
        <w:t xml:space="preserve"> No. 10 of 2009 s. 7.]</w:t>
      </w:r>
    </w:p>
    <w:p>
      <w:pPr>
        <w:pStyle w:val="Heading3"/>
        <w:spacing w:before="340"/>
      </w:pPr>
      <w:bookmarkStart w:id="132" w:name="_Toc441668326"/>
      <w:bookmarkStart w:id="133" w:name="_Toc446320719"/>
      <w:bookmarkStart w:id="134" w:name="_Toc462730945"/>
      <w:bookmarkStart w:id="135" w:name="_Toc462751404"/>
      <w:bookmarkStart w:id="136" w:name="_Toc472678906"/>
      <w:bookmarkStart w:id="137" w:name="_Toc472684281"/>
      <w:r>
        <w:rPr>
          <w:rStyle w:val="CharDivNo"/>
        </w:rPr>
        <w:t>Division 3</w:t>
      </w:r>
      <w:r>
        <w:rPr>
          <w:snapToGrid w:val="0"/>
        </w:rPr>
        <w:t> — </w:t>
      </w:r>
      <w:r>
        <w:rPr>
          <w:rStyle w:val="CharDivText"/>
        </w:rPr>
        <w:t>Conduct of investigations</w:t>
      </w:r>
      <w:bookmarkEnd w:id="132"/>
      <w:bookmarkEnd w:id="133"/>
      <w:bookmarkEnd w:id="134"/>
      <w:bookmarkEnd w:id="135"/>
      <w:bookmarkEnd w:id="136"/>
      <w:bookmarkEnd w:id="137"/>
    </w:p>
    <w:p>
      <w:pPr>
        <w:pStyle w:val="Heading5"/>
        <w:spacing w:before="240"/>
        <w:rPr>
          <w:snapToGrid w:val="0"/>
        </w:rPr>
      </w:pPr>
      <w:bookmarkStart w:id="138" w:name="_Toc472684282"/>
      <w:bookmarkStart w:id="139" w:name="_Toc462751405"/>
      <w:r>
        <w:rPr>
          <w:rStyle w:val="CharSectno"/>
        </w:rPr>
        <w:t>19</w:t>
      </w:r>
      <w:r>
        <w:rPr>
          <w:snapToGrid w:val="0"/>
        </w:rPr>
        <w:t>.</w:t>
      </w:r>
      <w:r>
        <w:rPr>
          <w:snapToGrid w:val="0"/>
        </w:rPr>
        <w:tab/>
        <w:t>Proceedings on investigations</w:t>
      </w:r>
      <w:bookmarkEnd w:id="138"/>
      <w:bookmarkEnd w:id="139"/>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w:t>
      </w:r>
      <w:del w:id="140" w:author="svcMRProcess" w:date="2019-01-22T15:16:00Z">
        <w:r>
          <w:delText xml:space="preserve"> by</w:delText>
        </w:r>
      </w:del>
      <w:ins w:id="141" w:author="svcMRProcess" w:date="2019-01-22T15:16:00Z">
        <w:r>
          <w:t>:</w:t>
        </w:r>
      </w:ins>
      <w:r>
        <w:t xml:space="preserve"> No. 78 of 1996 s. 13 and 21; No. 43 of 1999 s. 20; No. 47 of 1999 s. 27; No. 4 of 2015 s. 87(4).]</w:t>
      </w:r>
    </w:p>
    <w:p>
      <w:pPr>
        <w:pStyle w:val="Heading5"/>
        <w:rPr>
          <w:snapToGrid w:val="0"/>
        </w:rPr>
      </w:pPr>
      <w:bookmarkStart w:id="142" w:name="_Toc472684283"/>
      <w:bookmarkStart w:id="143" w:name="_Toc462751406"/>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42"/>
      <w:bookmarkEnd w:id="143"/>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w:t>
      </w:r>
      <w:del w:id="144" w:author="svcMRProcess" w:date="2019-01-22T15:16:00Z">
        <w:r>
          <w:delText xml:space="preserve"> by</w:delText>
        </w:r>
      </w:del>
      <w:ins w:id="145" w:author="svcMRProcess" w:date="2019-01-22T15:16:00Z">
        <w:r>
          <w:t>:</w:t>
        </w:r>
      </w:ins>
      <w:r>
        <w:t xml:space="preserve"> No. 68 of 1976 s. 6; No. 19 of 2010 s. 51.]</w:t>
      </w:r>
    </w:p>
    <w:p>
      <w:pPr>
        <w:pStyle w:val="Heading5"/>
        <w:spacing w:before="180"/>
        <w:rPr>
          <w:snapToGrid w:val="0"/>
        </w:rPr>
      </w:pPr>
      <w:bookmarkStart w:id="146" w:name="_Toc472684284"/>
      <w:bookmarkStart w:id="147" w:name="_Toc462751407"/>
      <w:r>
        <w:rPr>
          <w:rStyle w:val="CharSectno"/>
        </w:rPr>
        <w:t>21</w:t>
      </w:r>
      <w:r>
        <w:rPr>
          <w:snapToGrid w:val="0"/>
        </w:rPr>
        <w:t>.</w:t>
      </w:r>
      <w:r>
        <w:rPr>
          <w:snapToGrid w:val="0"/>
        </w:rPr>
        <w:tab/>
        <w:t>Power to enter premises</w:t>
      </w:r>
      <w:bookmarkEnd w:id="146"/>
      <w:bookmarkEnd w:id="147"/>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w:t>
      </w:r>
      <w:del w:id="148" w:author="svcMRProcess" w:date="2019-01-22T15:16:00Z">
        <w:r>
          <w:delText xml:space="preserve"> by</w:delText>
        </w:r>
      </w:del>
      <w:ins w:id="149" w:author="svcMRProcess" w:date="2019-01-22T15:16:00Z">
        <w:r>
          <w:t>:</w:t>
        </w:r>
      </w:ins>
      <w:r>
        <w:t xml:space="preserve"> No. 124 of 1984 s. 7; No. 78 of 1996 s. 21; No. 10 of 1998 s. 57(2).]</w:t>
      </w:r>
    </w:p>
    <w:p>
      <w:pPr>
        <w:pStyle w:val="Heading5"/>
        <w:spacing w:before="180"/>
        <w:rPr>
          <w:snapToGrid w:val="0"/>
        </w:rPr>
      </w:pPr>
      <w:bookmarkStart w:id="150" w:name="_Toc472684285"/>
      <w:bookmarkStart w:id="151" w:name="_Toc462751408"/>
      <w:r>
        <w:rPr>
          <w:rStyle w:val="CharSectno"/>
        </w:rPr>
        <w:t>22</w:t>
      </w:r>
      <w:r>
        <w:rPr>
          <w:snapToGrid w:val="0"/>
        </w:rPr>
        <w:t>.</w:t>
      </w:r>
      <w:r>
        <w:rPr>
          <w:snapToGrid w:val="0"/>
        </w:rPr>
        <w:tab/>
        <w:t>Protection for proceedings in Cabinet</w:t>
      </w:r>
      <w:bookmarkEnd w:id="150"/>
      <w:bookmarkEnd w:id="151"/>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52" w:name="_Toc472684286"/>
      <w:bookmarkStart w:id="153" w:name="_Toc462751409"/>
      <w:r>
        <w:rPr>
          <w:rStyle w:val="CharSectno"/>
        </w:rPr>
        <w:t>22A</w:t>
      </w:r>
      <w:r>
        <w:rPr>
          <w:snapToGrid w:val="0"/>
        </w:rPr>
        <w:t>.</w:t>
      </w:r>
      <w:r>
        <w:rPr>
          <w:snapToGrid w:val="0"/>
        </w:rPr>
        <w:tab/>
        <w:t>Consultation</w:t>
      </w:r>
      <w:bookmarkEnd w:id="152"/>
      <w:bookmarkEnd w:id="153"/>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w:t>
      </w:r>
      <w:del w:id="154" w:author="svcMRProcess" w:date="2019-01-22T15:16:00Z">
        <w:r>
          <w:delText xml:space="preserve"> by</w:delText>
        </w:r>
      </w:del>
      <w:ins w:id="155" w:author="svcMRProcess" w:date="2019-01-22T15:16:00Z">
        <w:r>
          <w:t>:</w:t>
        </w:r>
      </w:ins>
      <w:r>
        <w:t xml:space="preserve"> No. 78 of 1996 s. 14; amended</w:t>
      </w:r>
      <w:del w:id="156" w:author="svcMRProcess" w:date="2019-01-22T15:16:00Z">
        <w:r>
          <w:delText xml:space="preserve"> by</w:delText>
        </w:r>
      </w:del>
      <w:ins w:id="157" w:author="svcMRProcess" w:date="2019-01-22T15:16:00Z">
        <w:r>
          <w:t>:</w:t>
        </w:r>
      </w:ins>
      <w:r>
        <w:t xml:space="preserve"> No. 43 of 1999 s. 20; No. 74 of 2003 s. 91(13); No. 78 of 2003 s. 72; No. 35 of 2014 s. 36(3).]</w:t>
      </w:r>
    </w:p>
    <w:p>
      <w:pPr>
        <w:pStyle w:val="Heading5"/>
        <w:rPr>
          <w:snapToGrid w:val="0"/>
        </w:rPr>
      </w:pPr>
      <w:bookmarkStart w:id="158" w:name="_Toc472684287"/>
      <w:bookmarkStart w:id="159" w:name="_Toc462751410"/>
      <w:r>
        <w:rPr>
          <w:rStyle w:val="CharSectno"/>
        </w:rPr>
        <w:t>22B</w:t>
      </w:r>
      <w:r>
        <w:rPr>
          <w:snapToGrid w:val="0"/>
        </w:rPr>
        <w:t>.</w:t>
      </w:r>
      <w:r>
        <w:rPr>
          <w:snapToGrid w:val="0"/>
        </w:rPr>
        <w:tab/>
        <w:t>Disclosure of certain information</w:t>
      </w:r>
      <w:bookmarkEnd w:id="158"/>
      <w:bookmarkEnd w:id="159"/>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w:t>
      </w:r>
      <w:del w:id="160" w:author="svcMRProcess" w:date="2019-01-22T15:16:00Z">
        <w:r>
          <w:delText xml:space="preserve"> by</w:delText>
        </w:r>
      </w:del>
      <w:ins w:id="161" w:author="svcMRProcess" w:date="2019-01-22T15:16:00Z">
        <w:r>
          <w:t>:</w:t>
        </w:r>
      </w:ins>
      <w:r>
        <w:t xml:space="preserve"> No. 78 of 1996 s. 14; amended</w:t>
      </w:r>
      <w:del w:id="162" w:author="svcMRProcess" w:date="2019-01-22T15:16:00Z">
        <w:r>
          <w:delText xml:space="preserve"> by</w:delText>
        </w:r>
      </w:del>
      <w:ins w:id="163" w:author="svcMRProcess" w:date="2019-01-22T15:16:00Z">
        <w:r>
          <w:t>:</w:t>
        </w:r>
      </w:ins>
      <w:r>
        <w:t xml:space="preserve"> No. 43 of 1999 s. 20; No. 74 of 2003 s. 91(14); No. 78 of 2003 s. 72; No. 10 of 2009 s. 8; No. 35 of 2014 s. 36(4).]</w:t>
      </w:r>
    </w:p>
    <w:p>
      <w:pPr>
        <w:pStyle w:val="Heading5"/>
        <w:rPr>
          <w:snapToGrid w:val="0"/>
        </w:rPr>
      </w:pPr>
      <w:bookmarkStart w:id="164" w:name="_Toc472684288"/>
      <w:bookmarkStart w:id="165" w:name="_Toc462751411"/>
      <w:r>
        <w:rPr>
          <w:rStyle w:val="CharSectno"/>
        </w:rPr>
        <w:t>23</w:t>
      </w:r>
      <w:r>
        <w:rPr>
          <w:snapToGrid w:val="0"/>
        </w:rPr>
        <w:t>.</w:t>
      </w:r>
      <w:r>
        <w:rPr>
          <w:snapToGrid w:val="0"/>
        </w:rPr>
        <w:tab/>
        <w:t>Secrecy</w:t>
      </w:r>
      <w:bookmarkEnd w:id="164"/>
      <w:bookmarkEnd w:id="165"/>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w:t>
      </w:r>
      <w:del w:id="166" w:author="svcMRProcess" w:date="2019-01-22T15:16:00Z">
        <w:r>
          <w:delText xml:space="preserve"> by</w:delText>
        </w:r>
      </w:del>
      <w:ins w:id="167" w:author="svcMRProcess" w:date="2019-01-22T15:16:00Z">
        <w:r>
          <w:t>:</w:t>
        </w:r>
      </w:ins>
      <w:r>
        <w:t xml:space="preserve"> No. 68 of 1976 s. 7; No. 124 of 1984 s. 8; No. 14 of 1994 s. 19(2); No. 29 of 1996 s. 26; No. 78 of 1996 s. 15 and 21; No. 74 of 2003 s. 91(15).]</w:t>
      </w:r>
    </w:p>
    <w:p>
      <w:pPr>
        <w:pStyle w:val="Heading5"/>
        <w:rPr>
          <w:snapToGrid w:val="0"/>
        </w:rPr>
      </w:pPr>
      <w:bookmarkStart w:id="168" w:name="_Toc472684289"/>
      <w:bookmarkStart w:id="169" w:name="_Toc462751412"/>
      <w:r>
        <w:rPr>
          <w:rStyle w:val="CharSectno"/>
        </w:rPr>
        <w:t>23A</w:t>
      </w:r>
      <w:r>
        <w:rPr>
          <w:snapToGrid w:val="0"/>
        </w:rPr>
        <w:t>.</w:t>
      </w:r>
      <w:r>
        <w:rPr>
          <w:snapToGrid w:val="0"/>
        </w:rPr>
        <w:tab/>
        <w:t>Documents sent to or by Commissioner not admissible</w:t>
      </w:r>
      <w:bookmarkEnd w:id="168"/>
      <w:bookmarkEnd w:id="169"/>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w:t>
      </w:r>
      <w:del w:id="170" w:author="svcMRProcess" w:date="2019-01-22T15:16:00Z">
        <w:r>
          <w:delText xml:space="preserve"> by</w:delText>
        </w:r>
      </w:del>
      <w:ins w:id="171" w:author="svcMRProcess" w:date="2019-01-22T15:16:00Z">
        <w:r>
          <w:t>:</w:t>
        </w:r>
      </w:ins>
      <w:r>
        <w:t xml:space="preserve"> No. 73 of 1976 s. 8; amended</w:t>
      </w:r>
      <w:del w:id="172" w:author="svcMRProcess" w:date="2019-01-22T15:16:00Z">
        <w:r>
          <w:delText xml:space="preserve"> by</w:delText>
        </w:r>
      </w:del>
      <w:ins w:id="173" w:author="svcMRProcess" w:date="2019-01-22T15:16:00Z">
        <w:r>
          <w:t>:</w:t>
        </w:r>
      </w:ins>
      <w:r>
        <w:t xml:space="preserve"> No. 74 of 2003 s. 91(16).]</w:t>
      </w:r>
    </w:p>
    <w:p>
      <w:pPr>
        <w:pStyle w:val="Heading5"/>
        <w:rPr>
          <w:snapToGrid w:val="0"/>
        </w:rPr>
      </w:pPr>
      <w:bookmarkStart w:id="174" w:name="_Toc472684290"/>
      <w:bookmarkStart w:id="175" w:name="_Toc462751413"/>
      <w:r>
        <w:rPr>
          <w:rStyle w:val="CharSectno"/>
        </w:rPr>
        <w:t>24</w:t>
      </w:r>
      <w:r>
        <w:rPr>
          <w:snapToGrid w:val="0"/>
        </w:rPr>
        <w:t>.</w:t>
      </w:r>
      <w:r>
        <w:rPr>
          <w:snapToGrid w:val="0"/>
        </w:rPr>
        <w:tab/>
        <w:t>Obstruction</w:t>
      </w:r>
      <w:bookmarkEnd w:id="174"/>
      <w:bookmarkEnd w:id="175"/>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76" w:name="_Toc441668336"/>
      <w:bookmarkStart w:id="177" w:name="_Toc446320729"/>
      <w:bookmarkStart w:id="178" w:name="_Toc462730955"/>
      <w:bookmarkStart w:id="179" w:name="_Toc462751414"/>
      <w:bookmarkStart w:id="180" w:name="_Toc472678916"/>
      <w:bookmarkStart w:id="181" w:name="_Toc472684291"/>
      <w:r>
        <w:rPr>
          <w:rStyle w:val="CharDivNo"/>
        </w:rPr>
        <w:t>Division 4</w:t>
      </w:r>
      <w:r>
        <w:rPr>
          <w:snapToGrid w:val="0"/>
        </w:rPr>
        <w:t> — </w:t>
      </w:r>
      <w:r>
        <w:rPr>
          <w:rStyle w:val="CharDivText"/>
        </w:rPr>
        <w:t>Action on investigations</w:t>
      </w:r>
      <w:bookmarkEnd w:id="176"/>
      <w:bookmarkEnd w:id="177"/>
      <w:bookmarkEnd w:id="178"/>
      <w:bookmarkEnd w:id="179"/>
      <w:bookmarkEnd w:id="180"/>
      <w:bookmarkEnd w:id="181"/>
    </w:p>
    <w:p>
      <w:pPr>
        <w:pStyle w:val="Heading5"/>
        <w:spacing w:before="180"/>
        <w:rPr>
          <w:snapToGrid w:val="0"/>
        </w:rPr>
      </w:pPr>
      <w:bookmarkStart w:id="182" w:name="_Toc472684292"/>
      <w:bookmarkStart w:id="183" w:name="_Toc462751415"/>
      <w:r>
        <w:rPr>
          <w:rStyle w:val="CharSectno"/>
        </w:rPr>
        <w:t>25</w:t>
      </w:r>
      <w:r>
        <w:rPr>
          <w:snapToGrid w:val="0"/>
        </w:rPr>
        <w:t>.</w:t>
      </w:r>
      <w:r>
        <w:rPr>
          <w:snapToGrid w:val="0"/>
        </w:rPr>
        <w:tab/>
        <w:t>Procedure on completion of investigation</w:t>
      </w:r>
      <w:bookmarkEnd w:id="182"/>
      <w:bookmarkEnd w:id="183"/>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184" w:name="_Toc472684293"/>
      <w:bookmarkStart w:id="185" w:name="_Toc462751416"/>
      <w:r>
        <w:rPr>
          <w:rStyle w:val="CharSectno"/>
        </w:rPr>
        <w:t>26</w:t>
      </w:r>
      <w:r>
        <w:rPr>
          <w:snapToGrid w:val="0"/>
        </w:rPr>
        <w:t>.</w:t>
      </w:r>
      <w:r>
        <w:rPr>
          <w:snapToGrid w:val="0"/>
        </w:rPr>
        <w:tab/>
        <w:t>Information to complainant on investigation</w:t>
      </w:r>
      <w:bookmarkEnd w:id="184"/>
      <w:bookmarkEnd w:id="185"/>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w:t>
      </w:r>
      <w:del w:id="186" w:author="svcMRProcess" w:date="2019-01-22T15:16:00Z">
        <w:r>
          <w:delText xml:space="preserve"> by</w:delText>
        </w:r>
      </w:del>
      <w:ins w:id="187" w:author="svcMRProcess" w:date="2019-01-22T15:16:00Z">
        <w:r>
          <w:t>:</w:t>
        </w:r>
      </w:ins>
      <w:r>
        <w:t xml:space="preserve"> No. 68 of 1976 s. 9.]</w:t>
      </w:r>
    </w:p>
    <w:p>
      <w:pPr>
        <w:pStyle w:val="Heading3"/>
        <w:spacing w:before="280"/>
      </w:pPr>
      <w:bookmarkStart w:id="188" w:name="_Toc441668339"/>
      <w:bookmarkStart w:id="189" w:name="_Toc446320732"/>
      <w:bookmarkStart w:id="190" w:name="_Toc462730958"/>
      <w:bookmarkStart w:id="191" w:name="_Toc462751417"/>
      <w:bookmarkStart w:id="192" w:name="_Toc472678919"/>
      <w:bookmarkStart w:id="193" w:name="_Toc472684294"/>
      <w:r>
        <w:rPr>
          <w:rStyle w:val="CharDivNo"/>
        </w:rPr>
        <w:t>Division 5</w:t>
      </w:r>
      <w:r>
        <w:rPr>
          <w:snapToGrid w:val="0"/>
        </w:rPr>
        <w:t> — </w:t>
      </w:r>
      <w:r>
        <w:rPr>
          <w:rStyle w:val="CharDivText"/>
        </w:rPr>
        <w:t>Annual and other reports of the Commissioner</w:t>
      </w:r>
      <w:bookmarkEnd w:id="188"/>
      <w:bookmarkEnd w:id="189"/>
      <w:bookmarkEnd w:id="190"/>
      <w:bookmarkEnd w:id="191"/>
      <w:bookmarkEnd w:id="192"/>
      <w:bookmarkEnd w:id="193"/>
    </w:p>
    <w:p>
      <w:pPr>
        <w:pStyle w:val="Heading5"/>
        <w:rPr>
          <w:snapToGrid w:val="0"/>
        </w:rPr>
      </w:pPr>
      <w:bookmarkStart w:id="194" w:name="_Toc472684295"/>
      <w:bookmarkStart w:id="195" w:name="_Toc462751418"/>
      <w:r>
        <w:rPr>
          <w:rStyle w:val="CharSectno"/>
        </w:rPr>
        <w:t>27</w:t>
      </w:r>
      <w:r>
        <w:rPr>
          <w:snapToGrid w:val="0"/>
        </w:rPr>
        <w:t>.</w:t>
      </w:r>
      <w:r>
        <w:rPr>
          <w:snapToGrid w:val="0"/>
        </w:rPr>
        <w:tab/>
        <w:t>Commissioner may report to Parliament</w:t>
      </w:r>
      <w:bookmarkEnd w:id="194"/>
      <w:bookmarkEnd w:id="195"/>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w:t>
      </w:r>
      <w:del w:id="196" w:author="svcMRProcess" w:date="2019-01-22T15:16:00Z">
        <w:r>
          <w:delText xml:space="preserve"> by</w:delText>
        </w:r>
      </w:del>
      <w:ins w:id="197" w:author="svcMRProcess" w:date="2019-01-22T15:16:00Z">
        <w:r>
          <w:t>:</w:t>
        </w:r>
      </w:ins>
      <w:r>
        <w:t xml:space="preserve"> No. 98 of 1985 s. 3; amended</w:t>
      </w:r>
      <w:del w:id="198" w:author="svcMRProcess" w:date="2019-01-22T15:16:00Z">
        <w:r>
          <w:delText xml:space="preserve"> by</w:delText>
        </w:r>
      </w:del>
      <w:ins w:id="199" w:author="svcMRProcess" w:date="2019-01-22T15:16:00Z">
        <w:r>
          <w:t>:</w:t>
        </w:r>
      </w:ins>
      <w:r>
        <w:t xml:space="preserve"> No. 78 of 1996 s. 16; No. 77 of 2006 Sch. 1 cl. 118(1).]</w:t>
      </w:r>
    </w:p>
    <w:p>
      <w:pPr>
        <w:pStyle w:val="Ednotesection"/>
      </w:pPr>
      <w:r>
        <w:t>[</w:t>
      </w:r>
      <w:r>
        <w:rPr>
          <w:b/>
        </w:rPr>
        <w:t>28.</w:t>
      </w:r>
      <w:r>
        <w:tab/>
        <w:t>Deleted</w:t>
      </w:r>
      <w:del w:id="200" w:author="svcMRProcess" w:date="2019-01-22T15:16:00Z">
        <w:r>
          <w:delText xml:space="preserve"> by</w:delText>
        </w:r>
      </w:del>
      <w:ins w:id="201" w:author="svcMRProcess" w:date="2019-01-22T15:16:00Z">
        <w:r>
          <w:t>:</w:t>
        </w:r>
      </w:ins>
      <w:r>
        <w:t xml:space="preserve"> No. 124 of 1984 s. 9.]</w:t>
      </w:r>
    </w:p>
    <w:p>
      <w:pPr>
        <w:pStyle w:val="Heading2"/>
      </w:pPr>
      <w:bookmarkStart w:id="202" w:name="_Toc441668341"/>
      <w:bookmarkStart w:id="203" w:name="_Toc446320734"/>
      <w:bookmarkStart w:id="204" w:name="_Toc462730960"/>
      <w:bookmarkStart w:id="205" w:name="_Toc462751419"/>
      <w:bookmarkStart w:id="206" w:name="_Toc472678921"/>
      <w:bookmarkStart w:id="207" w:name="_Toc472684296"/>
      <w:r>
        <w:rPr>
          <w:rStyle w:val="CharPartNo"/>
        </w:rPr>
        <w:t>Part IV</w:t>
      </w:r>
      <w:r>
        <w:rPr>
          <w:rStyle w:val="CharDivNo"/>
        </w:rPr>
        <w:t> </w:t>
      </w:r>
      <w:r>
        <w:t>—</w:t>
      </w:r>
      <w:r>
        <w:rPr>
          <w:rStyle w:val="CharDivText"/>
        </w:rPr>
        <w:t> </w:t>
      </w:r>
      <w:r>
        <w:rPr>
          <w:rStyle w:val="CharPartText"/>
        </w:rPr>
        <w:t>Miscellaneous</w:t>
      </w:r>
      <w:bookmarkEnd w:id="202"/>
      <w:bookmarkEnd w:id="203"/>
      <w:bookmarkEnd w:id="204"/>
      <w:bookmarkEnd w:id="205"/>
      <w:bookmarkEnd w:id="206"/>
      <w:bookmarkEnd w:id="207"/>
    </w:p>
    <w:p>
      <w:pPr>
        <w:pStyle w:val="Heading5"/>
        <w:rPr>
          <w:snapToGrid w:val="0"/>
        </w:rPr>
      </w:pPr>
      <w:bookmarkStart w:id="208" w:name="_Toc472684297"/>
      <w:bookmarkStart w:id="209" w:name="_Toc462751420"/>
      <w:r>
        <w:rPr>
          <w:rStyle w:val="CharSectno"/>
        </w:rPr>
        <w:t>29</w:t>
      </w:r>
      <w:r>
        <w:rPr>
          <w:snapToGrid w:val="0"/>
        </w:rPr>
        <w:t>.</w:t>
      </w:r>
      <w:r>
        <w:rPr>
          <w:snapToGrid w:val="0"/>
        </w:rPr>
        <w:tab/>
        <w:t>Supreme Court may determine jurisdictional questions</w:t>
      </w:r>
      <w:bookmarkEnd w:id="208"/>
      <w:bookmarkEnd w:id="209"/>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210" w:name="_Toc472684298"/>
      <w:bookmarkStart w:id="211" w:name="_Toc462751421"/>
      <w:r>
        <w:rPr>
          <w:rStyle w:val="CharSectno"/>
        </w:rPr>
        <w:t>30</w:t>
      </w:r>
      <w:r>
        <w:rPr>
          <w:snapToGrid w:val="0"/>
        </w:rPr>
        <w:t>.</w:t>
      </w:r>
      <w:r>
        <w:rPr>
          <w:snapToGrid w:val="0"/>
        </w:rPr>
        <w:tab/>
        <w:t>Protection of Commissioner and officers</w:t>
      </w:r>
      <w:bookmarkEnd w:id="210"/>
      <w:bookmarkEnd w:id="211"/>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w:t>
      </w:r>
      <w:del w:id="212" w:author="svcMRProcess" w:date="2019-01-22T15:16:00Z">
        <w:r>
          <w:delText xml:space="preserve"> by</w:delText>
        </w:r>
      </w:del>
      <w:ins w:id="213" w:author="svcMRProcess" w:date="2019-01-22T15:16:00Z">
        <w:r>
          <w:t>:</w:t>
        </w:r>
      </w:ins>
      <w:r>
        <w:t xml:space="preserve"> No. 124 of 1984 s. 10; No. 74 of 2003 s. 91(17)</w:t>
      </w:r>
      <w:r>
        <w:noBreakHyphen/>
        <w:t>(19).]</w:t>
      </w:r>
    </w:p>
    <w:p>
      <w:pPr>
        <w:pStyle w:val="Heading5"/>
        <w:spacing w:before="180"/>
        <w:rPr>
          <w:snapToGrid w:val="0"/>
        </w:rPr>
      </w:pPr>
      <w:bookmarkStart w:id="214" w:name="_Toc472684299"/>
      <w:bookmarkStart w:id="215" w:name="_Toc462751422"/>
      <w:r>
        <w:rPr>
          <w:rStyle w:val="CharSectno"/>
        </w:rPr>
        <w:t>30A</w:t>
      </w:r>
      <w:r>
        <w:rPr>
          <w:snapToGrid w:val="0"/>
        </w:rPr>
        <w:t>.</w:t>
      </w:r>
      <w:r>
        <w:rPr>
          <w:snapToGrid w:val="0"/>
        </w:rPr>
        <w:tab/>
        <w:t>Protection of complainants etc.</w:t>
      </w:r>
      <w:bookmarkEnd w:id="214"/>
      <w:bookmarkEnd w:id="215"/>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w:t>
      </w:r>
      <w:del w:id="216" w:author="svcMRProcess" w:date="2019-01-22T15:16:00Z">
        <w:r>
          <w:delText xml:space="preserve"> by</w:delText>
        </w:r>
      </w:del>
      <w:ins w:id="217" w:author="svcMRProcess" w:date="2019-01-22T15:16:00Z">
        <w:r>
          <w:t>:</w:t>
        </w:r>
      </w:ins>
      <w:r>
        <w:t xml:space="preserve"> No. 78 of 1996 s. 17; amended</w:t>
      </w:r>
      <w:del w:id="218" w:author="svcMRProcess" w:date="2019-01-22T15:16:00Z">
        <w:r>
          <w:delText xml:space="preserve"> by</w:delText>
        </w:r>
      </w:del>
      <w:ins w:id="219" w:author="svcMRProcess" w:date="2019-01-22T15:16:00Z">
        <w:r>
          <w:t>:</w:t>
        </w:r>
      </w:ins>
      <w:r>
        <w:t xml:space="preserve"> No. 10 of 2009 s. 9.]</w:t>
      </w:r>
    </w:p>
    <w:p>
      <w:pPr>
        <w:pStyle w:val="Heading5"/>
        <w:spacing w:before="180"/>
        <w:rPr>
          <w:snapToGrid w:val="0"/>
        </w:rPr>
      </w:pPr>
      <w:bookmarkStart w:id="220" w:name="_Toc472684300"/>
      <w:bookmarkStart w:id="221" w:name="_Toc462751423"/>
      <w:r>
        <w:rPr>
          <w:rStyle w:val="CharSectno"/>
        </w:rPr>
        <w:t>30B</w:t>
      </w:r>
      <w:r>
        <w:rPr>
          <w:snapToGrid w:val="0"/>
        </w:rPr>
        <w:t>.</w:t>
      </w:r>
      <w:r>
        <w:rPr>
          <w:snapToGrid w:val="0"/>
        </w:rPr>
        <w:tab/>
        <w:t>Victimisation</w:t>
      </w:r>
      <w:bookmarkEnd w:id="220"/>
      <w:bookmarkEnd w:id="221"/>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w:t>
      </w:r>
      <w:del w:id="222" w:author="svcMRProcess" w:date="2019-01-22T15:16:00Z">
        <w:r>
          <w:delText xml:space="preserve"> by</w:delText>
        </w:r>
      </w:del>
      <w:ins w:id="223" w:author="svcMRProcess" w:date="2019-01-22T15:16:00Z">
        <w:r>
          <w:t>:</w:t>
        </w:r>
      </w:ins>
      <w:r>
        <w:t xml:space="preserve"> No. 78 of 1996 s. 17.]</w:t>
      </w:r>
    </w:p>
    <w:p>
      <w:pPr>
        <w:pStyle w:val="Heading5"/>
        <w:spacing w:before="180"/>
        <w:rPr>
          <w:snapToGrid w:val="0"/>
        </w:rPr>
      </w:pPr>
      <w:bookmarkStart w:id="224" w:name="_Toc472684301"/>
      <w:bookmarkStart w:id="225" w:name="_Toc462751424"/>
      <w:r>
        <w:rPr>
          <w:rStyle w:val="CharSectno"/>
        </w:rPr>
        <w:t>31</w:t>
      </w:r>
      <w:r>
        <w:rPr>
          <w:snapToGrid w:val="0"/>
        </w:rPr>
        <w:t>.</w:t>
      </w:r>
      <w:r>
        <w:rPr>
          <w:snapToGrid w:val="0"/>
        </w:rPr>
        <w:tab/>
        <w:t>General penalty</w:t>
      </w:r>
      <w:bookmarkEnd w:id="224"/>
      <w:bookmarkEnd w:id="225"/>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w:t>
      </w:r>
      <w:del w:id="226" w:author="svcMRProcess" w:date="2019-01-22T15:16:00Z">
        <w:r>
          <w:delText xml:space="preserve"> by</w:delText>
        </w:r>
      </w:del>
      <w:ins w:id="227" w:author="svcMRProcess" w:date="2019-01-22T15:16:00Z">
        <w:r>
          <w:t>:</w:t>
        </w:r>
      </w:ins>
      <w:r>
        <w:t xml:space="preserve"> No. 78 of 1996 s. 18.]</w:t>
      </w:r>
    </w:p>
    <w:p>
      <w:pPr>
        <w:pStyle w:val="Heading5"/>
        <w:spacing w:before="180"/>
        <w:rPr>
          <w:snapToGrid w:val="0"/>
        </w:rPr>
      </w:pPr>
      <w:bookmarkStart w:id="228" w:name="_Toc472684302"/>
      <w:bookmarkStart w:id="229" w:name="_Toc462751425"/>
      <w:r>
        <w:rPr>
          <w:rStyle w:val="CharSectno"/>
        </w:rPr>
        <w:t>32</w:t>
      </w:r>
      <w:r>
        <w:rPr>
          <w:snapToGrid w:val="0"/>
        </w:rPr>
        <w:t>.</w:t>
      </w:r>
      <w:r>
        <w:rPr>
          <w:snapToGrid w:val="0"/>
        </w:rPr>
        <w:tab/>
        <w:t>Expenses of Act</w:t>
      </w:r>
      <w:bookmarkEnd w:id="228"/>
      <w:bookmarkEnd w:id="229"/>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230" w:name="_Toc472684303"/>
      <w:bookmarkStart w:id="231" w:name="_Toc462751426"/>
      <w:r>
        <w:rPr>
          <w:rStyle w:val="CharSectno"/>
        </w:rPr>
        <w:t>33</w:t>
      </w:r>
      <w:r>
        <w:rPr>
          <w:snapToGrid w:val="0"/>
        </w:rPr>
        <w:t>.</w:t>
      </w:r>
      <w:r>
        <w:rPr>
          <w:snapToGrid w:val="0"/>
        </w:rPr>
        <w:tab/>
        <w:t>Regulations</w:t>
      </w:r>
      <w:bookmarkEnd w:id="230"/>
      <w:bookmarkEnd w:id="231"/>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w:t>
      </w:r>
      <w:del w:id="232" w:author="svcMRProcess" w:date="2019-01-22T15:16:00Z">
        <w:r>
          <w:delText xml:space="preserve"> by</w:delText>
        </w:r>
      </w:del>
      <w:ins w:id="233" w:author="svcMRProcess" w:date="2019-01-22T15:16:00Z">
        <w:r>
          <w:t>:</w:t>
        </w:r>
      </w:ins>
      <w:r>
        <w:t xml:space="preserve"> No. 78 of 1996 s. 19.]</w:t>
      </w:r>
    </w:p>
    <w:p>
      <w:pPr>
        <w:pStyle w:val="Heading5"/>
      </w:pPr>
      <w:bookmarkStart w:id="234" w:name="_Toc472684304"/>
      <w:bookmarkStart w:id="235" w:name="_Toc462751427"/>
      <w:r>
        <w:rPr>
          <w:rStyle w:val="CharSectno"/>
        </w:rPr>
        <w:t>34</w:t>
      </w:r>
      <w:r>
        <w:t>.</w:t>
      </w:r>
      <w:r>
        <w:tab/>
        <w:t>Energy and water ombudsman schemes</w:t>
      </w:r>
      <w:bookmarkEnd w:id="234"/>
      <w:bookmarkEnd w:id="235"/>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w:t>
      </w:r>
      <w:del w:id="236" w:author="svcMRProcess" w:date="2019-01-22T15:16:00Z">
        <w:r>
          <w:delText xml:space="preserve"> by</w:delText>
        </w:r>
      </w:del>
      <w:ins w:id="237" w:author="svcMRProcess" w:date="2019-01-22T15:16:00Z">
        <w:r>
          <w:t>:</w:t>
        </w:r>
      </w:ins>
      <w:r>
        <w:t xml:space="preserve"> No. 53 of 2003 s. 34; amended</w:t>
      </w:r>
      <w:del w:id="238" w:author="svcMRProcess" w:date="2019-01-22T15:16:00Z">
        <w:r>
          <w:delText xml:space="preserve"> by</w:delText>
        </w:r>
      </w:del>
      <w:ins w:id="239" w:author="svcMRProcess" w:date="2019-01-22T15:16:00Z">
        <w:r>
          <w:t>:</w:t>
        </w:r>
      </w:ins>
      <w:r>
        <w:t xml:space="preserve"> No. 33 of 2004 s. 48; No. 25 of 2012 s. 221.]</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7" w:h="16840" w:code="9"/>
          <w:pgMar w:top="2381" w:right="2409" w:bottom="3543" w:left="2409" w:header="720" w:footer="3380" w:gutter="0"/>
          <w:pgNumType w:start="1"/>
          <w:cols w:space="720"/>
          <w:noEndnote/>
          <w:titlePg/>
          <w:docGrid w:linePitch="326"/>
        </w:sectPr>
      </w:pPr>
    </w:p>
    <w:p>
      <w:pPr>
        <w:pStyle w:val="yScheduleHeading"/>
      </w:pPr>
      <w:bookmarkStart w:id="240" w:name="_Toc441668350"/>
      <w:bookmarkStart w:id="241" w:name="_Toc446320743"/>
      <w:bookmarkStart w:id="242" w:name="_Toc462730969"/>
      <w:bookmarkStart w:id="243" w:name="_Toc462751428"/>
      <w:bookmarkStart w:id="244" w:name="_Toc472678930"/>
      <w:bookmarkStart w:id="245" w:name="_Toc472684305"/>
      <w:r>
        <w:rPr>
          <w:rStyle w:val="CharSchNo"/>
        </w:rPr>
        <w:t>Schedule 1</w:t>
      </w:r>
      <w:r>
        <w:t> — </w:t>
      </w:r>
      <w:r>
        <w:rPr>
          <w:rStyle w:val="CharSchText"/>
        </w:rPr>
        <w:t>Departments and authorities, and extent, to which this Act does not apply</w:t>
      </w:r>
      <w:bookmarkEnd w:id="240"/>
      <w:bookmarkEnd w:id="241"/>
      <w:bookmarkEnd w:id="242"/>
      <w:bookmarkEnd w:id="243"/>
      <w:bookmarkEnd w:id="244"/>
      <w:bookmarkEnd w:id="245"/>
    </w:p>
    <w:p>
      <w:pPr>
        <w:pStyle w:val="yShoulderClause"/>
      </w:pPr>
      <w:r>
        <w:t>[s. 13(2)(n)]</w:t>
      </w:r>
    </w:p>
    <w:p>
      <w:pPr>
        <w:pStyle w:val="yFootnoteheading"/>
        <w:spacing w:after="120"/>
      </w:pPr>
      <w:r>
        <w:tab/>
        <w:t>[Heading inserted</w:t>
      </w:r>
      <w:del w:id="246" w:author="svcMRProcess" w:date="2019-01-22T15:16:00Z">
        <w:r>
          <w:delText xml:space="preserve"> by</w:delText>
        </w:r>
      </w:del>
      <w:ins w:id="247" w:author="svcMRProcess" w:date="2019-01-22T15:16:00Z">
        <w:r>
          <w:t>:</w:t>
        </w:r>
      </w:ins>
      <w:r>
        <w:t xml:space="preserve">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w:t>
      </w:r>
      <w:del w:id="248" w:author="svcMRProcess" w:date="2019-01-22T15:16:00Z">
        <w:r>
          <w:delText xml:space="preserve"> by</w:delText>
        </w:r>
      </w:del>
      <w:ins w:id="249" w:author="svcMRProcess" w:date="2019-01-22T15:16:00Z">
        <w:r>
          <w:t>:</w:t>
        </w:r>
      </w:ins>
      <w:r>
        <w:t xml:space="preserve"> No. 10 of 2009 s. 10; amended</w:t>
      </w:r>
      <w:del w:id="250" w:author="svcMRProcess" w:date="2019-01-22T15:16:00Z">
        <w:r>
          <w:delText xml:space="preserve"> by</w:delText>
        </w:r>
      </w:del>
      <w:ins w:id="251" w:author="svcMRProcess" w:date="2019-01-22T15:16:00Z">
        <w:r>
          <w:t>:</w:t>
        </w:r>
      </w:ins>
      <w:r>
        <w:t xml:space="preserve">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3"/>
          <w:headerReference w:type="default" r:id="rId24"/>
          <w:headerReference w:type="first" r:id="rId25"/>
          <w:pgSz w:w="11907" w:h="16840" w:code="9"/>
          <w:pgMar w:top="2381" w:right="2409" w:bottom="3543" w:left="2409" w:header="720" w:footer="3380" w:gutter="0"/>
          <w:cols w:space="720"/>
          <w:noEndnote/>
          <w:docGrid w:linePitch="326"/>
        </w:sectPr>
      </w:pPr>
    </w:p>
    <w:p>
      <w:pPr>
        <w:pStyle w:val="nHeading2"/>
      </w:pPr>
      <w:bookmarkStart w:id="253" w:name="_Toc441668351"/>
      <w:bookmarkStart w:id="254" w:name="_Toc446320744"/>
      <w:bookmarkStart w:id="255" w:name="_Toc462730970"/>
      <w:bookmarkStart w:id="256" w:name="_Toc462751429"/>
      <w:bookmarkStart w:id="257" w:name="_Toc472678931"/>
      <w:bookmarkStart w:id="258" w:name="_Toc472684306"/>
      <w:r>
        <w:t>Notes</w:t>
      </w:r>
      <w:bookmarkEnd w:id="253"/>
      <w:bookmarkEnd w:id="254"/>
      <w:bookmarkEnd w:id="255"/>
      <w:bookmarkEnd w:id="256"/>
      <w:bookmarkEnd w:id="257"/>
      <w:bookmarkEnd w:id="258"/>
    </w:p>
    <w:p>
      <w:pPr>
        <w:pStyle w:val="nSubsection"/>
      </w:pPr>
      <w:r>
        <w:rPr>
          <w:vertAlign w:val="superscript"/>
        </w:rPr>
        <w:t>1</w:t>
      </w:r>
      <w:r>
        <w:tab/>
        <w:t xml:space="preserve">This is a compilation of the </w:t>
      </w:r>
      <w:r>
        <w:rPr>
          <w:i/>
          <w:noProof/>
        </w:rPr>
        <w:t>Parliamentary Commissioner Act 1971</w:t>
      </w:r>
      <w:r>
        <w:t xml:space="preserve"> and includes the amendments made by the other written laws referred to in the following table</w:t>
      </w:r>
      <w:r>
        <w:rPr>
          <w:vertAlign w:val="superscript"/>
        </w:rPr>
        <w:t> </w:t>
      </w:r>
      <w:r>
        <w:rPr>
          <w:snapToGrid w:val="0"/>
          <w:vertAlign w:val="superscript"/>
        </w:rPr>
        <w:t>1a, 4, 5</w:t>
      </w:r>
      <w:r>
        <w:t>.  The table also contains information about any reprint.</w:t>
      </w:r>
    </w:p>
    <w:p>
      <w:pPr>
        <w:pStyle w:val="nHeading3"/>
      </w:pPr>
      <w:bookmarkStart w:id="259" w:name="_Toc472684307"/>
      <w:bookmarkStart w:id="260" w:name="_Toc462751430"/>
      <w:r>
        <w:t>Compilation table</w:t>
      </w:r>
      <w:bookmarkEnd w:id="259"/>
      <w:bookmarkEnd w:id="260"/>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22"/>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096"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6</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7</w:t>
            </w:r>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6"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8</w:t>
            </w:r>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6"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6"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22"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6" w:type="dxa"/>
            <w:gridSpan w:val="8"/>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ins w:id="261" w:author="svcMRProcess" w:date="2019-01-22T15:16:00Z"/>
        </w:trPr>
        <w:tc>
          <w:tcPr>
            <w:tcW w:w="2270" w:type="dxa"/>
            <w:gridSpan w:val="2"/>
            <w:tcBorders>
              <w:bottom w:val="single" w:sz="8" w:space="0" w:color="auto"/>
            </w:tcBorders>
            <w:shd w:val="clear" w:color="auto" w:fill="auto"/>
          </w:tcPr>
          <w:p>
            <w:pPr>
              <w:pStyle w:val="nTable"/>
              <w:spacing w:after="40"/>
              <w:rPr>
                <w:ins w:id="262" w:author="svcMRProcess" w:date="2019-01-22T15:16:00Z"/>
                <w:b/>
                <w:snapToGrid w:val="0"/>
              </w:rPr>
            </w:pPr>
            <w:ins w:id="263" w:author="svcMRProcess" w:date="2019-01-22T15:16:00Z">
              <w:r>
                <w:rPr>
                  <w:i/>
                  <w:snapToGrid w:val="0"/>
                  <w:szCs w:val="19"/>
                </w:rPr>
                <w:t>Local Government Legislation Amendment Act 2016</w:t>
              </w:r>
              <w:r>
                <w:rPr>
                  <w:snapToGrid w:val="0"/>
                  <w:szCs w:val="19"/>
                </w:rPr>
                <w:t xml:space="preserve"> Pt. 3 Div. 26</w:t>
              </w:r>
            </w:ins>
          </w:p>
        </w:tc>
        <w:tc>
          <w:tcPr>
            <w:tcW w:w="1134" w:type="dxa"/>
            <w:gridSpan w:val="2"/>
            <w:tcBorders>
              <w:bottom w:val="single" w:sz="8" w:space="0" w:color="auto"/>
            </w:tcBorders>
            <w:shd w:val="clear" w:color="auto" w:fill="auto"/>
          </w:tcPr>
          <w:p>
            <w:pPr>
              <w:pStyle w:val="nTable"/>
              <w:spacing w:after="40"/>
              <w:rPr>
                <w:ins w:id="264" w:author="svcMRProcess" w:date="2019-01-22T15:16:00Z"/>
                <w:b/>
                <w:snapToGrid w:val="0"/>
              </w:rPr>
            </w:pPr>
            <w:ins w:id="265" w:author="svcMRProcess" w:date="2019-01-22T15:16:00Z">
              <w:r>
                <w:t>26 of 2016</w:t>
              </w:r>
            </w:ins>
          </w:p>
        </w:tc>
        <w:tc>
          <w:tcPr>
            <w:tcW w:w="1134" w:type="dxa"/>
            <w:gridSpan w:val="2"/>
            <w:tcBorders>
              <w:bottom w:val="single" w:sz="8" w:space="0" w:color="auto"/>
            </w:tcBorders>
            <w:shd w:val="clear" w:color="auto" w:fill="auto"/>
          </w:tcPr>
          <w:p>
            <w:pPr>
              <w:pStyle w:val="nTable"/>
              <w:spacing w:after="40"/>
              <w:rPr>
                <w:ins w:id="266" w:author="svcMRProcess" w:date="2019-01-22T15:16:00Z"/>
                <w:b/>
                <w:snapToGrid w:val="0"/>
              </w:rPr>
            </w:pPr>
            <w:ins w:id="267" w:author="svcMRProcess" w:date="2019-01-22T15:16:00Z">
              <w:r>
                <w:t>21 Sep 2016</w:t>
              </w:r>
            </w:ins>
          </w:p>
        </w:tc>
        <w:tc>
          <w:tcPr>
            <w:tcW w:w="2558" w:type="dxa"/>
            <w:gridSpan w:val="2"/>
            <w:tcBorders>
              <w:bottom w:val="single" w:sz="8" w:space="0" w:color="auto"/>
            </w:tcBorders>
            <w:shd w:val="clear" w:color="auto" w:fill="auto"/>
          </w:tcPr>
          <w:p>
            <w:pPr>
              <w:pStyle w:val="nTable"/>
              <w:spacing w:after="40"/>
              <w:rPr>
                <w:ins w:id="268" w:author="svcMRProcess" w:date="2019-01-22T15:16:00Z"/>
                <w:b/>
                <w:snapToGrid w:val="0"/>
              </w:rPr>
            </w:pPr>
            <w:ins w:id="269" w:author="svcMRProcess" w:date="2019-01-22T15:16:00Z">
              <w:r>
                <w:rPr>
                  <w:snapToGrid w:val="0"/>
                </w:rPr>
                <w:t xml:space="preserve">21 Jan 2017 (see s. 2(b) and </w:t>
              </w:r>
              <w:r>
                <w:rPr>
                  <w:i/>
                  <w:snapToGrid w:val="0"/>
                </w:rPr>
                <w:t>Gazette</w:t>
              </w:r>
              <w:r>
                <w:rPr>
                  <w:snapToGrid w:val="0"/>
                </w:rPr>
                <w:t xml:space="preserve"> 20 Jan 2017 p. 648)</w:t>
              </w:r>
            </w:ins>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70" w:name="_Toc472684308"/>
      <w:bookmarkStart w:id="271" w:name="_Toc462751431"/>
      <w:r>
        <w:t>Provisions that have not come into operation</w:t>
      </w:r>
      <w:bookmarkEnd w:id="270"/>
      <w:bookmarkEnd w:id="271"/>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 </w:t>
            </w:r>
            <w:r>
              <w:rPr>
                <w:vertAlign w:val="superscript"/>
              </w:rPr>
              <w:t>9</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tcBorders>
              <w:bottom w:val="single" w:sz="4" w:space="0" w:color="auto"/>
            </w:tcBorders>
            <w:shd w:val="clear" w:color="auto" w:fill="auto"/>
          </w:tcPr>
          <w:p>
            <w:pPr>
              <w:pStyle w:val="nTable"/>
              <w:spacing w:after="40"/>
              <w:ind w:right="113"/>
              <w:rPr>
                <w:i/>
              </w:rPr>
            </w:pPr>
            <w:r>
              <w:rPr>
                <w:i/>
              </w:rPr>
              <w:t>State Superannuation (Transitional and Consequential Provisions) Act 2000</w:t>
            </w:r>
            <w:r>
              <w:t xml:space="preserve"> s. 75 </w:t>
            </w:r>
            <w:r>
              <w:rPr>
                <w:vertAlign w:val="superscript"/>
              </w:rPr>
              <w:t>10</w:t>
            </w:r>
          </w:p>
        </w:tc>
        <w:tc>
          <w:tcPr>
            <w:tcW w:w="1134" w:type="dxa"/>
            <w:tcBorders>
              <w:bottom w:val="single" w:sz="4" w:space="0" w:color="auto"/>
            </w:tcBorders>
            <w:shd w:val="clear" w:color="auto" w:fill="auto"/>
          </w:tcPr>
          <w:p>
            <w:pPr>
              <w:pStyle w:val="nTable"/>
              <w:spacing w:after="40"/>
            </w:pPr>
            <w:r>
              <w:t>43 of 2000</w:t>
            </w:r>
          </w:p>
        </w:tc>
        <w:tc>
          <w:tcPr>
            <w:tcW w:w="1134" w:type="dxa"/>
            <w:tcBorders>
              <w:bottom w:val="single" w:sz="4" w:space="0" w:color="auto"/>
            </w:tcBorders>
            <w:shd w:val="clear" w:color="auto" w:fill="auto"/>
          </w:tcPr>
          <w:p>
            <w:pPr>
              <w:pStyle w:val="nTable"/>
              <w:spacing w:after="40"/>
            </w:pPr>
            <w:r>
              <w:t>2 Nov 2000</w:t>
            </w:r>
          </w:p>
        </w:tc>
        <w:tc>
          <w:tcPr>
            <w:tcW w:w="2552" w:type="dxa"/>
            <w:tcBorders>
              <w:bottom w:val="single" w:sz="4" w:space="0" w:color="auto"/>
            </w:tcBorders>
            <w:shd w:val="clear" w:color="auto" w:fill="auto"/>
          </w:tcPr>
          <w:p>
            <w:pPr>
              <w:pStyle w:val="nTable"/>
              <w:spacing w:after="40"/>
            </w:pPr>
            <w:r>
              <w:t>To be proclaimed (see s. 2(2))</w:t>
            </w:r>
          </w:p>
        </w:tc>
      </w:tr>
      <w:tr>
        <w:trPr>
          <w:cantSplit/>
          <w:del w:id="272" w:author="svcMRProcess" w:date="2019-01-22T15:16:00Z"/>
        </w:trPr>
        <w:tc>
          <w:tcPr>
            <w:tcW w:w="2268" w:type="dxa"/>
            <w:tcBorders>
              <w:bottom w:val="single" w:sz="8" w:space="0" w:color="auto"/>
            </w:tcBorders>
            <w:shd w:val="clear" w:color="auto" w:fill="auto"/>
          </w:tcPr>
          <w:p>
            <w:pPr>
              <w:pStyle w:val="nTable"/>
              <w:spacing w:after="40"/>
              <w:ind w:right="113"/>
              <w:rPr>
                <w:del w:id="273" w:author="svcMRProcess" w:date="2019-01-22T15:16:00Z"/>
                <w:i/>
              </w:rPr>
            </w:pPr>
            <w:del w:id="274" w:author="svcMRProcess" w:date="2019-01-22T15:16:00Z">
              <w:r>
                <w:rPr>
                  <w:i/>
                  <w:snapToGrid w:val="0"/>
                  <w:szCs w:val="19"/>
                </w:rPr>
                <w:delText>Local Government Legislation Amendment Act 2016</w:delText>
              </w:r>
              <w:r>
                <w:rPr>
                  <w:snapToGrid w:val="0"/>
                  <w:szCs w:val="19"/>
                </w:rPr>
                <w:delText xml:space="preserve"> Pt. 3 Div. 26</w:delText>
              </w:r>
              <w:r>
                <w:rPr>
                  <w:snapToGrid w:val="0"/>
                  <w:szCs w:val="19"/>
                  <w:vertAlign w:val="superscript"/>
                </w:rPr>
                <w:delText> 11</w:delText>
              </w:r>
            </w:del>
          </w:p>
        </w:tc>
        <w:tc>
          <w:tcPr>
            <w:tcW w:w="1134" w:type="dxa"/>
            <w:tcBorders>
              <w:bottom w:val="single" w:sz="8" w:space="0" w:color="auto"/>
            </w:tcBorders>
            <w:shd w:val="clear" w:color="auto" w:fill="auto"/>
          </w:tcPr>
          <w:p>
            <w:pPr>
              <w:pStyle w:val="nTable"/>
              <w:spacing w:after="40"/>
              <w:rPr>
                <w:del w:id="275" w:author="svcMRProcess" w:date="2019-01-22T15:16:00Z"/>
              </w:rPr>
            </w:pPr>
            <w:del w:id="276" w:author="svcMRProcess" w:date="2019-01-22T15:16:00Z">
              <w:r>
                <w:delText>26 of 2016</w:delText>
              </w:r>
            </w:del>
          </w:p>
        </w:tc>
        <w:tc>
          <w:tcPr>
            <w:tcW w:w="1134" w:type="dxa"/>
            <w:tcBorders>
              <w:bottom w:val="single" w:sz="8" w:space="0" w:color="auto"/>
            </w:tcBorders>
            <w:shd w:val="clear" w:color="auto" w:fill="auto"/>
          </w:tcPr>
          <w:p>
            <w:pPr>
              <w:pStyle w:val="nTable"/>
              <w:spacing w:after="40"/>
              <w:rPr>
                <w:del w:id="277" w:author="svcMRProcess" w:date="2019-01-22T15:16:00Z"/>
              </w:rPr>
            </w:pPr>
            <w:del w:id="278" w:author="svcMRProcess" w:date="2019-01-22T15:16:00Z">
              <w:r>
                <w:delText>21 Sep 2016</w:delText>
              </w:r>
            </w:del>
          </w:p>
        </w:tc>
        <w:tc>
          <w:tcPr>
            <w:tcW w:w="2551" w:type="dxa"/>
            <w:tcBorders>
              <w:bottom w:val="single" w:sz="8" w:space="0" w:color="auto"/>
            </w:tcBorders>
            <w:shd w:val="clear" w:color="auto" w:fill="auto"/>
          </w:tcPr>
          <w:p>
            <w:pPr>
              <w:pStyle w:val="nTable"/>
              <w:spacing w:after="40"/>
              <w:rPr>
                <w:del w:id="279" w:author="svcMRProcess" w:date="2019-01-22T15:16:00Z"/>
              </w:rPr>
            </w:pPr>
            <w:del w:id="280" w:author="svcMRProcess" w:date="2019-01-22T15:16:00Z">
              <w:r>
                <w:rPr>
                  <w:snapToGrid w:val="0"/>
                </w:rPr>
                <w:delText>To be proclaimed (see s. 2(b))</w:delText>
              </w:r>
            </w:del>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rPr>
          <w:snapToGrid w:val="0"/>
        </w:rPr>
      </w:pPr>
      <w:r>
        <w:rPr>
          <w:snapToGrid w:val="0"/>
          <w:vertAlign w:val="superscript"/>
        </w:rPr>
        <w:t>4</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rPr>
          <w:snapToGrid w:val="0"/>
        </w:rPr>
      </w:pPr>
      <w:r>
        <w:rPr>
          <w:snapToGrid w:val="0"/>
          <w:vertAlign w:val="superscript"/>
        </w:rPr>
        <w:t>5</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Subsection"/>
      </w:pPr>
      <w:r>
        <w:rPr>
          <w:vertAlign w:val="superscript"/>
        </w:rPr>
        <w:t>6</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9</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10</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keepLines/>
        <w:spacing w:before="120"/>
        <w:rPr>
          <w:del w:id="281" w:author="svcMRProcess" w:date="2019-01-22T15:16:00Z"/>
          <w:snapToGrid w:val="0"/>
        </w:rPr>
      </w:pPr>
      <w:del w:id="282" w:author="svcMRProcess" w:date="2019-01-22T15:16:00Z">
        <w:r>
          <w:rPr>
            <w:snapToGrid w:val="0"/>
            <w:vertAlign w:val="superscript"/>
          </w:rPr>
          <w:delText>11</w:delText>
        </w:r>
        <w:r>
          <w:rPr>
            <w:snapToGrid w:val="0"/>
          </w:rPr>
          <w:tab/>
        </w:r>
        <w:r>
          <w:delText xml:space="preserve">On the </w:delText>
        </w:r>
        <w:r>
          <w:rPr>
            <w:snapToGrid w:val="0"/>
          </w:rPr>
          <w:delText>date</w:delText>
        </w:r>
        <w:r>
          <w:delText xml:space="preserve"> as at which this compilation was prepared, </w:delText>
        </w:r>
        <w:r>
          <w:rPr>
            <w:snapToGrid w:val="0"/>
          </w:rPr>
          <w:delText xml:space="preserve">the </w:delText>
        </w:r>
        <w:r>
          <w:rPr>
            <w:i/>
            <w:noProof/>
            <w:snapToGrid w:val="0"/>
          </w:rPr>
          <w:delText>Local Government Legislation Amendment Act 2016</w:delText>
        </w:r>
        <w:r>
          <w:rPr>
            <w:noProof/>
            <w:snapToGrid w:val="0"/>
          </w:rPr>
          <w:delText xml:space="preserve"> Pt. 3 Div. 26</w:delText>
        </w:r>
        <w:r>
          <w:rPr>
            <w:snapToGrid w:val="0"/>
          </w:rPr>
          <w:delText xml:space="preserve"> had not come into operation.  It reads as follows:</w:delText>
        </w:r>
      </w:del>
    </w:p>
    <w:p>
      <w:pPr>
        <w:pStyle w:val="BlankOpen"/>
        <w:rPr>
          <w:del w:id="283" w:author="svcMRProcess" w:date="2019-01-22T15:16:00Z"/>
        </w:rPr>
      </w:pPr>
      <w:bookmarkStart w:id="284" w:name="_Toc404165586"/>
      <w:bookmarkStart w:id="285" w:name="_Toc404165739"/>
      <w:bookmarkStart w:id="286" w:name="_Toc404165892"/>
      <w:bookmarkStart w:id="287" w:name="_Toc404171391"/>
      <w:bookmarkStart w:id="288" w:name="_Toc404172158"/>
      <w:bookmarkStart w:id="289" w:name="_Toc404260322"/>
      <w:bookmarkStart w:id="290" w:name="_Toc404260475"/>
      <w:bookmarkStart w:id="291" w:name="_Toc404261292"/>
      <w:bookmarkStart w:id="292" w:name="_Toc404317240"/>
      <w:bookmarkStart w:id="293" w:name="_Toc451258323"/>
      <w:bookmarkStart w:id="294" w:name="_Toc451258476"/>
      <w:bookmarkStart w:id="295" w:name="_Toc451258629"/>
      <w:bookmarkStart w:id="296" w:name="_Toc451259646"/>
      <w:bookmarkStart w:id="297" w:name="_Toc451259982"/>
      <w:bookmarkStart w:id="298" w:name="_Toc451260135"/>
      <w:bookmarkStart w:id="299" w:name="_Toc451261427"/>
      <w:bookmarkStart w:id="300" w:name="_Toc451331863"/>
      <w:bookmarkStart w:id="301" w:name="_Toc461700764"/>
      <w:bookmarkStart w:id="302" w:name="_Toc461700914"/>
      <w:bookmarkStart w:id="303" w:name="_Toc461701064"/>
      <w:bookmarkStart w:id="304" w:name="_Toc461786171"/>
      <w:bookmarkStart w:id="305" w:name="_Toc461786446"/>
      <w:bookmarkStart w:id="306" w:name="_Toc461786636"/>
      <w:bookmarkStart w:id="307" w:name="_Toc461799213"/>
      <w:bookmarkStart w:id="308" w:name="_Toc462241277"/>
    </w:p>
    <w:p>
      <w:pPr>
        <w:pStyle w:val="nzHeading2"/>
        <w:rPr>
          <w:del w:id="309" w:author="svcMRProcess" w:date="2019-01-22T15:16:00Z"/>
        </w:rPr>
      </w:pPr>
      <w:del w:id="310" w:author="svcMRProcess" w:date="2019-01-22T15:16:00Z">
        <w:r>
          <w:rPr>
            <w:rStyle w:val="CharPartNo"/>
          </w:rPr>
          <w:delText>Part 3</w:delText>
        </w:r>
        <w:r>
          <w:delText> — </w:delText>
        </w:r>
        <w:r>
          <w:rPr>
            <w:rStyle w:val="CharPartText"/>
          </w:rPr>
          <w:delText>Amendments to other Acts in relation to regional subsidiaries</w:delTex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del>
    </w:p>
    <w:p>
      <w:pPr>
        <w:pStyle w:val="nzHeading3"/>
        <w:rPr>
          <w:del w:id="311" w:author="svcMRProcess" w:date="2019-01-22T15:16:00Z"/>
        </w:rPr>
      </w:pPr>
      <w:bookmarkStart w:id="312" w:name="_Toc404165654"/>
      <w:bookmarkStart w:id="313" w:name="_Toc404165807"/>
      <w:bookmarkStart w:id="314" w:name="_Toc404165960"/>
      <w:bookmarkStart w:id="315" w:name="_Toc404171459"/>
      <w:bookmarkStart w:id="316" w:name="_Toc404172226"/>
      <w:bookmarkStart w:id="317" w:name="_Toc404260390"/>
      <w:bookmarkStart w:id="318" w:name="_Toc404260543"/>
      <w:bookmarkStart w:id="319" w:name="_Toc404261360"/>
      <w:bookmarkStart w:id="320" w:name="_Toc404317308"/>
      <w:bookmarkStart w:id="321" w:name="_Toc451258397"/>
      <w:bookmarkStart w:id="322" w:name="_Toc451258550"/>
      <w:bookmarkStart w:id="323" w:name="_Toc451258703"/>
      <w:bookmarkStart w:id="324" w:name="_Toc451259720"/>
      <w:bookmarkStart w:id="325" w:name="_Toc451260056"/>
      <w:bookmarkStart w:id="326" w:name="_Toc451260209"/>
      <w:bookmarkStart w:id="327" w:name="_Toc451261501"/>
      <w:bookmarkStart w:id="328" w:name="_Toc451331937"/>
      <w:bookmarkStart w:id="329" w:name="_Toc461700841"/>
      <w:bookmarkStart w:id="330" w:name="_Toc461700991"/>
      <w:bookmarkStart w:id="331" w:name="_Toc461701141"/>
      <w:bookmarkStart w:id="332" w:name="_Toc461786248"/>
      <w:bookmarkStart w:id="333" w:name="_Toc461786523"/>
      <w:bookmarkStart w:id="334" w:name="_Toc461786713"/>
      <w:bookmarkStart w:id="335" w:name="_Toc461799290"/>
      <w:bookmarkStart w:id="336" w:name="_Toc462241354"/>
      <w:del w:id="337" w:author="svcMRProcess" w:date="2019-01-22T15:16:00Z">
        <w:r>
          <w:rPr>
            <w:rStyle w:val="CharDivNo"/>
          </w:rPr>
          <w:delText>Division 26</w:delText>
        </w:r>
        <w:r>
          <w:delText> — </w:delText>
        </w:r>
        <w:r>
          <w:rPr>
            <w:rStyle w:val="CharDivText"/>
            <w:i/>
          </w:rPr>
          <w:delText>Parliamentary Commissioner Act 1971</w:delText>
        </w:r>
        <w:r>
          <w:rPr>
            <w:rStyle w:val="CharDivText"/>
          </w:rPr>
          <w:delText xml:space="preserve"> amended</w:delTex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del>
    </w:p>
    <w:p>
      <w:pPr>
        <w:pStyle w:val="nzHeading5"/>
        <w:rPr>
          <w:del w:id="338" w:author="svcMRProcess" w:date="2019-01-22T15:16:00Z"/>
        </w:rPr>
      </w:pPr>
      <w:bookmarkStart w:id="339" w:name="_Toc461799291"/>
      <w:bookmarkStart w:id="340" w:name="_Toc462241355"/>
      <w:del w:id="341" w:author="svcMRProcess" w:date="2019-01-22T15:16:00Z">
        <w:r>
          <w:rPr>
            <w:rStyle w:val="CharSectno"/>
          </w:rPr>
          <w:delText>77</w:delText>
        </w:r>
        <w:r>
          <w:delText>.</w:delText>
        </w:r>
        <w:r>
          <w:tab/>
          <w:delText>Act amended</w:delText>
        </w:r>
        <w:bookmarkEnd w:id="339"/>
        <w:bookmarkEnd w:id="340"/>
      </w:del>
    </w:p>
    <w:p>
      <w:pPr>
        <w:pStyle w:val="nzSubsection"/>
        <w:rPr>
          <w:del w:id="342" w:author="svcMRProcess" w:date="2019-01-22T15:16:00Z"/>
        </w:rPr>
      </w:pPr>
      <w:del w:id="343" w:author="svcMRProcess" w:date="2019-01-22T15:16:00Z">
        <w:r>
          <w:tab/>
        </w:r>
        <w:r>
          <w:tab/>
          <w:delText xml:space="preserve">This Division amends the </w:delText>
        </w:r>
        <w:r>
          <w:rPr>
            <w:i/>
          </w:rPr>
          <w:delText>Parliamentary Commissioner Act 1971</w:delText>
        </w:r>
        <w:r>
          <w:delText>.</w:delText>
        </w:r>
      </w:del>
    </w:p>
    <w:p>
      <w:pPr>
        <w:pStyle w:val="nzHeading5"/>
        <w:rPr>
          <w:del w:id="344" w:author="svcMRProcess" w:date="2019-01-22T15:16:00Z"/>
        </w:rPr>
      </w:pPr>
      <w:bookmarkStart w:id="345" w:name="_Toc461799292"/>
      <w:bookmarkStart w:id="346" w:name="_Toc462241356"/>
      <w:del w:id="347" w:author="svcMRProcess" w:date="2019-01-22T15:16:00Z">
        <w:r>
          <w:rPr>
            <w:rStyle w:val="CharSectno"/>
          </w:rPr>
          <w:delText>78</w:delText>
        </w:r>
        <w:r>
          <w:delText>.</w:delText>
        </w:r>
        <w:r>
          <w:tab/>
          <w:delText>Section 4A amended</w:delText>
        </w:r>
        <w:bookmarkEnd w:id="345"/>
        <w:bookmarkEnd w:id="346"/>
      </w:del>
    </w:p>
    <w:p>
      <w:pPr>
        <w:pStyle w:val="nzSubsection"/>
        <w:rPr>
          <w:del w:id="348" w:author="svcMRProcess" w:date="2019-01-22T15:16:00Z"/>
        </w:rPr>
      </w:pPr>
      <w:del w:id="349" w:author="svcMRProcess" w:date="2019-01-22T15:16:00Z">
        <w:r>
          <w:tab/>
        </w:r>
        <w:r>
          <w:tab/>
          <w:delText>Delete section 4A(1)(a) and insert:</w:delText>
        </w:r>
      </w:del>
    </w:p>
    <w:p>
      <w:pPr>
        <w:pStyle w:val="BlankOpen"/>
        <w:rPr>
          <w:del w:id="350" w:author="svcMRProcess" w:date="2019-01-22T15:16:00Z"/>
        </w:rPr>
      </w:pPr>
    </w:p>
    <w:p>
      <w:pPr>
        <w:pStyle w:val="nzIndenta"/>
        <w:rPr>
          <w:del w:id="351" w:author="svcMRProcess" w:date="2019-01-22T15:16:00Z"/>
        </w:rPr>
      </w:pPr>
      <w:del w:id="352" w:author="svcMRProcess" w:date="2019-01-22T15:16:00Z">
        <w:r>
          <w:tab/>
          <w:delText>(a)</w:delText>
        </w:r>
        <w:r>
          <w:tab/>
          <w:delText>a local government, regional local government or regional subsidiary;</w:delText>
        </w:r>
      </w:del>
    </w:p>
    <w:p>
      <w:pPr>
        <w:pStyle w:val="BlankClose"/>
        <w:rPr>
          <w:del w:id="353" w:author="svcMRProcess" w:date="2019-01-22T15:16:00Z"/>
        </w:rPr>
      </w:pPr>
    </w:p>
    <w:p>
      <w:pPr>
        <w:pStyle w:val="BlankClose"/>
        <w:rPr>
          <w:del w:id="354" w:author="svcMRProcess" w:date="2019-01-22T15:16:00Z"/>
        </w:rPr>
      </w:pPr>
    </w:p>
    <w:p/>
    <w:p>
      <w:pPr>
        <w:sectPr>
          <w:headerReference w:type="even" r:id="rId26"/>
          <w:headerReference w:type="default" r:id="rId27"/>
          <w:pgSz w:w="11907" w:h="16840" w:code="9"/>
          <w:pgMar w:top="2376" w:right="2404" w:bottom="3544" w:left="2404"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21 Sep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10-c0-01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Sep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Sep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52" w:name="Schedule"/>
    <w:bookmarkEnd w:id="252"/>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355" w:name="Compilation"/>
    <w:bookmarkEnd w:id="35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56" w:name="Coversheet"/>
    <w:bookmarkEnd w:id="35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C7768DC"/>
    <w:multiLevelType w:val="multilevel"/>
    <w:tmpl w:val="289E95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F151FFB"/>
    <w:multiLevelType w:val="multilevel"/>
    <w:tmpl w:val="32A0AC5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127142836"/>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header" Target="header11.xm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6BE4F-8D3F-4BE0-BBF0-D8B45870D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15178</Words>
  <Characters>71185</Characters>
  <Application>Microsoft Office Word</Application>
  <DocSecurity>0</DocSecurity>
  <Lines>2296</Lines>
  <Paragraphs>1216</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85147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10-b0-00 - 10-c0-01</dc:title>
  <dc:subject/>
  <dc:creator/>
  <cp:keywords/>
  <dc:description/>
  <cp:lastModifiedBy>svcMRProcess</cp:lastModifiedBy>
  <cp:revision>2</cp:revision>
  <cp:lastPrinted>2016-03-16T01:33:00Z</cp:lastPrinted>
  <dcterms:created xsi:type="dcterms:W3CDTF">2019-01-22T07:15:00Z</dcterms:created>
  <dcterms:modified xsi:type="dcterms:W3CDTF">2019-01-22T07:16:00Z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CommencementDate">
    <vt:lpwstr>20170121</vt:lpwstr>
  </property>
  <property fmtid="{D5CDD505-2E9C-101B-9397-08002B2CF9AE}" pid="8" name="FromSuffix">
    <vt:lpwstr>10-b0-00</vt:lpwstr>
  </property>
  <property fmtid="{D5CDD505-2E9C-101B-9397-08002B2CF9AE}" pid="9" name="FromAsAtDate">
    <vt:lpwstr>21 Sep 2016</vt:lpwstr>
  </property>
  <property fmtid="{D5CDD505-2E9C-101B-9397-08002B2CF9AE}" pid="10" name="ToSuffix">
    <vt:lpwstr>10-c0-01</vt:lpwstr>
  </property>
  <property fmtid="{D5CDD505-2E9C-101B-9397-08002B2CF9AE}" pid="11" name="ToAsAtDate">
    <vt:lpwstr>21 Jan 2017</vt:lpwstr>
  </property>
</Properties>
</file>