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Tourism Commission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21 Jan 2017</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00"/>
      </w:pPr>
      <w:r>
        <w:t>Western Australian Tourism Commission Act 1983</w:t>
      </w:r>
    </w:p>
    <w:p>
      <w:pPr>
        <w:pStyle w:val="LongTitle"/>
        <w:spacing w:before="360"/>
        <w:rPr>
          <w:snapToGrid w:val="0"/>
        </w:rPr>
      </w:pPr>
      <w:r>
        <w:rPr>
          <w:snapToGrid w:val="0"/>
        </w:rPr>
        <w:t>A</w:t>
      </w:r>
      <w:bookmarkStart w:id="1" w:name="_GoBack"/>
      <w:bookmarkEnd w:id="1"/>
      <w:r>
        <w:rPr>
          <w:snapToGrid w:val="0"/>
        </w:rPr>
        <w:t xml:space="preserve">n Act to make provision for the establishment of a Western Australian Tourism Commission, to repeal the </w:t>
      </w:r>
      <w:r>
        <w:rPr>
          <w:i/>
          <w:snapToGrid w:val="0"/>
        </w:rPr>
        <w:t>Tourist Act 1973</w:t>
      </w:r>
      <w:r>
        <w:rPr>
          <w:i/>
          <w:snapToGrid w:val="0"/>
        </w:rPr>
        <w:noBreakHyphen/>
        <w:t>1981</w:t>
      </w:r>
      <w:r>
        <w:rPr>
          <w:snapToGrid w:val="0"/>
          <w:vertAlign w:val="superscript"/>
        </w:rPr>
        <w:t> </w:t>
      </w:r>
      <w:del w:id="2" w:author="svcMRProcess" w:date="2020-02-25T14:41:00Z">
        <w:r>
          <w:rPr>
            <w:snapToGrid w:val="0"/>
            <w:vertAlign w:val="superscript"/>
          </w:rPr>
          <w:delText>2</w:delText>
        </w:r>
      </w:del>
      <w:ins w:id="3" w:author="svcMRProcess" w:date="2020-02-25T14:41:00Z">
        <w:r>
          <w:rPr>
            <w:snapToGrid w:val="0"/>
            <w:vertAlign w:val="superscript"/>
          </w:rPr>
          <w:t>1</w:t>
        </w:r>
      </w:ins>
      <w:r>
        <w:rPr>
          <w:snapToGrid w:val="0"/>
        </w:rPr>
        <w:t>, and for incidental and other purposes.</w:t>
      </w:r>
    </w:p>
    <w:p>
      <w:pPr>
        <w:pStyle w:val="Heading2"/>
      </w:pPr>
      <w:bookmarkStart w:id="4" w:name="_Toc32396505"/>
      <w:bookmarkStart w:id="5" w:name="_Toc32396556"/>
      <w:bookmarkStart w:id="6" w:name="_Toc379285654"/>
      <w:bookmarkStart w:id="7" w:name="_Toc425167480"/>
      <w:bookmarkStart w:id="8" w:name="_Toc462745488"/>
      <w:r>
        <w:rPr>
          <w:rStyle w:val="CharPartNo"/>
        </w:rPr>
        <w:lastRenderedPageBreak/>
        <w:t>Part I</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rPr>
          <w:snapToGrid w:val="0"/>
        </w:rPr>
      </w:pPr>
      <w:bookmarkStart w:id="9" w:name="_Toc32396557"/>
      <w:bookmarkStart w:id="10" w:name="_Toc379285655"/>
      <w:bookmarkStart w:id="11" w:name="_Toc462745489"/>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del w:id="12" w:author="svcMRProcess" w:date="2020-02-25T14:41:00Z">
        <w:r>
          <w:rPr>
            <w:snapToGrid w:val="0"/>
            <w:vertAlign w:val="superscript"/>
          </w:rPr>
          <w:delText xml:space="preserve"> 1</w:delText>
        </w:r>
      </w:del>
      <w:r>
        <w:rPr>
          <w:snapToGrid w:val="0"/>
        </w:rPr>
        <w:t>.</w:t>
      </w:r>
    </w:p>
    <w:p>
      <w:pPr>
        <w:pStyle w:val="Heading5"/>
        <w:rPr>
          <w:snapToGrid w:val="0"/>
        </w:rPr>
      </w:pPr>
      <w:bookmarkStart w:id="13" w:name="_Toc32396558"/>
      <w:bookmarkStart w:id="14" w:name="_Toc379285656"/>
      <w:bookmarkStart w:id="15" w:name="_Toc462745490"/>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r>
      <w:r>
        <w:rPr>
          <w:snapToGrid w:val="0"/>
        </w:rPr>
        <w:tab/>
        <w:t>This Act shall come into operation on such day or days as is or are respectively fixed by proclamation</w:t>
      </w:r>
      <w:del w:id="16" w:author="svcMRProcess" w:date="2020-02-25T14:41:00Z">
        <w:r>
          <w:rPr>
            <w:snapToGrid w:val="0"/>
            <w:vertAlign w:val="superscript"/>
          </w:rPr>
          <w:delText xml:space="preserve"> 1</w:delText>
        </w:r>
      </w:del>
      <w:r>
        <w:rPr>
          <w:snapToGrid w:val="0"/>
        </w:rPr>
        <w:t>.</w:t>
      </w:r>
    </w:p>
    <w:p>
      <w:pPr>
        <w:pStyle w:val="Heading5"/>
        <w:rPr>
          <w:snapToGrid w:val="0"/>
        </w:rPr>
      </w:pPr>
      <w:bookmarkStart w:id="17" w:name="_Toc32396559"/>
      <w:bookmarkStart w:id="18" w:name="_Toc379285657"/>
      <w:bookmarkStart w:id="19" w:name="_Toc462745491"/>
      <w:r>
        <w:rPr>
          <w:rStyle w:val="CharSectno"/>
        </w:rPr>
        <w:t>3</w:t>
      </w:r>
      <w:r>
        <w:rPr>
          <w:snapToGrid w:val="0"/>
        </w:rPr>
        <w:t>.</w:t>
      </w:r>
      <w:r>
        <w:rPr>
          <w:snapToGrid w:val="0"/>
        </w:rPr>
        <w:tab/>
        <w:t>Terms used</w:t>
      </w:r>
      <w:bookmarkEnd w:id="17"/>
      <w:bookmarkEnd w:id="18"/>
      <w:bookmarkEnd w:id="1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Board</w:t>
      </w:r>
      <w:r>
        <w:t xml:space="preserve"> means the Board of Commissioners of the Commission;</w:t>
      </w:r>
    </w:p>
    <w:p>
      <w:pPr>
        <w:pStyle w:val="Defstart"/>
      </w:pPr>
      <w:r>
        <w:rPr>
          <w:b/>
        </w:rPr>
        <w:tab/>
      </w:r>
      <w:r>
        <w:rPr>
          <w:rStyle w:val="CharDefText"/>
        </w:rPr>
        <w:t>chairman</w:t>
      </w:r>
      <w:r>
        <w:t xml:space="preserve"> means the person appointed under section 5(1) to be the chairman of the Board;</w:t>
      </w:r>
    </w:p>
    <w:p>
      <w:pPr>
        <w:pStyle w:val="Defstart"/>
      </w:pPr>
      <w:r>
        <w:rPr>
          <w:b/>
        </w:rPr>
        <w:tab/>
      </w:r>
      <w:r>
        <w:rPr>
          <w:rStyle w:val="CharDefText"/>
        </w:rPr>
        <w:t>chief executive officer</w:t>
      </w:r>
      <w:r>
        <w:t xml:space="preserve"> means the person appointed as chief executive officer under section 17;</w:t>
      </w:r>
    </w:p>
    <w:p>
      <w:pPr>
        <w:pStyle w:val="Defstart"/>
      </w:pPr>
      <w:r>
        <w:rPr>
          <w:b/>
        </w:rPr>
        <w:tab/>
      </w:r>
      <w:r>
        <w:rPr>
          <w:rStyle w:val="CharDefText"/>
        </w:rPr>
        <w:t>Commission</w:t>
      </w:r>
      <w:r>
        <w:t xml:space="preserve"> means the Western Australian Tourism Commission established under section 4;</w:t>
      </w:r>
    </w:p>
    <w:p>
      <w:pPr>
        <w:pStyle w:val="Defstart"/>
      </w:pPr>
      <w:r>
        <w:rPr>
          <w:b/>
        </w:rPr>
        <w:tab/>
      </w:r>
      <w:r>
        <w:rPr>
          <w:rStyle w:val="CharDefText"/>
        </w:rPr>
        <w:t>Commission Account</w:t>
      </w:r>
      <w:r>
        <w:t xml:space="preserve"> means the Western Australian Tourism Commission Account established by section 24;</w:t>
      </w:r>
    </w:p>
    <w:p>
      <w:pPr>
        <w:pStyle w:val="Defstart"/>
      </w:pPr>
      <w:r>
        <w:rPr>
          <w:b/>
        </w:rPr>
        <w:tab/>
      </w:r>
      <w:r>
        <w:rPr>
          <w:rStyle w:val="CharDefText"/>
        </w:rPr>
        <w:t>Department</w:t>
      </w:r>
      <w:r>
        <w:t xml:space="preserve"> means the Department of Tourism continued under the </w:t>
      </w:r>
      <w:r>
        <w:rPr>
          <w:i/>
        </w:rPr>
        <w:t>Public Sector Management Act 1994</w:t>
      </w:r>
      <w:r>
        <w:t>;</w:t>
      </w:r>
    </w:p>
    <w:p>
      <w:pPr>
        <w:pStyle w:val="Defstart"/>
      </w:pPr>
      <w:r>
        <w:tab/>
      </w:r>
      <w:r>
        <w:rPr>
          <w:rStyle w:val="CharDefText"/>
        </w:rPr>
        <w:t>local government</w:t>
      </w:r>
      <w:r>
        <w:t xml:space="preserve"> means a local government</w:t>
      </w:r>
      <w:del w:id="20" w:author="svcMRProcess" w:date="2020-02-25T14:41:00Z">
        <w:r>
          <w:delText xml:space="preserve"> or a</w:delText>
        </w:r>
      </w:del>
      <w:ins w:id="21" w:author="svcMRProcess" w:date="2020-02-25T14:41:00Z">
        <w:r>
          <w:t>,</w:t>
        </w:r>
      </w:ins>
      <w:r>
        <w:t xml:space="preserve"> regional local government</w:t>
      </w:r>
      <w:ins w:id="22" w:author="svcMRProcess" w:date="2020-02-25T14:41:00Z">
        <w:r>
          <w:t xml:space="preserve"> or regional subsidiary</w:t>
        </w:r>
      </w:ins>
      <w:r>
        <w:t>;</w:t>
      </w:r>
    </w:p>
    <w:p>
      <w:pPr>
        <w:pStyle w:val="Defstart"/>
      </w:pPr>
      <w:r>
        <w:rPr>
          <w:b/>
        </w:rPr>
        <w:tab/>
      </w:r>
      <w:r>
        <w:rPr>
          <w:rStyle w:val="CharDefText"/>
        </w:rPr>
        <w:t>member</w:t>
      </w:r>
      <w:r>
        <w:t xml:space="preserve"> means member of the Board.</w:t>
      </w:r>
    </w:p>
    <w:p>
      <w:pPr>
        <w:pStyle w:val="Footnotesection"/>
      </w:pPr>
      <w:r>
        <w:tab/>
        <w:t>[Section 3 amended</w:t>
      </w:r>
      <w:del w:id="23" w:author="svcMRProcess" w:date="2020-02-25T14:41:00Z">
        <w:r>
          <w:delText xml:space="preserve"> by</w:delText>
        </w:r>
      </w:del>
      <w:ins w:id="24" w:author="svcMRProcess" w:date="2020-02-25T14:41:00Z">
        <w:r>
          <w:t>:</w:t>
        </w:r>
      </w:ins>
      <w:r>
        <w:t xml:space="preserve"> No. 32 of 1994 s. 19; No. 68 of 1994 s. 4; No. 14 of 1996 s. </w:t>
      </w:r>
      <w:del w:id="25" w:author="svcMRProcess" w:date="2020-02-25T14:41:00Z">
        <w:r>
          <w:delText>4</w:delText>
        </w:r>
      </w:del>
      <w:ins w:id="26" w:author="svcMRProcess" w:date="2020-02-25T14:41:00Z">
        <w:r>
          <w:t>4; No. 26 of 2016 s. 98</w:t>
        </w:r>
      </w:ins>
      <w:r>
        <w:t>.]</w:t>
      </w:r>
    </w:p>
    <w:p>
      <w:pPr>
        <w:pStyle w:val="Heading2"/>
      </w:pPr>
      <w:bookmarkStart w:id="27" w:name="_Toc32396509"/>
      <w:bookmarkStart w:id="28" w:name="_Toc32396560"/>
      <w:bookmarkStart w:id="29" w:name="_Toc379285658"/>
      <w:bookmarkStart w:id="30" w:name="_Toc425167484"/>
      <w:bookmarkStart w:id="31" w:name="_Toc462745492"/>
      <w:r>
        <w:rPr>
          <w:rStyle w:val="CharPartNo"/>
        </w:rPr>
        <w:lastRenderedPageBreak/>
        <w:t>Part II</w:t>
      </w:r>
      <w:r>
        <w:t> — </w:t>
      </w:r>
      <w:r>
        <w:rPr>
          <w:rStyle w:val="CharPartText"/>
        </w:rPr>
        <w:t>Administration</w:t>
      </w:r>
      <w:bookmarkEnd w:id="27"/>
      <w:bookmarkEnd w:id="28"/>
      <w:bookmarkEnd w:id="29"/>
      <w:bookmarkEnd w:id="30"/>
      <w:bookmarkEnd w:id="31"/>
    </w:p>
    <w:p>
      <w:pPr>
        <w:pStyle w:val="Heading3"/>
        <w:spacing w:before="200"/>
      </w:pPr>
      <w:bookmarkStart w:id="32" w:name="_Toc32396510"/>
      <w:bookmarkStart w:id="33" w:name="_Toc32396561"/>
      <w:bookmarkStart w:id="34" w:name="_Toc379285659"/>
      <w:bookmarkStart w:id="35" w:name="_Toc425167485"/>
      <w:bookmarkStart w:id="36" w:name="_Toc462745493"/>
      <w:r>
        <w:rPr>
          <w:rStyle w:val="CharDivNo"/>
        </w:rPr>
        <w:t>Division 1</w:t>
      </w:r>
      <w:r>
        <w:rPr>
          <w:snapToGrid w:val="0"/>
        </w:rPr>
        <w:t> — </w:t>
      </w:r>
      <w:r>
        <w:rPr>
          <w:rStyle w:val="CharDivText"/>
        </w:rPr>
        <w:t>Western Australian Tourism Commission</w:t>
      </w:r>
      <w:bookmarkEnd w:id="32"/>
      <w:bookmarkEnd w:id="33"/>
      <w:bookmarkEnd w:id="34"/>
      <w:bookmarkEnd w:id="35"/>
      <w:bookmarkEnd w:id="36"/>
    </w:p>
    <w:p>
      <w:pPr>
        <w:pStyle w:val="Heading5"/>
        <w:spacing w:before="200"/>
        <w:rPr>
          <w:snapToGrid w:val="0"/>
        </w:rPr>
      </w:pPr>
      <w:bookmarkStart w:id="37" w:name="_Toc32396562"/>
      <w:bookmarkStart w:id="38" w:name="_Toc379285660"/>
      <w:bookmarkStart w:id="39" w:name="_Toc462745494"/>
      <w:r>
        <w:rPr>
          <w:rStyle w:val="CharSectno"/>
        </w:rPr>
        <w:t>4</w:t>
      </w:r>
      <w:r>
        <w:rPr>
          <w:snapToGrid w:val="0"/>
        </w:rPr>
        <w:t>.</w:t>
      </w:r>
      <w:r>
        <w:rPr>
          <w:snapToGrid w:val="0"/>
        </w:rPr>
        <w:tab/>
        <w:t>The Commission</w:t>
      </w:r>
      <w:bookmarkEnd w:id="37"/>
      <w:bookmarkEnd w:id="38"/>
      <w:bookmarkEnd w:id="39"/>
    </w:p>
    <w:p>
      <w:pPr>
        <w:pStyle w:val="Subsection"/>
        <w:spacing w:before="140"/>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spacing w:before="140"/>
        <w:rPr>
          <w:snapToGrid w:val="0"/>
        </w:rPr>
      </w:pPr>
      <w:r>
        <w:rPr>
          <w:snapToGrid w:val="0"/>
        </w:rPr>
        <w:tab/>
        <w:t>(2)</w:t>
      </w:r>
      <w:r>
        <w:rPr>
          <w:snapToGrid w:val="0"/>
        </w:rPr>
        <w:tab/>
        <w:t>Under its corporate name the Commission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spacing w:before="140"/>
        <w:rPr>
          <w:snapToGrid w:val="0"/>
        </w:rPr>
      </w:pPr>
      <w:r>
        <w:rPr>
          <w:snapToGrid w:val="0"/>
        </w:rPr>
        <w:tab/>
        <w:t>(3)</w:t>
      </w:r>
      <w:r>
        <w:rPr>
          <w:snapToGrid w:val="0"/>
        </w:rPr>
        <w:tab/>
        <w:t>The Commission is an agent of the Crown in right of the State.</w:t>
      </w:r>
    </w:p>
    <w:p>
      <w:pPr>
        <w:pStyle w:val="Subsection"/>
        <w:spacing w:before="140"/>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Commission; and</w:t>
      </w:r>
    </w:p>
    <w:p>
      <w:pPr>
        <w:pStyle w:val="Indenta"/>
        <w:spacing w:before="60"/>
        <w:rPr>
          <w:snapToGrid w:val="0"/>
        </w:rPr>
      </w:pPr>
      <w:r>
        <w:rPr>
          <w:snapToGrid w:val="0"/>
        </w:rPr>
        <w:tab/>
        <w:t>(b)</w:t>
      </w:r>
      <w:r>
        <w:rPr>
          <w:snapToGrid w:val="0"/>
        </w:rPr>
        <w:tab/>
        <w:t>the seal was duly affixed.</w:t>
      </w:r>
    </w:p>
    <w:p>
      <w:pPr>
        <w:pStyle w:val="Subsection"/>
        <w:spacing w:before="140"/>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spacing w:before="200"/>
        <w:rPr>
          <w:snapToGrid w:val="0"/>
        </w:rPr>
      </w:pPr>
      <w:bookmarkStart w:id="40" w:name="_Toc32396563"/>
      <w:bookmarkStart w:id="41" w:name="_Toc379285661"/>
      <w:bookmarkStart w:id="42" w:name="_Toc462745495"/>
      <w:r>
        <w:rPr>
          <w:rStyle w:val="CharSectno"/>
        </w:rPr>
        <w:t>4A</w:t>
      </w:r>
      <w:r>
        <w:rPr>
          <w:snapToGrid w:val="0"/>
        </w:rPr>
        <w:t xml:space="preserve">. </w:t>
      </w:r>
      <w:r>
        <w:rPr>
          <w:snapToGrid w:val="0"/>
        </w:rPr>
        <w:tab/>
        <w:t>Board of Commissioners</w:t>
      </w:r>
      <w:bookmarkEnd w:id="40"/>
      <w:bookmarkEnd w:id="41"/>
      <w:bookmarkEnd w:id="42"/>
    </w:p>
    <w:p>
      <w:pPr>
        <w:pStyle w:val="Subsection"/>
        <w:spacing w:before="140"/>
        <w:rPr>
          <w:snapToGrid w:val="0"/>
        </w:rPr>
      </w:pPr>
      <w:r>
        <w:rPr>
          <w:snapToGrid w:val="0"/>
        </w:rPr>
        <w:tab/>
        <w:t>(1)</w:t>
      </w:r>
      <w:r>
        <w:rPr>
          <w:snapToGrid w:val="0"/>
        </w:rPr>
        <w:tab/>
        <w:t>The Commission shall have a Board of Commissioners, appointed under section 5.</w:t>
      </w:r>
    </w:p>
    <w:p>
      <w:pPr>
        <w:pStyle w:val="Subsection"/>
        <w:spacing w:before="140"/>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spacing w:before="100"/>
        <w:ind w:left="890" w:hanging="890"/>
      </w:pPr>
      <w:r>
        <w:tab/>
        <w:t>[Section 4A inserted</w:t>
      </w:r>
      <w:del w:id="43" w:author="svcMRProcess" w:date="2020-02-25T14:41:00Z">
        <w:r>
          <w:delText xml:space="preserve"> by</w:delText>
        </w:r>
      </w:del>
      <w:ins w:id="44" w:author="svcMRProcess" w:date="2020-02-25T14:41:00Z">
        <w:r>
          <w:t>:</w:t>
        </w:r>
      </w:ins>
      <w:r>
        <w:t xml:space="preserve"> No. 68 of 1994 s. 5.]</w:t>
      </w:r>
    </w:p>
    <w:p>
      <w:pPr>
        <w:pStyle w:val="Heading5"/>
        <w:rPr>
          <w:snapToGrid w:val="0"/>
        </w:rPr>
      </w:pPr>
      <w:bookmarkStart w:id="45" w:name="_Toc32396564"/>
      <w:bookmarkStart w:id="46" w:name="_Toc379285662"/>
      <w:bookmarkStart w:id="47" w:name="_Toc462745496"/>
      <w:r>
        <w:rPr>
          <w:rStyle w:val="CharSectno"/>
        </w:rPr>
        <w:lastRenderedPageBreak/>
        <w:t>5</w:t>
      </w:r>
      <w:r>
        <w:rPr>
          <w:snapToGrid w:val="0"/>
        </w:rPr>
        <w:t>.</w:t>
      </w:r>
      <w:r>
        <w:rPr>
          <w:snapToGrid w:val="0"/>
        </w:rPr>
        <w:tab/>
        <w:t>Board members</w:t>
      </w:r>
      <w:bookmarkEnd w:id="45"/>
      <w:bookmarkEnd w:id="46"/>
      <w:bookmarkEnd w:id="47"/>
    </w:p>
    <w:p>
      <w:pPr>
        <w:pStyle w:val="Subsection"/>
        <w:spacing w:before="140"/>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spacing w:before="140"/>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spacing w:before="140"/>
        <w:rPr>
          <w:snapToGrid w:val="0"/>
        </w:rPr>
      </w:pPr>
      <w:r>
        <w:rPr>
          <w:snapToGrid w:val="0"/>
        </w:rPr>
        <w:tab/>
        <w:t>(1b)</w:t>
      </w:r>
      <w:r>
        <w:rPr>
          <w:snapToGrid w:val="0"/>
        </w:rPr>
        <w:tab/>
        <w:t>The Minister shall appoint one of the members appointed under subsection (1) to be the deputy chairman.</w:t>
      </w:r>
    </w:p>
    <w:p>
      <w:pPr>
        <w:pStyle w:val="Subsection"/>
        <w:spacing w:before="140"/>
        <w:rPr>
          <w:snapToGrid w:val="0"/>
        </w:rPr>
      </w:pPr>
      <w:r>
        <w:rPr>
          <w:snapToGrid w:val="0"/>
        </w:rPr>
        <w:tab/>
        <w:t>(2)</w:t>
      </w:r>
      <w:r>
        <w:rPr>
          <w:snapToGrid w:val="0"/>
        </w:rPr>
        <w:tab/>
        <w:t>Subject to this Act —</w:t>
      </w:r>
    </w:p>
    <w:p>
      <w:pPr>
        <w:pStyle w:val="Indenta"/>
        <w:spacing w:before="60"/>
        <w:rPr>
          <w:snapToGrid w:val="0"/>
        </w:rPr>
      </w:pPr>
      <w:r>
        <w:rPr>
          <w:snapToGrid w:val="0"/>
        </w:rPr>
        <w:tab/>
        <w:t>(a)</w:t>
      </w:r>
      <w:r>
        <w:rPr>
          <w:snapToGrid w:val="0"/>
        </w:rPr>
        <w:tab/>
        <w:t>the chairman shall hold office for such period not exceeding 5 years; and</w:t>
      </w:r>
    </w:p>
    <w:p>
      <w:pPr>
        <w:pStyle w:val="Indenta"/>
        <w:spacing w:before="60"/>
        <w:rPr>
          <w:snapToGrid w:val="0"/>
        </w:rPr>
      </w:pPr>
      <w:r>
        <w:rPr>
          <w:snapToGrid w:val="0"/>
        </w:rPr>
        <w:tab/>
        <w:t>(b)</w:t>
      </w:r>
      <w:r>
        <w:rPr>
          <w:snapToGrid w:val="0"/>
        </w:rPr>
        <w:tab/>
        <w:t>each other member shall hold office for such period not exceeding 4 years,</w:t>
      </w:r>
    </w:p>
    <w:p>
      <w:pPr>
        <w:pStyle w:val="Subsection"/>
        <w:spacing w:before="100"/>
        <w:rPr>
          <w:snapToGrid w:val="0"/>
        </w:rPr>
      </w:pPr>
      <w:r>
        <w:rPr>
          <w:snapToGrid w:val="0"/>
        </w:rPr>
        <w:tab/>
      </w:r>
      <w:r>
        <w:rPr>
          <w:snapToGrid w:val="0"/>
        </w:rPr>
        <w:tab/>
        <w:t>as is specified in the instrument of his appointment, and is eligible for reappointment.</w:t>
      </w:r>
    </w:p>
    <w:p>
      <w:pPr>
        <w:pStyle w:val="Subsection"/>
        <w:spacing w:before="140"/>
        <w:rPr>
          <w:snapToGrid w:val="0"/>
        </w:rPr>
      </w:pPr>
      <w:r>
        <w:rPr>
          <w:snapToGrid w:val="0"/>
        </w:rPr>
        <w:tab/>
        <w:t>(3)</w:t>
      </w:r>
      <w:r>
        <w:rPr>
          <w:snapToGrid w:val="0"/>
        </w:rPr>
        <w:tab/>
        <w:t>The Minister may grant leave of absence to a member on such terms and conditions as the Minister determines.</w:t>
      </w:r>
    </w:p>
    <w:p>
      <w:pPr>
        <w:pStyle w:val="Subsection"/>
        <w:spacing w:before="140"/>
        <w:rPr>
          <w:snapToGrid w:val="0"/>
        </w:rPr>
      </w:pPr>
      <w:r>
        <w:rPr>
          <w:snapToGrid w:val="0"/>
        </w:rPr>
        <w:tab/>
        <w:t>(4)</w:t>
      </w:r>
      <w:r>
        <w:rPr>
          <w:snapToGrid w:val="0"/>
        </w:rPr>
        <w:tab/>
        <w:t>The Governor may terminate the appointment of a member for inability, inefficiency or misbehaviour.</w:t>
      </w:r>
    </w:p>
    <w:p>
      <w:pPr>
        <w:pStyle w:val="Subsection"/>
        <w:spacing w:before="140"/>
        <w:rPr>
          <w:snapToGrid w:val="0"/>
        </w:rPr>
      </w:pPr>
      <w:r>
        <w:rPr>
          <w:snapToGrid w:val="0"/>
        </w:rPr>
        <w:tab/>
        <w:t>(5)</w:t>
      </w:r>
      <w:r>
        <w:rPr>
          <w:snapToGrid w:val="0"/>
        </w:rPr>
        <w:tab/>
        <w:t>If a member —</w:t>
      </w:r>
    </w:p>
    <w:p>
      <w:pPr>
        <w:pStyle w:val="Indenta"/>
        <w:spacing w:before="60"/>
      </w:pPr>
      <w:r>
        <w:tab/>
        <w:t>(a)</w:t>
      </w:r>
      <w:r>
        <w:tab/>
        <w:t xml:space="preserve">is, according to the </w:t>
      </w:r>
      <w:r>
        <w:rPr>
          <w:i/>
        </w:rPr>
        <w:t>Interpretation Act 1984</w:t>
      </w:r>
      <w:r>
        <w:t xml:space="preserve"> section 13D, a bankrupt or a person whose affairs are under insolvency laws; or</w:t>
      </w:r>
    </w:p>
    <w:p>
      <w:pPr>
        <w:pStyle w:val="Indenta"/>
        <w:spacing w:before="60"/>
        <w:rPr>
          <w:snapToGrid w:val="0"/>
        </w:rPr>
      </w:pPr>
      <w:r>
        <w:rPr>
          <w:snapToGrid w:val="0"/>
        </w:rPr>
        <w:tab/>
        <w:t>(b)</w:t>
      </w:r>
      <w:r>
        <w:rPr>
          <w:snapToGrid w:val="0"/>
        </w:rPr>
        <w:tab/>
        <w:t>has his appointment terminated by the Governor, pursuant to subsection (4); or</w:t>
      </w:r>
    </w:p>
    <w:p>
      <w:pPr>
        <w:pStyle w:val="Indenta"/>
        <w:spacing w:before="60"/>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spacing w:before="60"/>
        <w:rPr>
          <w:snapToGrid w:val="0"/>
        </w:rPr>
      </w:pPr>
      <w:r>
        <w:rPr>
          <w:snapToGrid w:val="0"/>
        </w:rPr>
        <w:tab/>
        <w:t>(d)</w:t>
      </w:r>
      <w:r>
        <w:rPr>
          <w:snapToGrid w:val="0"/>
        </w:rPr>
        <w:tab/>
        <w:t>resigns his office by written notice addressed to the Minister,</w:t>
      </w:r>
    </w:p>
    <w:p>
      <w:pPr>
        <w:pStyle w:val="Subsection"/>
        <w:spacing w:before="100"/>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[Section 5 amended</w:t>
      </w:r>
      <w:del w:id="48" w:author="svcMRProcess" w:date="2020-02-25T14:41:00Z">
        <w:r>
          <w:delText xml:space="preserve"> by</w:delText>
        </w:r>
      </w:del>
      <w:ins w:id="49" w:author="svcMRProcess" w:date="2020-02-25T14:41:00Z">
        <w:r>
          <w:t>:</w:t>
        </w:r>
      </w:ins>
      <w:r>
        <w:t xml:space="preserve"> No. 68 of 1994 s. 6; No. 73 of 1994 s. 4; No. 55 of 2003 s. 4; No. 18 of 2009 s. 93.]</w:t>
      </w:r>
    </w:p>
    <w:p>
      <w:pPr>
        <w:pStyle w:val="Heading5"/>
        <w:rPr>
          <w:snapToGrid w:val="0"/>
        </w:rPr>
      </w:pPr>
      <w:bookmarkStart w:id="50" w:name="_Toc32396565"/>
      <w:bookmarkStart w:id="51" w:name="_Toc379285663"/>
      <w:bookmarkStart w:id="52" w:name="_Toc462745497"/>
      <w:r>
        <w:rPr>
          <w:rStyle w:val="CharSectno"/>
        </w:rPr>
        <w:t>6</w:t>
      </w:r>
      <w:r>
        <w:rPr>
          <w:snapToGrid w:val="0"/>
        </w:rPr>
        <w:t>.</w:t>
      </w:r>
      <w:r>
        <w:rPr>
          <w:snapToGrid w:val="0"/>
        </w:rPr>
        <w:tab/>
        <w:t>Acting members</w:t>
      </w:r>
      <w:bookmarkEnd w:id="50"/>
      <w:bookmarkEnd w:id="51"/>
      <w:bookmarkEnd w:id="5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53" w:name="_Toc32396566"/>
      <w:bookmarkStart w:id="54" w:name="_Toc379285664"/>
      <w:bookmarkStart w:id="55" w:name="_Toc462745498"/>
      <w:r>
        <w:rPr>
          <w:rStyle w:val="CharSectno"/>
        </w:rPr>
        <w:t>7</w:t>
      </w:r>
      <w:r>
        <w:rPr>
          <w:snapToGrid w:val="0"/>
        </w:rPr>
        <w:t>.</w:t>
      </w:r>
      <w:r>
        <w:rPr>
          <w:snapToGrid w:val="0"/>
        </w:rPr>
        <w:tab/>
        <w:t>Remuneration of members</w:t>
      </w:r>
      <w:bookmarkEnd w:id="53"/>
      <w:bookmarkEnd w:id="54"/>
      <w:bookmarkEnd w:id="55"/>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7 amended</w:t>
      </w:r>
      <w:del w:id="56" w:author="svcMRProcess" w:date="2020-02-25T14:41:00Z">
        <w:r>
          <w:delText xml:space="preserve"> by</w:delText>
        </w:r>
      </w:del>
      <w:ins w:id="57" w:author="svcMRProcess" w:date="2020-02-25T14:41:00Z">
        <w:r>
          <w:t>:</w:t>
        </w:r>
      </w:ins>
      <w:r>
        <w:t xml:space="preserve"> No. 32 of 1994 s. 19; No. 68 of 1994 s. 7; No. 39 of 2010 s. 89.]</w:t>
      </w:r>
    </w:p>
    <w:p>
      <w:pPr>
        <w:pStyle w:val="Heading5"/>
        <w:rPr>
          <w:snapToGrid w:val="0"/>
        </w:rPr>
      </w:pPr>
      <w:bookmarkStart w:id="58" w:name="_Toc32396567"/>
      <w:bookmarkStart w:id="59" w:name="_Toc379285665"/>
      <w:bookmarkStart w:id="60" w:name="_Toc462745499"/>
      <w:r>
        <w:rPr>
          <w:rStyle w:val="CharSectno"/>
        </w:rPr>
        <w:t>8</w:t>
      </w:r>
      <w:r>
        <w:rPr>
          <w:snapToGrid w:val="0"/>
        </w:rPr>
        <w:t>.</w:t>
      </w:r>
      <w:r>
        <w:rPr>
          <w:snapToGrid w:val="0"/>
        </w:rPr>
        <w:tab/>
        <w:t>Proceedings of Board</w:t>
      </w:r>
      <w:bookmarkEnd w:id="58"/>
      <w:bookmarkEnd w:id="59"/>
      <w:bookmarkEnd w:id="60"/>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[Section 8 amended</w:t>
      </w:r>
      <w:del w:id="61" w:author="svcMRProcess" w:date="2020-02-25T14:41:00Z">
        <w:r>
          <w:delText xml:space="preserve"> by</w:delText>
        </w:r>
      </w:del>
      <w:ins w:id="62" w:author="svcMRProcess" w:date="2020-02-25T14:41:00Z">
        <w:r>
          <w:t>:</w:t>
        </w:r>
      </w:ins>
      <w:r>
        <w:t xml:space="preserve"> No. 68 of 1994 s. 8.]</w:t>
      </w:r>
    </w:p>
    <w:p>
      <w:pPr>
        <w:pStyle w:val="Heading5"/>
        <w:rPr>
          <w:snapToGrid w:val="0"/>
        </w:rPr>
      </w:pPr>
      <w:bookmarkStart w:id="63" w:name="_Toc32396568"/>
      <w:bookmarkStart w:id="64" w:name="_Toc379285666"/>
      <w:bookmarkStart w:id="65" w:name="_Toc462745500"/>
      <w:r>
        <w:rPr>
          <w:rStyle w:val="CharSectno"/>
        </w:rPr>
        <w:t>9</w:t>
      </w:r>
      <w:r>
        <w:rPr>
          <w:snapToGrid w:val="0"/>
        </w:rPr>
        <w:t>.</w:t>
      </w:r>
      <w:r>
        <w:rPr>
          <w:snapToGrid w:val="0"/>
        </w:rPr>
        <w:tab/>
        <w:t>Matters not to be invalidated by vacancies, or defects in appointment</w:t>
      </w:r>
      <w:bookmarkEnd w:id="63"/>
      <w:bookmarkEnd w:id="64"/>
      <w:bookmarkEnd w:id="65"/>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[Section 9 amended</w:t>
      </w:r>
      <w:del w:id="66" w:author="svcMRProcess" w:date="2020-02-25T14:41:00Z">
        <w:r>
          <w:delText xml:space="preserve"> by</w:delText>
        </w:r>
      </w:del>
      <w:ins w:id="67" w:author="svcMRProcess" w:date="2020-02-25T14:41:00Z">
        <w:r>
          <w:t>:</w:t>
        </w:r>
      </w:ins>
      <w:r>
        <w:t xml:space="preserve"> No. 68 of 1994 s. 9.]</w:t>
      </w:r>
    </w:p>
    <w:p>
      <w:pPr>
        <w:pStyle w:val="Heading5"/>
        <w:rPr>
          <w:snapToGrid w:val="0"/>
        </w:rPr>
      </w:pPr>
      <w:bookmarkStart w:id="68" w:name="_Toc32396569"/>
      <w:bookmarkStart w:id="69" w:name="_Toc379285667"/>
      <w:bookmarkStart w:id="70" w:name="_Toc462745501"/>
      <w:r>
        <w:rPr>
          <w:rStyle w:val="CharSectno"/>
        </w:rPr>
        <w:t>10</w:t>
      </w:r>
      <w:r>
        <w:rPr>
          <w:snapToGrid w:val="0"/>
        </w:rPr>
        <w:t>.</w:t>
      </w:r>
      <w:r>
        <w:rPr>
          <w:snapToGrid w:val="0"/>
        </w:rPr>
        <w:tab/>
        <w:t>Liability of members</w:t>
      </w:r>
      <w:bookmarkEnd w:id="68"/>
      <w:bookmarkEnd w:id="69"/>
      <w:bookmarkEnd w:id="70"/>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[Section 10 amended</w:t>
      </w:r>
      <w:del w:id="71" w:author="svcMRProcess" w:date="2020-02-25T14:41:00Z">
        <w:r>
          <w:delText xml:space="preserve"> by</w:delText>
        </w:r>
      </w:del>
      <w:ins w:id="72" w:author="svcMRProcess" w:date="2020-02-25T14:41:00Z">
        <w:r>
          <w:t>:</w:t>
        </w:r>
      </w:ins>
      <w:r>
        <w:t xml:space="preserve"> No. 68 of 1994 s. 10.]</w:t>
      </w:r>
    </w:p>
    <w:p>
      <w:pPr>
        <w:pStyle w:val="Heading5"/>
        <w:rPr>
          <w:snapToGrid w:val="0"/>
        </w:rPr>
      </w:pPr>
      <w:bookmarkStart w:id="73" w:name="_Toc32396570"/>
      <w:bookmarkStart w:id="74" w:name="_Toc379285668"/>
      <w:bookmarkStart w:id="75" w:name="_Toc462745502"/>
      <w:r>
        <w:rPr>
          <w:rStyle w:val="CharSectno"/>
        </w:rPr>
        <w:t>11</w:t>
      </w:r>
      <w:r>
        <w:rPr>
          <w:snapToGrid w:val="0"/>
        </w:rPr>
        <w:t>.</w:t>
      </w:r>
      <w:r>
        <w:rPr>
          <w:snapToGrid w:val="0"/>
        </w:rPr>
        <w:tab/>
        <w:t>Pecuniary interests of members to be disclosed</w:t>
      </w:r>
      <w:bookmarkEnd w:id="73"/>
      <w:bookmarkEnd w:id="74"/>
      <w:bookmarkEnd w:id="75"/>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[Section 11 amended</w:t>
      </w:r>
      <w:del w:id="76" w:author="svcMRProcess" w:date="2020-02-25T14:41:00Z">
        <w:r>
          <w:delText xml:space="preserve"> by</w:delText>
        </w:r>
      </w:del>
      <w:ins w:id="77" w:author="svcMRProcess" w:date="2020-02-25T14:41:00Z">
        <w:r>
          <w:t>:</w:t>
        </w:r>
      </w:ins>
      <w:r>
        <w:t xml:space="preserve"> No. 68 of 1994 s. 11.]</w:t>
      </w:r>
    </w:p>
    <w:p>
      <w:pPr>
        <w:pStyle w:val="Ednotesection"/>
      </w:pPr>
      <w:r>
        <w:t>[</w:t>
      </w:r>
      <w:r>
        <w:rPr>
          <w:b/>
        </w:rPr>
        <w:t>12.</w:t>
      </w:r>
      <w:r>
        <w:t xml:space="preserve"> </w:t>
      </w:r>
      <w:r>
        <w:tab/>
        <w:t>Deleted</w:t>
      </w:r>
      <w:del w:id="78" w:author="svcMRProcess" w:date="2020-02-25T14:41:00Z">
        <w:r>
          <w:delText xml:space="preserve"> by</w:delText>
        </w:r>
      </w:del>
      <w:ins w:id="79" w:author="svcMRProcess" w:date="2020-02-25T14:41:00Z">
        <w:r>
          <w:t>:</w:t>
        </w:r>
      </w:ins>
      <w:r>
        <w:t xml:space="preserve"> No. 68 of 1994 s. 12.]</w:t>
      </w:r>
    </w:p>
    <w:p>
      <w:pPr>
        <w:pStyle w:val="Heading3"/>
        <w:rPr>
          <w:snapToGrid w:val="0"/>
        </w:rPr>
      </w:pPr>
      <w:bookmarkStart w:id="80" w:name="_Toc32396520"/>
      <w:bookmarkStart w:id="81" w:name="_Toc32396571"/>
      <w:bookmarkStart w:id="82" w:name="_Toc379285669"/>
      <w:bookmarkStart w:id="83" w:name="_Toc425167495"/>
      <w:bookmarkStart w:id="84" w:name="_Toc462745503"/>
      <w:r>
        <w:rPr>
          <w:rStyle w:val="CharDivNo"/>
        </w:rPr>
        <w:t>Division 2</w:t>
      </w:r>
      <w:r>
        <w:rPr>
          <w:snapToGrid w:val="0"/>
        </w:rPr>
        <w:t> — </w:t>
      </w:r>
      <w:r>
        <w:rPr>
          <w:rStyle w:val="CharDivText"/>
        </w:rPr>
        <w:t>Functions and powers of the Commission</w:t>
      </w:r>
      <w:bookmarkEnd w:id="80"/>
      <w:bookmarkEnd w:id="81"/>
      <w:bookmarkEnd w:id="82"/>
      <w:bookmarkEnd w:id="83"/>
      <w:bookmarkEnd w:id="84"/>
    </w:p>
    <w:p>
      <w:pPr>
        <w:pStyle w:val="Footnoteheading"/>
        <w:keepNext/>
      </w:pPr>
      <w:r>
        <w:tab/>
        <w:t>[Heading amended</w:t>
      </w:r>
      <w:del w:id="85" w:author="svcMRProcess" w:date="2020-02-25T14:41:00Z">
        <w:r>
          <w:delText xml:space="preserve"> by</w:delText>
        </w:r>
      </w:del>
      <w:ins w:id="86" w:author="svcMRProcess" w:date="2020-02-25T14:41:00Z">
        <w:r>
          <w:t>:</w:t>
        </w:r>
      </w:ins>
      <w:r>
        <w:t xml:space="preserve"> No. 68 of 1994 s. 13.]</w:t>
      </w:r>
    </w:p>
    <w:p>
      <w:pPr>
        <w:pStyle w:val="Heading5"/>
        <w:rPr>
          <w:snapToGrid w:val="0"/>
        </w:rPr>
      </w:pPr>
      <w:bookmarkStart w:id="87" w:name="_Toc32396572"/>
      <w:bookmarkStart w:id="88" w:name="_Toc379285670"/>
      <w:bookmarkStart w:id="89" w:name="_Toc462745504"/>
      <w:r>
        <w:rPr>
          <w:rStyle w:val="CharSectno"/>
        </w:rPr>
        <w:t>13</w:t>
      </w:r>
      <w:r>
        <w:rPr>
          <w:snapToGrid w:val="0"/>
        </w:rPr>
        <w:t>.</w:t>
      </w:r>
      <w:r>
        <w:rPr>
          <w:snapToGrid w:val="0"/>
        </w:rPr>
        <w:tab/>
        <w:t>Functions</w:t>
      </w:r>
      <w:bookmarkEnd w:id="87"/>
      <w:bookmarkEnd w:id="88"/>
      <w:bookmarkEnd w:id="89"/>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promote or to support and co</w:t>
      </w:r>
      <w:r>
        <w:rPr>
          <w:snapToGrid w:val="0"/>
        </w:rPr>
        <w:noBreakHyphen/>
        <w:t>ordinate the promotion of Western Australia as a holiday, event and convention destination and to do so within Australia and overseas;</w:t>
      </w:r>
    </w:p>
    <w:p>
      <w:pPr>
        <w:pStyle w:val="Indenta"/>
        <w:rPr>
          <w:snapToGrid w:val="0"/>
        </w:rPr>
      </w:pPr>
      <w:r>
        <w:rPr>
          <w:snapToGrid w:val="0"/>
        </w:rPr>
        <w:tab/>
        <w:t>(b)</w:t>
      </w:r>
      <w:r>
        <w:rPr>
          <w:snapToGrid w:val="0"/>
        </w:rPr>
        <w:tab/>
        <w:t>to develop or to facilitate the development of new tourist facilities and to improve or facilitate the improvement of existing tourist facilities in Western Australia;</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to advise the Minister on any matter relating to tourism or travel within Western Australia that is referred to the Commission by the Minister.</w:t>
      </w:r>
    </w:p>
    <w:p>
      <w:pPr>
        <w:pStyle w:val="Footnotesection"/>
      </w:pPr>
      <w:r>
        <w:tab/>
        <w:t>[Section 13 inserted</w:t>
      </w:r>
      <w:del w:id="90" w:author="svcMRProcess" w:date="2020-02-25T14:41:00Z">
        <w:r>
          <w:delText xml:space="preserve"> by</w:delText>
        </w:r>
      </w:del>
      <w:ins w:id="91" w:author="svcMRProcess" w:date="2020-02-25T14:41:00Z">
        <w:r>
          <w:t>:</w:t>
        </w:r>
      </w:ins>
      <w:r>
        <w:t xml:space="preserve"> No. 68 of 1994 s. 14.]</w:t>
      </w:r>
    </w:p>
    <w:p>
      <w:pPr>
        <w:pStyle w:val="Heading5"/>
        <w:rPr>
          <w:snapToGrid w:val="0"/>
        </w:rPr>
      </w:pPr>
      <w:bookmarkStart w:id="92" w:name="_Toc32396573"/>
      <w:bookmarkStart w:id="93" w:name="_Toc379285671"/>
      <w:bookmarkStart w:id="94" w:name="_Toc462745505"/>
      <w:r>
        <w:rPr>
          <w:rStyle w:val="CharSectno"/>
        </w:rPr>
        <w:t>14</w:t>
      </w:r>
      <w:r>
        <w:rPr>
          <w:snapToGrid w:val="0"/>
        </w:rPr>
        <w:t>.</w:t>
      </w:r>
      <w:r>
        <w:rPr>
          <w:snapToGrid w:val="0"/>
        </w:rPr>
        <w:tab/>
        <w:t>Powers</w:t>
      </w:r>
      <w:bookmarkEnd w:id="92"/>
      <w:bookmarkEnd w:id="93"/>
      <w:bookmarkEnd w:id="94"/>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w:t>
      </w:r>
    </w:p>
    <w:p>
      <w:pPr>
        <w:pStyle w:val="Indenta"/>
        <w:spacing w:before="60"/>
        <w:rPr>
          <w:snapToGrid w:val="0"/>
        </w:rPr>
      </w:pPr>
      <w:r>
        <w:rPr>
          <w:snapToGrid w:val="0"/>
        </w:rPr>
        <w:tab/>
        <w:t>(a)</w:t>
      </w:r>
      <w:r>
        <w:rPr>
          <w:snapToGrid w:val="0"/>
        </w:rPr>
        <w:tab/>
        <w:t>acquire, hold, manage, improve, develop and dispose of any real or personal property in Western Australia or elsewhere;</w:t>
      </w:r>
    </w:p>
    <w:p>
      <w:pPr>
        <w:pStyle w:val="Indenta"/>
        <w:spacing w:before="60"/>
        <w:rPr>
          <w:snapToGrid w:val="0"/>
        </w:rPr>
      </w:pPr>
      <w:r>
        <w:rPr>
          <w:snapToGrid w:val="0"/>
        </w:rPr>
        <w:tab/>
        <w:t>(b)</w:t>
      </w:r>
      <w:r>
        <w:rPr>
          <w:snapToGrid w:val="0"/>
        </w:rPr>
        <w:tab/>
        <w:t>open and maintain accounts at a bank approved by the Treasurer;</w:t>
      </w:r>
    </w:p>
    <w:p>
      <w:pPr>
        <w:pStyle w:val="Indenta"/>
        <w:spacing w:before="60"/>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spacing w:before="60"/>
        <w:rPr>
          <w:snapToGrid w:val="0"/>
        </w:rPr>
      </w:pPr>
      <w:r>
        <w:rPr>
          <w:snapToGrid w:val="0"/>
        </w:rPr>
        <w:tab/>
        <w:t>(d)</w:t>
      </w:r>
      <w:r>
        <w:rPr>
          <w:snapToGrid w:val="0"/>
        </w:rPr>
        <w:tab/>
        <w:t>enter into any contract or arrangement;</w:t>
      </w:r>
    </w:p>
    <w:p>
      <w:pPr>
        <w:pStyle w:val="Indenta"/>
        <w:spacing w:before="60"/>
        <w:rPr>
          <w:snapToGrid w:val="0"/>
        </w:rPr>
      </w:pPr>
      <w:r>
        <w:rPr>
          <w:snapToGrid w:val="0"/>
        </w:rPr>
        <w:tab/>
        <w:t>(e)</w:t>
      </w:r>
      <w:r>
        <w:rPr>
          <w:snapToGrid w:val="0"/>
        </w:rPr>
        <w:tab/>
        <w:t>act as an agent for any person engaged in the provision of travel or tourist facilities;</w:t>
      </w:r>
    </w:p>
    <w:p>
      <w:pPr>
        <w:pStyle w:val="Indenta"/>
        <w:spacing w:before="60"/>
        <w:rPr>
          <w:snapToGrid w:val="0"/>
        </w:rPr>
      </w:pPr>
      <w:r>
        <w:rPr>
          <w:snapToGrid w:val="0"/>
        </w:rPr>
        <w:tab/>
        <w:t>(f)</w:t>
      </w:r>
      <w:r>
        <w:rPr>
          <w:snapToGrid w:val="0"/>
        </w:rPr>
        <w:tab/>
        <w:t>appoint agents in Western Australia and elsewhere;</w:t>
      </w:r>
    </w:p>
    <w:p>
      <w:pPr>
        <w:pStyle w:val="Indenta"/>
        <w:spacing w:before="60"/>
        <w:rPr>
          <w:snapToGrid w:val="0"/>
        </w:rPr>
      </w:pPr>
      <w:r>
        <w:rPr>
          <w:snapToGrid w:val="0"/>
        </w:rPr>
        <w:tab/>
        <w:t>(g)</w:t>
      </w:r>
      <w:r>
        <w:rPr>
          <w:snapToGrid w:val="0"/>
        </w:rPr>
        <w:tab/>
        <w:t>provide travel and tourism information services;</w:t>
      </w:r>
    </w:p>
    <w:p>
      <w:pPr>
        <w:pStyle w:val="Indenta"/>
        <w:spacing w:before="60"/>
        <w:rPr>
          <w:snapToGrid w:val="0"/>
        </w:rPr>
      </w:pPr>
      <w:r>
        <w:rPr>
          <w:snapToGrid w:val="0"/>
        </w:rPr>
        <w:tab/>
        <w:t>(h)</w:t>
      </w:r>
      <w:r>
        <w:rPr>
          <w:snapToGrid w:val="0"/>
        </w:rPr>
        <w:tab/>
        <w:t>demand and receive fees, retainers or commissions;</w:t>
      </w:r>
    </w:p>
    <w:p>
      <w:pPr>
        <w:pStyle w:val="Indenta"/>
        <w:spacing w:before="60"/>
        <w:rPr>
          <w:snapToGrid w:val="0"/>
        </w:rPr>
      </w:pPr>
      <w:r>
        <w:rPr>
          <w:snapToGrid w:val="0"/>
        </w:rPr>
        <w:tab/>
        <w:t>(i)</w:t>
      </w:r>
      <w:r>
        <w:rPr>
          <w:snapToGrid w:val="0"/>
        </w:rPr>
        <w:tab/>
        <w:t>undertake research and investigation; and</w:t>
      </w:r>
    </w:p>
    <w:p>
      <w:pPr>
        <w:pStyle w:val="Indenta"/>
        <w:spacing w:before="60"/>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rStyle w:val="CharDefText"/>
        </w:rPr>
        <w:t>public authority</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[Section 14 inserted</w:t>
      </w:r>
      <w:del w:id="95" w:author="svcMRProcess" w:date="2020-02-25T14:41:00Z">
        <w:r>
          <w:delText xml:space="preserve"> by</w:delText>
        </w:r>
      </w:del>
      <w:ins w:id="96" w:author="svcMRProcess" w:date="2020-02-25T14:41:00Z">
        <w:r>
          <w:t>:</w:t>
        </w:r>
      </w:ins>
      <w:r>
        <w:t xml:space="preserve"> No. 68 of 1994 s. 14; amended</w:t>
      </w:r>
      <w:del w:id="97" w:author="svcMRProcess" w:date="2020-02-25T14:41:00Z">
        <w:r>
          <w:delText xml:space="preserve"> by</w:delText>
        </w:r>
      </w:del>
      <w:ins w:id="98" w:author="svcMRProcess" w:date="2020-02-25T14:41:00Z">
        <w:r>
          <w:t>:</w:t>
        </w:r>
      </w:ins>
      <w:r>
        <w:t xml:space="preserve"> No. 14 of 1996 s. 4.]</w:t>
      </w:r>
    </w:p>
    <w:p>
      <w:pPr>
        <w:pStyle w:val="Heading5"/>
        <w:rPr>
          <w:snapToGrid w:val="0"/>
        </w:rPr>
      </w:pPr>
      <w:bookmarkStart w:id="99" w:name="_Toc32396574"/>
      <w:bookmarkStart w:id="100" w:name="_Toc379285672"/>
      <w:bookmarkStart w:id="101" w:name="_Toc462745506"/>
      <w:r>
        <w:rPr>
          <w:rStyle w:val="CharSectno"/>
        </w:rPr>
        <w:t>15</w:t>
      </w:r>
      <w:r>
        <w:rPr>
          <w:snapToGrid w:val="0"/>
        </w:rPr>
        <w:t>.</w:t>
      </w:r>
      <w:r>
        <w:rPr>
          <w:snapToGrid w:val="0"/>
        </w:rPr>
        <w:tab/>
        <w:t>Formation of companies developing or operating tourist facilities</w:t>
      </w:r>
      <w:bookmarkEnd w:id="99"/>
      <w:bookmarkEnd w:id="100"/>
      <w:bookmarkEnd w:id="101"/>
    </w:p>
    <w:p>
      <w:pPr>
        <w:pStyle w:val="Subsection"/>
        <w:keepNext/>
        <w:rPr>
          <w:snapToGrid w:val="0"/>
        </w:rPr>
      </w:pPr>
      <w:r>
        <w:rPr>
          <w:snapToGrid w:val="0"/>
        </w:rPr>
        <w:tab/>
        <w:t>(1)</w:t>
      </w:r>
      <w:r>
        <w:rPr>
          <w:snapToGrid w:val="0"/>
        </w:rPr>
        <w:tab/>
        <w:t>The Commission may, with the approval of the Minister and of the Treasurer, for the purpose of developing and operating tourist facilities in Western Australia or organizing and administering events and conventions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w:t>
      </w:r>
    </w:p>
    <w:p>
      <w:pPr>
        <w:pStyle w:val="Defstart"/>
      </w:pPr>
      <w:r>
        <w:rPr>
          <w:b/>
        </w:rPr>
        <w:tab/>
      </w:r>
      <w:r>
        <w:rPr>
          <w:rStyle w:val="CharDefText"/>
        </w:rPr>
        <w:t>business arrangement</w:t>
      </w:r>
      <w:r>
        <w:t xml:space="preserve"> means a proprietary limited company, partnership or trust;</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spacing w:before="140"/>
        <w:rPr>
          <w:snapToGrid w:val="0"/>
        </w:rPr>
      </w:pPr>
      <w:r>
        <w:rPr>
          <w:snapToGrid w:val="0"/>
        </w:rPr>
        <w:tab/>
        <w:t>(6)</w:t>
      </w:r>
      <w:r>
        <w:rPr>
          <w:snapToGrid w:val="0"/>
        </w:rPr>
        <w:tab/>
        <w:t>The Treasurer is hereby authorised to charge to the</w:t>
      </w:r>
      <w:r>
        <w:t xml:space="preserve"> Consolidated Account</w:t>
      </w:r>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Account</w:t>
      </w:r>
      <w:r>
        <w:rPr>
          <w:snapToGrid w:val="0"/>
        </w:rPr>
        <w:t>.</w:t>
      </w:r>
    </w:p>
    <w:p>
      <w:pPr>
        <w:pStyle w:val="Footnotesection"/>
      </w:pPr>
      <w:r>
        <w:tab/>
        <w:t>[Section 15 amended</w:t>
      </w:r>
      <w:del w:id="102" w:author="svcMRProcess" w:date="2020-02-25T14:41:00Z">
        <w:r>
          <w:delText xml:space="preserve"> by</w:delText>
        </w:r>
      </w:del>
      <w:ins w:id="103" w:author="svcMRProcess" w:date="2020-02-25T14:41:00Z">
        <w:r>
          <w:t>:</w:t>
        </w:r>
      </w:ins>
      <w:r>
        <w:t xml:space="preserve"> No. 98 of 1985 s. 3; No. 6 of 1993 s. 11; No. 68 of 1994 s. 15; No. 49 of 1996 s. 64; No. 77 of 2006 s. 4.]</w:t>
      </w:r>
    </w:p>
    <w:p>
      <w:pPr>
        <w:pStyle w:val="Heading5"/>
        <w:rPr>
          <w:snapToGrid w:val="0"/>
        </w:rPr>
      </w:pPr>
      <w:bookmarkStart w:id="104" w:name="_Toc32396575"/>
      <w:bookmarkStart w:id="105" w:name="_Toc379285673"/>
      <w:bookmarkStart w:id="106" w:name="_Toc462745507"/>
      <w:r>
        <w:rPr>
          <w:rStyle w:val="CharSectno"/>
        </w:rPr>
        <w:t>16</w:t>
      </w:r>
      <w:r>
        <w:rPr>
          <w:snapToGrid w:val="0"/>
        </w:rPr>
        <w:t>.</w:t>
      </w:r>
      <w:r>
        <w:rPr>
          <w:snapToGrid w:val="0"/>
        </w:rPr>
        <w:tab/>
        <w:t>Direction by Minister</w:t>
      </w:r>
      <w:bookmarkEnd w:id="104"/>
      <w:bookmarkEnd w:id="105"/>
      <w:bookmarkEnd w:id="106"/>
    </w:p>
    <w:p>
      <w:pPr>
        <w:pStyle w:val="Subsection"/>
        <w:spacing w:before="140"/>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spacing w:before="140"/>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r>
        <w:t xml:space="preserve">Part 5 of the </w:t>
      </w:r>
      <w:r>
        <w:rPr>
          <w:i/>
        </w:rPr>
        <w:t>Financial Management Act 2006</w:t>
      </w:r>
      <w:r>
        <w:t>.</w:t>
      </w:r>
    </w:p>
    <w:p>
      <w:pPr>
        <w:pStyle w:val="Footnotesection"/>
      </w:pPr>
      <w:r>
        <w:tab/>
        <w:t>[Section 16 amended</w:t>
      </w:r>
      <w:del w:id="107" w:author="svcMRProcess" w:date="2020-02-25T14:41:00Z">
        <w:r>
          <w:delText xml:space="preserve"> by</w:delText>
        </w:r>
      </w:del>
      <w:ins w:id="108" w:author="svcMRProcess" w:date="2020-02-25T14:41:00Z">
        <w:r>
          <w:t>:</w:t>
        </w:r>
      </w:ins>
      <w:r>
        <w:t xml:space="preserve"> No. 68 of 1994 s. 16; No. 77 of 2006 Sch. 1 cl. 185(1).]</w:t>
      </w:r>
    </w:p>
    <w:p>
      <w:pPr>
        <w:pStyle w:val="Heading5"/>
        <w:rPr>
          <w:snapToGrid w:val="0"/>
        </w:rPr>
      </w:pPr>
      <w:bookmarkStart w:id="109" w:name="_Toc32396576"/>
      <w:bookmarkStart w:id="110" w:name="_Toc379285674"/>
      <w:bookmarkStart w:id="111" w:name="_Toc462745508"/>
      <w:r>
        <w:rPr>
          <w:rStyle w:val="CharSectno"/>
        </w:rPr>
        <w:t>16A</w:t>
      </w:r>
      <w:r>
        <w:rPr>
          <w:snapToGrid w:val="0"/>
        </w:rPr>
        <w:t xml:space="preserve">. </w:t>
      </w:r>
      <w:r>
        <w:rPr>
          <w:snapToGrid w:val="0"/>
        </w:rPr>
        <w:tab/>
        <w:t>Minister to have access to information</w:t>
      </w:r>
      <w:bookmarkEnd w:id="109"/>
      <w:bookmarkEnd w:id="110"/>
      <w:bookmarkEnd w:id="111"/>
    </w:p>
    <w:p>
      <w:pPr>
        <w:pStyle w:val="Subsection"/>
        <w:spacing w:before="140"/>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spacing w:before="14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Footnotesection"/>
      </w:pPr>
      <w:r>
        <w:tab/>
        <w:t>[Section 16A inserted</w:t>
      </w:r>
      <w:del w:id="112" w:author="svcMRProcess" w:date="2020-02-25T14:41:00Z">
        <w:r>
          <w:delText xml:space="preserve"> by</w:delText>
        </w:r>
      </w:del>
      <w:ins w:id="113" w:author="svcMRProcess" w:date="2020-02-25T14:41:00Z">
        <w:r>
          <w:t>:</w:t>
        </w:r>
      </w:ins>
      <w:r>
        <w:t xml:space="preserve"> No. 68 of 1994 s. 17.]</w:t>
      </w:r>
    </w:p>
    <w:p>
      <w:pPr>
        <w:pStyle w:val="Heading3"/>
      </w:pPr>
      <w:bookmarkStart w:id="114" w:name="_Toc32396526"/>
      <w:bookmarkStart w:id="115" w:name="_Toc32396577"/>
      <w:bookmarkStart w:id="116" w:name="_Toc379285675"/>
      <w:bookmarkStart w:id="117" w:name="_Toc425167501"/>
      <w:bookmarkStart w:id="118" w:name="_Toc462745509"/>
      <w:r>
        <w:rPr>
          <w:rStyle w:val="CharDivNo"/>
        </w:rPr>
        <w:t>Division 2a</w:t>
      </w:r>
      <w:r>
        <w:rPr>
          <w:snapToGrid w:val="0"/>
        </w:rPr>
        <w:t> — </w:t>
      </w:r>
      <w:r>
        <w:rPr>
          <w:rStyle w:val="CharDivText"/>
        </w:rPr>
        <w:t>Corporate and operational plans</w:t>
      </w:r>
      <w:bookmarkEnd w:id="114"/>
      <w:bookmarkEnd w:id="115"/>
      <w:bookmarkEnd w:id="116"/>
      <w:bookmarkEnd w:id="117"/>
      <w:bookmarkEnd w:id="118"/>
    </w:p>
    <w:p>
      <w:pPr>
        <w:pStyle w:val="Footnoteheading"/>
        <w:rPr>
          <w:snapToGrid w:val="0"/>
        </w:rPr>
      </w:pPr>
      <w:r>
        <w:rPr>
          <w:snapToGrid w:val="0"/>
        </w:rPr>
        <w:tab/>
        <w:t>[Heading inserted</w:t>
      </w:r>
      <w:del w:id="119" w:author="svcMRProcess" w:date="2020-02-25T14:41:00Z">
        <w:r>
          <w:rPr>
            <w:snapToGrid w:val="0"/>
          </w:rPr>
          <w:delText xml:space="preserve"> by</w:delText>
        </w:r>
      </w:del>
      <w:ins w:id="120" w:author="svcMRProcess" w:date="2020-02-25T14:41:00Z">
        <w:r>
          <w:rPr>
            <w:snapToGrid w:val="0"/>
          </w:rPr>
          <w:t>:</w:t>
        </w:r>
      </w:ins>
      <w:r>
        <w:rPr>
          <w:snapToGrid w:val="0"/>
        </w:rPr>
        <w:t xml:space="preserve"> No. 68 of 1994 s. 18.]</w:t>
      </w:r>
    </w:p>
    <w:p>
      <w:pPr>
        <w:pStyle w:val="Heading5"/>
        <w:rPr>
          <w:snapToGrid w:val="0"/>
        </w:rPr>
      </w:pPr>
      <w:bookmarkStart w:id="121" w:name="_Toc32396578"/>
      <w:bookmarkStart w:id="122" w:name="_Toc379285676"/>
      <w:bookmarkStart w:id="123" w:name="_Toc462745510"/>
      <w:r>
        <w:rPr>
          <w:rStyle w:val="CharSectno"/>
        </w:rPr>
        <w:t>16B</w:t>
      </w:r>
      <w:r>
        <w:rPr>
          <w:snapToGrid w:val="0"/>
        </w:rPr>
        <w:t xml:space="preserve">. </w:t>
      </w:r>
      <w:r>
        <w:rPr>
          <w:snapToGrid w:val="0"/>
        </w:rPr>
        <w:tab/>
        <w:t>Corporate plan</w:t>
      </w:r>
      <w:bookmarkEnd w:id="121"/>
      <w:bookmarkEnd w:id="122"/>
      <w:bookmarkEnd w:id="123"/>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an assessment of the outlook for tourism to and within Western Australia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[Section 16B inserted</w:t>
      </w:r>
      <w:del w:id="124" w:author="svcMRProcess" w:date="2020-02-25T14:41:00Z">
        <w:r>
          <w:delText xml:space="preserve"> by</w:delText>
        </w:r>
      </w:del>
      <w:ins w:id="125" w:author="svcMRProcess" w:date="2020-02-25T14:41:00Z">
        <w:r>
          <w:t>:</w:t>
        </w:r>
      </w:ins>
      <w:r>
        <w:t xml:space="preserve"> No. 68 of 1994 s. 18.]</w:t>
      </w:r>
    </w:p>
    <w:p>
      <w:pPr>
        <w:pStyle w:val="Heading5"/>
        <w:rPr>
          <w:snapToGrid w:val="0"/>
        </w:rPr>
      </w:pPr>
      <w:bookmarkStart w:id="126" w:name="_Toc32396579"/>
      <w:bookmarkStart w:id="127" w:name="_Toc379285677"/>
      <w:bookmarkStart w:id="128" w:name="_Toc462745511"/>
      <w:r>
        <w:rPr>
          <w:rStyle w:val="CharSectno"/>
        </w:rPr>
        <w:t>16C</w:t>
      </w:r>
      <w:r>
        <w:rPr>
          <w:snapToGrid w:val="0"/>
        </w:rPr>
        <w:t xml:space="preserve">. </w:t>
      </w:r>
      <w:r>
        <w:rPr>
          <w:snapToGrid w:val="0"/>
        </w:rPr>
        <w:tab/>
        <w:t>Operational plan</w:t>
      </w:r>
      <w:bookmarkEnd w:id="126"/>
      <w:bookmarkEnd w:id="127"/>
      <w:bookmarkEnd w:id="128"/>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[Section 16C inserted</w:t>
      </w:r>
      <w:del w:id="129" w:author="svcMRProcess" w:date="2020-02-25T14:41:00Z">
        <w:r>
          <w:delText xml:space="preserve"> by</w:delText>
        </w:r>
      </w:del>
      <w:ins w:id="130" w:author="svcMRProcess" w:date="2020-02-25T14:41:00Z">
        <w:r>
          <w:t>:</w:t>
        </w:r>
      </w:ins>
      <w:r>
        <w:t xml:space="preserve"> No. 68 of 1994 s. 18.]</w:t>
      </w:r>
    </w:p>
    <w:p>
      <w:pPr>
        <w:pStyle w:val="Heading5"/>
        <w:rPr>
          <w:snapToGrid w:val="0"/>
        </w:rPr>
      </w:pPr>
      <w:bookmarkStart w:id="131" w:name="_Toc32396580"/>
      <w:bookmarkStart w:id="132" w:name="_Toc379285678"/>
      <w:bookmarkStart w:id="133" w:name="_Toc462745512"/>
      <w:r>
        <w:rPr>
          <w:rStyle w:val="CharSectno"/>
        </w:rPr>
        <w:t>16D</w:t>
      </w:r>
      <w:r>
        <w:rPr>
          <w:snapToGrid w:val="0"/>
        </w:rPr>
        <w:t xml:space="preserve">. </w:t>
      </w:r>
      <w:r>
        <w:rPr>
          <w:snapToGrid w:val="0"/>
        </w:rPr>
        <w:tab/>
        <w:t>Board to comply with corporate and operational plans</w:t>
      </w:r>
      <w:bookmarkEnd w:id="131"/>
      <w:bookmarkEnd w:id="132"/>
      <w:bookmarkEnd w:id="133"/>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[Section 16D inserted</w:t>
      </w:r>
      <w:del w:id="134" w:author="svcMRProcess" w:date="2020-02-25T14:41:00Z">
        <w:r>
          <w:delText xml:space="preserve"> by</w:delText>
        </w:r>
      </w:del>
      <w:ins w:id="135" w:author="svcMRProcess" w:date="2020-02-25T14:41:00Z">
        <w:r>
          <w:t>:</w:t>
        </w:r>
      </w:ins>
      <w:r>
        <w:t xml:space="preserve"> No. 68 of 1994 s. 18.]</w:t>
      </w:r>
    </w:p>
    <w:p>
      <w:pPr>
        <w:pStyle w:val="Heading3"/>
      </w:pPr>
      <w:bookmarkStart w:id="136" w:name="_Toc32396530"/>
      <w:bookmarkStart w:id="137" w:name="_Toc32396581"/>
      <w:bookmarkStart w:id="138" w:name="_Toc379285679"/>
      <w:bookmarkStart w:id="139" w:name="_Toc425167505"/>
      <w:bookmarkStart w:id="140" w:name="_Toc462745513"/>
      <w:r>
        <w:rPr>
          <w:rStyle w:val="CharDivNo"/>
        </w:rPr>
        <w:t>Division 3</w:t>
      </w:r>
      <w:r>
        <w:rPr>
          <w:snapToGrid w:val="0"/>
        </w:rPr>
        <w:t> — </w:t>
      </w:r>
      <w:r>
        <w:rPr>
          <w:rStyle w:val="CharDivText"/>
        </w:rPr>
        <w:t>Employees and staff of the Commission</w:t>
      </w:r>
      <w:bookmarkEnd w:id="136"/>
      <w:bookmarkEnd w:id="137"/>
      <w:bookmarkEnd w:id="138"/>
      <w:bookmarkEnd w:id="139"/>
      <w:bookmarkEnd w:id="140"/>
    </w:p>
    <w:p>
      <w:pPr>
        <w:pStyle w:val="Heading5"/>
        <w:rPr>
          <w:snapToGrid w:val="0"/>
        </w:rPr>
      </w:pPr>
      <w:bookmarkStart w:id="141" w:name="_Toc32396582"/>
      <w:bookmarkStart w:id="142" w:name="_Toc379285680"/>
      <w:bookmarkStart w:id="143" w:name="_Toc462745514"/>
      <w:r>
        <w:rPr>
          <w:rStyle w:val="CharSectno"/>
        </w:rPr>
        <w:t>17</w:t>
      </w:r>
      <w:r>
        <w:rPr>
          <w:snapToGrid w:val="0"/>
        </w:rPr>
        <w:t>.</w:t>
      </w:r>
      <w:r>
        <w:rPr>
          <w:snapToGrid w:val="0"/>
        </w:rPr>
        <w:tab/>
        <w:t>Employees of Commission</w:t>
      </w:r>
      <w:bookmarkEnd w:id="141"/>
      <w:bookmarkEnd w:id="142"/>
      <w:bookmarkEnd w:id="143"/>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w:t>
      </w:r>
      <w:r>
        <w:t xml:space="preserve"> Public Sector Commissioner</w:t>
      </w:r>
      <w:r>
        <w:rPr>
          <w:snapToGrid w:val="0"/>
        </w:rPr>
        <w:t>.</w:t>
      </w:r>
    </w:p>
    <w:p>
      <w:pPr>
        <w:pStyle w:val="Subsection"/>
        <w:rPr>
          <w:snapToGrid w:val="0"/>
        </w:rPr>
      </w:pPr>
      <w:r>
        <w:rPr>
          <w:snapToGrid w:val="0"/>
        </w:rPr>
        <w:tab/>
        <w:t>(3b)</w:t>
      </w:r>
      <w:r>
        <w:rPr>
          <w:snapToGrid w:val="0"/>
        </w:rPr>
        <w:tab/>
        <w:t>The chairman may appoint a person, other than a member of the Board, to act as chief executive officer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w:t>
      </w:r>
      <w:r>
        <w:t xml:space="preserve"> Public Sector Commissioner</w:t>
      </w:r>
      <w:r>
        <w:rPr>
          <w:snapToGrid w:val="0"/>
        </w:rPr>
        <w: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 xml:space="preserve">The Board may, from time to time, after consultation with the </w:t>
      </w:r>
      <w:r>
        <w:t>Public Sector Commissioner</w:t>
      </w:r>
      <w:r>
        <w:rPr>
          <w:snapToGrid w:val="0"/>
        </w:rPr>
        <w:t xml:space="preserve">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[Section 17 amended</w:t>
      </w:r>
      <w:del w:id="144" w:author="svcMRProcess" w:date="2020-02-25T14:41:00Z">
        <w:r>
          <w:delText xml:space="preserve"> by</w:delText>
        </w:r>
      </w:del>
      <w:ins w:id="145" w:author="svcMRProcess" w:date="2020-02-25T14:41:00Z">
        <w:r>
          <w:t>:</w:t>
        </w:r>
      </w:ins>
      <w:r>
        <w:t xml:space="preserve"> No. 32 of 1994 s. 19; No. 68 of 1994 s. 19; No. 55 of 2003 s. 5; No. 39 of 2010 s. 89.]</w:t>
      </w:r>
    </w:p>
    <w:p>
      <w:pPr>
        <w:pStyle w:val="Heading5"/>
        <w:rPr>
          <w:snapToGrid w:val="0"/>
        </w:rPr>
      </w:pPr>
      <w:bookmarkStart w:id="146" w:name="_Toc32396583"/>
      <w:bookmarkStart w:id="147" w:name="_Toc379285681"/>
      <w:bookmarkStart w:id="148" w:name="_Toc462745515"/>
      <w:r>
        <w:rPr>
          <w:rStyle w:val="CharSectno"/>
        </w:rPr>
        <w:t>18</w:t>
      </w:r>
      <w:r>
        <w:rPr>
          <w:snapToGrid w:val="0"/>
        </w:rPr>
        <w:t>.</w:t>
      </w:r>
      <w:r>
        <w:rPr>
          <w:snapToGrid w:val="0"/>
        </w:rPr>
        <w:tab/>
        <w:t>Employment of current officers</w:t>
      </w:r>
      <w:bookmarkEnd w:id="146"/>
      <w:bookmarkEnd w:id="147"/>
      <w:bookmarkEnd w:id="148"/>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del w:id="149" w:author="svcMRProcess" w:date="2020-02-25T14:41:00Z">
        <w:r>
          <w:rPr>
            <w:snapToGrid w:val="0"/>
            <w:vertAlign w:val="superscript"/>
          </w:rPr>
          <w:delText xml:space="preserve"> 3</w:delText>
        </w:r>
      </w:del>
      <w:ins w:id="150" w:author="svcMRProcess" w:date="2020-02-25T14:41:00Z">
        <w:r>
          <w:rPr>
            <w:snapToGrid w:val="0"/>
            <w:vertAlign w:val="superscript"/>
          </w:rPr>
          <w:t> 2</w:t>
        </w:r>
      </w:ins>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del w:id="151" w:author="svcMRProcess" w:date="2020-02-25T14:41:00Z">
        <w:r>
          <w:rPr>
            <w:snapToGrid w:val="0"/>
            <w:vertAlign w:val="superscript"/>
          </w:rPr>
          <w:delText xml:space="preserve"> 4</w:delText>
        </w:r>
      </w:del>
      <w:ins w:id="152" w:author="svcMRProcess" w:date="2020-02-25T14:41:00Z">
        <w:r>
          <w:rPr>
            <w:snapToGrid w:val="0"/>
            <w:vertAlign w:val="superscript"/>
          </w:rPr>
          <w:t> 3</w:t>
        </w:r>
      </w:ins>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153" w:name="_Toc32396584"/>
      <w:bookmarkStart w:id="154" w:name="_Toc379285682"/>
      <w:bookmarkStart w:id="155" w:name="_Toc462745516"/>
      <w:r>
        <w:rPr>
          <w:rStyle w:val="CharSectno"/>
        </w:rPr>
        <w:t>19</w:t>
      </w:r>
      <w:r>
        <w:rPr>
          <w:snapToGrid w:val="0"/>
        </w:rPr>
        <w:t>.</w:t>
      </w:r>
      <w:r>
        <w:rPr>
          <w:snapToGrid w:val="0"/>
        </w:rPr>
        <w:tab/>
        <w:t>Employees transitional provisions</w:t>
      </w:r>
      <w:bookmarkEnd w:id="153"/>
      <w:bookmarkEnd w:id="154"/>
      <w:bookmarkEnd w:id="155"/>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del w:id="156" w:author="svcMRProcess" w:date="2020-02-25T14:41:00Z">
        <w:r>
          <w:rPr>
            <w:snapToGrid w:val="0"/>
            <w:vertAlign w:val="superscript"/>
          </w:rPr>
          <w:delText xml:space="preserve"> 5</w:delText>
        </w:r>
      </w:del>
      <w:ins w:id="157" w:author="svcMRProcess" w:date="2020-02-25T14:41:00Z">
        <w:r>
          <w:rPr>
            <w:snapToGrid w:val="0"/>
            <w:vertAlign w:val="superscript"/>
          </w:rPr>
          <w:t> 4</w:t>
        </w:r>
      </w:ins>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del w:id="158" w:author="svcMRProcess" w:date="2020-02-25T14:41:00Z">
        <w:r>
          <w:rPr>
            <w:snapToGrid w:val="0"/>
            <w:vertAlign w:val="superscript"/>
          </w:rPr>
          <w:delText xml:space="preserve"> 5</w:delText>
        </w:r>
      </w:del>
      <w:ins w:id="159" w:author="svcMRProcess" w:date="2020-02-25T14:41:00Z">
        <w:r>
          <w:rPr>
            <w:snapToGrid w:val="0"/>
            <w:vertAlign w:val="superscript"/>
          </w:rPr>
          <w:t> 4</w:t>
        </w:r>
      </w:ins>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del w:id="160" w:author="svcMRProcess" w:date="2020-02-25T14:41:00Z">
        <w:r>
          <w:rPr>
            <w:snapToGrid w:val="0"/>
            <w:vertAlign w:val="superscript"/>
          </w:rPr>
          <w:delText xml:space="preserve"> 5</w:delText>
        </w:r>
      </w:del>
      <w:ins w:id="161" w:author="svcMRProcess" w:date="2020-02-25T14:41:00Z">
        <w:r>
          <w:rPr>
            <w:snapToGrid w:val="0"/>
            <w:vertAlign w:val="superscript"/>
          </w:rPr>
          <w:t> 4</w:t>
        </w:r>
      </w:ins>
      <w:r>
        <w:rPr>
          <w:snapToGrid w:val="0"/>
        </w:rPr>
        <w:t xml:space="preserve"> the Commission is hereby declared to be a “department” within the meaning of that Act.</w:t>
      </w:r>
    </w:p>
    <w:p>
      <w:pPr>
        <w:pStyle w:val="Heading5"/>
        <w:rPr>
          <w:snapToGrid w:val="0"/>
        </w:rPr>
      </w:pPr>
      <w:bookmarkStart w:id="162" w:name="_Toc32396585"/>
      <w:bookmarkStart w:id="163" w:name="_Toc379285683"/>
      <w:bookmarkStart w:id="164" w:name="_Toc462745517"/>
      <w:r>
        <w:rPr>
          <w:rStyle w:val="CharSectno"/>
        </w:rPr>
        <w:t>19A</w:t>
      </w:r>
      <w:r>
        <w:rPr>
          <w:snapToGrid w:val="0"/>
        </w:rPr>
        <w:t xml:space="preserve">. </w:t>
      </w:r>
      <w:r>
        <w:rPr>
          <w:snapToGrid w:val="0"/>
        </w:rPr>
        <w:tab/>
        <w:t>Status of employees who are members of Senior Executive Service</w:t>
      </w:r>
      <w:bookmarkEnd w:id="162"/>
      <w:bookmarkEnd w:id="163"/>
      <w:bookmarkEnd w:id="164"/>
    </w:p>
    <w:p>
      <w:pPr>
        <w:pStyle w:val="Subsection"/>
        <w:spacing w:before="140"/>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spacing w:before="100"/>
        <w:ind w:left="890" w:hanging="890"/>
      </w:pPr>
      <w:r>
        <w:tab/>
        <w:t>[Section 19A inserted</w:t>
      </w:r>
      <w:del w:id="165" w:author="svcMRProcess" w:date="2020-02-25T14:41:00Z">
        <w:r>
          <w:delText xml:space="preserve"> by</w:delText>
        </w:r>
      </w:del>
      <w:ins w:id="166" w:author="svcMRProcess" w:date="2020-02-25T14:41:00Z">
        <w:r>
          <w:t>:</w:t>
        </w:r>
      </w:ins>
      <w:r>
        <w:t xml:space="preserve"> No. 68 of 1994 s. 20.]</w:t>
      </w:r>
    </w:p>
    <w:p>
      <w:pPr>
        <w:pStyle w:val="Heading5"/>
        <w:rPr>
          <w:snapToGrid w:val="0"/>
        </w:rPr>
      </w:pPr>
      <w:bookmarkStart w:id="167" w:name="_Toc32396586"/>
      <w:bookmarkStart w:id="168" w:name="_Toc379285684"/>
      <w:bookmarkStart w:id="169" w:name="_Toc462745518"/>
      <w:r>
        <w:rPr>
          <w:rStyle w:val="CharSectno"/>
        </w:rPr>
        <w:t>20</w:t>
      </w:r>
      <w:r>
        <w:rPr>
          <w:snapToGrid w:val="0"/>
        </w:rPr>
        <w:t>.</w:t>
      </w:r>
      <w:r>
        <w:rPr>
          <w:snapToGrid w:val="0"/>
        </w:rPr>
        <w:tab/>
        <w:t>Professional or technical assistance</w:t>
      </w:r>
      <w:bookmarkEnd w:id="167"/>
      <w:bookmarkEnd w:id="168"/>
      <w:bookmarkEnd w:id="169"/>
    </w:p>
    <w:p>
      <w:pPr>
        <w:pStyle w:val="Subsection"/>
        <w:spacing w:before="140"/>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170" w:name="_Toc32396587"/>
      <w:bookmarkStart w:id="171" w:name="_Toc379285685"/>
      <w:bookmarkStart w:id="172" w:name="_Toc462745519"/>
      <w:r>
        <w:rPr>
          <w:rStyle w:val="CharSectno"/>
        </w:rPr>
        <w:t>21</w:t>
      </w:r>
      <w:r>
        <w:rPr>
          <w:snapToGrid w:val="0"/>
        </w:rPr>
        <w:t>.</w:t>
      </w:r>
      <w:r>
        <w:rPr>
          <w:snapToGrid w:val="0"/>
        </w:rPr>
        <w:tab/>
        <w:t>Use of staff and facilities of departments and instrumentalities</w:t>
      </w:r>
      <w:bookmarkEnd w:id="170"/>
      <w:bookmarkEnd w:id="171"/>
      <w:bookmarkEnd w:id="172"/>
    </w:p>
    <w:p>
      <w:pPr>
        <w:pStyle w:val="Subsection"/>
        <w:spacing w:before="140"/>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w:t>
      </w:r>
    </w:p>
    <w:p>
      <w:pPr>
        <w:pStyle w:val="Indenta"/>
        <w:spacing w:before="60"/>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spacing w:before="60"/>
        <w:rPr>
          <w:snapToGrid w:val="0"/>
        </w:rPr>
      </w:pPr>
      <w:r>
        <w:rPr>
          <w:snapToGrid w:val="0"/>
        </w:rPr>
        <w:tab/>
        <w:t>(b)</w:t>
      </w:r>
      <w:r>
        <w:rPr>
          <w:snapToGrid w:val="0"/>
        </w:rPr>
        <w:tab/>
        <w:t>any facilities of a department of the Public Service of the State or of a State instrumentality.</w:t>
      </w:r>
    </w:p>
    <w:p>
      <w:pPr>
        <w:pStyle w:val="Footnotesection"/>
        <w:spacing w:before="100"/>
        <w:ind w:left="890" w:hanging="890"/>
      </w:pPr>
      <w:r>
        <w:tab/>
        <w:t>[Section 21 amended</w:t>
      </w:r>
      <w:del w:id="173" w:author="svcMRProcess" w:date="2020-02-25T14:41:00Z">
        <w:r>
          <w:delText xml:space="preserve"> by</w:delText>
        </w:r>
      </w:del>
      <w:ins w:id="174" w:author="svcMRProcess" w:date="2020-02-25T14:41:00Z">
        <w:r>
          <w:t>:</w:t>
        </w:r>
      </w:ins>
      <w:r>
        <w:t xml:space="preserve"> No. 32 of 1994 s. 19; No. 68 of 1994 s. 21.]</w:t>
      </w:r>
    </w:p>
    <w:p>
      <w:pPr>
        <w:pStyle w:val="Heading5"/>
        <w:rPr>
          <w:snapToGrid w:val="0"/>
        </w:rPr>
      </w:pPr>
      <w:bookmarkStart w:id="175" w:name="_Toc32396588"/>
      <w:bookmarkStart w:id="176" w:name="_Toc379285686"/>
      <w:bookmarkStart w:id="177" w:name="_Toc462745520"/>
      <w:r>
        <w:rPr>
          <w:rStyle w:val="CharSectno"/>
        </w:rPr>
        <w:t>22</w:t>
      </w:r>
      <w:r>
        <w:rPr>
          <w:snapToGrid w:val="0"/>
        </w:rPr>
        <w:t>.</w:t>
      </w:r>
      <w:r>
        <w:rPr>
          <w:snapToGrid w:val="0"/>
        </w:rPr>
        <w:tab/>
        <w:t>Secrecy</w:t>
      </w:r>
      <w:bookmarkEnd w:id="175"/>
      <w:bookmarkEnd w:id="176"/>
      <w:bookmarkEnd w:id="177"/>
    </w:p>
    <w:p>
      <w:pPr>
        <w:pStyle w:val="Subsection"/>
        <w:spacing w:before="140"/>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[Section 22 amended</w:t>
      </w:r>
      <w:del w:id="178" w:author="svcMRProcess" w:date="2020-02-25T14:41:00Z">
        <w:r>
          <w:delText xml:space="preserve"> by</w:delText>
        </w:r>
      </w:del>
      <w:ins w:id="179" w:author="svcMRProcess" w:date="2020-02-25T14:41:00Z">
        <w:r>
          <w:t>:</w:t>
        </w:r>
      </w:ins>
      <w:r>
        <w:t xml:space="preserve"> No. 68 of 1994 s. 22.]</w:t>
      </w:r>
    </w:p>
    <w:p>
      <w:pPr>
        <w:pStyle w:val="Heading5"/>
        <w:rPr>
          <w:snapToGrid w:val="0"/>
        </w:rPr>
      </w:pPr>
      <w:bookmarkStart w:id="180" w:name="_Toc32396589"/>
      <w:bookmarkStart w:id="181" w:name="_Toc379285687"/>
      <w:bookmarkStart w:id="182" w:name="_Toc462745521"/>
      <w:r>
        <w:rPr>
          <w:rStyle w:val="CharSectno"/>
        </w:rPr>
        <w:t>23</w:t>
      </w:r>
      <w:r>
        <w:rPr>
          <w:snapToGrid w:val="0"/>
        </w:rPr>
        <w:t>.</w:t>
      </w:r>
      <w:r>
        <w:rPr>
          <w:snapToGrid w:val="0"/>
        </w:rPr>
        <w:tab/>
        <w:t>Delegation by Commission</w:t>
      </w:r>
      <w:bookmarkEnd w:id="180"/>
      <w:bookmarkEnd w:id="181"/>
      <w:bookmarkEnd w:id="182"/>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[Section 23 amended</w:t>
      </w:r>
      <w:del w:id="183" w:author="svcMRProcess" w:date="2020-02-25T14:41:00Z">
        <w:r>
          <w:delText xml:space="preserve"> by</w:delText>
        </w:r>
      </w:del>
      <w:ins w:id="184" w:author="svcMRProcess" w:date="2020-02-25T14:41:00Z">
        <w:r>
          <w:t>:</w:t>
        </w:r>
      </w:ins>
      <w:r>
        <w:t xml:space="preserve"> No. 68 of 1994 s. 23.]</w:t>
      </w:r>
    </w:p>
    <w:p>
      <w:pPr>
        <w:pStyle w:val="Heading2"/>
      </w:pPr>
      <w:bookmarkStart w:id="185" w:name="_Toc32396539"/>
      <w:bookmarkStart w:id="186" w:name="_Toc32396590"/>
      <w:bookmarkStart w:id="187" w:name="_Toc379285688"/>
      <w:bookmarkStart w:id="188" w:name="_Toc425167514"/>
      <w:bookmarkStart w:id="189" w:name="_Toc462745522"/>
      <w:r>
        <w:rPr>
          <w:rStyle w:val="CharPartNo"/>
        </w:rPr>
        <w:t>Part III</w:t>
      </w:r>
      <w:r>
        <w:rPr>
          <w:rStyle w:val="CharDivNo"/>
        </w:rPr>
        <w:t> </w:t>
      </w:r>
      <w:r>
        <w:t>—</w:t>
      </w:r>
      <w:r>
        <w:rPr>
          <w:rStyle w:val="CharDivText"/>
        </w:rPr>
        <w:t> </w:t>
      </w:r>
      <w:r>
        <w:rPr>
          <w:rStyle w:val="CharPartText"/>
        </w:rPr>
        <w:t>Financial provisions</w:t>
      </w:r>
      <w:bookmarkEnd w:id="185"/>
      <w:bookmarkEnd w:id="186"/>
      <w:bookmarkEnd w:id="187"/>
      <w:bookmarkEnd w:id="188"/>
      <w:bookmarkEnd w:id="189"/>
    </w:p>
    <w:p>
      <w:pPr>
        <w:pStyle w:val="Heading5"/>
        <w:rPr>
          <w:snapToGrid w:val="0"/>
        </w:rPr>
      </w:pPr>
      <w:bookmarkStart w:id="190" w:name="_Toc32396591"/>
      <w:bookmarkStart w:id="191" w:name="_Toc379285689"/>
      <w:bookmarkStart w:id="192" w:name="_Toc462745523"/>
      <w:r>
        <w:rPr>
          <w:rStyle w:val="CharSectno"/>
        </w:rPr>
        <w:t>24</w:t>
      </w:r>
      <w:r>
        <w:rPr>
          <w:snapToGrid w:val="0"/>
        </w:rPr>
        <w:t>.</w:t>
      </w:r>
      <w:r>
        <w:rPr>
          <w:snapToGrid w:val="0"/>
        </w:rPr>
        <w:tab/>
        <w:t>Funds and Commission Account</w:t>
      </w:r>
      <w:bookmarkEnd w:id="190"/>
      <w:bookmarkEnd w:id="191"/>
      <w:bookmarkEnd w:id="192"/>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authorised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authorised to pay moneys out of the Commission Account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Account</w:t>
      </w:r>
      <w:r>
        <w:rPr>
          <w:snapToGrid w:val="0"/>
        </w:rPr>
        <w:t>; or</w:t>
      </w:r>
    </w:p>
    <w:p>
      <w:pPr>
        <w:pStyle w:val="Indenta"/>
        <w:rPr>
          <w:snapToGrid w:val="0"/>
        </w:rPr>
      </w:pPr>
      <w:r>
        <w:rPr>
          <w:snapToGrid w:val="0"/>
        </w:rPr>
        <w:tab/>
        <w:t>(d)</w:t>
      </w:r>
      <w:r>
        <w:rPr>
          <w:snapToGrid w:val="0"/>
        </w:rPr>
        <w:tab/>
        <w:t>in any other way authorised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ind w:left="890" w:hanging="890"/>
      </w:pPr>
      <w:r>
        <w:tab/>
        <w:t>[Section 24 amended</w:t>
      </w:r>
      <w:del w:id="193" w:author="svcMRProcess" w:date="2020-02-25T14:41:00Z">
        <w:r>
          <w:delText xml:space="preserve"> by</w:delText>
        </w:r>
      </w:del>
      <w:ins w:id="194" w:author="svcMRProcess" w:date="2020-02-25T14:41:00Z">
        <w:r>
          <w:t>:</w:t>
        </w:r>
      </w:ins>
      <w:r>
        <w:t xml:space="preserve"> No. 98 of 1985 s. 3; No. 6 of 1993 s. 11 and 14(7); No. 49 of 1996 s. 64; No. 77 of 2006 s. 4.]</w:t>
      </w:r>
    </w:p>
    <w:p>
      <w:pPr>
        <w:pStyle w:val="Heading5"/>
        <w:rPr>
          <w:snapToGrid w:val="0"/>
        </w:rPr>
      </w:pPr>
      <w:bookmarkStart w:id="195" w:name="_Toc32396592"/>
      <w:bookmarkStart w:id="196" w:name="_Toc379285690"/>
      <w:bookmarkStart w:id="197" w:name="_Toc462745524"/>
      <w:r>
        <w:rPr>
          <w:rStyle w:val="CharSectno"/>
        </w:rPr>
        <w:t>25</w:t>
      </w:r>
      <w:r>
        <w:rPr>
          <w:snapToGrid w:val="0"/>
        </w:rPr>
        <w:t>.</w:t>
      </w:r>
      <w:r>
        <w:rPr>
          <w:snapToGrid w:val="0"/>
        </w:rPr>
        <w:tab/>
        <w:t>Power to invest</w:t>
      </w:r>
      <w:bookmarkEnd w:id="195"/>
      <w:bookmarkEnd w:id="196"/>
      <w:bookmarkEnd w:id="197"/>
    </w:p>
    <w:p>
      <w:pPr>
        <w:pStyle w:val="Subsection"/>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Financial Management Act 2006</w:t>
      </w:r>
      <w:r>
        <w:t>.</w:t>
      </w:r>
    </w:p>
    <w:p>
      <w:pPr>
        <w:pStyle w:val="Footnotesection"/>
        <w:ind w:left="890" w:hanging="890"/>
      </w:pPr>
      <w:r>
        <w:tab/>
        <w:t>[Section 25 amended</w:t>
      </w:r>
      <w:del w:id="198" w:author="svcMRProcess" w:date="2020-02-25T14:41:00Z">
        <w:r>
          <w:delText xml:space="preserve"> by</w:delText>
        </w:r>
      </w:del>
      <w:ins w:id="199" w:author="svcMRProcess" w:date="2020-02-25T14:41:00Z">
        <w:r>
          <w:t>:</w:t>
        </w:r>
      </w:ins>
      <w:r>
        <w:t xml:space="preserve"> No. 98 of 1985 s. 3; No. 77 of 2006 Sch. 1 cl. 185(2).]</w:t>
      </w:r>
    </w:p>
    <w:p>
      <w:pPr>
        <w:pStyle w:val="Heading5"/>
        <w:rPr>
          <w:snapToGrid w:val="0"/>
        </w:rPr>
      </w:pPr>
      <w:bookmarkStart w:id="200" w:name="_Toc32396593"/>
      <w:bookmarkStart w:id="201" w:name="_Toc379285691"/>
      <w:bookmarkStart w:id="202" w:name="_Toc462745525"/>
      <w:r>
        <w:rPr>
          <w:rStyle w:val="CharSectno"/>
        </w:rPr>
        <w:t>26</w:t>
      </w:r>
      <w:r>
        <w:rPr>
          <w:snapToGrid w:val="0"/>
        </w:rPr>
        <w:t>.</w:t>
      </w:r>
      <w:r>
        <w:rPr>
          <w:snapToGrid w:val="0"/>
        </w:rPr>
        <w:tab/>
        <w:t>Booking Account</w:t>
      </w:r>
      <w:bookmarkEnd w:id="200"/>
      <w:bookmarkEnd w:id="201"/>
      <w:bookmarkEnd w:id="202"/>
    </w:p>
    <w:p>
      <w:pPr>
        <w:pStyle w:val="Subsection"/>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rPr>
          <w:snapToGrid w:val="0"/>
        </w:rPr>
      </w:pPr>
      <w:r>
        <w:rPr>
          <w:snapToGrid w:val="0"/>
        </w:rPr>
        <w:tab/>
        <w:t>(3)</w:t>
      </w:r>
      <w:r>
        <w:rPr>
          <w:snapToGrid w:val="0"/>
        </w:rPr>
        <w:tab/>
        <w:t>The Commission shall pay moneys withdrawn from the Booking Account to the person or persons lawfully entitled or authorised to receive them.</w:t>
      </w:r>
    </w:p>
    <w:p>
      <w:pPr>
        <w:pStyle w:val="Subsection"/>
        <w:rPr>
          <w:snapToGrid w:val="0"/>
        </w:rPr>
      </w:pPr>
      <w:r>
        <w:rPr>
          <w:snapToGrid w:val="0"/>
        </w:rPr>
        <w:tab/>
        <w:t>(4)</w:t>
      </w:r>
      <w:r>
        <w:rPr>
          <w:snapToGrid w:val="0"/>
        </w:rPr>
        <w:tab/>
        <w:t>All moneys paid into the Booking Account shall be accounted for separately from the Commission Account.</w:t>
      </w:r>
    </w:p>
    <w:p>
      <w:pPr>
        <w:pStyle w:val="Subsection"/>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Management Act 2006 </w:t>
      </w:r>
      <w:r>
        <w:rPr>
          <w:snapToGrid w:val="0"/>
        </w:rPr>
        <w:t>and any revenue earned from that investment is to be placed to the credit of the Commission Account.</w:t>
      </w:r>
    </w:p>
    <w:p>
      <w:pPr>
        <w:pStyle w:val="Footnotesection"/>
        <w:ind w:left="890" w:hanging="890"/>
      </w:pPr>
      <w:r>
        <w:tab/>
        <w:t>[Section 26 amended</w:t>
      </w:r>
      <w:del w:id="203" w:author="svcMRProcess" w:date="2020-02-25T14:41:00Z">
        <w:r>
          <w:delText xml:space="preserve"> by</w:delText>
        </w:r>
      </w:del>
      <w:ins w:id="204" w:author="svcMRProcess" w:date="2020-02-25T14:41:00Z">
        <w:r>
          <w:t>:</w:t>
        </w:r>
      </w:ins>
      <w:r>
        <w:t xml:space="preserve"> No. 68 of 1994 s. 24; No. 77 of 2006 Sch. 1 cl. 185(3).]</w:t>
      </w:r>
    </w:p>
    <w:p>
      <w:pPr>
        <w:pStyle w:val="Heading5"/>
        <w:rPr>
          <w:snapToGrid w:val="0"/>
        </w:rPr>
      </w:pPr>
      <w:bookmarkStart w:id="205" w:name="_Toc32396594"/>
      <w:bookmarkStart w:id="206" w:name="_Toc379285692"/>
      <w:bookmarkStart w:id="207" w:name="_Toc462745526"/>
      <w:r>
        <w:rPr>
          <w:rStyle w:val="CharSectno"/>
        </w:rPr>
        <w:t>27</w:t>
      </w:r>
      <w:r>
        <w:rPr>
          <w:snapToGrid w:val="0"/>
        </w:rPr>
        <w:t>.</w:t>
      </w:r>
      <w:r>
        <w:rPr>
          <w:snapToGrid w:val="0"/>
        </w:rPr>
        <w:tab/>
        <w:t>Borrowing by Commission</w:t>
      </w:r>
      <w:bookmarkEnd w:id="205"/>
      <w:bookmarkEnd w:id="206"/>
      <w:bookmarkEnd w:id="207"/>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Account</w:t>
      </w:r>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[Section 27 amended</w:t>
      </w:r>
      <w:del w:id="208" w:author="svcMRProcess" w:date="2020-02-25T14:41:00Z">
        <w:r>
          <w:delText xml:space="preserve"> by</w:delText>
        </w:r>
      </w:del>
      <w:ins w:id="209" w:author="svcMRProcess" w:date="2020-02-25T14:41:00Z">
        <w:r>
          <w:t>:</w:t>
        </w:r>
      </w:ins>
      <w:r>
        <w:t xml:space="preserve"> No. 98 of 1985 s. 3; No. 6 of 1993 s. 11; No. 49 of 1996 s. 64; No. 77 of 2006 s. 4.]</w:t>
      </w:r>
    </w:p>
    <w:p>
      <w:pPr>
        <w:pStyle w:val="Heading5"/>
        <w:rPr>
          <w:snapToGrid w:val="0"/>
        </w:rPr>
      </w:pPr>
      <w:bookmarkStart w:id="210" w:name="_Toc32396595"/>
      <w:bookmarkStart w:id="211" w:name="_Toc379285693"/>
      <w:bookmarkStart w:id="212" w:name="_Toc462745527"/>
      <w:r>
        <w:rPr>
          <w:rStyle w:val="CharSectno"/>
        </w:rPr>
        <w:t>28</w:t>
      </w:r>
      <w:r>
        <w:rPr>
          <w:snapToGrid w:val="0"/>
        </w:rPr>
        <w:t>.</w:t>
      </w:r>
      <w:r>
        <w:rPr>
          <w:snapToGrid w:val="0"/>
        </w:rPr>
        <w:tab/>
        <w:t xml:space="preserve">Application of </w:t>
      </w:r>
      <w:r>
        <w:rPr>
          <w:i/>
        </w:rPr>
        <w:t>Financial Management Act 2006</w:t>
      </w:r>
      <w:r>
        <w:t xml:space="preserve"> and </w:t>
      </w:r>
      <w:r>
        <w:rPr>
          <w:i/>
        </w:rPr>
        <w:t>Auditor General Act 2006</w:t>
      </w:r>
      <w:bookmarkEnd w:id="210"/>
      <w:bookmarkEnd w:id="211"/>
      <w:bookmarkEnd w:id="21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28 inserted</w:t>
      </w:r>
      <w:del w:id="213" w:author="svcMRProcess" w:date="2020-02-25T14:41:00Z">
        <w:r>
          <w:delText xml:space="preserve"> by</w:delText>
        </w:r>
      </w:del>
      <w:ins w:id="214" w:author="svcMRProcess" w:date="2020-02-25T14:41:00Z">
        <w:r>
          <w:t>:</w:t>
        </w:r>
      </w:ins>
      <w:r>
        <w:t xml:space="preserve"> No. 98 of 1985 s. 3; amended</w:t>
      </w:r>
      <w:del w:id="215" w:author="svcMRProcess" w:date="2020-02-25T14:41:00Z">
        <w:r>
          <w:delText xml:space="preserve"> by</w:delText>
        </w:r>
      </w:del>
      <w:ins w:id="216" w:author="svcMRProcess" w:date="2020-02-25T14:41:00Z">
        <w:r>
          <w:t>:</w:t>
        </w:r>
      </w:ins>
      <w:r>
        <w:t xml:space="preserve"> No. 77 of 2006 Sch. 1 cl. 185(4).]</w:t>
      </w:r>
    </w:p>
    <w:p>
      <w:pPr>
        <w:pStyle w:val="Heading5"/>
        <w:rPr>
          <w:snapToGrid w:val="0"/>
        </w:rPr>
      </w:pPr>
      <w:bookmarkStart w:id="217" w:name="_Toc32396596"/>
      <w:bookmarkStart w:id="218" w:name="_Toc379285694"/>
      <w:bookmarkStart w:id="219" w:name="_Toc462745528"/>
      <w:r>
        <w:rPr>
          <w:rStyle w:val="CharSectno"/>
        </w:rPr>
        <w:t>29</w:t>
      </w:r>
      <w:r>
        <w:rPr>
          <w:snapToGrid w:val="0"/>
        </w:rPr>
        <w:t>.</w:t>
      </w:r>
      <w:r>
        <w:rPr>
          <w:snapToGrid w:val="0"/>
        </w:rPr>
        <w:tab/>
        <w:t>Review of Act</w:t>
      </w:r>
      <w:bookmarkEnd w:id="217"/>
      <w:bookmarkEnd w:id="218"/>
      <w:bookmarkEnd w:id="219"/>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rPr>
        <w:t xml:space="preserve"> </w:t>
      </w:r>
      <w:del w:id="220" w:author="svcMRProcess" w:date="2020-02-25T14:41:00Z">
        <w:r>
          <w:rPr>
            <w:snapToGrid w:val="0"/>
            <w:vertAlign w:val="superscript"/>
          </w:rPr>
          <w:delText>1</w:delText>
        </w:r>
        <w:r>
          <w:rPr>
            <w:snapToGrid w:val="0"/>
          </w:rPr>
          <w:delText xml:space="preserve"> </w:delText>
        </w:r>
      </w:del>
      <w:r>
        <w:rPr>
          <w:snapToGrid w:val="0"/>
        </w:rPr>
        <w:t>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[Section 29 inserted</w:t>
      </w:r>
      <w:del w:id="221" w:author="svcMRProcess" w:date="2020-02-25T14:41:00Z">
        <w:r>
          <w:delText xml:space="preserve"> by</w:delText>
        </w:r>
      </w:del>
      <w:ins w:id="222" w:author="svcMRProcess" w:date="2020-02-25T14:41:00Z">
        <w:r>
          <w:t>:</w:t>
        </w:r>
      </w:ins>
      <w:r>
        <w:t xml:space="preserve"> No. 68 of 1994 s. 25.]</w:t>
      </w:r>
    </w:p>
    <w:p>
      <w:pPr>
        <w:pStyle w:val="Heading2"/>
      </w:pPr>
      <w:bookmarkStart w:id="223" w:name="_Toc32396546"/>
      <w:bookmarkStart w:id="224" w:name="_Toc32396597"/>
      <w:bookmarkStart w:id="225" w:name="_Toc379285695"/>
      <w:bookmarkStart w:id="226" w:name="_Toc425167521"/>
      <w:bookmarkStart w:id="227" w:name="_Toc462745529"/>
      <w:r>
        <w:rPr>
          <w:rStyle w:val="CharPartNo"/>
        </w:rPr>
        <w:t>Part IV</w:t>
      </w:r>
      <w:r>
        <w:rPr>
          <w:rStyle w:val="CharDivNo"/>
        </w:rPr>
        <w:t> </w:t>
      </w:r>
      <w:r>
        <w:t>—</w:t>
      </w:r>
      <w:r>
        <w:rPr>
          <w:rStyle w:val="CharDivText"/>
        </w:rPr>
        <w:t> </w:t>
      </w:r>
      <w:r>
        <w:rPr>
          <w:rStyle w:val="CharPartText"/>
        </w:rPr>
        <w:t>General</w:t>
      </w:r>
      <w:bookmarkEnd w:id="223"/>
      <w:bookmarkEnd w:id="224"/>
      <w:bookmarkEnd w:id="225"/>
      <w:bookmarkEnd w:id="226"/>
      <w:bookmarkEnd w:id="227"/>
    </w:p>
    <w:p>
      <w:pPr>
        <w:pStyle w:val="Heading5"/>
        <w:rPr>
          <w:snapToGrid w:val="0"/>
        </w:rPr>
      </w:pPr>
      <w:bookmarkStart w:id="228" w:name="_Toc32396598"/>
      <w:bookmarkStart w:id="229" w:name="_Toc379285696"/>
      <w:bookmarkStart w:id="230" w:name="_Toc462745530"/>
      <w:r>
        <w:rPr>
          <w:rStyle w:val="CharSectno"/>
        </w:rPr>
        <w:t>30</w:t>
      </w:r>
      <w:r>
        <w:rPr>
          <w:snapToGrid w:val="0"/>
        </w:rPr>
        <w:t>.</w:t>
      </w:r>
      <w:r>
        <w:rPr>
          <w:snapToGrid w:val="0"/>
        </w:rPr>
        <w:tab/>
        <w:t>Regulations</w:t>
      </w:r>
      <w:bookmarkEnd w:id="228"/>
      <w:bookmarkEnd w:id="229"/>
      <w:bookmarkEnd w:id="23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rPr>
          <w:rFonts w:ascii="Times" w:hAnsi="Times"/>
        </w:rPr>
      </w:pPr>
      <w:bookmarkStart w:id="231" w:name="_Toc379285697"/>
      <w:bookmarkStart w:id="232" w:name="_Toc425167523"/>
      <w:bookmarkStart w:id="233" w:name="_Toc462745531"/>
      <w:bookmarkStart w:id="234" w:name="_Toc32396548"/>
      <w:bookmarkStart w:id="235" w:name="_Toc32396599"/>
      <w:r>
        <w:rPr>
          <w:rStyle w:val="CharPartNo"/>
        </w:rPr>
        <w:t>Part V</w:t>
      </w:r>
      <w:r>
        <w:rPr>
          <w:rStyle w:val="CharDivNo"/>
        </w:rPr>
        <w:t> </w:t>
      </w:r>
      <w:r>
        <w:t>—</w:t>
      </w:r>
      <w:r>
        <w:rPr>
          <w:rStyle w:val="CharDivText"/>
        </w:rPr>
        <w:t> </w:t>
      </w:r>
      <w:r>
        <w:rPr>
          <w:rStyle w:val="CharPartText"/>
        </w:rPr>
        <w:t>Transitional and repeal</w:t>
      </w:r>
      <w:r>
        <w:rPr>
          <w:vertAlign w:val="superscript"/>
        </w:rPr>
        <w:t> </w:t>
      </w:r>
      <w:del w:id="236" w:author="svcMRProcess" w:date="2020-02-25T14:41:00Z">
        <w:r>
          <w:rPr>
            <w:vertAlign w:val="superscript"/>
          </w:rPr>
          <w:delText>2</w:delText>
        </w:r>
      </w:del>
      <w:bookmarkEnd w:id="231"/>
      <w:bookmarkEnd w:id="232"/>
      <w:bookmarkEnd w:id="233"/>
      <w:ins w:id="237" w:author="svcMRProcess" w:date="2020-02-25T14:41:00Z">
        <w:r>
          <w:rPr>
            <w:vertAlign w:val="superscript"/>
          </w:rPr>
          <w:t>1</w:t>
        </w:r>
      </w:ins>
      <w:bookmarkEnd w:id="234"/>
      <w:bookmarkEnd w:id="235"/>
    </w:p>
    <w:p>
      <w:pPr>
        <w:pStyle w:val="Heading5"/>
        <w:rPr>
          <w:snapToGrid w:val="0"/>
        </w:rPr>
      </w:pPr>
      <w:bookmarkStart w:id="238" w:name="_Toc32396600"/>
      <w:bookmarkStart w:id="239" w:name="_Toc379285698"/>
      <w:bookmarkStart w:id="240" w:name="_Toc462745532"/>
      <w:r>
        <w:rPr>
          <w:rStyle w:val="CharSectno"/>
        </w:rPr>
        <w:t>31</w:t>
      </w:r>
      <w:r>
        <w:rPr>
          <w:snapToGrid w:val="0"/>
        </w:rPr>
        <w:t>.</w:t>
      </w:r>
      <w:r>
        <w:rPr>
          <w:snapToGrid w:val="0"/>
        </w:rPr>
        <w:tab/>
        <w:t>Transitional</w:t>
      </w:r>
      <w:bookmarkEnd w:id="238"/>
      <w:bookmarkEnd w:id="239"/>
      <w:bookmarkEnd w:id="240"/>
    </w:p>
    <w:p>
      <w:pPr>
        <w:pStyle w:val="Subsection"/>
        <w:rPr>
          <w:snapToGrid w:val="0"/>
        </w:rPr>
      </w:pPr>
      <w:r>
        <w:rPr>
          <w:snapToGrid w:val="0"/>
        </w:rPr>
        <w:tab/>
        <w:t>(1)</w:t>
      </w:r>
      <w:r>
        <w:rPr>
          <w:snapToGrid w:val="0"/>
        </w:rPr>
        <w:tab/>
        <w:t>On and from the day upon which this section comes into operation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authorised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241" w:name="_Toc32396601"/>
      <w:bookmarkStart w:id="242" w:name="_Toc379285699"/>
      <w:bookmarkStart w:id="243" w:name="_Toc462745533"/>
      <w:r>
        <w:rPr>
          <w:rStyle w:val="CharSectno"/>
        </w:rPr>
        <w:t>32</w:t>
      </w:r>
      <w:r>
        <w:rPr>
          <w:snapToGrid w:val="0"/>
        </w:rPr>
        <w:t>.</w:t>
      </w:r>
      <w:r>
        <w:rPr>
          <w:snapToGrid w:val="0"/>
        </w:rPr>
        <w:tab/>
        <w:t>References to Department of Tourism in other laws</w:t>
      </w:r>
      <w:bookmarkEnd w:id="241"/>
      <w:bookmarkEnd w:id="242"/>
      <w:bookmarkEnd w:id="243"/>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Ednotesection"/>
      </w:pPr>
      <w:r>
        <w:t>[</w:t>
      </w:r>
      <w:r>
        <w:rPr>
          <w:b/>
          <w:bCs/>
        </w:rPr>
        <w:t>33.</w:t>
      </w:r>
      <w:r>
        <w:tab/>
        <w:t>Omitted under the Reprints Act 1984 s. 7(4)(f).]</w:t>
      </w:r>
    </w:p>
    <w:p>
      <w:pPr>
        <w:pStyle w:val="Ednotesection"/>
      </w:pPr>
      <w:r>
        <w:t>[</w:t>
      </w:r>
      <w:r>
        <w:rPr>
          <w:b/>
        </w:rPr>
        <w:t>34.</w:t>
      </w:r>
      <w:r>
        <w:tab/>
        <w:t>Deleted</w:t>
      </w:r>
      <w:del w:id="244" w:author="svcMRProcess" w:date="2020-02-25T14:41:00Z">
        <w:r>
          <w:delText xml:space="preserve"> by</w:delText>
        </w:r>
      </w:del>
      <w:ins w:id="245" w:author="svcMRProcess" w:date="2020-02-25T14:41:00Z">
        <w:r>
          <w:t>:</w:t>
        </w:r>
      </w:ins>
      <w:r>
        <w:t xml:space="preserve"> No. 55 of 2003 s. 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46" w:name="_Toc32396551"/>
      <w:bookmarkStart w:id="247" w:name="_Toc32396602"/>
      <w:bookmarkStart w:id="248" w:name="_Toc379285700"/>
      <w:bookmarkStart w:id="249" w:name="_Toc425167526"/>
      <w:bookmarkStart w:id="250" w:name="_Toc462745534"/>
      <w:r>
        <w:t>Notes</w:t>
      </w:r>
      <w:bookmarkEnd w:id="246"/>
      <w:bookmarkEnd w:id="247"/>
      <w:bookmarkEnd w:id="248"/>
      <w:bookmarkEnd w:id="249"/>
      <w:bookmarkEnd w:id="250"/>
    </w:p>
    <w:p>
      <w:pPr>
        <w:pStyle w:val="nStatement"/>
      </w:pPr>
      <w:del w:id="251" w:author="svcMRProcess" w:date="2020-02-25T14:41:00Z">
        <w:r>
          <w:rPr>
            <w:snapToGrid w:val="0"/>
            <w:vertAlign w:val="superscript"/>
          </w:rPr>
          <w:delText>1</w:delText>
        </w:r>
        <w:r>
          <w:rPr>
            <w:snapToGrid w:val="0"/>
          </w:rPr>
          <w:tab/>
        </w:r>
      </w:del>
      <w:r>
        <w:t xml:space="preserve">This is a compilation of the </w:t>
      </w:r>
      <w:r>
        <w:rPr>
          <w:i/>
          <w:noProof/>
        </w:rPr>
        <w:t>Western Australian Tourism Commission Act 1983</w:t>
      </w:r>
      <w:r>
        <w:t xml:space="preserve"> and includes </w:t>
      </w:r>
      <w:del w:id="252" w:author="svcMRProcess" w:date="2020-02-25T14:41:00Z">
        <w:r>
          <w:rPr>
            <w:snapToGrid w:val="0"/>
          </w:rPr>
          <w:delText xml:space="preserve">the </w:delText>
        </w:r>
      </w:del>
      <w:r>
        <w:t xml:space="preserve">amendments made by </w:t>
      </w:r>
      <w:del w:id="253" w:author="svcMRProcess" w:date="2020-02-25T14:41:00Z">
        <w:r>
          <w:rPr>
            <w:snapToGrid w:val="0"/>
          </w:rPr>
          <w:delText xml:space="preserve">the </w:delText>
        </w:r>
      </w:del>
      <w:r>
        <w:t>other written laws</w:t>
      </w:r>
      <w:del w:id="254" w:author="svcMRProcess" w:date="2020-02-25T14:41:00Z">
        <w:r>
          <w:rPr>
            <w:snapToGrid w:val="0"/>
          </w:rPr>
          <w:delText xml:space="preserve"> referred to in the following table </w:delText>
        </w:r>
        <w:r>
          <w:rPr>
            <w:snapToGrid w:val="0"/>
            <w:vertAlign w:val="superscript"/>
          </w:rPr>
          <w:delText>1a</w:delText>
        </w:r>
        <w:r>
          <w:rPr>
            <w:snapToGrid w:val="0"/>
          </w:rPr>
          <w:delText>.  The table also contains</w:delText>
        </w:r>
      </w:del>
      <w:ins w:id="255" w:author="svcMRProcess" w:date="2020-02-25T14:41:00Z">
        <w:r>
          <w:t>. For provisions that have come into operation, and for</w:t>
        </w:r>
      </w:ins>
      <w:r>
        <w:t xml:space="preserve"> information about any </w:t>
      </w:r>
      <w:del w:id="256" w:author="svcMRProcess" w:date="2020-02-25T14:41:00Z">
        <w:r>
          <w:rPr>
            <w:snapToGrid w:val="0"/>
          </w:rPr>
          <w:delText>reprint</w:delText>
        </w:r>
      </w:del>
      <w:ins w:id="257" w:author="svcMRProcess" w:date="2020-02-25T14:41:00Z">
        <w:r>
          <w:t>reprints, see the compilation table. For provisions that have not yet come into operation see the uncommenced provisions table</w:t>
        </w:r>
      </w:ins>
      <w:r>
        <w:t>.</w:t>
      </w:r>
    </w:p>
    <w:p>
      <w:pPr>
        <w:pStyle w:val="nHeading3"/>
      </w:pPr>
      <w:bookmarkStart w:id="258" w:name="_Toc32396603"/>
      <w:bookmarkStart w:id="259" w:name="_Toc379285701"/>
      <w:bookmarkStart w:id="260" w:name="_Toc462745535"/>
      <w:r>
        <w:t>Compilation table</w:t>
      </w:r>
      <w:bookmarkEnd w:id="258"/>
      <w:bookmarkEnd w:id="259"/>
      <w:bookmarkEnd w:id="26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70"/>
            </w:pPr>
            <w:r>
              <w:rPr>
                <w:i/>
              </w:rPr>
              <w:t>Western Australian Tourism Commission Act 1983</w:t>
            </w:r>
          </w:p>
        </w:tc>
        <w:tc>
          <w:tcPr>
            <w:tcW w:w="1134" w:type="dxa"/>
            <w:tcBorders>
              <w:top w:val="single" w:sz="8" w:space="0" w:color="auto"/>
            </w:tcBorders>
          </w:tcPr>
          <w:p>
            <w:pPr>
              <w:pStyle w:val="nTable"/>
              <w:spacing w:after="40"/>
            </w:pPr>
            <w:r>
              <w:t>57 of 1983</w:t>
            </w:r>
          </w:p>
        </w:tc>
        <w:tc>
          <w:tcPr>
            <w:tcW w:w="1134" w:type="dxa"/>
            <w:tcBorders>
              <w:top w:val="single" w:sz="8" w:space="0" w:color="auto"/>
            </w:tcBorders>
          </w:tcPr>
          <w:p>
            <w:pPr>
              <w:pStyle w:val="nTable"/>
              <w:spacing w:after="40"/>
            </w:pPr>
            <w:r>
              <w:t>13 Dec 1983</w:t>
            </w:r>
          </w:p>
        </w:tc>
        <w:tc>
          <w:tcPr>
            <w:tcW w:w="2552" w:type="dxa"/>
            <w:tcBorders>
              <w:top w:val="single" w:sz="8" w:space="0" w:color="auto"/>
            </w:tcBorders>
          </w:tcPr>
          <w:p>
            <w:pPr>
              <w:pStyle w:val="nTable"/>
              <w:spacing w:after="40"/>
            </w:pPr>
            <w:r>
              <w:t xml:space="preserve">1 Jan 1984 (see s. 2 and </w:t>
            </w:r>
            <w:r>
              <w:rPr>
                <w:i/>
              </w:rPr>
              <w:t>Gazette</w:t>
            </w:r>
            <w:r>
              <w:t xml:space="preserve"> 30 Dec 1983 p. 5017)</w:t>
            </w:r>
          </w:p>
        </w:tc>
      </w:tr>
      <w:tr>
        <w:trPr>
          <w:cantSplit/>
        </w:trPr>
        <w:tc>
          <w:tcPr>
            <w:tcW w:w="2269"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Acts Amendment (Public Service) Act </w:t>
            </w:r>
            <w:r>
              <w:rPr>
                <w:i/>
                <w:iCs/>
              </w:rPr>
              <w:t>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Financial Administration Legislation Amendment Act 1993</w:t>
            </w:r>
            <w:r>
              <w:t xml:space="preserve"> s. 11 and 14(7)</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ind w:right="170"/>
            </w:pPr>
            <w:r>
              <w:rPr>
                <w:i/>
              </w:rPr>
              <w:t>Western Australian Tourism Commission Amendment Act 1993</w:t>
            </w:r>
          </w:p>
        </w:tc>
        <w:tc>
          <w:tcPr>
            <w:tcW w:w="1134" w:type="dxa"/>
          </w:tcPr>
          <w:p>
            <w:pPr>
              <w:pStyle w:val="nTable"/>
              <w:spacing w:after="40"/>
            </w:pPr>
            <w:r>
              <w:t>44 of 1993</w:t>
            </w:r>
          </w:p>
        </w:tc>
        <w:tc>
          <w:tcPr>
            <w:tcW w:w="1134" w:type="dxa"/>
          </w:tcPr>
          <w:p>
            <w:pPr>
              <w:pStyle w:val="nTable"/>
              <w:spacing w:after="40"/>
            </w:pPr>
            <w:r>
              <w:t>20 Dec 1993</w:t>
            </w:r>
          </w:p>
        </w:tc>
        <w:tc>
          <w:tcPr>
            <w:tcW w:w="2552" w:type="dxa"/>
          </w:tcPr>
          <w:p>
            <w:pPr>
              <w:pStyle w:val="nTable"/>
              <w:spacing w:after="40"/>
            </w:pPr>
            <w:r>
              <w:t>20 Dec 1993 (see s. 2)</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Sept 1994 p. 4948)</w:t>
            </w:r>
          </w:p>
        </w:tc>
      </w:tr>
      <w:tr>
        <w:trPr>
          <w:cantSplit/>
        </w:trPr>
        <w:tc>
          <w:tcPr>
            <w:tcW w:w="2269" w:type="dxa"/>
          </w:tcPr>
          <w:p>
            <w:pPr>
              <w:pStyle w:val="nTable"/>
              <w:keepNext/>
              <w:spacing w:after="40"/>
              <w:ind w:right="170"/>
            </w:pPr>
            <w:r>
              <w:rPr>
                <w:i/>
              </w:rPr>
              <w:t>Western Australian Tourism Commission Amendment Act 1994</w:t>
            </w:r>
          </w:p>
        </w:tc>
        <w:tc>
          <w:tcPr>
            <w:tcW w:w="1134" w:type="dxa"/>
          </w:tcPr>
          <w:p>
            <w:pPr>
              <w:pStyle w:val="nTable"/>
              <w:keepNext/>
              <w:spacing w:after="40"/>
            </w:pPr>
            <w:r>
              <w:t>68 of 1994</w:t>
            </w:r>
          </w:p>
        </w:tc>
        <w:tc>
          <w:tcPr>
            <w:tcW w:w="1134" w:type="dxa"/>
          </w:tcPr>
          <w:p>
            <w:pPr>
              <w:pStyle w:val="nTable"/>
              <w:keepNext/>
              <w:spacing w:after="40"/>
            </w:pPr>
            <w:r>
              <w:t>9 Dec 1994</w:t>
            </w:r>
          </w:p>
        </w:tc>
        <w:tc>
          <w:tcPr>
            <w:tcW w:w="2552" w:type="dxa"/>
          </w:tcPr>
          <w:p>
            <w:pPr>
              <w:pStyle w:val="nTable"/>
              <w:keepNext/>
              <w:spacing w:after="40"/>
            </w:pPr>
            <w:r>
              <w:t>s. 1 and 2: 9 Dec 1994;</w:t>
            </w:r>
            <w:r>
              <w:br/>
              <w:t xml:space="preserve">Act other than s. 1 and 2: 31 Dec 1994 (see s. 2 and </w:t>
            </w:r>
            <w:r>
              <w:rPr>
                <w:i/>
              </w:rPr>
              <w:t>Gazette</w:t>
            </w:r>
            <w:r>
              <w:t xml:space="preserve"> 30 Dec 1994 p. 7215)</w:t>
            </w:r>
          </w:p>
        </w:tc>
      </w:tr>
      <w:tr>
        <w:trPr>
          <w:cantSplit/>
        </w:trPr>
        <w:tc>
          <w:tcPr>
            <w:tcW w:w="2269"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7089" w:type="dxa"/>
            <w:gridSpan w:val="4"/>
          </w:tcPr>
          <w:p>
            <w:pPr>
              <w:pStyle w:val="nTable"/>
              <w:spacing w:after="40"/>
            </w:pPr>
            <w:r>
              <w:rPr>
                <w:b/>
                <w:bCs/>
              </w:rPr>
              <w:t xml:space="preserve">Reprint of the </w:t>
            </w:r>
            <w:r>
              <w:rPr>
                <w:b/>
                <w:bCs/>
                <w:i/>
              </w:rPr>
              <w:t>Western Australian Tourism Commission Act 1983</w:t>
            </w:r>
            <w:r>
              <w:rPr>
                <w:b/>
                <w:bCs/>
              </w:rPr>
              <w:t xml:space="preserve"> as at 29 Oct 1999</w:t>
            </w:r>
            <w:r>
              <w:t xml:space="preserve"> (includes amendments listed above)</w:t>
            </w:r>
          </w:p>
        </w:tc>
      </w:tr>
      <w:tr>
        <w:trPr>
          <w:cantSplit/>
        </w:trPr>
        <w:tc>
          <w:tcPr>
            <w:tcW w:w="2269" w:type="dxa"/>
          </w:tcPr>
          <w:p>
            <w:pPr>
              <w:pStyle w:val="nTable"/>
              <w:spacing w:after="40"/>
              <w:ind w:right="170"/>
              <w:rPr>
                <w:i/>
              </w:rPr>
            </w:pPr>
            <w:r>
              <w:rPr>
                <w:i/>
              </w:rPr>
              <w:t>Western Australian Tourism Commission Amendment Act 2003</w:t>
            </w:r>
          </w:p>
        </w:tc>
        <w:tc>
          <w:tcPr>
            <w:tcW w:w="1134" w:type="dxa"/>
          </w:tcPr>
          <w:p>
            <w:pPr>
              <w:pStyle w:val="nTable"/>
              <w:spacing w:after="40"/>
            </w:pPr>
            <w:r>
              <w:t>55 of 2003</w:t>
            </w:r>
          </w:p>
        </w:tc>
        <w:tc>
          <w:tcPr>
            <w:tcW w:w="1134" w:type="dxa"/>
          </w:tcPr>
          <w:p>
            <w:pPr>
              <w:pStyle w:val="nTable"/>
              <w:spacing w:after="40"/>
            </w:pPr>
            <w:r>
              <w:t>22 Oct 2003</w:t>
            </w:r>
          </w:p>
        </w:tc>
        <w:tc>
          <w:tcPr>
            <w:tcW w:w="2552" w:type="dxa"/>
          </w:tcPr>
          <w:p>
            <w:pPr>
              <w:pStyle w:val="nTable"/>
              <w:spacing w:after="40"/>
            </w:pPr>
            <w:r>
              <w:t>22 Oct 2003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snapToGrid w:val="0"/>
              </w:rPr>
              <w:t>s. 4 and Sch. 1 cl. 185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93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9" w:type="dxa"/>
            <w:gridSpan w:val="4"/>
          </w:tcPr>
          <w:p>
            <w:pPr>
              <w:pStyle w:val="nTable"/>
              <w:spacing w:after="40"/>
            </w:pPr>
            <w:r>
              <w:rPr>
                <w:b/>
                <w:bCs/>
              </w:rPr>
              <w:t xml:space="preserve">Reprint 2: The </w:t>
            </w:r>
            <w:r>
              <w:rPr>
                <w:b/>
                <w:bCs/>
                <w:i/>
              </w:rPr>
              <w:t>Western Australian Tourism Commission Act 1983</w:t>
            </w:r>
            <w:r>
              <w:rPr>
                <w:b/>
                <w:bCs/>
              </w:rPr>
              <w:t xml:space="preserve"> as at 13 Aug 2010</w:t>
            </w:r>
            <w:r>
              <w:t xml:space="preserve"> (includes amendments listed above)</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Table"/>
        <w:spacing w:after="40"/>
        <w:rPr>
          <w:del w:id="261" w:author="svcMRProcess" w:date="2020-02-25T14:41:00Z"/>
          <w:i/>
          <w:snapToGrid w:val="0"/>
        </w:rPr>
      </w:pPr>
      <w:del w:id="262" w:author="svcMRProcess" w:date="2020-02-25T14:41:00Z">
        <w:r>
          <w:rPr>
            <w:vertAlign w:val="superscript"/>
          </w:rPr>
          <w:delText>1a</w:delText>
        </w:r>
        <w:r>
          <w:tab/>
          <w:delText>On the date as at which this compilation was prepared,</w:delText>
        </w:r>
      </w:del>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ins w:id="263" w:author="svcMRProcess" w:date="2020-02-25T14:41:00Z"/>
        </w:trPr>
        <w:tc>
          <w:tcPr>
            <w:tcW w:w="2269" w:type="dxa"/>
            <w:tcBorders>
              <w:bottom w:val="single" w:sz="4" w:space="0" w:color="auto"/>
            </w:tcBorders>
          </w:tcPr>
          <w:p>
            <w:pPr>
              <w:pStyle w:val="nTable"/>
              <w:spacing w:after="40"/>
              <w:rPr>
                <w:ins w:id="264" w:author="svcMRProcess" w:date="2020-02-25T14:41:00Z"/>
                <w:i/>
                <w:iCs/>
                <w:snapToGrid w:val="0"/>
              </w:rPr>
            </w:pPr>
            <w:ins w:id="265" w:author="svcMRProcess" w:date="2020-02-25T14:41:00Z">
              <w:r>
                <w:rPr>
                  <w:i/>
                  <w:snapToGrid w:val="0"/>
                </w:rPr>
                <w:t>Local Government Legislation Amendment Act 2016</w:t>
              </w:r>
              <w:r>
                <w:rPr>
                  <w:snapToGrid w:val="0"/>
                </w:rPr>
                <w:t xml:space="preserve"> Pt. 3 Div. 35</w:t>
              </w:r>
            </w:ins>
          </w:p>
        </w:tc>
        <w:tc>
          <w:tcPr>
            <w:tcW w:w="1134" w:type="dxa"/>
            <w:tcBorders>
              <w:bottom w:val="single" w:sz="4" w:space="0" w:color="auto"/>
            </w:tcBorders>
          </w:tcPr>
          <w:p>
            <w:pPr>
              <w:pStyle w:val="nTable"/>
              <w:spacing w:after="40"/>
              <w:rPr>
                <w:ins w:id="266" w:author="svcMRProcess" w:date="2020-02-25T14:41:00Z"/>
                <w:snapToGrid w:val="0"/>
              </w:rPr>
            </w:pPr>
            <w:ins w:id="267" w:author="svcMRProcess" w:date="2020-02-25T14:41:00Z">
              <w:r>
                <w:t>26 of 2016</w:t>
              </w:r>
            </w:ins>
          </w:p>
        </w:tc>
        <w:tc>
          <w:tcPr>
            <w:tcW w:w="1134" w:type="dxa"/>
            <w:tcBorders>
              <w:bottom w:val="single" w:sz="4" w:space="0" w:color="auto"/>
            </w:tcBorders>
          </w:tcPr>
          <w:p>
            <w:pPr>
              <w:pStyle w:val="nTable"/>
              <w:spacing w:after="40"/>
              <w:rPr>
                <w:ins w:id="268" w:author="svcMRProcess" w:date="2020-02-25T14:41:00Z"/>
              </w:rPr>
            </w:pPr>
            <w:ins w:id="269" w:author="svcMRProcess" w:date="2020-02-25T14:41:00Z">
              <w:r>
                <w:t>21 Sep 2016</w:t>
              </w:r>
            </w:ins>
          </w:p>
        </w:tc>
        <w:tc>
          <w:tcPr>
            <w:tcW w:w="2552" w:type="dxa"/>
            <w:tcBorders>
              <w:bottom w:val="single" w:sz="4" w:space="0" w:color="auto"/>
            </w:tcBorders>
          </w:tcPr>
          <w:p>
            <w:pPr>
              <w:pStyle w:val="nTable"/>
              <w:spacing w:after="40"/>
              <w:rPr>
                <w:ins w:id="270" w:author="svcMRProcess" w:date="2020-02-25T14:41:00Z"/>
                <w:snapToGrid w:val="0"/>
              </w:rPr>
            </w:pPr>
            <w:ins w:id="271" w:author="svcMRProcess" w:date="2020-02-25T14:41:00Z">
              <w:r>
                <w:rPr>
                  <w:snapToGrid w:val="0"/>
                </w:rPr>
                <w:t xml:space="preserve">21 Jan 2017 (see s. 2(b) and </w:t>
              </w:r>
              <w:r>
                <w:rPr>
                  <w:i/>
                  <w:snapToGrid w:val="0"/>
                </w:rPr>
                <w:t>Gazette</w:t>
              </w:r>
              <w:r>
                <w:rPr>
                  <w:snapToGrid w:val="0"/>
                </w:rPr>
                <w:t xml:space="preserve"> 20 Jan 2017 p. 648)</w:t>
              </w:r>
            </w:ins>
          </w:p>
        </w:tc>
      </w:tr>
    </w:tbl>
    <w:p>
      <w:pPr>
        <w:pStyle w:val="nHeading3"/>
        <w:rPr>
          <w:ins w:id="272" w:author="svcMRProcess" w:date="2020-02-25T14:41:00Z"/>
        </w:rPr>
      </w:pPr>
      <w:bookmarkStart w:id="273" w:name="_Toc32396604"/>
      <w:ins w:id="274" w:author="svcMRProcess" w:date="2020-02-25T14:41:00Z">
        <w:r>
          <w:t>Uncommenced</w:t>
        </w:r>
      </w:ins>
      <w:r>
        <w:t xml:space="preserve"> provisions </w:t>
      </w:r>
      <w:del w:id="275" w:author="svcMRProcess" w:date="2020-02-25T14:41:00Z">
        <w:r>
          <w:delText xml:space="preserve">referred to in the following </w:delText>
        </w:r>
      </w:del>
      <w:r>
        <w:t>table</w:t>
      </w:r>
      <w:bookmarkEnd w:id="273"/>
      <w:del w:id="276" w:author="svcMRProcess" w:date="2020-02-25T14:41:00Z">
        <w:r>
          <w:delText xml:space="preserve"> had not come into operation and were therefore not included in this compilation.  For</w:delText>
        </w:r>
      </w:del>
    </w:p>
    <w:p>
      <w:pPr>
        <w:pStyle w:val="nStatement"/>
        <w:keepNext/>
        <w:spacing w:after="240"/>
      </w:pPr>
      <w:ins w:id="277" w:author="svcMRProcess" w:date="2020-02-25T14:41:00Z">
        <w:r>
          <w:t>To view</w:t>
        </w:r>
      </w:ins>
      <w:r>
        <w:t xml:space="preserve"> the text of the </w:t>
      </w:r>
      <w:ins w:id="278" w:author="svcMRProcess" w:date="2020-02-25T14:41:00Z">
        <w:r>
          <w:t xml:space="preserve">uncommenced </w:t>
        </w:r>
      </w:ins>
      <w:r>
        <w:t xml:space="preserve">provisions see </w:t>
      </w:r>
      <w:del w:id="279" w:author="svcMRProcess" w:date="2020-02-25T14:41:00Z">
        <w:r>
          <w:delText>the endnotes referred to in the table</w:delText>
        </w:r>
      </w:del>
      <w:ins w:id="280" w:author="svcMRProcess" w:date="2020-02-25T14:41:00Z">
        <w:r>
          <w:rPr>
            <w:i/>
          </w:rPr>
          <w:t>Acts as passed</w:t>
        </w:r>
        <w:r>
          <w:t xml:space="preserve"> on the WA Legislation website</w:t>
        </w:r>
      </w:ins>
      <w:r>
        <w:t>.</w:t>
      </w:r>
    </w:p>
    <w:p>
      <w:pPr>
        <w:pStyle w:val="nHeading3"/>
        <w:rPr>
          <w:del w:id="281" w:author="svcMRProcess" w:date="2020-02-25T14:41:00Z"/>
        </w:rPr>
      </w:pPr>
      <w:bookmarkStart w:id="282" w:name="_Toc379285702"/>
      <w:bookmarkStart w:id="283" w:name="_Toc462745536"/>
      <w:del w:id="284" w:author="svcMRProcess" w:date="2020-02-25T14:41:00Z">
        <w:r>
          <w:delText>Provisions that have not come into operation</w:delText>
        </w:r>
        <w:bookmarkEnd w:id="282"/>
        <w:bookmarkEnd w:id="28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2"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73</w:t>
            </w:r>
            <w:del w:id="285" w:author="svcMRProcess" w:date="2020-02-25T14:41:00Z">
              <w:r>
                <w:rPr>
                  <w:snapToGrid w:val="0"/>
                </w:rPr>
                <w:delText> </w:delText>
              </w:r>
              <w:r>
                <w:rPr>
                  <w:snapToGrid w:val="0"/>
                  <w:vertAlign w:val="superscript"/>
                </w:rPr>
                <w:delText>6</w:delText>
              </w:r>
            </w:del>
          </w:p>
        </w:tc>
        <w:tc>
          <w:tcPr>
            <w:tcW w:w="1134" w:type="dxa"/>
            <w:tcBorders>
              <w:top w:val="single" w:sz="8" w:space="0" w:color="auto"/>
              <w:bottom w:val="single" w:sz="2" w:space="0" w:color="auto"/>
            </w:tcBorders>
          </w:tcPr>
          <w:p>
            <w:pPr>
              <w:pStyle w:val="nTable"/>
              <w:keepNext/>
              <w:spacing w:after="40"/>
            </w:pPr>
            <w:r>
              <w:t>43 of 2000</w:t>
            </w:r>
          </w:p>
        </w:tc>
        <w:tc>
          <w:tcPr>
            <w:tcW w:w="1134" w:type="dxa"/>
            <w:tcBorders>
              <w:top w:val="single" w:sz="8" w:space="0" w:color="auto"/>
              <w:bottom w:val="single" w:sz="2" w:space="0" w:color="auto"/>
            </w:tcBorders>
          </w:tcPr>
          <w:p>
            <w:pPr>
              <w:pStyle w:val="nTable"/>
              <w:keepNext/>
              <w:spacing w:after="40"/>
            </w:pPr>
            <w:r>
              <w:t>2 Nov 2000</w:t>
            </w:r>
          </w:p>
        </w:tc>
        <w:tc>
          <w:tcPr>
            <w:tcW w:w="2552" w:type="dxa"/>
            <w:tcBorders>
              <w:top w:val="single" w:sz="8" w:space="0" w:color="auto"/>
              <w:bottom w:val="single" w:sz="2" w:space="0" w:color="auto"/>
            </w:tcBorders>
          </w:tcPr>
          <w:p>
            <w:pPr>
              <w:pStyle w:val="nTable"/>
              <w:keepNext/>
              <w:spacing w:after="40"/>
            </w:pPr>
            <w:r>
              <w:t>To be proclaimed (see s. 2(2))</w:t>
            </w:r>
          </w:p>
        </w:tc>
      </w:tr>
      <w:tr>
        <w:trPr>
          <w:cantSplit/>
          <w:del w:id="286" w:author="svcMRProcess" w:date="2020-02-25T14:41:00Z"/>
        </w:trPr>
        <w:tc>
          <w:tcPr>
            <w:tcW w:w="2268" w:type="dxa"/>
            <w:tcBorders>
              <w:bottom w:val="single" w:sz="4" w:space="0" w:color="auto"/>
            </w:tcBorders>
          </w:tcPr>
          <w:p>
            <w:pPr>
              <w:pStyle w:val="nTable"/>
              <w:spacing w:after="40"/>
              <w:ind w:right="113"/>
              <w:rPr>
                <w:del w:id="287" w:author="svcMRProcess" w:date="2020-02-25T14:41:00Z"/>
                <w:snapToGrid w:val="0"/>
              </w:rPr>
            </w:pPr>
            <w:bookmarkStart w:id="288" w:name="_Toc32396605"/>
            <w:del w:id="289" w:author="svcMRProcess" w:date="2020-02-25T14:41:00Z">
              <w:r>
                <w:rPr>
                  <w:i/>
                  <w:snapToGrid w:val="0"/>
                </w:rPr>
                <w:delText>Local Government Legislation Amendment Act 2016</w:delText>
              </w:r>
              <w:r>
                <w:rPr>
                  <w:snapToGrid w:val="0"/>
                </w:rPr>
                <w:delText xml:space="preserve"> Pt. 3 Div. 35</w:delText>
              </w:r>
              <w:r>
                <w:rPr>
                  <w:snapToGrid w:val="0"/>
                  <w:vertAlign w:val="superscript"/>
                </w:rPr>
                <w:delText> 7</w:delText>
              </w:r>
            </w:del>
          </w:p>
        </w:tc>
        <w:tc>
          <w:tcPr>
            <w:tcW w:w="1134" w:type="dxa"/>
            <w:tcBorders>
              <w:bottom w:val="single" w:sz="4" w:space="0" w:color="auto"/>
            </w:tcBorders>
          </w:tcPr>
          <w:p>
            <w:pPr>
              <w:pStyle w:val="nTable"/>
              <w:keepNext/>
              <w:spacing w:after="40"/>
              <w:rPr>
                <w:del w:id="290" w:author="svcMRProcess" w:date="2020-02-25T14:41:00Z"/>
              </w:rPr>
            </w:pPr>
            <w:del w:id="291" w:author="svcMRProcess" w:date="2020-02-25T14:41:00Z">
              <w:r>
                <w:delText>26 of 2016</w:delText>
              </w:r>
            </w:del>
          </w:p>
        </w:tc>
        <w:tc>
          <w:tcPr>
            <w:tcW w:w="1134" w:type="dxa"/>
            <w:tcBorders>
              <w:bottom w:val="single" w:sz="4" w:space="0" w:color="auto"/>
            </w:tcBorders>
          </w:tcPr>
          <w:p>
            <w:pPr>
              <w:pStyle w:val="nTable"/>
              <w:keepNext/>
              <w:spacing w:after="40"/>
              <w:rPr>
                <w:del w:id="292" w:author="svcMRProcess" w:date="2020-02-25T14:41:00Z"/>
              </w:rPr>
            </w:pPr>
            <w:del w:id="293" w:author="svcMRProcess" w:date="2020-02-25T14:41:00Z">
              <w:r>
                <w:delText>21 Sep 2016</w:delText>
              </w:r>
            </w:del>
          </w:p>
        </w:tc>
        <w:tc>
          <w:tcPr>
            <w:tcW w:w="2552" w:type="dxa"/>
            <w:tcBorders>
              <w:bottom w:val="single" w:sz="4" w:space="0" w:color="auto"/>
            </w:tcBorders>
          </w:tcPr>
          <w:p>
            <w:pPr>
              <w:pStyle w:val="nTable"/>
              <w:keepNext/>
              <w:spacing w:after="40"/>
              <w:rPr>
                <w:del w:id="294" w:author="svcMRProcess" w:date="2020-02-25T14:41:00Z"/>
              </w:rPr>
            </w:pPr>
            <w:del w:id="295" w:author="svcMRProcess" w:date="2020-02-25T14:41:00Z">
              <w:r>
                <w:delText>To be proclaimed (see s. 2(b))</w:delText>
              </w:r>
            </w:del>
          </w:p>
        </w:tc>
      </w:tr>
    </w:tbl>
    <w:p>
      <w:pPr>
        <w:pStyle w:val="nHeading3"/>
        <w:rPr>
          <w:ins w:id="296" w:author="svcMRProcess" w:date="2020-02-25T14:41:00Z"/>
        </w:rPr>
      </w:pPr>
      <w:del w:id="297" w:author="svcMRProcess" w:date="2020-02-25T14:41:00Z">
        <w:r>
          <w:rPr>
            <w:snapToGrid w:val="0"/>
            <w:vertAlign w:val="superscript"/>
          </w:rPr>
          <w:delText>2</w:delText>
        </w:r>
      </w:del>
      <w:ins w:id="298" w:author="svcMRProcess" w:date="2020-02-25T14:41:00Z">
        <w:r>
          <w:t>Other notes</w:t>
        </w:r>
        <w:bookmarkEnd w:id="288"/>
      </w:ins>
    </w:p>
    <w:p>
      <w:pPr>
        <w:pStyle w:val="nNote"/>
        <w:spacing w:before="120"/>
        <w:rPr>
          <w:snapToGrid w:val="0"/>
        </w:rPr>
      </w:pPr>
      <w:ins w:id="299" w:author="svcMRProcess" w:date="2020-02-25T14:41:00Z">
        <w:r>
          <w:rPr>
            <w:snapToGrid w:val="0"/>
            <w:vertAlign w:val="superscript"/>
          </w:rPr>
          <w:t>1</w:t>
        </w:r>
      </w:ins>
      <w:r>
        <w:rPr>
          <w:snapToGrid w:val="0"/>
        </w:rPr>
        <w:tab/>
        <w:t xml:space="preserve">The provision in this Act repealing the </w:t>
      </w:r>
      <w:r>
        <w:rPr>
          <w:i/>
          <w:snapToGrid w:val="0"/>
        </w:rPr>
        <w:t>Tourist Act 1973-1981</w:t>
      </w:r>
      <w:r>
        <w:rPr>
          <w:snapToGrid w:val="0"/>
        </w:rPr>
        <w:t xml:space="preserve"> has been omitted under the </w:t>
      </w:r>
      <w:r>
        <w:rPr>
          <w:i/>
          <w:iCs/>
          <w:snapToGrid w:val="0"/>
        </w:rPr>
        <w:t>Reprints Act 1984</w:t>
      </w:r>
      <w:r>
        <w:rPr>
          <w:snapToGrid w:val="0"/>
        </w:rPr>
        <w:t xml:space="preserve"> s. 7(4)(f).</w:t>
      </w:r>
    </w:p>
    <w:p>
      <w:pPr>
        <w:pStyle w:val="nNote"/>
        <w:spacing w:before="120"/>
        <w:rPr>
          <w:snapToGrid w:val="0"/>
        </w:rPr>
      </w:pPr>
      <w:del w:id="300" w:author="svcMRProcess" w:date="2020-02-25T14:41:00Z">
        <w:r>
          <w:rPr>
            <w:snapToGrid w:val="0"/>
            <w:vertAlign w:val="superscript"/>
          </w:rPr>
          <w:delText>3</w:delText>
        </w:r>
      </w:del>
      <w:ins w:id="301" w:author="svcMRProcess" w:date="2020-02-25T14:41:00Z">
        <w:r>
          <w:rPr>
            <w:snapToGrid w:val="0"/>
            <w:vertAlign w:val="superscript"/>
          </w:rPr>
          <w:t>2</w:t>
        </w:r>
      </w:ins>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w:t>
      </w:r>
    </w:p>
    <w:p>
      <w:pPr>
        <w:pStyle w:val="nNote"/>
        <w:spacing w:before="120"/>
        <w:rPr>
          <w:snapToGrid w:val="0"/>
        </w:rPr>
      </w:pPr>
      <w:del w:id="302" w:author="svcMRProcess" w:date="2020-02-25T14:41:00Z">
        <w:r>
          <w:rPr>
            <w:vertAlign w:val="superscript"/>
          </w:rPr>
          <w:delText>4</w:delText>
        </w:r>
      </w:del>
      <w:ins w:id="303" w:author="svcMRProcess" w:date="2020-02-25T14:41:00Z">
        <w:r>
          <w:rPr>
            <w:vertAlign w:val="superscript"/>
          </w:rPr>
          <w:t>3</w:t>
        </w:r>
      </w:ins>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Note"/>
        <w:spacing w:before="120"/>
        <w:rPr>
          <w:snapToGrid w:val="0"/>
        </w:rPr>
      </w:pPr>
      <w:del w:id="304" w:author="svcMRProcess" w:date="2020-02-25T14:41:00Z">
        <w:r>
          <w:rPr>
            <w:snapToGrid w:val="0"/>
            <w:vertAlign w:val="superscript"/>
          </w:rPr>
          <w:delText>5</w:delText>
        </w:r>
      </w:del>
      <w:ins w:id="305" w:author="svcMRProcess" w:date="2020-02-25T14:41:00Z">
        <w:r>
          <w:rPr>
            <w:snapToGrid w:val="0"/>
            <w:vertAlign w:val="superscript"/>
          </w:rPr>
          <w:t>4</w:t>
        </w:r>
      </w:ins>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del w:id="306" w:author="svcMRProcess" w:date="2020-02-25T14:41:00Z"/>
          <w:snapToGrid w:val="0"/>
        </w:rPr>
      </w:pPr>
      <w:del w:id="307" w:author="svcMRProcess" w:date="2020-02-25T14:41:00Z">
        <w:r>
          <w:rPr>
            <w:snapToGrid w:val="0"/>
            <w:vertAlign w:val="superscript"/>
          </w:rPr>
          <w:delText>6</w:delText>
        </w:r>
        <w:r>
          <w:rPr>
            <w:snapToGrid w:val="0"/>
          </w:rPr>
          <w:tab/>
          <w:delText xml:space="preserve">On the date on which this compilation was prepared, the </w:delText>
        </w:r>
        <w:r>
          <w:rPr>
            <w:i/>
            <w:snapToGrid w:val="0"/>
          </w:rPr>
          <w:delText>State Superannuation (Transitional and Consequential Provisions) Act 2000</w:delText>
        </w:r>
        <w:r>
          <w:rPr>
            <w:snapToGrid w:val="0"/>
          </w:rPr>
          <w:delText xml:space="preserve"> s. 73 had not come into operation.  It reads:</w:delText>
        </w:r>
      </w:del>
    </w:p>
    <w:p>
      <w:pPr>
        <w:pStyle w:val="BlankOpen"/>
        <w:rPr>
          <w:del w:id="308" w:author="svcMRProcess" w:date="2020-02-25T14:41:00Z"/>
        </w:rPr>
      </w:pPr>
    </w:p>
    <w:p>
      <w:pPr>
        <w:pStyle w:val="nzHeading5"/>
        <w:rPr>
          <w:del w:id="309" w:author="svcMRProcess" w:date="2020-02-25T14:41:00Z"/>
        </w:rPr>
      </w:pPr>
      <w:del w:id="310" w:author="svcMRProcess" w:date="2020-02-25T14:41:00Z">
        <w:r>
          <w:rPr>
            <w:rStyle w:val="CharSectno"/>
          </w:rPr>
          <w:delText>73</w:delText>
        </w:r>
        <w:r>
          <w:delText>.</w:delText>
        </w:r>
        <w:r>
          <w:tab/>
        </w:r>
        <w:r>
          <w:rPr>
            <w:i/>
          </w:rPr>
          <w:delText>Western Australian Tourism Commission Act 1983</w:delText>
        </w:r>
        <w:r>
          <w:delText xml:space="preserve"> amended</w:delText>
        </w:r>
      </w:del>
    </w:p>
    <w:p>
      <w:pPr>
        <w:pStyle w:val="nzSubsection"/>
        <w:rPr>
          <w:del w:id="311" w:author="svcMRProcess" w:date="2020-02-25T14:41:00Z"/>
        </w:rPr>
      </w:pPr>
      <w:del w:id="312" w:author="svcMRProcess" w:date="2020-02-25T14:41:00Z">
        <w:r>
          <w:tab/>
        </w:r>
        <w:r>
          <w:tab/>
          <w:delText xml:space="preserve">Section 19 of the </w:delText>
        </w:r>
        <w:r>
          <w:rPr>
            <w:i/>
          </w:rPr>
          <w:delText>Western Australian Tourism Commission Act 1983</w:delText>
        </w:r>
        <w:r>
          <w:delText xml:space="preserve"> is amended as follows:</w:delText>
        </w:r>
      </w:del>
    </w:p>
    <w:p>
      <w:pPr>
        <w:pStyle w:val="nzIndenta"/>
        <w:rPr>
          <w:del w:id="313" w:author="svcMRProcess" w:date="2020-02-25T14:41:00Z"/>
        </w:rPr>
      </w:pPr>
      <w:del w:id="314" w:author="svcMRProcess" w:date="2020-02-25T14:41:00Z">
        <w:r>
          <w:tab/>
          <w:delText>(a)</w:delText>
        </w:r>
        <w:r>
          <w:tab/>
          <w:delText xml:space="preserve">in subsection (1) by deleting “(including any rights under the </w:delText>
        </w:r>
        <w:r>
          <w:rPr>
            <w:i/>
          </w:rPr>
          <w:delText>Superannuation and Family Benefits Act 1938</w:delText>
        </w:r>
        <w:r>
          <w:delText>)”;</w:delText>
        </w:r>
      </w:del>
    </w:p>
    <w:p>
      <w:pPr>
        <w:pStyle w:val="nzIndenta"/>
        <w:rPr>
          <w:del w:id="315" w:author="svcMRProcess" w:date="2020-02-25T14:41:00Z"/>
        </w:rPr>
      </w:pPr>
      <w:del w:id="316" w:author="svcMRProcess" w:date="2020-02-25T14:41:00Z">
        <w:r>
          <w:tab/>
          <w:delText>(b)</w:delText>
        </w:r>
        <w:r>
          <w:tab/>
          <w:delText xml:space="preserve">in subsection (2) by deleting “and for the purposes of the </w:delText>
        </w:r>
        <w:r>
          <w:rPr>
            <w:i/>
          </w:rPr>
          <w:delText>Superannuation and Family Benefits Act 1938</w:delText>
        </w:r>
        <w:r>
          <w:delText>”;</w:delText>
        </w:r>
      </w:del>
    </w:p>
    <w:p>
      <w:pPr>
        <w:pStyle w:val="nzIndenta"/>
        <w:rPr>
          <w:del w:id="317" w:author="svcMRProcess" w:date="2020-02-25T14:41:00Z"/>
        </w:rPr>
      </w:pPr>
      <w:del w:id="318" w:author="svcMRProcess" w:date="2020-02-25T14:41:00Z">
        <w:r>
          <w:tab/>
          <w:delText>(c)</w:delText>
        </w:r>
        <w:r>
          <w:tab/>
          <w:delText>by repealing subsection (3).</w:delText>
        </w:r>
      </w:del>
    </w:p>
    <w:p>
      <w:pPr>
        <w:pStyle w:val="BlankClose"/>
        <w:rPr>
          <w:del w:id="319" w:author="svcMRProcess" w:date="2020-02-25T14:41:00Z"/>
        </w:rPr>
      </w:pPr>
    </w:p>
    <w:p>
      <w:pPr>
        <w:pStyle w:val="nSubsection"/>
        <w:spacing w:before="120"/>
        <w:rPr>
          <w:del w:id="320" w:author="svcMRProcess" w:date="2020-02-25T14:41:00Z"/>
          <w:snapToGrid w:val="0"/>
        </w:rPr>
      </w:pPr>
      <w:del w:id="321" w:author="svcMRProcess" w:date="2020-02-25T14:41:00Z">
        <w:r>
          <w:rPr>
            <w:snapToGrid w:val="0"/>
            <w:vertAlign w:val="superscript"/>
          </w:rPr>
          <w:delText>7</w:delText>
        </w:r>
        <w:r>
          <w:rPr>
            <w:snapToGrid w:val="0"/>
          </w:rPr>
          <w:tab/>
          <w:delText xml:space="preserve">On the date as at which this compilation was prepared, the </w:delText>
        </w:r>
        <w:r>
          <w:rPr>
            <w:i/>
            <w:snapToGrid w:val="0"/>
          </w:rPr>
          <w:delText>Local Government Legislation Amendment Act 2016</w:delText>
        </w:r>
        <w:r>
          <w:rPr>
            <w:snapToGrid w:val="0"/>
          </w:rPr>
          <w:delText xml:space="preserve"> Pt. 3 Div. 35 had not come into operation.  It reads as follows:</w:delText>
        </w:r>
      </w:del>
    </w:p>
    <w:p>
      <w:pPr>
        <w:pStyle w:val="BlankOpen"/>
        <w:rPr>
          <w:del w:id="322" w:author="svcMRProcess" w:date="2020-02-25T14:41:00Z"/>
          <w:snapToGrid w:val="0"/>
        </w:rPr>
      </w:pPr>
    </w:p>
    <w:p>
      <w:pPr>
        <w:pStyle w:val="nzHeading2"/>
        <w:rPr>
          <w:del w:id="323" w:author="svcMRProcess" w:date="2020-02-25T14:41:00Z"/>
        </w:rPr>
      </w:pPr>
      <w:bookmarkStart w:id="324" w:name="_Toc404165586"/>
      <w:bookmarkStart w:id="325" w:name="_Toc404165739"/>
      <w:bookmarkStart w:id="326" w:name="_Toc404165892"/>
      <w:bookmarkStart w:id="327" w:name="_Toc404171391"/>
      <w:bookmarkStart w:id="328" w:name="_Toc404172158"/>
      <w:bookmarkStart w:id="329" w:name="_Toc404260322"/>
      <w:bookmarkStart w:id="330" w:name="_Toc404260475"/>
      <w:bookmarkStart w:id="331" w:name="_Toc404261292"/>
      <w:bookmarkStart w:id="332" w:name="_Toc404317240"/>
      <w:bookmarkStart w:id="333" w:name="_Toc451258323"/>
      <w:bookmarkStart w:id="334" w:name="_Toc451258476"/>
      <w:bookmarkStart w:id="335" w:name="_Toc451258629"/>
      <w:bookmarkStart w:id="336" w:name="_Toc451259646"/>
      <w:bookmarkStart w:id="337" w:name="_Toc451259982"/>
      <w:bookmarkStart w:id="338" w:name="_Toc451260135"/>
      <w:bookmarkStart w:id="339" w:name="_Toc451261427"/>
      <w:bookmarkStart w:id="340" w:name="_Toc451331863"/>
      <w:bookmarkStart w:id="341" w:name="_Toc461700764"/>
      <w:bookmarkStart w:id="342" w:name="_Toc461700914"/>
      <w:bookmarkStart w:id="343" w:name="_Toc461701064"/>
      <w:bookmarkStart w:id="344" w:name="_Toc461786171"/>
      <w:bookmarkStart w:id="345" w:name="_Toc461786446"/>
      <w:bookmarkStart w:id="346" w:name="_Toc461786636"/>
      <w:bookmarkStart w:id="347" w:name="_Toc461799213"/>
      <w:bookmarkStart w:id="348" w:name="_Toc462241277"/>
      <w:del w:id="349" w:author="svcMRProcess" w:date="2020-02-25T14:41:00Z">
        <w:r>
          <w:rPr>
            <w:rStyle w:val="CharPartNo"/>
          </w:rPr>
          <w:delText>Part 3</w:delText>
        </w:r>
        <w:r>
          <w:delText> — </w:delText>
        </w:r>
        <w:r>
          <w:rPr>
            <w:rStyle w:val="CharPartText"/>
          </w:rPr>
          <w:delText>Amendments to other Acts in relation to regional subsidiaries</w:delTex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del>
    </w:p>
    <w:p>
      <w:pPr>
        <w:pStyle w:val="nzHeading3"/>
        <w:rPr>
          <w:del w:id="350" w:author="svcMRProcess" w:date="2020-02-25T14:41:00Z"/>
        </w:rPr>
      </w:pPr>
      <w:del w:id="351" w:author="svcMRProcess" w:date="2020-02-25T14:41:00Z">
        <w:r>
          <w:rPr>
            <w:rStyle w:val="CharDivNo"/>
          </w:rPr>
          <w:delText>Division 35</w:delText>
        </w:r>
        <w:r>
          <w:delText> — </w:delText>
        </w:r>
        <w:r>
          <w:rPr>
            <w:rStyle w:val="CharDivText"/>
            <w:i/>
          </w:rPr>
          <w:delText>Western Australian Tourism Commission Act 1983</w:delText>
        </w:r>
        <w:r>
          <w:rPr>
            <w:rStyle w:val="CharDivText"/>
          </w:rPr>
          <w:delText xml:space="preserve"> amended</w:delText>
        </w:r>
      </w:del>
    </w:p>
    <w:p>
      <w:pPr>
        <w:pStyle w:val="nzHeading5"/>
        <w:rPr>
          <w:del w:id="352" w:author="svcMRProcess" w:date="2020-02-25T14:41:00Z"/>
        </w:rPr>
      </w:pPr>
      <w:bookmarkStart w:id="353" w:name="_Toc461799320"/>
      <w:bookmarkStart w:id="354" w:name="_Toc462241384"/>
      <w:del w:id="355" w:author="svcMRProcess" w:date="2020-02-25T14:41:00Z">
        <w:r>
          <w:rPr>
            <w:rStyle w:val="CharSectno"/>
          </w:rPr>
          <w:delText>97</w:delText>
        </w:r>
        <w:r>
          <w:delText>.</w:delText>
        </w:r>
        <w:r>
          <w:tab/>
          <w:delText>Act amended</w:delText>
        </w:r>
        <w:bookmarkEnd w:id="353"/>
        <w:bookmarkEnd w:id="354"/>
      </w:del>
    </w:p>
    <w:p>
      <w:pPr>
        <w:pStyle w:val="nzSubsection"/>
        <w:rPr>
          <w:del w:id="356" w:author="svcMRProcess" w:date="2020-02-25T14:41:00Z"/>
        </w:rPr>
      </w:pPr>
      <w:del w:id="357" w:author="svcMRProcess" w:date="2020-02-25T14:41:00Z">
        <w:r>
          <w:tab/>
        </w:r>
        <w:r>
          <w:tab/>
          <w:delText xml:space="preserve">This Division amends the </w:delText>
        </w:r>
        <w:r>
          <w:rPr>
            <w:i/>
          </w:rPr>
          <w:delText>Western Australian Tourism Commission Act 1983</w:delText>
        </w:r>
        <w:r>
          <w:delText>.</w:delText>
        </w:r>
      </w:del>
    </w:p>
    <w:p>
      <w:pPr>
        <w:pStyle w:val="nzHeading5"/>
        <w:rPr>
          <w:del w:id="358" w:author="svcMRProcess" w:date="2020-02-25T14:41:00Z"/>
        </w:rPr>
      </w:pPr>
      <w:bookmarkStart w:id="359" w:name="_Toc461799321"/>
      <w:bookmarkStart w:id="360" w:name="_Toc462241385"/>
      <w:del w:id="361" w:author="svcMRProcess" w:date="2020-02-25T14:41:00Z">
        <w:r>
          <w:rPr>
            <w:rStyle w:val="CharSectno"/>
          </w:rPr>
          <w:delText>98</w:delText>
        </w:r>
        <w:r>
          <w:delText>.</w:delText>
        </w:r>
        <w:r>
          <w:tab/>
          <w:delText>Section 3 amended</w:delText>
        </w:r>
        <w:bookmarkEnd w:id="359"/>
        <w:bookmarkEnd w:id="360"/>
      </w:del>
    </w:p>
    <w:p>
      <w:pPr>
        <w:pStyle w:val="nzSubsection"/>
        <w:rPr>
          <w:del w:id="362" w:author="svcMRProcess" w:date="2020-02-25T14:41:00Z"/>
        </w:rPr>
      </w:pPr>
      <w:del w:id="363" w:author="svcMRProcess" w:date="2020-02-25T14:41:00Z">
        <w:r>
          <w:tab/>
        </w:r>
        <w:r>
          <w:tab/>
          <w:delText xml:space="preserve">In section 3 delete the definition of </w:delText>
        </w:r>
        <w:r>
          <w:rPr>
            <w:b/>
            <w:i/>
          </w:rPr>
          <w:delText>local government</w:delText>
        </w:r>
        <w:r>
          <w:delText xml:space="preserve"> and insert:</w:delText>
        </w:r>
      </w:del>
    </w:p>
    <w:p>
      <w:pPr>
        <w:pStyle w:val="BlankOpen"/>
        <w:rPr>
          <w:del w:id="364" w:author="svcMRProcess" w:date="2020-02-25T14:41:00Z"/>
        </w:rPr>
      </w:pPr>
    </w:p>
    <w:p>
      <w:pPr>
        <w:pStyle w:val="nzDefstart"/>
        <w:rPr>
          <w:del w:id="365" w:author="svcMRProcess" w:date="2020-02-25T14:41:00Z"/>
        </w:rPr>
      </w:pPr>
      <w:del w:id="366" w:author="svcMRProcess" w:date="2020-02-25T14:41:00Z">
        <w:r>
          <w:tab/>
        </w:r>
        <w:r>
          <w:rPr>
            <w:rStyle w:val="CharDefText"/>
          </w:rPr>
          <w:delText>local government</w:delText>
        </w:r>
        <w:r>
          <w:delText xml:space="preserve"> means a local government, regional local government or regional subsidiary;</w:delText>
        </w:r>
      </w:del>
    </w:p>
    <w:p>
      <w:pPr>
        <w:pStyle w:val="BlankClose"/>
        <w:rPr>
          <w:del w:id="367" w:author="svcMRProcess" w:date="2020-02-25T14:41:00Z"/>
        </w:rPr>
      </w:pPr>
    </w:p>
    <w:p>
      <w:pPr>
        <w:pStyle w:val="BlankClose"/>
        <w:rPr>
          <w:del w:id="368" w:author="svcMRProcess" w:date="2020-02-25T14:41:00Z"/>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Administration</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Western Australian Tourism Commission</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9" w:name="Compilation"/>
    <w:bookmarkEnd w:id="36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0" w:name="Coversheet"/>
    <w:bookmarkEnd w:id="3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2C7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282F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3267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B23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82B7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2AF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68F3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CEE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0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F921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D76DF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00000"/>
    <w:docVar w:name="WAFER_20140204134649" w:val="RemoveTocBookmarks,RemoveUnusedBookmarks,RemoveLanguageTags,UsedStyles,ResetPageSize,UpdateArrangement"/>
    <w:docVar w:name="WAFER_20140204134649_GUID" w:val="a85bcff4-03ec-48c5-a245-af5164ae6b23"/>
    <w:docVar w:name="WAFER_20140204135314" w:val="RemoveTocBookmarks,RunningHeaders"/>
    <w:docVar w:name="WAFER_20140204135314_GUID" w:val="135a2791-a5b4-4972-8098-6df42d05b5c9"/>
    <w:docVar w:name="WAFER_20150720145059" w:val="ResetPageSize,UpdateArrangement,UpdateNTable"/>
    <w:docVar w:name="WAFER_20150720145059_GUID" w:val="22ec8cb5-689b-437d-947e-bd8ca9e7af9a"/>
    <w:docVar w:name="WAFER_20151110122201" w:val="UpdateStyles,UsedStyles"/>
    <w:docVar w:name="WAFER_20151110122201_GUID" w:val="f7fdb917-095d-42f0-a1eb-39249607ce43"/>
    <w:docVar w:name="WAFER_202002121000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00000_GUID" w:val="88a174ac-7094-46fa-9167-c1e2197033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6741</Words>
  <Characters>31890</Characters>
  <Application>Microsoft Office Word</Application>
  <DocSecurity>0</DocSecurity>
  <Lines>885</Lines>
  <Paragraphs>476</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38155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02-e0-00 - 02-f0-02</dc:title>
  <dc:subject/>
  <dc:creator/>
  <cp:keywords/>
  <dc:description/>
  <cp:lastModifiedBy>svcMRProcess</cp:lastModifiedBy>
  <cp:revision>2</cp:revision>
  <cp:lastPrinted>2010-08-24T03:38:00Z</cp:lastPrinted>
  <dcterms:created xsi:type="dcterms:W3CDTF">2020-02-25T06:41:00Z</dcterms:created>
  <dcterms:modified xsi:type="dcterms:W3CDTF">2020-02-25T06:41:00Z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DocumentType">
    <vt:lpwstr>Act</vt:lpwstr>
  </property>
  <property fmtid="{D5CDD505-2E9C-101B-9397-08002B2CF9AE}" pid="4" name="OwlsUID">
    <vt:i4>895</vt:i4>
  </property>
  <property fmtid="{D5CDD505-2E9C-101B-9397-08002B2CF9AE}" pid="5" name="ReprintedAsAt">
    <vt:filetime>2010-08-12T16:00:00Z</vt:filetime>
  </property>
  <property fmtid="{D5CDD505-2E9C-101B-9397-08002B2CF9AE}" pid="6" name="ReprintNo">
    <vt:lpwstr>2</vt:lpwstr>
  </property>
  <property fmtid="{D5CDD505-2E9C-101B-9397-08002B2CF9AE}" pid="7" name="CommencementDate">
    <vt:lpwstr>20170121</vt:lpwstr>
  </property>
  <property fmtid="{D5CDD505-2E9C-101B-9397-08002B2CF9AE}" pid="8" name="FromSuffix">
    <vt:lpwstr>02-e0-00</vt:lpwstr>
  </property>
  <property fmtid="{D5CDD505-2E9C-101B-9397-08002B2CF9AE}" pid="9" name="FromAsAtDate">
    <vt:lpwstr>21 Sep 2016</vt:lpwstr>
  </property>
  <property fmtid="{D5CDD505-2E9C-101B-9397-08002B2CF9AE}" pid="10" name="ToSuffix">
    <vt:lpwstr>02-f0-02</vt:lpwstr>
  </property>
  <property fmtid="{D5CDD505-2E9C-101B-9397-08002B2CF9AE}" pid="11" name="ToAsAtDate">
    <vt:lpwstr>21 Jan 2017</vt:lpwstr>
  </property>
</Properties>
</file>