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2006</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09:46:00Z"/>
        </w:trPr>
        <w:tc>
          <w:tcPr>
            <w:tcW w:w="2434" w:type="dxa"/>
            <w:vMerge w:val="restart"/>
          </w:tcPr>
          <w:p>
            <w:pPr>
              <w:rPr>
                <w:del w:id="1" w:author="Master Repository Process" w:date="2021-08-01T09:46:00Z"/>
              </w:rPr>
            </w:pPr>
          </w:p>
        </w:tc>
        <w:tc>
          <w:tcPr>
            <w:tcW w:w="2434" w:type="dxa"/>
            <w:vMerge w:val="restart"/>
          </w:tcPr>
          <w:p>
            <w:pPr>
              <w:jc w:val="center"/>
              <w:rPr>
                <w:del w:id="2" w:author="Master Repository Process" w:date="2021-08-01T09:46:00Z"/>
              </w:rPr>
            </w:pPr>
            <w:del w:id="3" w:author="Master Repository Process" w:date="2021-08-01T09:4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09:46:00Z"/>
              </w:rPr>
            </w:pPr>
          </w:p>
        </w:tc>
      </w:tr>
      <w:tr>
        <w:trPr>
          <w:cantSplit/>
          <w:del w:id="5" w:author="Master Repository Process" w:date="2021-08-01T09:46:00Z"/>
        </w:trPr>
        <w:tc>
          <w:tcPr>
            <w:tcW w:w="2434" w:type="dxa"/>
            <w:vMerge/>
          </w:tcPr>
          <w:p>
            <w:pPr>
              <w:rPr>
                <w:del w:id="6" w:author="Master Repository Process" w:date="2021-08-01T09:46:00Z"/>
              </w:rPr>
            </w:pPr>
          </w:p>
        </w:tc>
        <w:tc>
          <w:tcPr>
            <w:tcW w:w="2434" w:type="dxa"/>
            <w:vMerge/>
          </w:tcPr>
          <w:p>
            <w:pPr>
              <w:jc w:val="center"/>
              <w:rPr>
                <w:del w:id="7" w:author="Master Repository Process" w:date="2021-08-01T09:46:00Z"/>
              </w:rPr>
            </w:pPr>
          </w:p>
        </w:tc>
        <w:tc>
          <w:tcPr>
            <w:tcW w:w="2434" w:type="dxa"/>
          </w:tcPr>
          <w:p>
            <w:pPr>
              <w:keepNext/>
              <w:rPr>
                <w:del w:id="8" w:author="Master Repository Process" w:date="2021-08-01T09:46:00Z"/>
                <w:b/>
                <w:sz w:val="22"/>
              </w:rPr>
            </w:pPr>
            <w:del w:id="9" w:author="Master Repository Process" w:date="2021-08-01T09:46: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June 2006</w:delText>
              </w:r>
            </w:del>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0" w:name="_Toc54672560"/>
      <w:bookmarkStart w:id="11" w:name="_Toc77479415"/>
      <w:bookmarkStart w:id="12" w:name="_Toc92790598"/>
      <w:bookmarkStart w:id="13" w:name="_Toc92790732"/>
      <w:bookmarkStart w:id="14" w:name="_Toc92965237"/>
      <w:bookmarkStart w:id="15" w:name="_Toc92965341"/>
      <w:bookmarkStart w:id="16" w:name="_Toc101593786"/>
      <w:bookmarkStart w:id="17" w:name="_Toc112133162"/>
      <w:bookmarkStart w:id="18" w:name="_Toc112151061"/>
      <w:bookmarkStart w:id="19" w:name="_Toc133305740"/>
      <w:bookmarkStart w:id="20" w:name="_Toc135028252"/>
      <w:bookmarkStart w:id="21" w:name="_Toc135121805"/>
      <w:bookmarkStart w:id="22" w:name="_Toc136660990"/>
      <w:bookmarkStart w:id="23" w:name="_Toc136661181"/>
      <w:bookmarkStart w:id="24" w:name="_Toc136662491"/>
      <w:bookmarkStart w:id="25" w:name="_Toc139258248"/>
      <w:bookmarkStart w:id="26" w:name="_Toc31684935"/>
      <w:r>
        <w:rPr>
          <w:rStyle w:val="CharPartNo"/>
        </w:rPr>
        <w:t>P</w:t>
      </w:r>
      <w:bookmarkStart w:id="27" w:name="_GoBack"/>
      <w:bookmarkEnd w:id="27"/>
      <w:r>
        <w:rPr>
          <w:rStyle w:val="CharPartNo"/>
        </w:rPr>
        <w:t>art 1</w:t>
      </w:r>
      <w:r>
        <w:rPr>
          <w:rStyle w:val="CharDivNo"/>
        </w:rPr>
        <w:t> </w:t>
      </w:r>
      <w: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8" w:name="_Toc92790599"/>
      <w:bookmarkStart w:id="29" w:name="_Toc92965238"/>
      <w:bookmarkStart w:id="30" w:name="_Toc112151062"/>
      <w:bookmarkStart w:id="31" w:name="_Toc139258249"/>
      <w:bookmarkStart w:id="32" w:name="_Toc136662492"/>
      <w:r>
        <w:rPr>
          <w:rStyle w:val="CharSectno"/>
        </w:rPr>
        <w:t>1</w:t>
      </w:r>
      <w:r>
        <w:rPr>
          <w:snapToGrid w:val="0"/>
        </w:rPr>
        <w:t>.</w:t>
      </w:r>
      <w:r>
        <w:rPr>
          <w:snapToGrid w:val="0"/>
        </w:rPr>
        <w:tab/>
        <w:t>Citation</w:t>
      </w:r>
      <w:bookmarkEnd w:id="26"/>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3" w:name="_Toc31684936"/>
      <w:bookmarkStart w:id="34" w:name="_Toc92790600"/>
      <w:bookmarkStart w:id="35" w:name="_Toc92965239"/>
      <w:bookmarkStart w:id="36" w:name="_Toc112151063"/>
      <w:bookmarkStart w:id="37" w:name="_Toc139258250"/>
      <w:bookmarkStart w:id="38" w:name="_Toc136662493"/>
      <w:r>
        <w:rPr>
          <w:rStyle w:val="CharSectno"/>
        </w:rPr>
        <w:t>2</w:t>
      </w:r>
      <w:r>
        <w:rPr>
          <w:snapToGrid w:val="0"/>
        </w:rPr>
        <w:t>.</w:t>
      </w:r>
      <w:r>
        <w:rPr>
          <w:snapToGrid w:val="0"/>
        </w:rPr>
        <w:tab/>
        <w:t>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39" w:name="_Toc31684937"/>
      <w:bookmarkStart w:id="40" w:name="_Toc92790601"/>
      <w:bookmarkStart w:id="41" w:name="_Toc92965240"/>
      <w:bookmarkStart w:id="42" w:name="_Toc112151064"/>
      <w:bookmarkStart w:id="43" w:name="_Toc139258251"/>
      <w:bookmarkStart w:id="44" w:name="_Toc136662494"/>
      <w:r>
        <w:rPr>
          <w:rStyle w:val="CharSectno"/>
        </w:rPr>
        <w:t>3</w:t>
      </w:r>
      <w:r>
        <w:rPr>
          <w:snapToGrid w:val="0"/>
        </w:rPr>
        <w:t>.</w:t>
      </w:r>
      <w:r>
        <w:rPr>
          <w:snapToGrid w:val="0"/>
        </w:rPr>
        <w:tab/>
        <w:t>Interpretation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appointed day</w:t>
      </w:r>
      <w:r>
        <w:rPr>
          <w:b/>
        </w:rPr>
        <w:t>”</w:t>
      </w:r>
      <w:r>
        <w:t xml:space="preserve"> means the day fixed by the Minister under subregulation (2);</w:t>
      </w:r>
    </w:p>
    <w:p>
      <w:pPr>
        <w:pStyle w:val="Defstart"/>
      </w:pPr>
      <w:r>
        <w:tab/>
      </w:r>
      <w:r>
        <w:rPr>
          <w:b/>
        </w:rPr>
        <w:t>“</w:t>
      </w:r>
      <w:r>
        <w:rPr>
          <w:rStyle w:val="CharDefText"/>
        </w:rPr>
        <w:t>Australian/New Zealand Wiring Rules</w:t>
      </w:r>
      <w:r>
        <w:rPr>
          <w:b/>
        </w:rPr>
        <w:t>”</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t>“</w:t>
      </w:r>
      <w:r>
        <w:rPr>
          <w:rStyle w:val="CharDefText"/>
        </w:rPr>
        <w:t>Board</w:t>
      </w:r>
      <w:r>
        <w:rPr>
          <w:b/>
        </w:rPr>
        <w:t>”</w:t>
      </w:r>
      <w:r>
        <w:t xml:space="preserve"> means the Electrical Licensing Board established under regulation 4;</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electrical appliance</w:t>
      </w:r>
      <w:r>
        <w:rPr>
          <w:b/>
        </w:rPr>
        <w:t>”</w:t>
      </w:r>
      <w:r>
        <w:t xml:space="preserve"> means a device in which electrical energy is consumed or substantially changed in character by conversion into heat, sound, motion, light or otherwise;</w:t>
      </w:r>
    </w:p>
    <w:p>
      <w:pPr>
        <w:pStyle w:val="Defstart"/>
      </w:pPr>
      <w:r>
        <w:rPr>
          <w:b/>
        </w:rPr>
        <w:lastRenderedPageBreak/>
        <w:tab/>
        <w:t>“</w:t>
      </w:r>
      <w:r>
        <w:rPr>
          <w:rStyle w:val="CharDefText"/>
        </w:rPr>
        <w:t>electrical contractor</w:t>
      </w:r>
      <w:r>
        <w:rPr>
          <w:b/>
        </w:rPr>
        <w:t>”</w:t>
      </w:r>
      <w:r>
        <w:t xml:space="preserve"> means a person who carries on business as an electrical mechanic but does not include an electrical mechanic when acting in the capacity of an employee;</w:t>
      </w:r>
    </w:p>
    <w:p>
      <w:pPr>
        <w:pStyle w:val="Defstart"/>
      </w:pPr>
      <w:r>
        <w:rPr>
          <w:b/>
        </w:rPr>
        <w:tab/>
        <w:t>“</w:t>
      </w:r>
      <w:r>
        <w:rPr>
          <w:rStyle w:val="CharDefText"/>
        </w:rPr>
        <w:t>electrical contractor’s licence</w:t>
      </w:r>
      <w:r>
        <w:rPr>
          <w:b/>
        </w:rPr>
        <w:t>”</w:t>
      </w:r>
      <w:r>
        <w:t xml:space="preserve"> means an electrical contractor’s licence issued under Part 4;</w:t>
      </w:r>
    </w:p>
    <w:p>
      <w:pPr>
        <w:pStyle w:val="Defstart"/>
      </w:pPr>
      <w:r>
        <w:rPr>
          <w:b/>
        </w:rPr>
        <w:tab/>
        <w:t>“</w:t>
      </w:r>
      <w:r>
        <w:rPr>
          <w:rStyle w:val="CharDefText"/>
        </w:rPr>
        <w:t>electrical equipment</w:t>
      </w:r>
      <w:r>
        <w:rPr>
          <w:b/>
        </w:rPr>
        <w:t>”</w:t>
      </w:r>
      <w:r>
        <w:t xml:space="preserve"> includes any component or part of an electrical installation;</w:t>
      </w:r>
    </w:p>
    <w:p>
      <w:pPr>
        <w:pStyle w:val="Defstart"/>
      </w:pPr>
      <w:r>
        <w:rPr>
          <w:b/>
        </w:rPr>
        <w:tab/>
        <w:t>“</w:t>
      </w:r>
      <w:r>
        <w:rPr>
          <w:rStyle w:val="CharDefText"/>
        </w:rPr>
        <w:t>electrical fitter</w:t>
      </w:r>
      <w:r>
        <w:rPr>
          <w:b/>
        </w:rPr>
        <w:t>”</w:t>
      </w:r>
      <w:r>
        <w:t xml:space="preserve"> means an electrical worker who is authorised under these regulations to carry out electrical fitting work;</w:t>
      </w:r>
    </w:p>
    <w:p>
      <w:pPr>
        <w:pStyle w:val="Defstart"/>
      </w:pPr>
      <w:r>
        <w:rPr>
          <w:b/>
        </w:rPr>
        <w:tab/>
        <w:t>“</w:t>
      </w:r>
      <w:r>
        <w:rPr>
          <w:rStyle w:val="CharDefText"/>
        </w:rPr>
        <w:t>electrical fitting work</w:t>
      </w:r>
      <w:r>
        <w:rPr>
          <w:b/>
        </w:rPr>
        <w:t>”</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t>“</w:t>
      </w:r>
      <w:r>
        <w:rPr>
          <w:rStyle w:val="CharDefText"/>
        </w:rPr>
        <w:t>electrical installation</w:t>
      </w:r>
      <w:r>
        <w:rPr>
          <w:b/>
        </w:rPr>
        <w:t>”</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electrical installing work</w:t>
      </w:r>
      <w:r>
        <w:rPr>
          <w:b/>
        </w:rPr>
        <w:t>”</w:t>
      </w:r>
      <w:r>
        <w:t xml:space="preserve"> means the work of assembling and fixing in place, altering or adding to any electrical installation or maintaining, enhancing, repairing, removing, or, connecting to fixed wiring, any electrical equipment;</w:t>
      </w:r>
    </w:p>
    <w:p>
      <w:pPr>
        <w:pStyle w:val="Defstart"/>
      </w:pPr>
      <w:r>
        <w:rPr>
          <w:b/>
        </w:rPr>
        <w:tab/>
        <w:t>“</w:t>
      </w:r>
      <w:r>
        <w:rPr>
          <w:rStyle w:val="CharDefText"/>
        </w:rPr>
        <w:t>electrical mechanic</w:t>
      </w:r>
      <w:r>
        <w:rPr>
          <w:b/>
        </w:rPr>
        <w:t>”</w:t>
      </w:r>
      <w:r>
        <w:t xml:space="preserve"> means an electrical worker who is authorised under these regulations to carry out electrical installing work;</w:t>
      </w:r>
    </w:p>
    <w:p>
      <w:pPr>
        <w:pStyle w:val="Defstart"/>
      </w:pPr>
      <w:r>
        <w:rPr>
          <w:b/>
        </w:rPr>
        <w:tab/>
        <w:t>“</w:t>
      </w:r>
      <w:r>
        <w:rPr>
          <w:rStyle w:val="CharDefText"/>
        </w:rPr>
        <w:t>electrical work</w:t>
      </w:r>
      <w:r>
        <w:rPr>
          <w:b/>
        </w:rPr>
        <w:t>”</w:t>
      </w:r>
      <w:r>
        <w:t xml:space="preserve"> means work on electrical machines or instruments, on an electrical installation or on electrical appliances or equipment to which electricity is supplied or intended to be supplied at a nominal pressure exceeding 50 volts alternating current or 115 volts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t>“</w:t>
      </w:r>
      <w:r>
        <w:rPr>
          <w:rStyle w:val="CharDefText"/>
        </w:rPr>
        <w:t>electrical worker</w:t>
      </w:r>
      <w:r>
        <w:rPr>
          <w:b/>
        </w:rPr>
        <w:t>”</w:t>
      </w:r>
      <w:r>
        <w:t xml:space="preserve"> means a person who carries out electrical work;</w:t>
      </w:r>
    </w:p>
    <w:p>
      <w:pPr>
        <w:pStyle w:val="Defstart"/>
      </w:pPr>
      <w:r>
        <w:rPr>
          <w:b/>
        </w:rPr>
        <w:tab/>
        <w:t>“</w:t>
      </w:r>
      <w:r>
        <w:rPr>
          <w:rStyle w:val="CharDefText"/>
        </w:rPr>
        <w:t>electrical worker’s licence</w:t>
      </w:r>
      <w:r>
        <w:rPr>
          <w:b/>
        </w:rPr>
        <w:t>”</w:t>
      </w:r>
      <w:r>
        <w:t xml:space="preserve"> means a licence issued under Part 3;</w:t>
      </w:r>
    </w:p>
    <w:p>
      <w:pPr>
        <w:pStyle w:val="Defstart"/>
      </w:pPr>
      <w:r>
        <w:rPr>
          <w:b/>
        </w:rPr>
        <w:tab/>
        <w:t>“</w:t>
      </w:r>
      <w:r>
        <w:rPr>
          <w:rStyle w:val="CharDefText"/>
        </w:rPr>
        <w:t>executive officer</w:t>
      </w:r>
      <w:r>
        <w:rPr>
          <w:b/>
        </w:rPr>
        <w:t>”</w:t>
      </w:r>
      <w:r>
        <w:t xml:space="preserve"> means the person holding or acting in the office of Executive Officer to the Board;</w:t>
      </w:r>
    </w:p>
    <w:p>
      <w:pPr>
        <w:pStyle w:val="Defstart"/>
      </w:pPr>
      <w:r>
        <w:rPr>
          <w:b/>
        </w:rPr>
        <w:tab/>
        <w:t>“</w:t>
      </w:r>
      <w:r>
        <w:rPr>
          <w:rStyle w:val="CharDefText"/>
        </w:rPr>
        <w:t>legal practitioner</w:t>
      </w:r>
      <w:r>
        <w:rPr>
          <w:b/>
        </w:rPr>
        <w:t>”</w:t>
      </w:r>
      <w:r>
        <w:t xml:space="preserve"> means a “practitioner” as defined in the</w:t>
      </w:r>
      <w:r>
        <w:rPr>
          <w:i/>
        </w:rPr>
        <w:t xml:space="preserve"> Legal Practice Act 2003</w:t>
      </w:r>
      <w:r>
        <w:t>;</w:t>
      </w:r>
    </w:p>
    <w:p>
      <w:pPr>
        <w:pStyle w:val="Defstart"/>
      </w:pPr>
      <w:r>
        <w:rPr>
          <w:b/>
        </w:rPr>
        <w:tab/>
        <w:t>“</w:t>
      </w:r>
      <w:r>
        <w:rPr>
          <w:rStyle w:val="CharDefText"/>
        </w:rPr>
        <w:t>licence</w:t>
      </w:r>
      <w:r>
        <w:rPr>
          <w:b/>
        </w:rPr>
        <w:t>”</w:t>
      </w:r>
      <w:r>
        <w:t xml:space="preserve"> means a licence under these regulations and when used in Part 3 means an electrical worker’s licence and when used in Part 4 means an electrical contractor’s licence or a licence to carry out electrical work that is in-house electrical installing work for the purposes of Part 4;</w:t>
      </w:r>
    </w:p>
    <w:p>
      <w:pPr>
        <w:pStyle w:val="Defstart"/>
      </w:pPr>
      <w:r>
        <w:rPr>
          <w:b/>
        </w:rPr>
        <w:tab/>
        <w:t>“</w:t>
      </w:r>
      <w:r>
        <w:rPr>
          <w:rStyle w:val="CharDefText"/>
        </w:rPr>
        <w:t>licensed electrical worker</w:t>
      </w:r>
      <w:r>
        <w:rPr>
          <w:b/>
        </w:rPr>
        <w:t>”</w:t>
      </w:r>
      <w:r>
        <w:t xml:space="preserve"> means the holder of an electrical worker’s licence or the holder of a permit under Part 3;</w:t>
      </w:r>
    </w:p>
    <w:p>
      <w:pPr>
        <w:pStyle w:val="Defstart"/>
      </w:pPr>
      <w:r>
        <w:rPr>
          <w:b/>
        </w:rPr>
        <w:tab/>
        <w:t>“</w:t>
      </w:r>
      <w:r>
        <w:rPr>
          <w:rStyle w:val="CharDefText"/>
        </w:rPr>
        <w:t>live</w:t>
      </w:r>
      <w:r>
        <w:rPr>
          <w:b/>
        </w:rPr>
        <w:t>”</w:t>
      </w:r>
      <w:r>
        <w:t>, in relation to any wire or other object, means having, under normal conditions of operation, a potential difference between that wire or other object and earth, and any metal that is deemed by the Australian/New Zealand Wiring Rules to be live for the purposes of that standard shall be regarded as live for the purposes of these regulations;</w:t>
      </w:r>
    </w:p>
    <w:p>
      <w:pPr>
        <w:pStyle w:val="Defstart"/>
      </w:pPr>
      <w:r>
        <w:rPr>
          <w:b/>
        </w:rPr>
        <w:tab/>
        <w:t>“</w:t>
      </w:r>
      <w:r>
        <w:rPr>
          <w:rStyle w:val="CharDefText"/>
        </w:rPr>
        <w:t>maintenance work</w:t>
      </w:r>
      <w:r>
        <w:rPr>
          <w:b/>
        </w:rPr>
        <w:t>”</w:t>
      </w:r>
      <w:r>
        <w:t xml:space="preserve"> means repairing defective electrical equipment or replacing electrical equipment with electrical equipment having an equal or substantially similar engineering specification;</w:t>
      </w:r>
    </w:p>
    <w:p>
      <w:pPr>
        <w:pStyle w:val="Defstart"/>
      </w:pPr>
      <w:r>
        <w:rPr>
          <w:b/>
        </w:rPr>
        <w:tab/>
        <w:t>“</w:t>
      </w:r>
      <w:r>
        <w:rPr>
          <w:rStyle w:val="CharDefText"/>
        </w:rPr>
        <w:t>mine</w:t>
      </w:r>
      <w:r>
        <w:rPr>
          <w:b/>
        </w:rPr>
        <w:t>”</w:t>
      </w:r>
      <w:r>
        <w:t xml:space="preserve"> has the same meaning as it has in the </w:t>
      </w:r>
      <w:r>
        <w:rPr>
          <w:i/>
        </w:rPr>
        <w:t>Mines Safety and Inspection Act 1994</w:t>
      </w:r>
      <w:r>
        <w:t>;</w:t>
      </w:r>
    </w:p>
    <w:p>
      <w:pPr>
        <w:pStyle w:val="Defstart"/>
      </w:pPr>
      <w:r>
        <w:rPr>
          <w:b/>
        </w:rPr>
        <w:tab/>
        <w:t>“</w:t>
      </w:r>
      <w:r>
        <w:rPr>
          <w:rStyle w:val="CharDefText"/>
        </w:rPr>
        <w:t>minor work</w:t>
      </w:r>
      <w:r>
        <w:rPr>
          <w:b/>
        </w:rPr>
        <w:t>”</w:t>
      </w:r>
      <w:r>
        <w:t xml:space="preserve"> means electrical installing work that does not require alterations to the service equipment, main switchboard, the consumer’s mains or the main earthing conductors and does not involve the installation of private generating plant or additions and alterations to an existing installation operating at a pressure in excess of 650 volts;</w:t>
      </w:r>
    </w:p>
    <w:p>
      <w:pPr>
        <w:pStyle w:val="Defstart"/>
      </w:pPr>
      <w:r>
        <w:rPr>
          <w:b/>
        </w:rPr>
        <w:tab/>
        <w:t>“</w:t>
      </w:r>
      <w:r>
        <w:rPr>
          <w:rStyle w:val="CharDefText"/>
        </w:rPr>
        <w:t>nominated electrical worker</w:t>
      </w:r>
      <w:r>
        <w:rPr>
          <w:b/>
        </w:rPr>
        <w:t>”</w:t>
      </w:r>
      <w:r>
        <w:t>, in relation to a licence under Part 4, means a person for the time being nominated for the purposes of regulation 36(1), (2) or (3) or 37(1) in respect of that licence;</w:t>
      </w:r>
    </w:p>
    <w:p>
      <w:pPr>
        <w:pStyle w:val="Defstart"/>
      </w:pPr>
      <w:r>
        <w:rPr>
          <w:b/>
        </w:rPr>
        <w:tab/>
        <w:t>“</w:t>
      </w:r>
      <w:r>
        <w:rPr>
          <w:rStyle w:val="CharDefText"/>
        </w:rPr>
        <w:t>permit</w:t>
      </w:r>
      <w:r>
        <w:rPr>
          <w:b/>
        </w:rPr>
        <w:t>”</w:t>
      </w:r>
      <w:r>
        <w:t xml:space="preserve"> means a permit under Part 3;</w:t>
      </w:r>
    </w:p>
    <w:p>
      <w:pPr>
        <w:pStyle w:val="Defstart"/>
      </w:pPr>
      <w:r>
        <w:rPr>
          <w:b/>
        </w:rPr>
        <w:tab/>
        <w:t>“</w:t>
      </w:r>
      <w:r>
        <w:rPr>
          <w:rStyle w:val="CharDefText"/>
        </w:rPr>
        <w:t>pressure</w:t>
      </w:r>
      <w:r>
        <w:rPr>
          <w:b/>
        </w:rPr>
        <w:t>”</w:t>
      </w:r>
      <w:r>
        <w:t xml:space="preserve"> means the difference in effective electrical potential measured in volts normally existing between conductors and between conductors and the earth;</w:t>
      </w:r>
    </w:p>
    <w:p>
      <w:pPr>
        <w:pStyle w:val="Defstart"/>
      </w:pPr>
      <w:r>
        <w:rPr>
          <w:b/>
        </w:rPr>
        <w:tab/>
        <w:t>“</w:t>
      </w:r>
      <w:r>
        <w:rPr>
          <w:rStyle w:val="CharDefText"/>
        </w:rPr>
        <w:t>private generating plant</w:t>
      </w:r>
      <w:r>
        <w:rPr>
          <w:b/>
        </w:rPr>
        <w:t>”</w:t>
      </w:r>
      <w:r>
        <w:t xml:space="preserve"> means generating works, that are for the generation of electricity at a pressure exceeding 50 volts alternating current or 115 volts direct current including all works, electrical equipment, and wiring ancillary thereto, and includes such generating works and works, electrical equipment and wiring ancillary thereto that are for the self-propulsion or other motivation of mobile equipment but does not include generating works owned or operated by a supply authority;</w:t>
      </w:r>
    </w:p>
    <w:p>
      <w:pPr>
        <w:pStyle w:val="Defstart"/>
      </w:pPr>
      <w:r>
        <w:rPr>
          <w:b/>
        </w:rPr>
        <w:tab/>
        <w:t>“</w:t>
      </w:r>
      <w:r>
        <w:rPr>
          <w:rStyle w:val="CharDefText"/>
        </w:rPr>
        <w:t>the relevant supply authority</w:t>
      </w:r>
      <w:r>
        <w:rPr>
          <w:b/>
        </w:rPr>
        <w:t>”</w:t>
      </w:r>
      <w:r>
        <w:t xml:space="preserve"> means — </w:t>
      </w:r>
    </w:p>
    <w:p>
      <w:pPr>
        <w:pStyle w:val="Defpara"/>
      </w:pPr>
      <w:r>
        <w:tab/>
        <w:t>(a)</w:t>
      </w:r>
      <w:r>
        <w:tab/>
        <w:t>in relation to an electrical installation of a consumer, the supply authority supplying electricity in the area within which the electrical installation is situated and to the distribution works of which the electrical installation is or is to be connected; or</w:t>
      </w:r>
    </w:p>
    <w:p>
      <w:pPr>
        <w:pStyle w:val="Defpara"/>
      </w:pPr>
      <w:r>
        <w:tab/>
        <w:t>(b)</w:t>
      </w:r>
      <w:r>
        <w:tab/>
        <w:t>in relation to an electrical installation other than an electrical installation of a consumer, the Director;</w:t>
      </w:r>
    </w:p>
    <w:p>
      <w:pPr>
        <w:pStyle w:val="Defstart"/>
      </w:pPr>
      <w:r>
        <w:rPr>
          <w:b/>
        </w:rPr>
        <w:tab/>
        <w:t>“</w:t>
      </w:r>
      <w:r>
        <w:rPr>
          <w:rStyle w:val="CharDefText"/>
        </w:rPr>
        <w:t>W A Electrical Requirements</w:t>
      </w:r>
      <w:r>
        <w:rPr>
          <w:b/>
        </w:rPr>
        <w:t>”</w:t>
      </w:r>
      <w:r>
        <w:t xml:space="preserve"> means the Code known by that name as issued by the Director;</w:t>
      </w:r>
    </w:p>
    <w:p>
      <w:pPr>
        <w:pStyle w:val="Defstart"/>
      </w:pPr>
      <w:r>
        <w:rPr>
          <w:b/>
        </w:rPr>
        <w:tab/>
        <w:t>“</w:t>
      </w:r>
      <w:r>
        <w:rPr>
          <w:rStyle w:val="CharDefText"/>
        </w:rPr>
        <w:t>working days</w:t>
      </w:r>
      <w:r>
        <w:rPr>
          <w:b/>
        </w:rPr>
        <w:t>”</w:t>
      </w:r>
      <w:r>
        <w:t xml:space="preserve"> does not include Saturdays, Sundays or public holidays.</w:t>
      </w:r>
    </w:p>
    <w:p>
      <w:pPr>
        <w:pStyle w:val="Subsection"/>
        <w:rPr>
          <w:snapToGrid w:val="0"/>
        </w:rPr>
      </w:pPr>
      <w:r>
        <w:rPr>
          <w:snapToGrid w:val="0"/>
        </w:rPr>
        <w:tab/>
        <w:t>(2)</w:t>
      </w:r>
      <w:r>
        <w:rPr>
          <w:snapToGrid w:val="0"/>
        </w:rPr>
        <w:tab/>
        <w:t xml:space="preserve">The Minister shall, by notice published in the </w:t>
      </w:r>
      <w:r>
        <w:rPr>
          <w:i/>
          <w:snapToGrid w:val="0"/>
        </w:rPr>
        <w:t>Gazette</w:t>
      </w:r>
      <w:r>
        <w:rPr>
          <w:snapToGrid w:val="0"/>
        </w:rPr>
        <w:t>, fix a day to be the appointed day for the purposes of the provisions of these regulations that refer to the appointed day.</w:t>
      </w:r>
    </w:p>
    <w:p>
      <w:pPr>
        <w:pStyle w:val="Footnotesection"/>
      </w:pPr>
      <w:r>
        <w:tab/>
        <w:t>[Regulation 3 amended in Gazette 23 Dec 1994 p. 7134; 6 Sep 1996 p. 4410</w:t>
      </w:r>
      <w:r>
        <w:noBreakHyphen/>
        <w:t>11; 24 Mar 2000 p. 1639</w:t>
      </w:r>
      <w:r>
        <w:noBreakHyphen/>
        <w:t xml:space="preserve">40; 19 Apr 2005 p. 1296.] </w:t>
      </w:r>
    </w:p>
    <w:p>
      <w:pPr>
        <w:pStyle w:val="Heading2"/>
      </w:pPr>
      <w:bookmarkStart w:id="45" w:name="_Toc54672564"/>
      <w:bookmarkStart w:id="46" w:name="_Toc77479419"/>
      <w:bookmarkStart w:id="47" w:name="_Toc92790602"/>
      <w:bookmarkStart w:id="48" w:name="_Toc92790736"/>
      <w:bookmarkStart w:id="49" w:name="_Toc92965241"/>
      <w:bookmarkStart w:id="50" w:name="_Toc92965345"/>
      <w:bookmarkStart w:id="51" w:name="_Toc101593790"/>
      <w:bookmarkStart w:id="52" w:name="_Toc112133166"/>
      <w:bookmarkStart w:id="53" w:name="_Toc112151065"/>
      <w:bookmarkStart w:id="54" w:name="_Toc133305744"/>
      <w:bookmarkStart w:id="55" w:name="_Toc135028256"/>
      <w:bookmarkStart w:id="56" w:name="_Toc135121809"/>
      <w:bookmarkStart w:id="57" w:name="_Toc136660994"/>
      <w:bookmarkStart w:id="58" w:name="_Toc136661185"/>
      <w:bookmarkStart w:id="59" w:name="_Toc136662495"/>
      <w:bookmarkStart w:id="60" w:name="_Toc139258252"/>
      <w:r>
        <w:rPr>
          <w:rStyle w:val="CharPartNo"/>
        </w:rPr>
        <w:t>Part 2</w:t>
      </w:r>
      <w:r>
        <w:t> — </w:t>
      </w:r>
      <w:r>
        <w:rPr>
          <w:rStyle w:val="CharPartText"/>
        </w:rPr>
        <w:t>The Electrical Licensing Board</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54672565"/>
      <w:bookmarkStart w:id="62" w:name="_Toc77479420"/>
      <w:bookmarkStart w:id="63" w:name="_Toc92790603"/>
      <w:bookmarkStart w:id="64" w:name="_Toc92790737"/>
      <w:bookmarkStart w:id="65" w:name="_Toc92965242"/>
      <w:bookmarkStart w:id="66" w:name="_Toc92965346"/>
      <w:bookmarkStart w:id="67" w:name="_Toc101593791"/>
      <w:bookmarkStart w:id="68" w:name="_Toc112133167"/>
      <w:bookmarkStart w:id="69" w:name="_Toc112151066"/>
      <w:bookmarkStart w:id="70" w:name="_Toc133305745"/>
      <w:bookmarkStart w:id="71" w:name="_Toc135028257"/>
      <w:bookmarkStart w:id="72" w:name="_Toc135121810"/>
      <w:bookmarkStart w:id="73" w:name="_Toc136660995"/>
      <w:bookmarkStart w:id="74" w:name="_Toc136661186"/>
      <w:bookmarkStart w:id="75" w:name="_Toc136662496"/>
      <w:bookmarkStart w:id="76" w:name="_Toc139258253"/>
      <w:r>
        <w:rPr>
          <w:rStyle w:val="CharDivNo"/>
        </w:rPr>
        <w:t>Division 1</w:t>
      </w:r>
      <w:r>
        <w:rPr>
          <w:snapToGrid w:val="0"/>
        </w:rPr>
        <w:t> — </w:t>
      </w:r>
      <w:r>
        <w:rPr>
          <w:rStyle w:val="CharDivText"/>
        </w:rPr>
        <w:t>The Board</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31684938"/>
      <w:bookmarkStart w:id="78" w:name="_Toc92790604"/>
      <w:bookmarkStart w:id="79" w:name="_Toc92965243"/>
      <w:bookmarkStart w:id="80" w:name="_Toc112151067"/>
      <w:bookmarkStart w:id="81" w:name="_Toc139258254"/>
      <w:bookmarkStart w:id="82" w:name="_Toc136662497"/>
      <w:r>
        <w:rPr>
          <w:rStyle w:val="CharSectno"/>
        </w:rPr>
        <w:t>4</w:t>
      </w:r>
      <w:r>
        <w:rPr>
          <w:snapToGrid w:val="0"/>
        </w:rPr>
        <w:t>.</w:t>
      </w:r>
      <w:r>
        <w:rPr>
          <w:snapToGrid w:val="0"/>
        </w:rPr>
        <w:tab/>
        <w:t>Establishment</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83" w:name="_Toc31684939"/>
      <w:bookmarkStart w:id="84" w:name="_Toc92790605"/>
      <w:bookmarkStart w:id="85" w:name="_Toc92965244"/>
      <w:bookmarkStart w:id="86" w:name="_Toc112151068"/>
      <w:bookmarkStart w:id="87" w:name="_Toc139258255"/>
      <w:bookmarkStart w:id="88" w:name="_Toc136662498"/>
      <w:r>
        <w:rPr>
          <w:rStyle w:val="CharSectno"/>
        </w:rPr>
        <w:t>5</w:t>
      </w:r>
      <w:r>
        <w:rPr>
          <w:snapToGrid w:val="0"/>
        </w:rPr>
        <w:t>.</w:t>
      </w:r>
      <w:r>
        <w:rPr>
          <w:snapToGrid w:val="0"/>
        </w:rPr>
        <w:tab/>
        <w:t>The Board</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t>“</w:t>
      </w:r>
      <w:r>
        <w:rPr>
          <w:rStyle w:val="CharDefText"/>
        </w:rPr>
        <w:t>approved</w:t>
      </w:r>
      <w:r>
        <w:rPr>
          <w:b/>
        </w:rPr>
        <w:t>”</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 restricted electrical licence holders;</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4495-7</w:t>
      </w:r>
      <w:r>
        <w:rPr>
          <w:i w:val="0"/>
          <w:iCs/>
        </w:rPr>
        <w:t> </w:t>
      </w:r>
      <w:r>
        <w:rPr>
          <w:i w:val="0"/>
          <w:iCs/>
          <w:vertAlign w:val="superscript"/>
        </w:rPr>
        <w:t>2</w:t>
      </w:r>
      <w:r>
        <w:t xml:space="preserve">.] </w:t>
      </w:r>
    </w:p>
    <w:p>
      <w:pPr>
        <w:pStyle w:val="Heading5"/>
      </w:pPr>
      <w:bookmarkStart w:id="89" w:name="_Toc92790606"/>
      <w:bookmarkStart w:id="90" w:name="_Toc92965245"/>
      <w:bookmarkStart w:id="91" w:name="_Toc112151069"/>
      <w:bookmarkStart w:id="92" w:name="_Toc139258256"/>
      <w:bookmarkStart w:id="93" w:name="_Toc136662499"/>
      <w:bookmarkStart w:id="94" w:name="_Toc31684941"/>
      <w:r>
        <w:rPr>
          <w:rStyle w:val="CharSectno"/>
        </w:rPr>
        <w:t>6</w:t>
      </w:r>
      <w:r>
        <w:t>.</w:t>
      </w:r>
      <w:r>
        <w:tab/>
        <w:t>Appointments from submissions by approved bodies and from applicants</w:t>
      </w:r>
      <w:bookmarkEnd w:id="89"/>
      <w:bookmarkEnd w:id="90"/>
      <w:bookmarkEnd w:id="91"/>
      <w:bookmarkEnd w:id="92"/>
      <w:bookmarkEnd w:id="93"/>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4497-8.]</w:t>
      </w:r>
    </w:p>
    <w:p>
      <w:pPr>
        <w:pStyle w:val="Heading5"/>
        <w:rPr>
          <w:snapToGrid w:val="0"/>
        </w:rPr>
      </w:pPr>
      <w:bookmarkStart w:id="95" w:name="_Toc92790607"/>
      <w:bookmarkStart w:id="96" w:name="_Toc92965246"/>
      <w:bookmarkStart w:id="97" w:name="_Toc112151070"/>
      <w:bookmarkStart w:id="98" w:name="_Toc139258257"/>
      <w:bookmarkStart w:id="99" w:name="_Toc136662500"/>
      <w:r>
        <w:rPr>
          <w:rStyle w:val="CharSectno"/>
        </w:rPr>
        <w:t>7</w:t>
      </w:r>
      <w:r>
        <w:rPr>
          <w:snapToGrid w:val="0"/>
        </w:rPr>
        <w:t>.</w:t>
      </w:r>
      <w:r>
        <w:rPr>
          <w:snapToGrid w:val="0"/>
        </w:rPr>
        <w:tab/>
        <w:t>Tenure of office</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00" w:name="_Toc31684942"/>
      <w:bookmarkStart w:id="101" w:name="_Toc92790608"/>
      <w:bookmarkStart w:id="102" w:name="_Toc92965247"/>
      <w:bookmarkStart w:id="103" w:name="_Toc112151071"/>
      <w:bookmarkStart w:id="104" w:name="_Toc139258258"/>
      <w:bookmarkStart w:id="105" w:name="_Toc136662501"/>
      <w:r>
        <w:rPr>
          <w:rStyle w:val="CharSectno"/>
        </w:rPr>
        <w:t>8</w:t>
      </w:r>
      <w:r>
        <w:rPr>
          <w:snapToGrid w:val="0"/>
        </w:rPr>
        <w:t>.</w:t>
      </w:r>
      <w:r>
        <w:rPr>
          <w:snapToGrid w:val="0"/>
        </w:rPr>
        <w:tab/>
        <w:t>Vacation of office</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Heading5"/>
        <w:rPr>
          <w:snapToGrid w:val="0"/>
        </w:rPr>
      </w:pPr>
      <w:bookmarkStart w:id="106" w:name="_Toc31684943"/>
      <w:bookmarkStart w:id="107" w:name="_Toc92790609"/>
      <w:bookmarkStart w:id="108" w:name="_Toc92965248"/>
      <w:bookmarkStart w:id="109" w:name="_Toc112151072"/>
      <w:bookmarkStart w:id="110" w:name="_Toc139258259"/>
      <w:bookmarkStart w:id="111" w:name="_Toc136662502"/>
      <w:r>
        <w:rPr>
          <w:rStyle w:val="CharSectno"/>
        </w:rPr>
        <w:t>9</w:t>
      </w:r>
      <w:r>
        <w:rPr>
          <w:snapToGrid w:val="0"/>
        </w:rPr>
        <w:t>.</w:t>
      </w:r>
      <w:r>
        <w:rPr>
          <w:snapToGrid w:val="0"/>
        </w:rPr>
        <w:tab/>
        <w:t>Acting members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12" w:name="_Toc31684944"/>
      <w:bookmarkStart w:id="113" w:name="_Toc92790610"/>
      <w:bookmarkStart w:id="114" w:name="_Toc92965249"/>
      <w:bookmarkStart w:id="115" w:name="_Toc112151073"/>
      <w:bookmarkStart w:id="116" w:name="_Toc139258260"/>
      <w:bookmarkStart w:id="117" w:name="_Toc136662503"/>
      <w:r>
        <w:rPr>
          <w:rStyle w:val="CharSectno"/>
        </w:rPr>
        <w:t>10</w:t>
      </w:r>
      <w:r>
        <w:rPr>
          <w:snapToGrid w:val="0"/>
        </w:rPr>
        <w:t>.</w:t>
      </w:r>
      <w:r>
        <w:rPr>
          <w:snapToGrid w:val="0"/>
        </w:rPr>
        <w:tab/>
        <w:t>Meetings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18"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[Regulation 10 amended in Gazette 24 Oct 2003 p. 4498-9.]</w:t>
      </w:r>
    </w:p>
    <w:p>
      <w:pPr>
        <w:pStyle w:val="Heading5"/>
        <w:rPr>
          <w:snapToGrid w:val="0"/>
        </w:rPr>
      </w:pPr>
      <w:bookmarkStart w:id="119" w:name="_Toc92790611"/>
      <w:bookmarkStart w:id="120" w:name="_Toc92965250"/>
      <w:bookmarkStart w:id="121" w:name="_Toc112151074"/>
      <w:bookmarkStart w:id="122" w:name="_Toc139258261"/>
      <w:bookmarkStart w:id="123" w:name="_Toc136662504"/>
      <w:r>
        <w:rPr>
          <w:rStyle w:val="CharSectno"/>
        </w:rPr>
        <w:t>11</w:t>
      </w:r>
      <w:r>
        <w:rPr>
          <w:snapToGrid w:val="0"/>
        </w:rPr>
        <w:t>.</w:t>
      </w:r>
      <w:r>
        <w:rPr>
          <w:snapToGrid w:val="0"/>
        </w:rPr>
        <w:tab/>
        <w:t>Procedures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24" w:name="_Toc31684946"/>
      <w:bookmarkStart w:id="125" w:name="_Toc92790612"/>
      <w:bookmarkStart w:id="126" w:name="_Toc92965251"/>
      <w:bookmarkStart w:id="127" w:name="_Toc112151075"/>
      <w:bookmarkStart w:id="128" w:name="_Toc139258262"/>
      <w:bookmarkStart w:id="129" w:name="_Toc136662505"/>
      <w:r>
        <w:rPr>
          <w:rStyle w:val="CharSectno"/>
        </w:rPr>
        <w:t>12</w:t>
      </w:r>
      <w:r>
        <w:rPr>
          <w:snapToGrid w:val="0"/>
        </w:rPr>
        <w:t>.</w:t>
      </w:r>
      <w:r>
        <w:rPr>
          <w:snapToGrid w:val="0"/>
        </w:rPr>
        <w:tab/>
        <w:t>Remuneration and allowances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30" w:name="_Toc31684947"/>
      <w:bookmarkStart w:id="131" w:name="_Toc92790613"/>
      <w:bookmarkStart w:id="132" w:name="_Toc92965252"/>
      <w:bookmarkStart w:id="133" w:name="_Toc112151076"/>
      <w:bookmarkStart w:id="134" w:name="_Toc139258263"/>
      <w:bookmarkStart w:id="135" w:name="_Toc136662506"/>
      <w:r>
        <w:rPr>
          <w:rStyle w:val="CharSectno"/>
        </w:rPr>
        <w:t>13</w:t>
      </w:r>
      <w:r>
        <w:rPr>
          <w:snapToGrid w:val="0"/>
        </w:rPr>
        <w:t>.</w:t>
      </w:r>
      <w:r>
        <w:rPr>
          <w:snapToGrid w:val="0"/>
        </w:rPr>
        <w:tab/>
        <w:t>Functions of the Board</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Without derogating from anything in subregulation (2), the primary function of the Board under this regulation is the determination of competence of applicants for, and holders of, licences and permits issued under these regulations and in carrying out its functions under this regulation the Board —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rPr>
          <w:snapToGrid w:val="0"/>
        </w:rPr>
      </w:pPr>
      <w:r>
        <w:rPr>
          <w:snapToGrid w:val="0"/>
        </w:rPr>
        <w:tab/>
        <w:t>(2)</w:t>
      </w:r>
      <w:r>
        <w:rPr>
          <w:snapToGrid w:val="0"/>
        </w:rPr>
        <w:tab/>
        <w:t>In addition to the other functions conferred on the Board by these regulations it is the function of the Board — </w:t>
      </w:r>
    </w:p>
    <w:p>
      <w:pPr>
        <w:pStyle w:val="Indenta"/>
        <w:rPr>
          <w:snapToGrid w:val="0"/>
        </w:rPr>
      </w:pPr>
      <w:r>
        <w:rPr>
          <w:snapToGrid w:val="0"/>
        </w:rPr>
        <w:tab/>
        <w:t>(a)</w:t>
      </w:r>
      <w:r>
        <w:rPr>
          <w:snapToGrid w:val="0"/>
        </w:rPr>
        <w:tab/>
        <w:t>to make enquiries relating to licensing of persons for electrical work and electrical contracting;</w:t>
      </w:r>
    </w:p>
    <w:p>
      <w:pPr>
        <w:pStyle w:val="Indenta"/>
        <w:rPr>
          <w:snapToGrid w:val="0"/>
        </w:rPr>
      </w:pPr>
      <w:r>
        <w:rPr>
          <w:snapToGrid w:val="0"/>
        </w:rPr>
        <w:tab/>
        <w:t>(b)</w:t>
      </w:r>
      <w:r>
        <w:rPr>
          <w:snapToGrid w:val="0"/>
        </w:rPr>
        <w:tab/>
        <w:t>to keep under review, and to advise the Minister and the Director on matters relating to the safety of electrical workers and other persons;</w:t>
      </w:r>
    </w:p>
    <w:p>
      <w:pPr>
        <w:pStyle w:val="Indenta"/>
        <w:rPr>
          <w:snapToGrid w:val="0"/>
        </w:rPr>
      </w:pPr>
      <w:r>
        <w:rPr>
          <w:snapToGrid w:val="0"/>
        </w:rPr>
        <w:tab/>
        <w:t>(c)</w:t>
      </w:r>
      <w:r>
        <w:rPr>
          <w:snapToGrid w:val="0"/>
        </w:rPr>
        <w:tab/>
        <w:t>to keep under review matters relating to the qualifications of, and the licensing or other regulation of, electrical workers and electrical contractors;</w:t>
      </w:r>
    </w:p>
    <w:p>
      <w:pPr>
        <w:pStyle w:val="Indenta"/>
        <w:rPr>
          <w:snapToGrid w:val="0"/>
        </w:rPr>
      </w:pPr>
      <w:r>
        <w:rPr>
          <w:snapToGrid w:val="0"/>
        </w:rPr>
        <w:tab/>
        <w:t>(d)</w:t>
      </w:r>
      <w:r>
        <w:rPr>
          <w:snapToGrid w:val="0"/>
        </w:rPr>
        <w:tab/>
        <w:t>to conduct or arrange for the conduct of examinations for the purposes of determining and assessing the competence and proficiency of persons holding licences or permits or applying for the grant of licences or permits;</w:t>
      </w:r>
    </w:p>
    <w:p>
      <w:pPr>
        <w:pStyle w:val="Indenta"/>
        <w:rPr>
          <w:snapToGrid w:val="0"/>
        </w:rPr>
      </w:pPr>
      <w:r>
        <w:rPr>
          <w:snapToGrid w:val="0"/>
        </w:rPr>
        <w:tab/>
        <w:t>(e)</w:t>
      </w:r>
      <w:r>
        <w:rPr>
          <w:snapToGrid w:val="0"/>
        </w:rPr>
        <w:tab/>
        <w:t>to make enquiries for the purposes of determining and assessing the competence, suitability and proficiency of persons applying for the grant of licences or permits and determining the competence, suitability and proficiency of persons holding licences or permits, to continue to hold licences or permits;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to advise the Minister and the Director on any matter upon which advice is requested or on any other matter connected with the administration of these regulations; and</w:t>
      </w:r>
    </w:p>
    <w:p>
      <w:pPr>
        <w:pStyle w:val="Indenta"/>
        <w:rPr>
          <w:snapToGrid w:val="0"/>
        </w:rPr>
      </w:pPr>
      <w:r>
        <w:rPr>
          <w:snapToGrid w:val="0"/>
        </w:rPr>
        <w:tab/>
        <w:t>(h)</w:t>
      </w:r>
      <w:r>
        <w:rPr>
          <w:snapToGrid w:val="0"/>
        </w:rPr>
        <w:tab/>
        <w:t>to carry out any other functions conferred on it by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Footnotesection"/>
      </w:pPr>
      <w:r>
        <w:tab/>
        <w:t xml:space="preserve">[Regulation 13 amended in Gazette 23 Dec 1994 p. 7134; 6 Sep 1996 p. 4411; 30 Dec 2004 p. 6990.] </w:t>
      </w:r>
    </w:p>
    <w:p>
      <w:pPr>
        <w:pStyle w:val="Heading5"/>
        <w:rPr>
          <w:snapToGrid w:val="0"/>
        </w:rPr>
      </w:pPr>
      <w:bookmarkStart w:id="136" w:name="_Toc31684948"/>
      <w:bookmarkStart w:id="137" w:name="_Toc92790614"/>
      <w:bookmarkStart w:id="138" w:name="_Toc92965253"/>
      <w:bookmarkStart w:id="139" w:name="_Toc112151077"/>
      <w:bookmarkStart w:id="140" w:name="_Toc139258264"/>
      <w:bookmarkStart w:id="141" w:name="_Toc136662507"/>
      <w:r>
        <w:rPr>
          <w:rStyle w:val="CharSectno"/>
        </w:rPr>
        <w:t>14</w:t>
      </w:r>
      <w:r>
        <w:rPr>
          <w:snapToGrid w:val="0"/>
        </w:rPr>
        <w:t>.</w:t>
      </w:r>
      <w:r>
        <w:rPr>
          <w:snapToGrid w:val="0"/>
        </w:rPr>
        <w:tab/>
        <w:t>Executive officer and other officers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Ednotedivision"/>
      </w:pPr>
      <w:r>
        <w:t>[Divisions 2 and 3 (r. 15-18) repealed in Gazette 30 Dec 2004 p. 6990.]</w:t>
      </w:r>
    </w:p>
    <w:p>
      <w:pPr>
        <w:pStyle w:val="Heading2"/>
      </w:pPr>
      <w:bookmarkStart w:id="142" w:name="_Toc54672584"/>
      <w:bookmarkStart w:id="143" w:name="_Toc77479438"/>
      <w:bookmarkStart w:id="144" w:name="_Toc92790621"/>
      <w:bookmarkStart w:id="145" w:name="_Toc92790755"/>
      <w:bookmarkStart w:id="146" w:name="_Toc92965254"/>
      <w:bookmarkStart w:id="147" w:name="_Toc92965358"/>
      <w:bookmarkStart w:id="148" w:name="_Toc101593803"/>
      <w:bookmarkStart w:id="149" w:name="_Toc112133179"/>
      <w:bookmarkStart w:id="150" w:name="_Toc112151078"/>
      <w:bookmarkStart w:id="151" w:name="_Toc133305757"/>
      <w:bookmarkStart w:id="152" w:name="_Toc135028269"/>
      <w:bookmarkStart w:id="153" w:name="_Toc135121822"/>
      <w:bookmarkStart w:id="154" w:name="_Toc136661007"/>
      <w:bookmarkStart w:id="155" w:name="_Toc136661198"/>
      <w:bookmarkStart w:id="156" w:name="_Toc136662508"/>
      <w:bookmarkStart w:id="157" w:name="_Toc139258265"/>
      <w:r>
        <w:rPr>
          <w:rStyle w:val="CharPartNo"/>
        </w:rPr>
        <w:t>Part 3</w:t>
      </w:r>
      <w:r>
        <w:rPr>
          <w:rStyle w:val="CharDivNo"/>
        </w:rPr>
        <w:t> </w:t>
      </w:r>
      <w:r>
        <w:t>—</w:t>
      </w:r>
      <w:r>
        <w:rPr>
          <w:rStyle w:val="CharDivText"/>
        </w:rPr>
        <w:t> </w:t>
      </w:r>
      <w:r>
        <w:rPr>
          <w:rStyle w:val="CharPartText"/>
        </w:rPr>
        <w:t>Licensing of electrical workers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92790622"/>
      <w:bookmarkStart w:id="159" w:name="_Toc92965255"/>
      <w:bookmarkStart w:id="160" w:name="_Toc112151079"/>
      <w:bookmarkStart w:id="161" w:name="_Toc139258266"/>
      <w:bookmarkStart w:id="162" w:name="_Toc136662509"/>
      <w:r>
        <w:rPr>
          <w:rStyle w:val="CharSectno"/>
        </w:rPr>
        <w:t>19</w:t>
      </w:r>
      <w:r>
        <w:rPr>
          <w:snapToGrid w:val="0"/>
        </w:rPr>
        <w:t>.</w:t>
      </w:r>
      <w:r>
        <w:rPr>
          <w:snapToGrid w:val="0"/>
        </w:rPr>
        <w:tab/>
        <w:t>Electrical work prohibited unless authorised</w:t>
      </w:r>
      <w:bookmarkEnd w:id="158"/>
      <w:bookmarkEnd w:id="159"/>
      <w:bookmarkEnd w:id="160"/>
      <w:bookmarkEnd w:id="161"/>
      <w:bookmarkEnd w:id="162"/>
    </w:p>
    <w:p>
      <w:pPr>
        <w:pStyle w:val="Subsection"/>
        <w:rPr>
          <w:snapToGrid w:val="0"/>
        </w:rPr>
      </w:pPr>
      <w:r>
        <w:rPr>
          <w:snapToGrid w:val="0"/>
        </w:rPr>
        <w:tab/>
        <w:t>(1)</w:t>
      </w:r>
      <w:r>
        <w:rPr>
          <w:snapToGrid w:val="0"/>
        </w:rPr>
        <w:tab/>
        <w:t>Subject to this regulation, a person who, on or after the appointed day,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to work carried out on a communications or computer system, or a radio or television transmitter or receiver but does apply to an electricity supply circuit thereto having a nominal pressure exceeding 50 volts alternating current or 115 volts direct current;</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w:t>
      </w:r>
    </w:p>
    <w:p>
      <w:pPr>
        <w:pStyle w:val="Indenta"/>
        <w:rPr>
          <w:snapToGrid w:val="0"/>
        </w:rPr>
      </w:pPr>
      <w:r>
        <w:rPr>
          <w:snapToGrid w:val="0"/>
        </w:rPr>
        <w:tab/>
        <w:t>(c)</w:t>
      </w:r>
      <w:r>
        <w:rPr>
          <w:snapToGrid w:val="0"/>
        </w:rPr>
        <w:tab/>
        <w:t>to work carried out on poles, towers and overhead lines including the final connection and testing of circuits by persons trained in electrical linework;</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w:t>
      </w:r>
    </w:p>
    <w:p>
      <w:pPr>
        <w:pStyle w:val="Indenta"/>
        <w:rPr>
          <w:snapToGrid w:val="0"/>
        </w:rPr>
      </w:pPr>
      <w:r>
        <w:rPr>
          <w:snapToGrid w:val="0"/>
        </w:rPr>
        <w:tab/>
        <w:t>(e)</w:t>
      </w:r>
      <w:r>
        <w:rPr>
          <w:snapToGrid w:val="0"/>
        </w:rPr>
        <w:tab/>
        <w:t>to work carried out on any supply authority service apparatus by a person authorised by the relevant supply authority;</w:t>
      </w:r>
    </w:p>
    <w:p>
      <w:pPr>
        <w:pStyle w:val="Indenta"/>
        <w:rPr>
          <w:snapToGrid w:val="0"/>
        </w:rPr>
      </w:pPr>
      <w:r>
        <w:rPr>
          <w:snapToGrid w:val="0"/>
        </w:rPr>
        <w:tab/>
        <w:t>(f)</w:t>
      </w:r>
      <w:r>
        <w:rPr>
          <w:snapToGrid w:val="0"/>
        </w:rPr>
        <w:tab/>
        <w:t>to the installation of poles, towers and overhead lines not involving the final connection or testing of circuits;</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 250 volts unless carried out by a person for gain or reward or in the course of employment;</w:t>
      </w:r>
    </w:p>
    <w:p>
      <w:pPr>
        <w:pStyle w:val="Indenta"/>
        <w:rPr>
          <w:snapToGrid w:val="0"/>
        </w:rPr>
      </w:pPr>
      <w:r>
        <w:rPr>
          <w:snapToGrid w:val="0"/>
        </w:rPr>
        <w:tab/>
        <w:t>(i)</w:t>
      </w:r>
      <w:r>
        <w:rPr>
          <w:snapToGrid w:val="0"/>
        </w:rPr>
        <w:tab/>
        <w:t>to work done in the course of training for a restricted licence if the work is done under the supervision of a person who holds an “A” grade licence or a restricted licence that authorises the holder of the licence to carry out electrical work of the kind to be done by the person under supervision;</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w:t>
      </w:r>
    </w:p>
    <w:p>
      <w:pPr>
        <w:pStyle w:val="Indenta"/>
        <w:rPr>
          <w:snapToGrid w:val="0"/>
        </w:rPr>
      </w:pPr>
      <w:r>
        <w:rPr>
          <w:snapToGrid w:val="0"/>
        </w:rPr>
        <w:tab/>
        <w:t>(k)</w:t>
      </w:r>
      <w:r>
        <w:rPr>
          <w:snapToGrid w:val="0"/>
        </w:rPr>
        <w:tab/>
        <w:t xml:space="preserve">to such other kinds of work of a specialized nature as the Director declares, by order published in the </w:t>
      </w:r>
      <w:r>
        <w:rPr>
          <w:i/>
          <w:snapToGrid w:val="0"/>
        </w:rPr>
        <w:t>Gazette</w:t>
      </w:r>
      <w:r>
        <w:rPr>
          <w:snapToGrid w:val="0"/>
        </w:rPr>
        <w:t>, to be work that may be carried out by persons not holding a licence or permit; and</w:t>
      </w:r>
    </w:p>
    <w:p>
      <w:pPr>
        <w:pStyle w:val="Indenta"/>
        <w:rPr>
          <w:snapToGrid w:val="0"/>
        </w:rPr>
      </w:pPr>
      <w:r>
        <w:rPr>
          <w:snapToGrid w:val="0"/>
        </w:rPr>
        <w:tab/>
        <w:t>(l)</w:t>
      </w:r>
      <w:r>
        <w:rPr>
          <w:snapToGrid w:val="0"/>
        </w:rPr>
        <w:tab/>
        <w:t>to the installation of electric fences for security or stock control purposes (but does apply to the installation of an electricity supply circuit, having a nominal pressure exceeding 50 volts alternating current or 115 volts direct current, to such a fence).</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pPr>
      <w:r>
        <w:tab/>
        <w:t xml:space="preserve">[Regulation 19 amended in Gazette 23 Dec 1994 p. 7134 and 7135; 6 Sep 1996 p. 4412.] </w:t>
      </w:r>
    </w:p>
    <w:p>
      <w:pPr>
        <w:pStyle w:val="Heading5"/>
        <w:rPr>
          <w:snapToGrid w:val="0"/>
        </w:rPr>
      </w:pPr>
      <w:bookmarkStart w:id="163" w:name="_Toc31684954"/>
      <w:bookmarkStart w:id="164" w:name="_Toc92790623"/>
      <w:bookmarkStart w:id="165" w:name="_Toc92965256"/>
      <w:bookmarkStart w:id="166" w:name="_Toc112151080"/>
      <w:bookmarkStart w:id="167" w:name="_Toc139258267"/>
      <w:bookmarkStart w:id="168" w:name="_Toc136662510"/>
      <w:r>
        <w:rPr>
          <w:rStyle w:val="CharSectno"/>
        </w:rPr>
        <w:t>20</w:t>
      </w:r>
      <w:r>
        <w:rPr>
          <w:snapToGrid w:val="0"/>
        </w:rPr>
        <w:t>.</w:t>
      </w:r>
      <w:r>
        <w:rPr>
          <w:snapToGrid w:val="0"/>
        </w:rPr>
        <w:tab/>
        <w:t>Effect of licence</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 electrical worker’s licence shall be endorsed as an “A” grade licence (electrical mechanic, or, electrical fitter, or both), a “C” grade licence or a restricted licence according to the qualifications of the person in question.</w:t>
      </w:r>
    </w:p>
    <w:p>
      <w:pPr>
        <w:pStyle w:val="Subsection"/>
        <w:rPr>
          <w:snapToGrid w:val="0"/>
        </w:rPr>
      </w:pPr>
      <w:r>
        <w:rPr>
          <w:snapToGrid w:val="0"/>
        </w:rPr>
        <w:tab/>
        <w:t>(2)</w:t>
      </w:r>
      <w:r>
        <w:rPr>
          <w:snapToGrid w:val="0"/>
        </w:rPr>
        <w:tab/>
        <w:t>An electrical worker’s licence endorsed as an electrical mechanic’s licence authorises the holder of the licence to carry out electrical installing work and an electrical worker’s licence endorsed as an electrical fitter’s licence authorises the holder of the licence to carry out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“A” grade licence, the work authorised by the licence may be carried out without supervision;</w:t>
      </w:r>
    </w:p>
    <w:p>
      <w:pPr>
        <w:pStyle w:val="Indenta"/>
        <w:rPr>
          <w:snapToGrid w:val="0"/>
        </w:rPr>
      </w:pPr>
      <w:r>
        <w:rPr>
          <w:snapToGrid w:val="0"/>
        </w:rPr>
        <w:tab/>
        <w:t>(b)</w:t>
      </w:r>
      <w:r>
        <w:rPr>
          <w:snapToGrid w:val="0"/>
        </w:rPr>
        <w:tab/>
        <w:t>a “C” grade licence, the work authorised by the licence shall be effectively supervised in accordance with regulation 50(4) by the holder of an “A” grade licence of that kind.</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 subject to such restrictions and conditions as are specified in the licence.</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in Gazette 6 Sep 1996 p. 4413.] </w:t>
      </w:r>
    </w:p>
    <w:p>
      <w:pPr>
        <w:pStyle w:val="Heading5"/>
        <w:spacing w:before="180"/>
        <w:rPr>
          <w:snapToGrid w:val="0"/>
        </w:rPr>
      </w:pPr>
      <w:bookmarkStart w:id="169" w:name="_Toc31684955"/>
      <w:bookmarkStart w:id="170" w:name="_Toc92790624"/>
      <w:bookmarkStart w:id="171" w:name="_Toc92965257"/>
      <w:bookmarkStart w:id="172" w:name="_Toc112151081"/>
      <w:bookmarkStart w:id="173" w:name="_Toc139258268"/>
      <w:bookmarkStart w:id="174" w:name="_Toc136662511"/>
      <w:r>
        <w:rPr>
          <w:rStyle w:val="CharSectno"/>
        </w:rPr>
        <w:t>21</w:t>
      </w:r>
      <w:r>
        <w:rPr>
          <w:snapToGrid w:val="0"/>
        </w:rPr>
        <w:t>.</w:t>
      </w:r>
      <w:r>
        <w:rPr>
          <w:snapToGrid w:val="0"/>
        </w:rPr>
        <w:tab/>
        <w:t>Effect of permit</w:t>
      </w:r>
      <w:bookmarkEnd w:id="169"/>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75" w:name="_Toc31684956"/>
      <w:bookmarkStart w:id="176" w:name="_Toc92790625"/>
      <w:bookmarkStart w:id="177" w:name="_Toc92965258"/>
      <w:bookmarkStart w:id="178" w:name="_Toc112151082"/>
      <w:bookmarkStart w:id="179" w:name="_Toc139258269"/>
      <w:bookmarkStart w:id="180" w:name="_Toc136662512"/>
      <w:r>
        <w:rPr>
          <w:rStyle w:val="CharSectno"/>
        </w:rPr>
        <w:t>22</w:t>
      </w:r>
      <w:r>
        <w:rPr>
          <w:snapToGrid w:val="0"/>
        </w:rPr>
        <w:t>.</w:t>
      </w:r>
      <w:r>
        <w:rPr>
          <w:snapToGrid w:val="0"/>
        </w:rPr>
        <w:tab/>
        <w:t>Eligibility for licence</w:t>
      </w:r>
      <w:bookmarkEnd w:id="175"/>
      <w:bookmarkEnd w:id="176"/>
      <w:bookmarkEnd w:id="177"/>
      <w:bookmarkEnd w:id="178"/>
      <w:bookmarkEnd w:id="179"/>
      <w:bookmarkEnd w:id="180"/>
      <w:r>
        <w:rPr>
          <w:snapToGrid w:val="0"/>
        </w:rPr>
        <w:t xml:space="preserve"> </w:t>
      </w:r>
    </w:p>
    <w:p>
      <w:pPr>
        <w:pStyle w:val="Subsection"/>
        <w:spacing w:before="120"/>
        <w:rPr>
          <w:snapToGrid w:val="0"/>
        </w:rPr>
      </w:pPr>
      <w:r>
        <w:rPr>
          <w:snapToGrid w:val="0"/>
        </w:rPr>
        <w:tab/>
        <w:t>(1)</w:t>
      </w:r>
      <w:r>
        <w:rPr>
          <w:snapToGrid w:val="0"/>
        </w:rPr>
        <w:tab/>
        <w:t>An electrical worker’s licence endorsed as “A” grade (electrical mechanic, or, electrical fitter, or both)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rPr>
          <w:snapToGrid w:val="0"/>
        </w:rPr>
        <w:t xml:space="preserve"> in electrical installing work or electrical fitting work, as the case requires; or</w:t>
      </w:r>
    </w:p>
    <w:p>
      <w:pPr>
        <w:pStyle w:val="Indenti"/>
        <w:rPr>
          <w:snapToGrid w:val="0"/>
        </w:rPr>
      </w:pPr>
      <w:r>
        <w:rPr>
          <w:snapToGrid w:val="0"/>
        </w:rPr>
        <w:tab/>
        <w:t>(ii)</w:t>
      </w:r>
      <w:r>
        <w:rPr>
          <w:snapToGrid w:val="0"/>
        </w:rPr>
        <w:tab/>
        <w:t>a skills formation program recognized by the Department of Training as being of a standard appropriate to the training of a tradesperson engaged in electrical installing work or electrical fitting work, as the case requires,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or electrical fitting work, as the case requires,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rPr>
          <w:snapToGrid w:val="0"/>
        </w:rPr>
      </w:pPr>
      <w:r>
        <w:rPr>
          <w:snapToGrid w:val="0"/>
        </w:rPr>
        <w:tab/>
        <w:t>(2)</w:t>
      </w:r>
      <w:r>
        <w:rPr>
          <w:snapToGrid w:val="0"/>
        </w:rPr>
        <w:tab/>
        <w:t>The Board shall not issue a licence to a person referred to in subregulation (1)(b) or (c) unless that person has passed such examinations as are required or recognized by the Board in each kind of electrical work authorised by the licence to be carried out or has been exempted by the Board from the requirement to pass such examination.</w:t>
      </w:r>
    </w:p>
    <w:p>
      <w:pPr>
        <w:pStyle w:val="Subsection"/>
        <w:rPr>
          <w:snapToGrid w:val="0"/>
        </w:rPr>
      </w:pPr>
      <w:r>
        <w:rPr>
          <w:snapToGrid w:val="0"/>
        </w:rPr>
        <w:tab/>
        <w:t>(3)</w:t>
      </w:r>
      <w:r>
        <w:rPr>
          <w:snapToGrid w:val="0"/>
        </w:rPr>
        <w:tab/>
        <w:t>A licence endorsed as “C” grade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has entered into an apprenticeship in electrical installing work or electrical fitting work; or</w:t>
      </w:r>
    </w:p>
    <w:p>
      <w:pPr>
        <w:pStyle w:val="Indenta"/>
        <w:rPr>
          <w:snapToGrid w:val="0"/>
        </w:rPr>
      </w:pPr>
      <w:r>
        <w:rPr>
          <w:snapToGrid w:val="0"/>
        </w:rPr>
        <w:tab/>
        <w:t>(b)</w:t>
      </w:r>
      <w:r>
        <w:rPr>
          <w:snapToGrid w:val="0"/>
        </w:rPr>
        <w:tab/>
        <w:t>has entered into a course of training in electrical work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A person who is required to undertake an examination under this regulation shall pay such examination fees — </w:t>
      </w:r>
    </w:p>
    <w:p>
      <w:pPr>
        <w:pStyle w:val="Indenta"/>
        <w:rPr>
          <w:snapToGrid w:val="0"/>
        </w:rPr>
      </w:pPr>
      <w:r>
        <w:rPr>
          <w:snapToGrid w:val="0"/>
        </w:rPr>
        <w:tab/>
        <w:t>(a)</w:t>
      </w:r>
      <w:r>
        <w:rPr>
          <w:snapToGrid w:val="0"/>
        </w:rPr>
        <w:tab/>
        <w:t>if the examination is conducted by the Board, as are determined by the Director; or</w:t>
      </w:r>
    </w:p>
    <w:p>
      <w:pPr>
        <w:pStyle w:val="Indenta"/>
        <w:rPr>
          <w:snapToGrid w:val="0"/>
        </w:rPr>
      </w:pPr>
      <w:r>
        <w:rPr>
          <w:snapToGrid w:val="0"/>
        </w:rPr>
        <w:tab/>
        <w:t>(b)</w:t>
      </w:r>
      <w:r>
        <w:rPr>
          <w:snapToGrid w:val="0"/>
        </w:rPr>
        <w:tab/>
        <w:t>if the examination is conducted by a body approved by the Director to do so, as are determined by the body.</w:t>
      </w:r>
    </w:p>
    <w:p>
      <w:pPr>
        <w:pStyle w:val="Subsection"/>
        <w:rPr>
          <w:snapToGrid w:val="0"/>
        </w:rPr>
      </w:pPr>
      <w:r>
        <w:rPr>
          <w:snapToGrid w:val="0"/>
        </w:rPr>
        <w:tab/>
        <w:t>(6)</w:t>
      </w:r>
      <w:r>
        <w:rPr>
          <w:snapToGrid w:val="0"/>
        </w:rPr>
        <w:tab/>
        <w:t>In subregulation (1)(a)(ii) — </w:t>
      </w:r>
    </w:p>
    <w:p>
      <w:pPr>
        <w:pStyle w:val="Defstart"/>
      </w:pPr>
      <w:r>
        <w:rPr>
          <w:b/>
        </w:rPr>
        <w:tab/>
        <w:t>“</w:t>
      </w:r>
      <w:r>
        <w:rPr>
          <w:rStyle w:val="CharDefText"/>
        </w:rPr>
        <w:t>Department of Training</w:t>
      </w:r>
      <w:r>
        <w:rPr>
          <w:b/>
        </w:rPr>
        <w:t>”</w:t>
      </w:r>
      <w:r>
        <w:t xml:space="preserve"> means the department of the Public Service principally assisting the Minister to whom the administration of the </w:t>
      </w:r>
      <w:r>
        <w:rPr>
          <w:i/>
        </w:rPr>
        <w:t>Industrial Training Act 1975</w:t>
      </w:r>
      <w:r>
        <w:t xml:space="preserve"> is for the time being committed by the Governor in the administration of that Act.</w:t>
      </w:r>
    </w:p>
    <w:p>
      <w:pPr>
        <w:pStyle w:val="Footnotesection"/>
      </w:pPr>
      <w:r>
        <w:tab/>
        <w:t>[Regulation 22 amended in Gazette 23 Dec 1994 p. 7134; 6 Sep 1996 p. 4413</w:t>
      </w:r>
      <w:r>
        <w:noBreakHyphen/>
        <w:t xml:space="preserve">14.] </w:t>
      </w:r>
    </w:p>
    <w:p>
      <w:pPr>
        <w:pStyle w:val="Heading5"/>
        <w:rPr>
          <w:snapToGrid w:val="0"/>
        </w:rPr>
      </w:pPr>
      <w:bookmarkStart w:id="181" w:name="_Toc31684957"/>
      <w:bookmarkStart w:id="182" w:name="_Toc92790626"/>
      <w:bookmarkStart w:id="183" w:name="_Toc92965259"/>
      <w:bookmarkStart w:id="184" w:name="_Toc112151083"/>
      <w:bookmarkStart w:id="185" w:name="_Toc139258270"/>
      <w:bookmarkStart w:id="186" w:name="_Toc136662513"/>
      <w:r>
        <w:rPr>
          <w:rStyle w:val="CharSectno"/>
        </w:rPr>
        <w:t>23</w:t>
      </w:r>
      <w:r>
        <w:rPr>
          <w:snapToGrid w:val="0"/>
        </w:rPr>
        <w:t>.</w:t>
      </w:r>
      <w:r>
        <w:rPr>
          <w:snapToGrid w:val="0"/>
        </w:rPr>
        <w:tab/>
        <w:t>Application for licence or permit</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 application for the issue of a licence or permit or the renewal of the registration of a licence holder or permit holder, as the case may be, is made in accordance with this regulation by submitting to the executive officer, together with the appropriate fee set out in the Schedule, such form, duly completed, as the Director makes available for the purpose.</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pPr>
      <w:r>
        <w:tab/>
        <w:t xml:space="preserve">[Regulation 23 amended in Gazette 23 Dec 1994 p. 7134.] </w:t>
      </w:r>
    </w:p>
    <w:p>
      <w:pPr>
        <w:pStyle w:val="Heading5"/>
        <w:rPr>
          <w:snapToGrid w:val="0"/>
        </w:rPr>
      </w:pPr>
      <w:bookmarkStart w:id="187" w:name="_Toc31684958"/>
      <w:bookmarkStart w:id="188" w:name="_Toc92790627"/>
      <w:bookmarkStart w:id="189" w:name="_Toc92965260"/>
      <w:bookmarkStart w:id="190" w:name="_Toc112151084"/>
      <w:bookmarkStart w:id="191" w:name="_Toc139258271"/>
      <w:bookmarkStart w:id="192" w:name="_Toc136662514"/>
      <w:r>
        <w:rPr>
          <w:rStyle w:val="CharSectno"/>
        </w:rPr>
        <w:t>24</w:t>
      </w:r>
      <w:r>
        <w:rPr>
          <w:snapToGrid w:val="0"/>
        </w:rPr>
        <w:t>.</w:t>
      </w:r>
      <w:r>
        <w:rPr>
          <w:snapToGrid w:val="0"/>
        </w:rPr>
        <w:tab/>
        <w:t>Issue of licence or permit</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Where a person who fulfils the relevant requirements of regulation 22 makes application for the issue of a licence or permit in accordance with regulation 23 the Board may —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 and may endorse the permit with such conditions as it deems necessary.</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Footnotesection"/>
      </w:pPr>
      <w:r>
        <w:tab/>
        <w:t xml:space="preserve">[Regulation 24 amended in Gazette 23 Dec 1994 p. 7134.] </w:t>
      </w:r>
    </w:p>
    <w:p>
      <w:pPr>
        <w:pStyle w:val="Heading5"/>
        <w:rPr>
          <w:snapToGrid w:val="0"/>
        </w:rPr>
      </w:pPr>
      <w:bookmarkStart w:id="193" w:name="_Toc31684959"/>
      <w:bookmarkStart w:id="194" w:name="_Toc92790628"/>
      <w:bookmarkStart w:id="195" w:name="_Toc92965261"/>
      <w:bookmarkStart w:id="196" w:name="_Toc112151085"/>
      <w:bookmarkStart w:id="197" w:name="_Toc139258272"/>
      <w:bookmarkStart w:id="198" w:name="_Toc136662515"/>
      <w:r>
        <w:rPr>
          <w:rStyle w:val="CharSectno"/>
        </w:rPr>
        <w:t>25</w:t>
      </w:r>
      <w:r>
        <w:rPr>
          <w:snapToGrid w:val="0"/>
        </w:rPr>
        <w:t>.</w:t>
      </w:r>
      <w:r>
        <w:rPr>
          <w:snapToGrid w:val="0"/>
        </w:rPr>
        <w:tab/>
        <w:t>Holders of licences issued in another State or Territory or in New Zealand</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who is licensed to carry out electrical work, other than as an electrical contractor only, under the law of another State or Territory or of New Zealand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 of New Zealand.</w:t>
      </w:r>
    </w:p>
    <w:p>
      <w:pPr>
        <w:pStyle w:val="Subsection"/>
        <w:rPr>
          <w:snapToGrid w:val="0"/>
        </w:rPr>
      </w:pPr>
      <w:r>
        <w:rPr>
          <w:snapToGrid w:val="0"/>
        </w:rPr>
        <w:tab/>
        <w:t>(2)</w:t>
      </w:r>
      <w:r>
        <w:rPr>
          <w:snapToGrid w:val="0"/>
        </w:rPr>
        <w:tab/>
        <w:t>On receipt of an application made under subregulation (1) the Board shall if it is satisfied with the information contained in that application issue to the applicant a corresponding licence.</w:t>
      </w:r>
    </w:p>
    <w:p>
      <w:pPr>
        <w:pStyle w:val="Heading5"/>
        <w:rPr>
          <w:snapToGrid w:val="0"/>
        </w:rPr>
      </w:pPr>
      <w:bookmarkStart w:id="199" w:name="_Toc31684960"/>
      <w:bookmarkStart w:id="200" w:name="_Toc92790629"/>
      <w:bookmarkStart w:id="201" w:name="_Toc92965262"/>
      <w:bookmarkStart w:id="202" w:name="_Toc112151086"/>
      <w:bookmarkStart w:id="203" w:name="_Toc139258273"/>
      <w:bookmarkStart w:id="204" w:name="_Toc136662516"/>
      <w:r>
        <w:rPr>
          <w:rStyle w:val="CharSectno"/>
        </w:rPr>
        <w:t>26</w:t>
      </w:r>
      <w:r>
        <w:rPr>
          <w:snapToGrid w:val="0"/>
        </w:rPr>
        <w:t>.</w:t>
      </w:r>
      <w:r>
        <w:rPr>
          <w:snapToGrid w:val="0"/>
        </w:rPr>
        <w:tab/>
        <w:t>Duration of registration of licence or permit</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these regulations, the registration of every licence other than a “C” grade licence continues to have effect on and from the day on which it was issued unless suspended or cancelled under these regulations, or until the name of the holder of the licence is removed from the register under these regulations.</w:t>
      </w:r>
    </w:p>
    <w:p>
      <w:pPr>
        <w:pStyle w:val="Subsection"/>
        <w:rPr>
          <w:snapToGrid w:val="0"/>
        </w:rPr>
      </w:pPr>
      <w:r>
        <w:rPr>
          <w:snapToGrid w:val="0"/>
        </w:rPr>
        <w:tab/>
        <w:t>(2)</w:t>
      </w:r>
      <w:r>
        <w:rPr>
          <w:snapToGrid w:val="0"/>
        </w:rPr>
        <w:tab/>
        <w:t>Where the holder of a “C” grade licence has entered training as an electrical mechanic or electrical fitter, his or her licence ceases to have effect while he or she is not employed as such.</w:t>
      </w:r>
    </w:p>
    <w:p>
      <w:pPr>
        <w:pStyle w:val="Subsection"/>
        <w:rPr>
          <w:snapToGrid w:val="0"/>
        </w:rPr>
      </w:pPr>
      <w:r>
        <w:rPr>
          <w:snapToGrid w:val="0"/>
        </w:rPr>
        <w:tab/>
        <w:t>(3)</w:t>
      </w:r>
      <w:r>
        <w:rPr>
          <w:snapToGrid w:val="0"/>
        </w:rPr>
        <w:tab/>
        <w:t>The registration of a permit expires after such period as is specified by the Board in the permit, being not longer than one year,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w:t>
      </w:r>
    </w:p>
    <w:p>
      <w:pPr>
        <w:pStyle w:val="Heading5"/>
        <w:rPr>
          <w:snapToGrid w:val="0"/>
        </w:rPr>
      </w:pPr>
      <w:bookmarkStart w:id="205" w:name="_Toc31684961"/>
      <w:bookmarkStart w:id="206" w:name="_Toc92790630"/>
      <w:bookmarkStart w:id="207" w:name="_Toc92965263"/>
      <w:bookmarkStart w:id="208" w:name="_Toc112151087"/>
      <w:bookmarkStart w:id="209" w:name="_Toc139258274"/>
      <w:bookmarkStart w:id="210" w:name="_Toc136662517"/>
      <w:r>
        <w:rPr>
          <w:rStyle w:val="CharSectno"/>
        </w:rPr>
        <w:t>27</w:t>
      </w:r>
      <w:r>
        <w:rPr>
          <w:snapToGrid w:val="0"/>
        </w:rPr>
        <w:t>.</w:t>
      </w:r>
      <w:r>
        <w:rPr>
          <w:snapToGrid w:val="0"/>
        </w:rPr>
        <w:tab/>
        <w:t>Renewal of registration</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Upon the issue of a licence, other than a “C” grade licence, the executive officer shall cause the name and other relevant particulars relating to the licence holder as are directed by the Board to be entered in a register containing such particulars as are directed by the Board.</w:t>
      </w:r>
    </w:p>
    <w:p>
      <w:pPr>
        <w:pStyle w:val="Subsection"/>
        <w:rPr>
          <w:snapToGrid w:val="0"/>
        </w:rPr>
      </w:pPr>
      <w:r>
        <w:rPr>
          <w:snapToGrid w:val="0"/>
        </w:rPr>
        <w:tab/>
        <w:t>(2)</w:t>
      </w:r>
      <w:r>
        <w:rPr>
          <w:snapToGrid w:val="0"/>
        </w:rPr>
        <w:tab/>
        <w:t>The registration of a licence expires after such period not exceeding 5 years as is specified in the certificate of registration and has effect for that period unless it is suspended or cancelled under these regulations.</w:t>
      </w:r>
    </w:p>
    <w:p>
      <w:pPr>
        <w:pStyle w:val="Subsection"/>
        <w:rPr>
          <w:snapToGrid w:val="0"/>
        </w:rPr>
      </w:pPr>
      <w:r>
        <w:rPr>
          <w:snapToGrid w:val="0"/>
        </w:rPr>
        <w:tab/>
        <w:t>(3)</w:t>
      </w:r>
      <w:r>
        <w:rPr>
          <w:snapToGrid w:val="0"/>
        </w:rPr>
        <w:tab/>
        <w:t>A licence holder shall not earlier than 90 days before, and, not later than 30 days after, the date of the expiry of his or her registration as a licence holder forward to the Board the registration fee prescribed in the Schedule.</w:t>
      </w:r>
    </w:p>
    <w:p>
      <w:pPr>
        <w:pStyle w:val="Subsection"/>
        <w:rPr>
          <w:snapToGrid w:val="0"/>
        </w:rPr>
      </w:pPr>
      <w:r>
        <w:rPr>
          <w:snapToGrid w:val="0"/>
        </w:rPr>
        <w:tab/>
        <w:t>(4)</w:t>
      </w:r>
      <w:r>
        <w:rPr>
          <w:snapToGrid w:val="0"/>
        </w:rPr>
        <w:tab/>
        <w:t>Where the registration of a licence holder is renewed under subregulation (3), 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Where the registration of a licence holder is renewed under subregulation (3) 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27 amended in Gazette 6 Sep 1996 p. 4414.] </w:t>
      </w:r>
    </w:p>
    <w:p>
      <w:pPr>
        <w:pStyle w:val="Heading5"/>
        <w:rPr>
          <w:snapToGrid w:val="0"/>
        </w:rPr>
      </w:pPr>
      <w:bookmarkStart w:id="211" w:name="_Toc31684962"/>
      <w:bookmarkStart w:id="212" w:name="_Toc92790631"/>
      <w:bookmarkStart w:id="213" w:name="_Toc92965264"/>
      <w:bookmarkStart w:id="214" w:name="_Toc112151088"/>
      <w:bookmarkStart w:id="215" w:name="_Toc139258275"/>
      <w:bookmarkStart w:id="216" w:name="_Toc136662518"/>
      <w:r>
        <w:rPr>
          <w:rStyle w:val="CharSectno"/>
        </w:rPr>
        <w:t>28</w:t>
      </w:r>
      <w:r>
        <w:rPr>
          <w:snapToGrid w:val="0"/>
        </w:rPr>
        <w:t>.</w:t>
      </w:r>
      <w:r>
        <w:rPr>
          <w:snapToGrid w:val="0"/>
        </w:rPr>
        <w:tab/>
        <w:t>Address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written notice, the person shall, not later than 28 days after the change, give to the Board written notice of his or her new residential address.</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Heading5"/>
        <w:rPr>
          <w:snapToGrid w:val="0"/>
        </w:rPr>
      </w:pPr>
      <w:bookmarkStart w:id="217" w:name="_Toc31684963"/>
      <w:bookmarkStart w:id="218" w:name="_Toc92790632"/>
      <w:bookmarkStart w:id="219" w:name="_Toc92965265"/>
      <w:bookmarkStart w:id="220" w:name="_Toc112151089"/>
      <w:bookmarkStart w:id="221" w:name="_Toc139258276"/>
      <w:bookmarkStart w:id="222" w:name="_Toc136662519"/>
      <w:r>
        <w:rPr>
          <w:rStyle w:val="CharSectno"/>
        </w:rPr>
        <w:t>29</w:t>
      </w:r>
      <w:r>
        <w:rPr>
          <w:snapToGrid w:val="0"/>
        </w:rPr>
        <w:t>.</w:t>
      </w:r>
      <w:r>
        <w:rPr>
          <w:snapToGrid w:val="0"/>
        </w:rPr>
        <w:tab/>
        <w:t>Discretionary examinations and tests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examination or trade test as the Board specifies.</w:t>
      </w:r>
    </w:p>
    <w:p>
      <w:pPr>
        <w:pStyle w:val="Subsection"/>
        <w:rPr>
          <w:snapToGrid w:val="0"/>
        </w:rPr>
      </w:pPr>
      <w:r>
        <w:rPr>
          <w:snapToGrid w:val="0"/>
        </w:rPr>
        <w:tab/>
        <w:t>(3)</w:t>
      </w:r>
      <w:r>
        <w:rPr>
          <w:snapToGrid w:val="0"/>
        </w:rPr>
        <w:tab/>
        <w:t>Where a person required under subregulation (1) or (2) to undergo an examination or test — </w:t>
      </w:r>
    </w:p>
    <w:p>
      <w:pPr>
        <w:pStyle w:val="Indenta"/>
        <w:rPr>
          <w:snapToGrid w:val="0"/>
        </w:rPr>
      </w:pPr>
      <w:r>
        <w:rPr>
          <w:snapToGrid w:val="0"/>
        </w:rPr>
        <w:tab/>
        <w:t>(a)</w:t>
      </w:r>
      <w:r>
        <w:rPr>
          <w:snapToGrid w:val="0"/>
        </w:rPr>
        <w:tab/>
        <w:t>fails to comply with the requirement within the time specified in the requirement;</w:t>
      </w:r>
    </w:p>
    <w:p>
      <w:pPr>
        <w:pStyle w:val="Indenta"/>
        <w:rPr>
          <w:snapToGrid w:val="0"/>
        </w:rPr>
      </w:pPr>
      <w:r>
        <w:rPr>
          <w:snapToGrid w:val="0"/>
        </w:rPr>
        <w:tab/>
        <w:t>(b)</w:t>
      </w:r>
      <w:r>
        <w:rPr>
          <w:snapToGrid w:val="0"/>
        </w:rPr>
        <w:tab/>
        <w:t>fails to produce to the Board evidence considered by the Board to be satisfactory concerning the results of that examination or test; or</w:t>
      </w:r>
    </w:p>
    <w:p>
      <w:pPr>
        <w:pStyle w:val="Indenta"/>
        <w:rPr>
          <w:snapToGrid w:val="0"/>
        </w:rPr>
      </w:pPr>
      <w:r>
        <w:rPr>
          <w:snapToGrid w:val="0"/>
        </w:rPr>
        <w:tab/>
        <w:t>(c)</w:t>
      </w:r>
      <w:r>
        <w:rPr>
          <w:snapToGrid w:val="0"/>
        </w:rPr>
        <w:tab/>
        <w:t>fails, upon that 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 or</w:t>
      </w:r>
    </w:p>
    <w:p>
      <w:pPr>
        <w:pStyle w:val="Indenta"/>
        <w:keepNext/>
        <w:rPr>
          <w:snapToGrid w:val="0"/>
        </w:rPr>
      </w:pPr>
      <w:r>
        <w:rPr>
          <w:snapToGrid w:val="0"/>
        </w:rPr>
        <w:tab/>
        <w:t>(e)</w:t>
      </w:r>
      <w:r>
        <w:rPr>
          <w:snapToGrid w:val="0"/>
        </w:rPr>
        <w:tab/>
        <w:t>suspend or cancel,</w:t>
      </w:r>
    </w:p>
    <w:p>
      <w:pPr>
        <w:pStyle w:val="Subsection"/>
        <w:rPr>
          <w:snapToGrid w:val="0"/>
        </w:rPr>
      </w:pPr>
      <w:r>
        <w:rPr>
          <w:snapToGrid w:val="0"/>
        </w:rPr>
        <w:tab/>
      </w:r>
      <w:r>
        <w:rPr>
          <w:snapToGrid w:val="0"/>
        </w:rPr>
        <w:tab/>
        <w:t>his or her licence or permit.</w:t>
      </w:r>
    </w:p>
    <w:p>
      <w:pPr>
        <w:pStyle w:val="Heading5"/>
      </w:pPr>
      <w:bookmarkStart w:id="223" w:name="_Toc92790635"/>
      <w:bookmarkStart w:id="224" w:name="_Toc92965266"/>
      <w:bookmarkStart w:id="225" w:name="_Toc112151090"/>
      <w:bookmarkStart w:id="226" w:name="_Toc139258277"/>
      <w:bookmarkStart w:id="227" w:name="_Toc136662520"/>
      <w:bookmarkStart w:id="228" w:name="_Toc31684966"/>
      <w:r>
        <w:rPr>
          <w:rStyle w:val="CharSectno"/>
        </w:rPr>
        <w:t>30</w:t>
      </w:r>
      <w:r>
        <w:t>.</w:t>
      </w:r>
      <w:r>
        <w:tab/>
        <w:t>Discipline</w:t>
      </w:r>
      <w:bookmarkEnd w:id="223"/>
      <w:bookmarkEnd w:id="224"/>
      <w:bookmarkEnd w:id="225"/>
      <w:bookmarkEnd w:id="226"/>
      <w:bookmarkEnd w:id="227"/>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of regulation 49 or 50.</w:t>
      </w:r>
    </w:p>
    <w:p>
      <w:pPr>
        <w:pStyle w:val="Footnotesection"/>
      </w:pPr>
      <w:r>
        <w:tab/>
        <w:t>[Regulation 30 inserted in Gazette 30 Dec 2004 p. 6990-1.]</w:t>
      </w:r>
    </w:p>
    <w:p>
      <w:pPr>
        <w:pStyle w:val="Heading5"/>
      </w:pPr>
      <w:bookmarkStart w:id="229" w:name="_Toc92790636"/>
      <w:bookmarkStart w:id="230" w:name="_Toc92965267"/>
      <w:bookmarkStart w:id="231" w:name="_Toc112151091"/>
      <w:bookmarkStart w:id="232" w:name="_Toc139258278"/>
      <w:bookmarkStart w:id="233" w:name="_Toc136662521"/>
      <w:r>
        <w:rPr>
          <w:rStyle w:val="CharSectno"/>
        </w:rPr>
        <w:t>31</w:t>
      </w:r>
      <w:r>
        <w:t>.</w:t>
      </w:r>
      <w:r>
        <w:tab/>
        <w:t>Disciplinary powers</w:t>
      </w:r>
      <w:bookmarkEnd w:id="229"/>
      <w:bookmarkEnd w:id="230"/>
      <w:bookmarkEnd w:id="231"/>
      <w:bookmarkEnd w:id="232"/>
      <w:bookmarkEnd w:id="23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nominated electrical worker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6991-2.]</w:t>
      </w:r>
    </w:p>
    <w:p>
      <w:pPr>
        <w:pStyle w:val="Heading5"/>
      </w:pPr>
      <w:bookmarkStart w:id="234" w:name="_Toc92790637"/>
      <w:bookmarkStart w:id="235" w:name="_Toc92965268"/>
      <w:bookmarkStart w:id="236" w:name="_Toc112151092"/>
      <w:bookmarkStart w:id="237" w:name="_Toc139258279"/>
      <w:bookmarkStart w:id="238" w:name="_Toc136662522"/>
      <w:r>
        <w:rPr>
          <w:rStyle w:val="CharSectno"/>
        </w:rPr>
        <w:t>31A</w:t>
      </w:r>
      <w:r>
        <w:t>.</w:t>
      </w:r>
      <w:r>
        <w:tab/>
        <w:t>Alternative to bringing proceedings</w:t>
      </w:r>
      <w:bookmarkEnd w:id="234"/>
      <w:bookmarkEnd w:id="235"/>
      <w:bookmarkEnd w:id="236"/>
      <w:bookmarkEnd w:id="237"/>
      <w:bookmarkEnd w:id="238"/>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nominated electrical worker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6992-3.]</w:t>
      </w:r>
    </w:p>
    <w:p>
      <w:pPr>
        <w:pStyle w:val="Heading5"/>
        <w:rPr>
          <w:snapToGrid w:val="0"/>
        </w:rPr>
      </w:pPr>
      <w:bookmarkStart w:id="239" w:name="_Toc92790638"/>
      <w:bookmarkStart w:id="240" w:name="_Toc92965269"/>
      <w:bookmarkStart w:id="241" w:name="_Toc112151093"/>
      <w:bookmarkStart w:id="242" w:name="_Toc139258280"/>
      <w:bookmarkStart w:id="243" w:name="_Toc136662523"/>
      <w:r>
        <w:rPr>
          <w:rStyle w:val="CharSectno"/>
        </w:rPr>
        <w:t>32</w:t>
      </w:r>
      <w:r>
        <w:rPr>
          <w:snapToGrid w:val="0"/>
        </w:rPr>
        <w:t>.</w:t>
      </w:r>
      <w:r>
        <w:rPr>
          <w:snapToGrid w:val="0"/>
        </w:rPr>
        <w:tab/>
        <w:t>Effect of, and revocation of, suspension</w:t>
      </w:r>
      <w:bookmarkEnd w:id="22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During any period for which a licence or permit is suspended under these regulations, the holder is not authorised to carry out electrical work under the licence or permit except that where a suspension is expressed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44" w:name="_Toc54672599"/>
      <w:bookmarkStart w:id="245"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6993-4.]</w:t>
      </w:r>
    </w:p>
    <w:p>
      <w:pPr>
        <w:pStyle w:val="Heading2"/>
      </w:pPr>
      <w:bookmarkStart w:id="246" w:name="_Toc92790639"/>
      <w:bookmarkStart w:id="247" w:name="_Toc92790773"/>
      <w:bookmarkStart w:id="248" w:name="_Toc92965270"/>
      <w:bookmarkStart w:id="249" w:name="_Toc92965374"/>
      <w:bookmarkStart w:id="250" w:name="_Toc101593819"/>
      <w:bookmarkStart w:id="251" w:name="_Toc112133195"/>
      <w:bookmarkStart w:id="252" w:name="_Toc112151094"/>
      <w:bookmarkStart w:id="253" w:name="_Toc133305773"/>
      <w:bookmarkStart w:id="254" w:name="_Toc135028285"/>
      <w:bookmarkStart w:id="255" w:name="_Toc135121838"/>
      <w:bookmarkStart w:id="256" w:name="_Toc136661023"/>
      <w:bookmarkStart w:id="257" w:name="_Toc136661214"/>
      <w:bookmarkStart w:id="258" w:name="_Toc136662524"/>
      <w:bookmarkStart w:id="259" w:name="_Toc13925828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5"/>
        <w:rPr>
          <w:snapToGrid w:val="0"/>
        </w:rPr>
      </w:pPr>
      <w:bookmarkStart w:id="260" w:name="_Toc92790640"/>
      <w:bookmarkStart w:id="261" w:name="_Toc92965271"/>
      <w:bookmarkStart w:id="262" w:name="_Toc112151095"/>
      <w:bookmarkStart w:id="263" w:name="_Toc139258282"/>
      <w:bookmarkStart w:id="264" w:name="_Toc136662525"/>
      <w:r>
        <w:rPr>
          <w:rStyle w:val="CharSectno"/>
        </w:rPr>
        <w:t>33</w:t>
      </w:r>
      <w:r>
        <w:rPr>
          <w:snapToGrid w:val="0"/>
        </w:rPr>
        <w:t>.</w:t>
      </w:r>
      <w:r>
        <w:rPr>
          <w:snapToGrid w:val="0"/>
        </w:rPr>
        <w:tab/>
        <w:t>Electrical contracting prohibited unless authorised</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this regulation, a person shall not, on or after the appointed day,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w:t>
      </w:r>
    </w:p>
    <w:p>
      <w:pPr>
        <w:pStyle w:val="Heading5"/>
        <w:rPr>
          <w:snapToGrid w:val="0"/>
        </w:rPr>
      </w:pPr>
      <w:bookmarkStart w:id="265" w:name="_Toc31684968"/>
      <w:bookmarkStart w:id="266" w:name="_Toc92790641"/>
      <w:bookmarkStart w:id="267" w:name="_Toc92965272"/>
      <w:bookmarkStart w:id="268" w:name="_Toc112151096"/>
      <w:bookmarkStart w:id="269" w:name="_Toc139258283"/>
      <w:bookmarkStart w:id="270" w:name="_Toc136662526"/>
      <w:r>
        <w:rPr>
          <w:rStyle w:val="CharSectno"/>
        </w:rPr>
        <w:t>34</w:t>
      </w:r>
      <w:r>
        <w:rPr>
          <w:snapToGrid w:val="0"/>
        </w:rPr>
        <w:t>.</w:t>
      </w:r>
      <w:r>
        <w:rPr>
          <w:snapToGrid w:val="0"/>
        </w:rPr>
        <w:tab/>
        <w:t>Dealing with unlicensed contractor prohibited</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71" w:name="_Toc92790642"/>
      <w:bookmarkStart w:id="272" w:name="_Toc92965273"/>
      <w:bookmarkStart w:id="273" w:name="_Toc112151097"/>
      <w:bookmarkStart w:id="274" w:name="_Toc139258284"/>
      <w:bookmarkStart w:id="275" w:name="_Toc136662527"/>
      <w:r>
        <w:rPr>
          <w:rStyle w:val="CharSectno"/>
        </w:rPr>
        <w:t>35</w:t>
      </w:r>
      <w:r>
        <w:rPr>
          <w:snapToGrid w:val="0"/>
        </w:rPr>
        <w:t>.</w:t>
      </w:r>
      <w:r>
        <w:rPr>
          <w:snapToGrid w:val="0"/>
        </w:rPr>
        <w:tab/>
        <w:t>Falsely implying work is authorised</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76" w:name="_Toc31684970"/>
      <w:bookmarkStart w:id="277" w:name="_Toc92790643"/>
      <w:bookmarkStart w:id="278" w:name="_Toc92965274"/>
      <w:bookmarkStart w:id="279" w:name="_Toc112151098"/>
      <w:bookmarkStart w:id="280" w:name="_Toc139258285"/>
      <w:bookmarkStart w:id="281" w:name="_Toc136662528"/>
      <w:r>
        <w:rPr>
          <w:rStyle w:val="CharSectno"/>
        </w:rPr>
        <w:t>36</w:t>
      </w:r>
      <w:r>
        <w:rPr>
          <w:snapToGrid w:val="0"/>
        </w:rPr>
        <w:t>.</w:t>
      </w:r>
      <w:r>
        <w:rPr>
          <w:snapToGrid w:val="0"/>
        </w:rPr>
        <w:tab/>
        <w:t>Eligibility for electrical contractor’s licence</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rPr>
          <w:snapToGrid w:val="0"/>
        </w:rPr>
      </w:pPr>
      <w:r>
        <w:rPr>
          <w:snapToGrid w:val="0"/>
        </w:rPr>
        <w:tab/>
        <w:t>(i)</w:t>
      </w:r>
      <w:r>
        <w:rPr>
          <w:snapToGrid w:val="0"/>
        </w:rPr>
        <w:tab/>
        <w:t>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rPr>
          <w:snapToGrid w:val="0"/>
        </w:rPr>
      </w:pPr>
      <w:r>
        <w:rPr>
          <w:snapToGrid w:val="0"/>
        </w:rPr>
        <w:tab/>
        <w:t>(iv)</w:t>
      </w:r>
      <w:r>
        <w:rPr>
          <w:snapToGrid w:val="0"/>
        </w:rPr>
        <w:tab/>
        <w:t>has a current policy of insurance with a reputable insurer that provides a public liability indemnity, in respect of the work of an electrical contractor, of at least $1 000 000.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paragraph (a) understands fully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firm or of any body corporate by which the firm is constituted fully understands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body corporate understands fully the duties and obligations imposed by these regulations, the Act and the </w:t>
      </w:r>
      <w:r>
        <w:rPr>
          <w:i/>
          <w:snapToGrid w:val="0"/>
        </w:rPr>
        <w:t>Energy Coordination Act 1994</w:t>
      </w:r>
      <w:r>
        <w:rPr>
          <w:snapToGrid w:val="0"/>
        </w:rPr>
        <w:t xml:space="preserve"> and the regulations made thereunder on electrical mechanics and electrical contractors.</w:t>
      </w:r>
    </w:p>
    <w:p>
      <w:pPr>
        <w:pStyle w:val="Footnotesection"/>
      </w:pPr>
      <w:r>
        <w:tab/>
        <w:t>[Regulation 36 amended in Gazette 23 Dec 1994 p. 7135; 6 Sep 1996 p. 4414</w:t>
      </w:r>
      <w:r>
        <w:noBreakHyphen/>
        <w:t xml:space="preserve">15.] </w:t>
      </w:r>
    </w:p>
    <w:p>
      <w:pPr>
        <w:pStyle w:val="Heading5"/>
        <w:rPr>
          <w:snapToGrid w:val="0"/>
        </w:rPr>
      </w:pPr>
      <w:bookmarkStart w:id="282" w:name="_Toc31684971"/>
      <w:bookmarkStart w:id="283" w:name="_Toc92790644"/>
      <w:bookmarkStart w:id="284" w:name="_Toc92965275"/>
      <w:bookmarkStart w:id="285" w:name="_Toc112151099"/>
      <w:bookmarkStart w:id="286" w:name="_Toc139258286"/>
      <w:bookmarkStart w:id="287" w:name="_Toc136662529"/>
      <w:r>
        <w:rPr>
          <w:rStyle w:val="CharSectno"/>
        </w:rPr>
        <w:t>37</w:t>
      </w:r>
      <w:r>
        <w:rPr>
          <w:snapToGrid w:val="0"/>
        </w:rPr>
        <w:t>.</w:t>
      </w:r>
      <w:r>
        <w:rPr>
          <w:snapToGrid w:val="0"/>
        </w:rPr>
        <w:tab/>
        <w:t>In</w:t>
      </w:r>
      <w:r>
        <w:rPr>
          <w:snapToGrid w:val="0"/>
        </w:rPr>
        <w:noBreakHyphen/>
        <w:t>house electrical installing work licence</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On and after the appointed day, a person other than an electrical contractor who carries out any in</w:t>
      </w:r>
      <w:r>
        <w:rPr>
          <w:snapToGrid w:val="0"/>
        </w:rPr>
        <w:noBreakHyphen/>
        <w:t>house electrical installing work commits an offence unless — </w:t>
      </w:r>
    </w:p>
    <w:p>
      <w:pPr>
        <w:pStyle w:val="Indenta"/>
        <w:rPr>
          <w:snapToGrid w:val="0"/>
        </w:rPr>
      </w:pPr>
      <w:r>
        <w:rPr>
          <w:snapToGrid w:val="0"/>
        </w:rPr>
        <w:tab/>
        <w:t>(a)</w:t>
      </w:r>
      <w:r>
        <w:rPr>
          <w:snapToGrid w:val="0"/>
        </w:rPr>
        <w:tab/>
        <w:t>the person has in his or her employ at least one person nominated by him or her — </w:t>
      </w:r>
    </w:p>
    <w:p>
      <w:pPr>
        <w:pStyle w:val="Indenti"/>
        <w:rPr>
          <w:snapToGrid w:val="0"/>
        </w:rPr>
      </w:pPr>
      <w:r>
        <w:rPr>
          <w:snapToGrid w:val="0"/>
        </w:rPr>
        <w:tab/>
        <w:t>(i)</w:t>
      </w:r>
      <w:r>
        <w:rPr>
          <w:snapToGrid w:val="0"/>
        </w:rPr>
        <w:tab/>
        <w:t>who 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by these regulations, the Act, the </w:t>
      </w:r>
      <w:r>
        <w:rPr>
          <w:i/>
          <w:snapToGrid w:val="0"/>
        </w:rPr>
        <w:t>Energy Operators (Powers) Act 1979</w:t>
      </w:r>
      <w:r>
        <w:rPr>
          <w:snapToGrid w:val="0"/>
        </w:rPr>
        <w:t xml:space="preserve">, the </w:t>
      </w:r>
      <w:r>
        <w:rPr>
          <w:i/>
          <w:snapToGrid w:val="0"/>
        </w:rPr>
        <w:t>Energy Coordination Act 1994</w:t>
      </w:r>
      <w:r>
        <w:rPr>
          <w:snapToGrid w:val="0"/>
        </w:rPr>
        <w:t xml:space="preserve"> and the respective regulations made thereunder on electrical installers and electrical contractors; 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w:t>
      </w:r>
    </w:p>
    <w:p>
      <w:pPr>
        <w:pStyle w:val="Heading5"/>
        <w:rPr>
          <w:snapToGrid w:val="0"/>
        </w:rPr>
      </w:pPr>
      <w:bookmarkStart w:id="288" w:name="_Toc31684972"/>
      <w:bookmarkStart w:id="289" w:name="_Toc92790645"/>
      <w:bookmarkStart w:id="290" w:name="_Toc92965276"/>
      <w:bookmarkStart w:id="291" w:name="_Toc112151100"/>
      <w:bookmarkStart w:id="292" w:name="_Toc139258287"/>
      <w:bookmarkStart w:id="293" w:name="_Toc136662530"/>
      <w:r>
        <w:rPr>
          <w:rStyle w:val="CharSectno"/>
        </w:rPr>
        <w:t>38</w:t>
      </w:r>
      <w:r>
        <w:rPr>
          <w:snapToGrid w:val="0"/>
        </w:rPr>
        <w:t>.</w:t>
      </w:r>
      <w:r>
        <w:rPr>
          <w:snapToGrid w:val="0"/>
        </w:rPr>
        <w:tab/>
        <w:t>Nominated electrical worker</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rPr>
          <w:snapToGrid w:val="0"/>
        </w:rPr>
      </w:pPr>
      <w:r>
        <w:rPr>
          <w:snapToGrid w:val="0"/>
        </w:rPr>
        <w:tab/>
        <w:t>(3)</w:t>
      </w:r>
      <w:r>
        <w:rPr>
          <w:snapToGrid w:val="0"/>
        </w:rPr>
        <w:tab/>
        <w:t>A person is ineligible to be, or continue to be, a nominated electrical worker in respect of a licence unless he or she is employed by the holder of the licence or he or she is approved by the Board for the purposes of this regulation.</w:t>
      </w:r>
    </w:p>
    <w:p>
      <w:pPr>
        <w:pStyle w:val="Subsection"/>
        <w:rPr>
          <w:snapToGrid w:val="0"/>
        </w:rPr>
      </w:pPr>
      <w:r>
        <w:rPr>
          <w:snapToGrid w:val="0"/>
        </w:rPr>
        <w:tab/>
        <w:t>(4)</w:t>
      </w:r>
      <w:r>
        <w:rPr>
          <w:snapToGrid w:val="0"/>
        </w:rPr>
        <w:tab/>
        <w:t>Where a holder of a licence nominates as his or her nominated electrical worker a person who is ineligible under subregulation (3) or permits a person who is so ineligible to continue to be his or her nominated electrical worker, the holder of the licence commits an offence.</w:t>
      </w:r>
    </w:p>
    <w:p>
      <w:pPr>
        <w:pStyle w:val="Subsection"/>
        <w:rPr>
          <w:snapToGrid w:val="0"/>
        </w:rPr>
      </w:pPr>
      <w:r>
        <w:rPr>
          <w:snapToGrid w:val="0"/>
        </w:rPr>
        <w:tab/>
        <w:t>(5)</w:t>
      </w:r>
      <w:r>
        <w:rPr>
          <w:snapToGrid w:val="0"/>
        </w:rPr>
        <w:tab/>
        <w:t>A person who is ineligible to be a nominated electrical worker who — </w:t>
      </w:r>
    </w:p>
    <w:p>
      <w:pPr>
        <w:pStyle w:val="Indenta"/>
        <w:rPr>
          <w:snapToGrid w:val="0"/>
        </w:rPr>
      </w:pPr>
      <w:r>
        <w:rPr>
          <w:snapToGrid w:val="0"/>
        </w:rPr>
        <w:tab/>
        <w:t>(a)</w:t>
      </w:r>
      <w:r>
        <w:rPr>
          <w:snapToGrid w:val="0"/>
        </w:rPr>
        <w:tab/>
        <w:t>permits himself or herself to be nominated as the nominated electrical worker in respect of a licence; or</w:t>
      </w:r>
    </w:p>
    <w:p>
      <w:pPr>
        <w:pStyle w:val="Indenta"/>
        <w:rPr>
          <w:snapToGrid w:val="0"/>
        </w:rPr>
      </w:pPr>
      <w:r>
        <w:rPr>
          <w:snapToGrid w:val="0"/>
        </w:rPr>
        <w:tab/>
        <w:t>(b)</w:t>
      </w:r>
      <w:r>
        <w:rPr>
          <w:snapToGrid w:val="0"/>
        </w:rPr>
        <w:tab/>
        <w:t>continues to be a nominated electrical worker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Where, by reason of cancellation under subregulation (1) or for any other reason, a person who was a nominated electrical worker in respect of a licence ceases to be a nominated electrical worker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 nominated electrical worker,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Heading5"/>
        <w:rPr>
          <w:snapToGrid w:val="0"/>
        </w:rPr>
      </w:pPr>
      <w:bookmarkStart w:id="294" w:name="_Toc31684973"/>
      <w:bookmarkStart w:id="295" w:name="_Toc92790646"/>
      <w:bookmarkStart w:id="296" w:name="_Toc92965277"/>
      <w:bookmarkStart w:id="297" w:name="_Toc112151101"/>
      <w:bookmarkStart w:id="298" w:name="_Toc139258288"/>
      <w:bookmarkStart w:id="299" w:name="_Toc136662531"/>
      <w:r>
        <w:rPr>
          <w:rStyle w:val="CharSectno"/>
        </w:rPr>
        <w:t>39</w:t>
      </w:r>
      <w:r>
        <w:rPr>
          <w:snapToGrid w:val="0"/>
        </w:rPr>
        <w:t>.</w:t>
      </w:r>
      <w:r>
        <w:rPr>
          <w:snapToGrid w:val="0"/>
        </w:rPr>
        <w:tab/>
        <w:t>Application for licence</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w:t>
      </w:r>
    </w:p>
    <w:p>
      <w:pPr>
        <w:pStyle w:val="Heading5"/>
        <w:rPr>
          <w:snapToGrid w:val="0"/>
        </w:rPr>
      </w:pPr>
      <w:bookmarkStart w:id="300" w:name="_Toc31684974"/>
      <w:bookmarkStart w:id="301" w:name="_Toc92790647"/>
      <w:bookmarkStart w:id="302" w:name="_Toc92965278"/>
      <w:bookmarkStart w:id="303" w:name="_Toc112151102"/>
      <w:bookmarkStart w:id="304" w:name="_Toc139258289"/>
      <w:bookmarkStart w:id="305" w:name="_Toc136662532"/>
      <w:r>
        <w:rPr>
          <w:rStyle w:val="CharSectno"/>
        </w:rPr>
        <w:t>40</w:t>
      </w:r>
      <w:r>
        <w:rPr>
          <w:snapToGrid w:val="0"/>
        </w:rPr>
        <w:t>.</w:t>
      </w:r>
      <w:r>
        <w:rPr>
          <w:snapToGrid w:val="0"/>
        </w:rPr>
        <w:tab/>
        <w:t>Issue of licence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Heading5"/>
        <w:rPr>
          <w:snapToGrid w:val="0"/>
        </w:rPr>
      </w:pPr>
      <w:bookmarkStart w:id="306" w:name="_Toc31684975"/>
      <w:bookmarkStart w:id="307" w:name="_Toc92790648"/>
      <w:bookmarkStart w:id="308" w:name="_Toc92965279"/>
      <w:bookmarkStart w:id="309" w:name="_Toc112151103"/>
      <w:bookmarkStart w:id="310" w:name="_Toc139258290"/>
      <w:bookmarkStart w:id="311" w:name="_Toc136662533"/>
      <w:r>
        <w:rPr>
          <w:rStyle w:val="CharSectno"/>
        </w:rPr>
        <w:t>41</w:t>
      </w:r>
      <w:r>
        <w:rPr>
          <w:snapToGrid w:val="0"/>
        </w:rPr>
        <w:t>.</w:t>
      </w:r>
      <w:r>
        <w:rPr>
          <w:snapToGrid w:val="0"/>
        </w:rPr>
        <w:tab/>
        <w:t>Licence held by a firm</w:t>
      </w:r>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12" w:name="_Toc31684976"/>
      <w:bookmarkStart w:id="313" w:name="_Toc92790649"/>
      <w:bookmarkStart w:id="314" w:name="_Toc92965280"/>
      <w:bookmarkStart w:id="315" w:name="_Toc112151104"/>
      <w:bookmarkStart w:id="316" w:name="_Toc139258291"/>
      <w:bookmarkStart w:id="317" w:name="_Toc136662534"/>
      <w:r>
        <w:rPr>
          <w:rStyle w:val="CharSectno"/>
        </w:rPr>
        <w:t>42</w:t>
      </w:r>
      <w:r>
        <w:rPr>
          <w:snapToGrid w:val="0"/>
        </w:rPr>
        <w:t>.</w:t>
      </w:r>
      <w:r>
        <w:rPr>
          <w:snapToGrid w:val="0"/>
        </w:rPr>
        <w:tab/>
        <w:t>Board to be notified</w:t>
      </w:r>
      <w:bookmarkEnd w:id="312"/>
      <w:bookmarkEnd w:id="313"/>
      <w:bookmarkEnd w:id="314"/>
      <w:bookmarkEnd w:id="315"/>
      <w:bookmarkEnd w:id="316"/>
      <w:bookmarkEnd w:id="317"/>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18" w:name="_Toc31684977"/>
      <w:bookmarkStart w:id="319" w:name="_Toc92790650"/>
      <w:bookmarkStart w:id="320" w:name="_Toc92965281"/>
      <w:bookmarkStart w:id="321" w:name="_Toc112151105"/>
      <w:bookmarkStart w:id="322" w:name="_Toc139258292"/>
      <w:bookmarkStart w:id="323" w:name="_Toc136662535"/>
      <w:r>
        <w:rPr>
          <w:rStyle w:val="CharSectno"/>
        </w:rPr>
        <w:t>43</w:t>
      </w:r>
      <w:r>
        <w:rPr>
          <w:snapToGrid w:val="0"/>
        </w:rPr>
        <w:t>.</w:t>
      </w:r>
      <w:r>
        <w:rPr>
          <w:snapToGrid w:val="0"/>
        </w:rPr>
        <w:tab/>
        <w:t>Duration of registration</w:t>
      </w:r>
      <w:bookmarkEnd w:id="318"/>
      <w:bookmarkEnd w:id="319"/>
      <w:bookmarkEnd w:id="320"/>
      <w:bookmarkEnd w:id="321"/>
      <w:bookmarkEnd w:id="322"/>
      <w:bookmarkEnd w:id="323"/>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Footnotesection"/>
      </w:pPr>
      <w:r>
        <w:tab/>
        <w:t>[Regulation 43 amended in Gazette 2 May 2000 p. 2115.]</w:t>
      </w:r>
    </w:p>
    <w:p>
      <w:pPr>
        <w:pStyle w:val="Heading5"/>
        <w:rPr>
          <w:snapToGrid w:val="0"/>
        </w:rPr>
      </w:pPr>
      <w:bookmarkStart w:id="324" w:name="_Toc31684978"/>
      <w:bookmarkStart w:id="325" w:name="_Toc92790651"/>
      <w:bookmarkStart w:id="326" w:name="_Toc92965282"/>
      <w:bookmarkStart w:id="327" w:name="_Toc112151106"/>
      <w:bookmarkStart w:id="328" w:name="_Toc139258293"/>
      <w:bookmarkStart w:id="329" w:name="_Toc136662536"/>
      <w:r>
        <w:rPr>
          <w:rStyle w:val="CharSectno"/>
        </w:rPr>
        <w:t>44</w:t>
      </w:r>
      <w:r>
        <w:rPr>
          <w:snapToGrid w:val="0"/>
        </w:rPr>
        <w:t>.</w:t>
      </w:r>
      <w:r>
        <w:rPr>
          <w:snapToGrid w:val="0"/>
        </w:rPr>
        <w:tab/>
        <w:t>Renewal of registration</w:t>
      </w:r>
      <w:bookmarkEnd w:id="324"/>
      <w:bookmarkEnd w:id="325"/>
      <w:bookmarkEnd w:id="326"/>
      <w:bookmarkEnd w:id="327"/>
      <w:bookmarkEnd w:id="328"/>
      <w:bookmarkEnd w:id="329"/>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t>Where the registration of a licence holder is renewed under subregulation (1), the renewal has effect, unless the licence is cancelled under these regulations, from the time when, but for the renewal, the registration would have expired.</w:t>
      </w:r>
    </w:p>
    <w:p>
      <w:pPr>
        <w:pStyle w:val="Footnotesection"/>
      </w:pPr>
      <w:r>
        <w:tab/>
        <w:t>[Regulation 44 amended in Gazette 2 May 2000 p. 2115.]</w:t>
      </w:r>
    </w:p>
    <w:p>
      <w:pPr>
        <w:pStyle w:val="Heading5"/>
        <w:rPr>
          <w:snapToGrid w:val="0"/>
        </w:rPr>
      </w:pPr>
      <w:bookmarkStart w:id="330" w:name="_Toc31684979"/>
      <w:bookmarkStart w:id="331" w:name="_Toc92790652"/>
      <w:bookmarkStart w:id="332" w:name="_Toc92965283"/>
      <w:bookmarkStart w:id="333" w:name="_Toc112151107"/>
      <w:bookmarkStart w:id="334" w:name="_Toc139258294"/>
      <w:bookmarkStart w:id="335" w:name="_Toc136662537"/>
      <w:r>
        <w:rPr>
          <w:rStyle w:val="CharSectno"/>
        </w:rPr>
        <w:t>45</w:t>
      </w:r>
      <w:r>
        <w:rPr>
          <w:snapToGrid w:val="0"/>
        </w:rPr>
        <w:t>.</w:t>
      </w:r>
      <w:r>
        <w:rPr>
          <w:snapToGrid w:val="0"/>
        </w:rPr>
        <w:tab/>
        <w:t>Place of business</w:t>
      </w:r>
      <w:bookmarkEnd w:id="330"/>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t>(1)</w:t>
      </w:r>
      <w:r>
        <w:rPr>
          <w:snapToGrid w:val="0"/>
        </w:rPr>
        <w:tab/>
        <w:t>The holder of a licence shall ensure that his or her licence document and certificate of registration is conspicuously displayed at his or her principal place of business and that the number of his or her licence appears in any advertisement advertising his or her electrical contracting business.</w:t>
      </w:r>
    </w:p>
    <w:p>
      <w:pPr>
        <w:pStyle w:val="Subsection"/>
        <w:spacing w:before="120"/>
        <w:rPr>
          <w:snapToGrid w:val="0"/>
        </w:rPr>
      </w:pPr>
      <w:r>
        <w:rPr>
          <w:snapToGrid w:val="0"/>
        </w:rPr>
        <w:tab/>
        <w:t>(2)</w:t>
      </w:r>
      <w:r>
        <w:rPr>
          <w:snapToGrid w:val="0"/>
        </w:rPr>
        <w:tab/>
        <w:t>The holder of a licence shall, not later than 28 days after changing his or her business name or trading name or principal place of business, notify the Board in writing of the change.</w:t>
      </w:r>
    </w:p>
    <w:p>
      <w:pPr>
        <w:pStyle w:val="Subsection"/>
        <w:spacing w:before="120"/>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spacing w:before="120"/>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Heading5"/>
        <w:rPr>
          <w:snapToGrid w:val="0"/>
        </w:rPr>
      </w:pPr>
      <w:bookmarkStart w:id="336" w:name="_Toc92790655"/>
      <w:bookmarkStart w:id="337" w:name="_Toc92965284"/>
      <w:bookmarkStart w:id="338" w:name="_Toc112151108"/>
      <w:bookmarkStart w:id="339" w:name="_Toc139258295"/>
      <w:bookmarkStart w:id="340" w:name="_Toc136662538"/>
      <w:bookmarkStart w:id="341" w:name="_Toc54672615"/>
      <w:bookmarkStart w:id="342" w:name="_Toc77479469"/>
      <w:r>
        <w:rPr>
          <w:rStyle w:val="CharSectno"/>
        </w:rPr>
        <w:t>46</w:t>
      </w:r>
      <w:r>
        <w:rPr>
          <w:snapToGrid w:val="0"/>
        </w:rPr>
        <w:t>.</w:t>
      </w:r>
      <w:r>
        <w:rPr>
          <w:snapToGrid w:val="0"/>
        </w:rPr>
        <w:tab/>
        <w:t>Discipline</w:t>
      </w:r>
      <w:bookmarkEnd w:id="336"/>
      <w:bookmarkEnd w:id="337"/>
      <w:bookmarkEnd w:id="338"/>
      <w:bookmarkEnd w:id="339"/>
      <w:bookmarkEnd w:id="340"/>
    </w:p>
    <w:p>
      <w:pPr>
        <w:pStyle w:val="Subsection"/>
        <w:spacing w:before="120"/>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 of regulation 49 or 50.</w:t>
      </w:r>
    </w:p>
    <w:p>
      <w:pPr>
        <w:pStyle w:val="Footnotesection"/>
      </w:pPr>
      <w:r>
        <w:tab/>
        <w:t>[Regulation 46 inserted in Gazette 30 Dec 2004 p. 6994.]</w:t>
      </w:r>
    </w:p>
    <w:p>
      <w:pPr>
        <w:pStyle w:val="Heading5"/>
        <w:rPr>
          <w:snapToGrid w:val="0"/>
        </w:rPr>
      </w:pPr>
      <w:bookmarkStart w:id="343" w:name="_Toc92790656"/>
      <w:bookmarkStart w:id="344" w:name="_Toc92965285"/>
      <w:bookmarkStart w:id="345" w:name="_Toc112151109"/>
      <w:bookmarkStart w:id="346" w:name="_Toc139258296"/>
      <w:bookmarkStart w:id="347" w:name="_Toc136662539"/>
      <w:r>
        <w:rPr>
          <w:rStyle w:val="CharSectno"/>
        </w:rPr>
        <w:t>47</w:t>
      </w:r>
      <w:r>
        <w:rPr>
          <w:snapToGrid w:val="0"/>
        </w:rPr>
        <w:t>.</w:t>
      </w:r>
      <w:r>
        <w:rPr>
          <w:snapToGrid w:val="0"/>
        </w:rPr>
        <w:tab/>
        <w:t>Disciplinary powers</w:t>
      </w:r>
      <w:bookmarkEnd w:id="343"/>
      <w:bookmarkEnd w:id="344"/>
      <w:bookmarkEnd w:id="345"/>
      <w:bookmarkEnd w:id="346"/>
      <w:bookmarkEnd w:id="347"/>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w:t>
      </w:r>
    </w:p>
    <w:p>
      <w:pPr>
        <w:pStyle w:val="Heading5"/>
        <w:rPr>
          <w:snapToGrid w:val="0"/>
        </w:rPr>
      </w:pPr>
      <w:bookmarkStart w:id="348" w:name="_Toc92790657"/>
      <w:bookmarkStart w:id="349" w:name="_Toc92965286"/>
      <w:bookmarkStart w:id="350" w:name="_Toc112151110"/>
      <w:bookmarkStart w:id="351" w:name="_Toc139258297"/>
      <w:bookmarkStart w:id="352" w:name="_Toc136662540"/>
      <w:r>
        <w:rPr>
          <w:rStyle w:val="CharSectno"/>
        </w:rPr>
        <w:t>47A</w:t>
      </w:r>
      <w:r>
        <w:rPr>
          <w:snapToGrid w:val="0"/>
        </w:rPr>
        <w:t>.</w:t>
      </w:r>
      <w:r>
        <w:rPr>
          <w:snapToGrid w:val="0"/>
        </w:rPr>
        <w:tab/>
        <w:t>Alternative to bringing proceedings</w:t>
      </w:r>
      <w:bookmarkEnd w:id="348"/>
      <w:bookmarkEnd w:id="349"/>
      <w:bookmarkEnd w:id="350"/>
      <w:bookmarkEnd w:id="351"/>
      <w:bookmarkEnd w:id="352"/>
    </w:p>
    <w:p>
      <w:pPr>
        <w:pStyle w:val="Subsection"/>
        <w:rPr>
          <w:snapToGrid w:val="0"/>
        </w:rPr>
      </w:pPr>
      <w:r>
        <w:rPr>
          <w:snapToGrid w:val="0"/>
        </w:rPr>
        <w:tab/>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6995-6.]</w:t>
      </w:r>
    </w:p>
    <w:p>
      <w:pPr>
        <w:pStyle w:val="Heading2"/>
      </w:pPr>
      <w:bookmarkStart w:id="353" w:name="_Toc92790658"/>
      <w:bookmarkStart w:id="354" w:name="_Toc92790792"/>
      <w:bookmarkStart w:id="355" w:name="_Toc92965287"/>
      <w:bookmarkStart w:id="356" w:name="_Toc92965391"/>
      <w:bookmarkStart w:id="357" w:name="_Toc101593836"/>
      <w:bookmarkStart w:id="358" w:name="_Toc112133212"/>
      <w:bookmarkStart w:id="359" w:name="_Toc112151111"/>
      <w:bookmarkStart w:id="360" w:name="_Toc133305790"/>
      <w:bookmarkStart w:id="361" w:name="_Toc135028302"/>
      <w:bookmarkStart w:id="362" w:name="_Toc135121855"/>
      <w:bookmarkStart w:id="363" w:name="_Toc136661040"/>
      <w:bookmarkStart w:id="364" w:name="_Toc136661231"/>
      <w:bookmarkStart w:id="365" w:name="_Toc136662541"/>
      <w:bookmarkStart w:id="366" w:name="_Toc139258298"/>
      <w:r>
        <w:rPr>
          <w:rStyle w:val="CharPartNo"/>
        </w:rPr>
        <w:t>Part 5</w:t>
      </w:r>
      <w:r>
        <w:rPr>
          <w:rStyle w:val="CharDivNo"/>
        </w:rPr>
        <w:t> </w:t>
      </w:r>
      <w:r>
        <w:t>—</w:t>
      </w:r>
      <w:r>
        <w:rPr>
          <w:rStyle w:val="CharDivText"/>
        </w:rPr>
        <w:t> </w:t>
      </w:r>
      <w:r>
        <w:rPr>
          <w:rStyle w:val="CharPartText"/>
        </w:rPr>
        <w:t>Regulation of electrical work</w:t>
      </w:r>
      <w:bookmarkEnd w:id="341"/>
      <w:bookmarkEnd w:id="34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367" w:name="_Toc31684982"/>
      <w:bookmarkStart w:id="368" w:name="_Toc92790659"/>
      <w:bookmarkStart w:id="369" w:name="_Toc92965288"/>
      <w:bookmarkStart w:id="370" w:name="_Toc112151112"/>
      <w:bookmarkStart w:id="371" w:name="_Toc139258299"/>
      <w:bookmarkStart w:id="372" w:name="_Toc136662542"/>
      <w:r>
        <w:rPr>
          <w:rStyle w:val="CharSectno"/>
        </w:rPr>
        <w:t>49</w:t>
      </w:r>
      <w:r>
        <w:rPr>
          <w:snapToGrid w:val="0"/>
        </w:rPr>
        <w:t>.</w:t>
      </w:r>
      <w:r>
        <w:rPr>
          <w:snapToGrid w:val="0"/>
        </w:rPr>
        <w:tab/>
        <w:t>Electrical work to be carried out in accordance with certain requirements</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An electrical worker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and the following standards, as published by the Standards Association of Australia </w:t>
      </w:r>
      <w:r>
        <w:rPr>
          <w:snapToGrid w:val="0"/>
          <w:vertAlign w:val="superscript"/>
        </w:rPr>
        <w:t>3</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rPr>
          <w:snapToGrid w:val="0"/>
        </w:rPr>
      </w:pPr>
      <w:r>
        <w:rPr>
          <w:snapToGrid w:val="0"/>
        </w:rPr>
        <w:tab/>
        <w:t>(2)</w:t>
      </w:r>
      <w:r>
        <w:rPr>
          <w:snapToGrid w:val="0"/>
        </w:rPr>
        <w:tab/>
        <w:t>Where any code or standard is inconsistent with the W A Electrical Requirements referred to in subregulation (1) the latter prevails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 xml:space="preserve">16; 24 Mar 2000 p. 1640.] </w:t>
      </w:r>
    </w:p>
    <w:p>
      <w:pPr>
        <w:pStyle w:val="Heading5"/>
        <w:rPr>
          <w:snapToGrid w:val="0"/>
        </w:rPr>
      </w:pPr>
      <w:bookmarkStart w:id="373" w:name="_Toc31684983"/>
      <w:bookmarkStart w:id="374" w:name="_Toc92790660"/>
      <w:bookmarkStart w:id="375" w:name="_Toc92965289"/>
      <w:bookmarkStart w:id="376" w:name="_Toc112151113"/>
      <w:bookmarkStart w:id="377" w:name="_Toc139258300"/>
      <w:bookmarkStart w:id="378" w:name="_Toc136662543"/>
      <w:r>
        <w:rPr>
          <w:rStyle w:val="CharSectno"/>
        </w:rPr>
        <w:t>50</w:t>
      </w:r>
      <w:r>
        <w:rPr>
          <w:snapToGrid w:val="0"/>
        </w:rPr>
        <w:t>.</w:t>
      </w:r>
      <w:r>
        <w:rPr>
          <w:snapToGrid w:val="0"/>
        </w:rPr>
        <w:tab/>
        <w:t>Duty to effectively supervise electrical work</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Electrical work is not required to be supervised if the person carrying out the electrical work is licensed to carry out the electrical work in question without supervision.</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licensed to carry out the electrical work in question without supervision (the </w:t>
      </w:r>
      <w:r>
        <w:rPr>
          <w:b/>
          <w:snapToGrid w:val="0"/>
        </w:rPr>
        <w:t>“</w:t>
      </w:r>
      <w:r>
        <w:rPr>
          <w:rStyle w:val="CharDefText"/>
          <w:bCs/>
        </w:rPr>
        <w:t>supervising electrical worker</w:t>
      </w:r>
      <w:r>
        <w:rPr>
          <w:b/>
          <w:snapToGrid w:val="0"/>
        </w:rPr>
        <w:t>”</w:t>
      </w:r>
      <w:r>
        <w:rPr>
          <w:snapToGrid w:val="0"/>
        </w:rPr>
        <w:t>);</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rPr>
          <w:snapToGrid w:val="0"/>
        </w:rPr>
      </w:pPr>
      <w:r>
        <w:rPr>
          <w:snapToGrid w:val="0"/>
        </w:rPr>
        <w:tab/>
        <w:t>(c)</w:t>
      </w:r>
      <w:r>
        <w:rPr>
          <w:snapToGrid w:val="0"/>
        </w:rPr>
        <w:tab/>
        <w:t>shall have regard to the level of competence of the persons being supervised or to be supervised;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Footnotesection"/>
      </w:pPr>
      <w:r>
        <w:tab/>
        <w:t xml:space="preserve">[Regulation 50 amended in Gazette 6 Sep 1996 p. 4416.] </w:t>
      </w:r>
    </w:p>
    <w:p>
      <w:pPr>
        <w:pStyle w:val="Heading5"/>
        <w:rPr>
          <w:snapToGrid w:val="0"/>
        </w:rPr>
      </w:pPr>
      <w:bookmarkStart w:id="379" w:name="_Toc31684984"/>
      <w:bookmarkStart w:id="380" w:name="_Toc92790661"/>
      <w:bookmarkStart w:id="381" w:name="_Toc92965290"/>
      <w:bookmarkStart w:id="382" w:name="_Toc112151114"/>
      <w:bookmarkStart w:id="383" w:name="_Toc139258301"/>
      <w:bookmarkStart w:id="384" w:name="_Toc136662544"/>
      <w:r>
        <w:rPr>
          <w:rStyle w:val="CharSectno"/>
        </w:rPr>
        <w:t>50A</w:t>
      </w:r>
      <w:r>
        <w:rPr>
          <w:snapToGrid w:val="0"/>
        </w:rPr>
        <w:t xml:space="preserve">. </w:t>
      </w:r>
      <w:r>
        <w:rPr>
          <w:snapToGrid w:val="0"/>
        </w:rPr>
        <w:tab/>
        <w:t>Licence holder not to cause or permit unsafe wiring or equipment to be connected to electrical installation</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Footnotesection"/>
      </w:pPr>
      <w:r>
        <w:tab/>
        <w:t xml:space="preserve">[Regulation 50A inserted in Gazette 6 Sep 1996 p. 4416.] </w:t>
      </w:r>
    </w:p>
    <w:p>
      <w:pPr>
        <w:pStyle w:val="Heading5"/>
        <w:rPr>
          <w:snapToGrid w:val="0"/>
        </w:rPr>
      </w:pPr>
      <w:bookmarkStart w:id="385" w:name="_Toc31684985"/>
      <w:bookmarkStart w:id="386" w:name="_Toc92790662"/>
      <w:bookmarkStart w:id="387" w:name="_Toc92965291"/>
      <w:bookmarkStart w:id="388" w:name="_Toc112151115"/>
      <w:bookmarkStart w:id="389" w:name="_Toc139258302"/>
      <w:bookmarkStart w:id="390" w:name="_Toc136662545"/>
      <w:r>
        <w:rPr>
          <w:rStyle w:val="CharSectno"/>
        </w:rPr>
        <w:t>51</w:t>
      </w:r>
      <w:r>
        <w:rPr>
          <w:snapToGrid w:val="0"/>
        </w:rPr>
        <w:t>.</w:t>
      </w:r>
      <w:r>
        <w:rPr>
          <w:snapToGrid w:val="0"/>
        </w:rPr>
        <w:tab/>
        <w:t>Preliminary notice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or causes any electrical installing work to be carried out commits an offence if preliminary notice of the proposed electrical installing work has not been delivered to the relevant supply authority at the required time.</w:t>
      </w:r>
    </w:p>
    <w:p>
      <w:pPr>
        <w:pStyle w:val="Subsection"/>
        <w:keepNext/>
        <w:rPr>
          <w:snapToGrid w:val="0"/>
        </w:rPr>
      </w:pPr>
      <w:r>
        <w:rPr>
          <w:snapToGrid w:val="0"/>
        </w:rPr>
        <w:tab/>
        <w:t>(2)</w:t>
      </w:r>
      <w:r>
        <w:rPr>
          <w:snapToGrid w:val="0"/>
        </w:rPr>
        <w:tab/>
        <w:t>Subregulation (1) does not apply to electrical installing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t>“</w:t>
      </w:r>
      <w:r>
        <w:rPr>
          <w:rStyle w:val="CharDefText"/>
          <w:bCs/>
        </w:rPr>
        <w:t>electrical installing work</w:t>
      </w:r>
      <w:r>
        <w:rPr>
          <w:b/>
        </w:rPr>
        <w:t>”</w:t>
      </w:r>
      <w:r>
        <w:t xml:space="preserve"> means electrical installing work other than minor work or maintenance work;</w:t>
      </w:r>
    </w:p>
    <w:p>
      <w:pPr>
        <w:pStyle w:val="Defstart"/>
        <w:spacing w:before="120"/>
      </w:pPr>
      <w:r>
        <w:rPr>
          <w:b/>
        </w:rPr>
        <w:tab/>
        <w:t>“</w:t>
      </w:r>
      <w:r>
        <w:rPr>
          <w:rStyle w:val="CharDefText"/>
          <w:bCs/>
        </w:rPr>
        <w:t>preliminary notice</w:t>
      </w:r>
      <w:r>
        <w:rPr>
          <w:b/>
        </w:rPr>
        <w:t>”</w:t>
      </w:r>
      <w:r>
        <w:t xml:space="preserve"> means preliminary notice in a form approved by the Director and duly completed;</w:t>
      </w:r>
    </w:p>
    <w:p>
      <w:pPr>
        <w:pStyle w:val="Defstart"/>
        <w:spacing w:before="120"/>
      </w:pPr>
      <w:r>
        <w:rPr>
          <w:b/>
        </w:rPr>
        <w:tab/>
        <w:t>“</w:t>
      </w:r>
      <w:r>
        <w:rPr>
          <w:rStyle w:val="CharDefText"/>
          <w:bCs/>
        </w:rPr>
        <w:t>the required time</w:t>
      </w:r>
      <w:r>
        <w:rPr>
          <w:b/>
        </w:rPr>
        <w:t>”</w:t>
      </w:r>
      <w:r>
        <w:t>, in relation to giving preliminary notice of proposed electrical installing work, means — </w:t>
      </w:r>
    </w:p>
    <w:p>
      <w:pPr>
        <w:pStyle w:val="Defpara"/>
      </w:pPr>
      <w:r>
        <w:tab/>
        <w:t>(a)</w:t>
      </w:r>
      <w:r>
        <w:tab/>
        <w:t>at least 3 working days before the proposed electrical installing work is begun, if the electrical contractor requires advice from the relevant supply authority in relation to the proposed electrical installing work before it is begun; or</w:t>
      </w:r>
    </w:p>
    <w:p>
      <w:pPr>
        <w:pStyle w:val="Defpara"/>
      </w:pPr>
      <w:r>
        <w:tab/>
        <w:t>(b)</w:t>
      </w:r>
      <w:r>
        <w:tab/>
        <w:t>at any time before the proposed electrical installing work is begun, if the electrical contractor does not require such advice.</w:t>
      </w:r>
    </w:p>
    <w:p>
      <w:pPr>
        <w:pStyle w:val="Footnotesection"/>
      </w:pPr>
      <w:r>
        <w:tab/>
        <w:t xml:space="preserve">[Regulation 51 inserted in Gazette 6 Sep 1996 p. 4417.] </w:t>
      </w:r>
    </w:p>
    <w:p>
      <w:pPr>
        <w:pStyle w:val="Heading5"/>
        <w:rPr>
          <w:snapToGrid w:val="0"/>
        </w:rPr>
      </w:pPr>
      <w:bookmarkStart w:id="391" w:name="_Toc31684986"/>
      <w:bookmarkStart w:id="392" w:name="_Toc92790663"/>
      <w:bookmarkStart w:id="393" w:name="_Toc92965292"/>
      <w:bookmarkStart w:id="394" w:name="_Toc112151116"/>
      <w:bookmarkStart w:id="395" w:name="_Toc139258303"/>
      <w:bookmarkStart w:id="396" w:name="_Toc136662546"/>
      <w:r>
        <w:rPr>
          <w:rStyle w:val="CharSectno"/>
        </w:rPr>
        <w:t>52</w:t>
      </w:r>
      <w:r>
        <w:rPr>
          <w:snapToGrid w:val="0"/>
        </w:rPr>
        <w:t>.</w:t>
      </w:r>
      <w:r>
        <w:rPr>
          <w:snapToGrid w:val="0"/>
        </w:rPr>
        <w:tab/>
        <w:t>Notice of completion</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including minor work but excluding maintenance work, or causes any electrical installing work, including minor work but excluding maintenance work, to be carried out, commits an offence if upon completion of the electrical installing work a notice of completion, in a form approved by the Director and duly completed, is not prepared in respect of the work and sent to the relevant supply authority — </w:t>
      </w:r>
    </w:p>
    <w:p>
      <w:pPr>
        <w:pStyle w:val="Indenta"/>
        <w:rPr>
          <w:snapToGrid w:val="0"/>
        </w:rPr>
      </w:pPr>
      <w:r>
        <w:rPr>
          <w:snapToGrid w:val="0"/>
        </w:rPr>
        <w:tab/>
        <w:t>(a)</w:t>
      </w:r>
      <w:r>
        <w:rPr>
          <w:snapToGrid w:val="0"/>
        </w:rPr>
        <w:tab/>
        <w:t>in the case of electrical work, other than minor work, within 3 working days;</w:t>
      </w:r>
    </w:p>
    <w:p>
      <w:pPr>
        <w:pStyle w:val="Indenta"/>
        <w:rPr>
          <w:snapToGrid w:val="0"/>
        </w:rPr>
      </w:pPr>
      <w:r>
        <w:rPr>
          <w:snapToGrid w:val="0"/>
        </w:rPr>
        <w:tab/>
        <w:t>(b)</w:t>
      </w:r>
      <w:r>
        <w:rPr>
          <w:snapToGrid w:val="0"/>
        </w:rPr>
        <w:tab/>
        <w:t>in the case of minor work, within 28 days.</w:t>
      </w:r>
    </w:p>
    <w:p>
      <w:pPr>
        <w:pStyle w:val="Subsection"/>
        <w:rPr>
          <w:snapToGrid w:val="0"/>
        </w:rPr>
      </w:pPr>
      <w:r>
        <w:rPr>
          <w:snapToGrid w:val="0"/>
        </w:rPr>
        <w:tab/>
        <w:t>(2)</w:t>
      </w:r>
      <w:r>
        <w:rPr>
          <w:snapToGrid w:val="0"/>
        </w:rPr>
        <w:tab/>
        <w:t>Subregulation (1) does not apply to electrical installing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rPr>
          <w:snapToGrid w:val="0"/>
        </w:rPr>
      </w:pPr>
      <w:r>
        <w:rPr>
          <w:snapToGrid w:val="0"/>
        </w:rPr>
        <w:tab/>
        <w:t>(3)</w:t>
      </w:r>
      <w:r>
        <w:rPr>
          <w:snapToGrid w:val="0"/>
        </w:rPr>
        <w:tab/>
        <w:t>An electrical contractor who sends a notice of completion to the relevant supply authority in respect of electrical installing work that has not been completed commits an offence.</w:t>
      </w:r>
    </w:p>
    <w:p>
      <w:pPr>
        <w:pStyle w:val="Subsection"/>
        <w:rPr>
          <w:snapToGrid w:val="0"/>
        </w:rPr>
      </w:pPr>
      <w:r>
        <w:rPr>
          <w:snapToGrid w:val="0"/>
        </w:rPr>
        <w:tab/>
        <w:t>(4)</w:t>
      </w:r>
      <w:r>
        <w:rPr>
          <w:snapToGrid w:val="0"/>
        </w:rPr>
        <w:tab/>
        <w:t>In subregulation (1) — </w:t>
      </w:r>
    </w:p>
    <w:p>
      <w:pPr>
        <w:pStyle w:val="Defstart"/>
      </w:pPr>
      <w:r>
        <w:rPr>
          <w:b/>
        </w:rPr>
        <w:tab/>
        <w:t>“minor work”</w:t>
      </w:r>
      <w:r>
        <w:t xml:space="preserve"> does not include minor work carried out at a mine.</w:t>
      </w:r>
    </w:p>
    <w:p>
      <w:pPr>
        <w:pStyle w:val="Footnotesection"/>
      </w:pPr>
      <w:r>
        <w:tab/>
        <w:t>[Regulation 52 amended in Gazette 23 Dec 1994 p. 7134; 6 Sep 1996 p. 4417</w:t>
      </w:r>
      <w:r>
        <w:noBreakHyphen/>
        <w:t xml:space="preserve">18.] </w:t>
      </w:r>
    </w:p>
    <w:p>
      <w:pPr>
        <w:pStyle w:val="Heading5"/>
        <w:rPr>
          <w:snapToGrid w:val="0"/>
        </w:rPr>
      </w:pPr>
      <w:bookmarkStart w:id="397" w:name="_Toc31684987"/>
      <w:bookmarkStart w:id="398" w:name="_Toc92790664"/>
      <w:bookmarkStart w:id="399" w:name="_Toc92965293"/>
      <w:bookmarkStart w:id="400" w:name="_Toc112151117"/>
      <w:bookmarkStart w:id="401" w:name="_Toc139258304"/>
      <w:bookmarkStart w:id="402" w:name="_Toc136662547"/>
      <w:r>
        <w:rPr>
          <w:rStyle w:val="CharSectno"/>
        </w:rPr>
        <w:t>53</w:t>
      </w:r>
      <w:r>
        <w:rPr>
          <w:snapToGrid w:val="0"/>
        </w:rPr>
        <w:t>.</w:t>
      </w:r>
      <w:r>
        <w:rPr>
          <w:snapToGrid w:val="0"/>
        </w:rPr>
        <w:tab/>
        <w:t>Work other than by electrical contractors and unlicensed persons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person referred to in regulation 33(2)(a) who carries out electrical installing work or causes a person employed by him or her to carry out any electrical installing work and any person who is a nominated person under regulation 37(1)(a) shall comply with regulations 51 and 52 as if he or she were an electrical contractor except to the extent that he or she is exempted in writing by the Director from the requirement to so comply and subject to such conditions as are imposed in respect of such exemption.</w:t>
      </w:r>
    </w:p>
    <w:p>
      <w:pPr>
        <w:pStyle w:val="Subsection"/>
        <w:keepNext/>
        <w:keepLines/>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Footnotesection"/>
      </w:pPr>
      <w:r>
        <w:tab/>
        <w:t xml:space="preserve">[Regulation 53 amended in Gazette 23 Dec 1994 p. 7134.] </w:t>
      </w:r>
    </w:p>
    <w:p>
      <w:pPr>
        <w:pStyle w:val="Heading5"/>
        <w:rPr>
          <w:snapToGrid w:val="0"/>
        </w:rPr>
      </w:pPr>
      <w:bookmarkStart w:id="403" w:name="_Toc31684988"/>
      <w:bookmarkStart w:id="404" w:name="_Toc92790665"/>
      <w:bookmarkStart w:id="405" w:name="_Toc92965294"/>
      <w:bookmarkStart w:id="406" w:name="_Toc112151118"/>
      <w:bookmarkStart w:id="407" w:name="_Toc139258305"/>
      <w:bookmarkStart w:id="408" w:name="_Toc136662548"/>
      <w:r>
        <w:rPr>
          <w:rStyle w:val="CharSectno"/>
        </w:rPr>
        <w:t>53A</w:t>
      </w:r>
      <w:r>
        <w:rPr>
          <w:snapToGrid w:val="0"/>
        </w:rPr>
        <w:t xml:space="preserve">. </w:t>
      </w:r>
      <w:r>
        <w:rPr>
          <w:snapToGrid w:val="0"/>
        </w:rPr>
        <w:tab/>
        <w:t>Further inspection fee</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rPr>
          <w:snapToGrid w:val="0"/>
        </w:rPr>
      </w:pPr>
      <w:r>
        <w:rPr>
          <w:snapToGrid w:val="0"/>
        </w:rPr>
        <w:tab/>
        <w:t>(a)</w:t>
      </w:r>
      <w:r>
        <w:rPr>
          <w:snapToGrid w:val="0"/>
        </w:rPr>
        <w:tab/>
        <w:t>on receipt of a notice of completion under regulation 52; or</w:t>
      </w:r>
    </w:p>
    <w:p>
      <w:pPr>
        <w:pStyle w:val="Indenta"/>
        <w:rPr>
          <w:snapToGrid w:val="0"/>
        </w:rPr>
      </w:pPr>
      <w:r>
        <w:rPr>
          <w:snapToGrid w:val="0"/>
        </w:rPr>
        <w:tab/>
        <w:t>(b)</w:t>
      </w:r>
      <w:r>
        <w:rPr>
          <w:snapToGrid w:val="0"/>
        </w:rPr>
        <w:tab/>
        <w:t>a notice of completion is not received in relation to electrical work that requires a notice of completion,</w:t>
      </w:r>
    </w:p>
    <w:p>
      <w:pPr>
        <w:pStyle w:val="Subsection"/>
        <w:rPr>
          <w:snapToGrid w:val="0"/>
        </w:rPr>
      </w:pPr>
      <w:r>
        <w:rPr>
          <w:snapToGrid w:val="0"/>
        </w:rPr>
        <w:tab/>
      </w:r>
      <w:r>
        <w:rPr>
          <w:snapToGrid w:val="0"/>
        </w:rPr>
        <w:tab/>
        <w:t>an inspector is of the opinion that — </w:t>
      </w:r>
    </w:p>
    <w:p>
      <w:pPr>
        <w:pStyle w:val="Indenta"/>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the fee prescribed in item 3 of Schedule 1 is payable by the electrical contractor to the relevant supply authority in relation to each further inspection related to that failure.</w:t>
      </w:r>
    </w:p>
    <w:p>
      <w:pPr>
        <w:pStyle w:val="Subsection"/>
        <w:rPr>
          <w:snapToGrid w:val="0"/>
        </w:rPr>
      </w:pPr>
      <w:r>
        <w:rPr>
          <w:snapToGrid w:val="0"/>
        </w:rPr>
        <w:tab/>
        <w:t>(2)</w:t>
      </w:r>
      <w:r>
        <w:rPr>
          <w:snapToGrid w:val="0"/>
        </w:rPr>
        <w:tab/>
        <w:t>The supply authority may waive the payment of the fee prescribed under subregulation (1) or may require payment of the fee in advance of each further inspection.</w:t>
      </w:r>
    </w:p>
    <w:p>
      <w:pPr>
        <w:pStyle w:val="Footnotesection"/>
      </w:pPr>
      <w:r>
        <w:tab/>
        <w:t xml:space="preserve">[Regulation 53A inserted in Gazette 24 Apr 1992 p. 1729.] </w:t>
      </w:r>
    </w:p>
    <w:p>
      <w:pPr>
        <w:pStyle w:val="Heading5"/>
        <w:rPr>
          <w:snapToGrid w:val="0"/>
        </w:rPr>
      </w:pPr>
      <w:bookmarkStart w:id="409" w:name="_Toc31684989"/>
      <w:bookmarkStart w:id="410" w:name="_Toc92790666"/>
      <w:bookmarkStart w:id="411" w:name="_Toc92965295"/>
      <w:bookmarkStart w:id="412" w:name="_Toc112151119"/>
      <w:bookmarkStart w:id="413" w:name="_Toc139258306"/>
      <w:bookmarkStart w:id="414" w:name="_Toc136662549"/>
      <w:r>
        <w:rPr>
          <w:rStyle w:val="CharSectno"/>
        </w:rPr>
        <w:t>54</w:t>
      </w:r>
      <w:r>
        <w:rPr>
          <w:snapToGrid w:val="0"/>
        </w:rPr>
        <w:t>.</w:t>
      </w:r>
      <w:r>
        <w:rPr>
          <w:snapToGrid w:val="0"/>
        </w:rPr>
        <w:tab/>
        <w:t>Signing of notices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a nominated electrical worker in respect of the licence held by the electrical contractor concerned;</w:t>
      </w:r>
    </w:p>
    <w:p>
      <w:pPr>
        <w:pStyle w:val="Indenta"/>
        <w:rPr>
          <w:snapToGrid w:val="0"/>
        </w:rPr>
      </w:pPr>
      <w:r>
        <w:rPr>
          <w:snapToGrid w:val="0"/>
        </w:rPr>
        <w:tab/>
        <w:t>(c)</w:t>
      </w:r>
      <w:r>
        <w:rPr>
          <w:snapToGrid w:val="0"/>
        </w:rPr>
        <w:tab/>
        <w:t>the nominated electrical worker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the nominated electrical worker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Heading2"/>
      </w:pPr>
      <w:bookmarkStart w:id="415" w:name="_Toc54672624"/>
      <w:bookmarkStart w:id="416" w:name="_Toc77479478"/>
      <w:bookmarkStart w:id="417" w:name="_Toc92790667"/>
      <w:bookmarkStart w:id="418" w:name="_Toc92790801"/>
      <w:bookmarkStart w:id="419" w:name="_Toc92965296"/>
      <w:bookmarkStart w:id="420" w:name="_Toc92965400"/>
      <w:bookmarkStart w:id="421" w:name="_Toc101593845"/>
      <w:bookmarkStart w:id="422" w:name="_Toc112133221"/>
      <w:bookmarkStart w:id="423" w:name="_Toc112151120"/>
      <w:bookmarkStart w:id="424" w:name="_Toc133305799"/>
      <w:bookmarkStart w:id="425" w:name="_Toc135028311"/>
      <w:bookmarkStart w:id="426" w:name="_Toc135121864"/>
      <w:bookmarkStart w:id="427" w:name="_Toc136661049"/>
      <w:bookmarkStart w:id="428" w:name="_Toc136661240"/>
      <w:bookmarkStart w:id="429" w:name="_Toc136662550"/>
      <w:bookmarkStart w:id="430" w:name="_Toc139258307"/>
      <w:r>
        <w:rPr>
          <w:rStyle w:val="CharPartNo"/>
        </w:rPr>
        <w:t>Part 6</w:t>
      </w:r>
      <w:r>
        <w:rPr>
          <w:rStyle w:val="CharDivNo"/>
        </w:rPr>
        <w:t> </w:t>
      </w:r>
      <w:r>
        <w:t>—</w:t>
      </w:r>
      <w:r>
        <w:rPr>
          <w:rStyle w:val="CharDivText"/>
        </w:rPr>
        <w:t> </w:t>
      </w:r>
      <w:r>
        <w:rPr>
          <w:rStyle w:val="CharPartText"/>
        </w:rPr>
        <w:t>Miscellaneous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rPr>
          <w:snapToGrid w:val="0"/>
        </w:rPr>
      </w:pPr>
      <w:bookmarkStart w:id="431" w:name="_Toc31684990"/>
      <w:bookmarkStart w:id="432" w:name="_Toc92790668"/>
      <w:bookmarkStart w:id="433" w:name="_Toc92965297"/>
      <w:bookmarkStart w:id="434" w:name="_Toc112151121"/>
      <w:bookmarkStart w:id="435" w:name="_Toc139258308"/>
      <w:bookmarkStart w:id="436" w:name="_Toc136662551"/>
      <w:r>
        <w:rPr>
          <w:rStyle w:val="CharSectno"/>
        </w:rPr>
        <w:t>55</w:t>
      </w:r>
      <w:r>
        <w:rPr>
          <w:snapToGrid w:val="0"/>
        </w:rPr>
        <w:t>.</w:t>
      </w:r>
      <w:r>
        <w:rPr>
          <w:snapToGrid w:val="0"/>
        </w:rPr>
        <w:tab/>
        <w:t>Powers of entry and inspection</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The Board, or any member thereof with the consent of the Board, may for the purposes of — </w:t>
      </w:r>
    </w:p>
    <w:p>
      <w:pPr>
        <w:pStyle w:val="Indenta"/>
        <w:rPr>
          <w:snapToGrid w:val="0"/>
        </w:rPr>
      </w:pPr>
      <w:r>
        <w:rPr>
          <w:snapToGrid w:val="0"/>
        </w:rPr>
        <w:tab/>
        <w:t>(a)</w:t>
      </w:r>
      <w:r>
        <w:rPr>
          <w:snapToGrid w:val="0"/>
        </w:rPr>
        <w:tab/>
        <w:t>carrying out any inspection under these regulations; or</w:t>
      </w:r>
    </w:p>
    <w:p>
      <w:pPr>
        <w:pStyle w:val="Indenta"/>
        <w:rPr>
          <w:snapToGrid w:val="0"/>
        </w:rPr>
      </w:pPr>
      <w:r>
        <w:rPr>
          <w:snapToGrid w:val="0"/>
        </w:rPr>
        <w:tab/>
        <w:t>(b)</w:t>
      </w:r>
      <w:r>
        <w:rPr>
          <w:snapToGrid w:val="0"/>
        </w:rPr>
        <w:tab/>
        <w:t>requesting any electrical worker to produce his or her electrical licence or permit,</w:t>
      </w:r>
    </w:p>
    <w:p>
      <w:pPr>
        <w:pStyle w:val="Subsection"/>
        <w:rPr>
          <w:snapToGrid w:val="0"/>
        </w:rPr>
      </w:pPr>
      <w:r>
        <w:rPr>
          <w:snapToGrid w:val="0"/>
        </w:rPr>
        <w:tab/>
      </w:r>
      <w:r>
        <w:rPr>
          <w:snapToGrid w:val="0"/>
        </w:rPr>
        <w:tab/>
        <w:t>enter any place or premises at all reasonable times without having any consent or warrant other than these regulations.</w:t>
      </w:r>
    </w:p>
    <w:p>
      <w:pPr>
        <w:pStyle w:val="Heading5"/>
        <w:rPr>
          <w:snapToGrid w:val="0"/>
        </w:rPr>
      </w:pPr>
      <w:bookmarkStart w:id="437" w:name="_Toc31684991"/>
      <w:bookmarkStart w:id="438" w:name="_Toc92790669"/>
      <w:bookmarkStart w:id="439" w:name="_Toc92965298"/>
      <w:bookmarkStart w:id="440" w:name="_Toc112151122"/>
      <w:bookmarkStart w:id="441" w:name="_Toc139258309"/>
      <w:bookmarkStart w:id="442" w:name="_Toc136662552"/>
      <w:r>
        <w:rPr>
          <w:rStyle w:val="CharSectno"/>
        </w:rPr>
        <w:t>56</w:t>
      </w:r>
      <w:r>
        <w:rPr>
          <w:snapToGrid w:val="0"/>
        </w:rPr>
        <w:t>.</w:t>
      </w:r>
      <w:r>
        <w:rPr>
          <w:snapToGrid w:val="0"/>
        </w:rPr>
        <w:tab/>
        <w:t>Register</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43" w:name="_Toc31684992"/>
      <w:bookmarkStart w:id="444" w:name="_Toc92790670"/>
      <w:bookmarkStart w:id="445" w:name="_Toc92965299"/>
      <w:bookmarkStart w:id="446" w:name="_Toc112151123"/>
      <w:bookmarkStart w:id="447" w:name="_Toc139258310"/>
      <w:bookmarkStart w:id="448" w:name="_Toc136662553"/>
      <w:r>
        <w:rPr>
          <w:rStyle w:val="CharSectno"/>
        </w:rPr>
        <w:t>57</w:t>
      </w:r>
      <w:r>
        <w:rPr>
          <w:snapToGrid w:val="0"/>
        </w:rPr>
        <w:t>.</w:t>
      </w:r>
      <w:r>
        <w:rPr>
          <w:snapToGrid w:val="0"/>
        </w:rPr>
        <w:tab/>
        <w:t>Record of electrical workers employed</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449" w:name="_Toc31684993"/>
      <w:bookmarkStart w:id="450" w:name="_Toc92790671"/>
      <w:bookmarkStart w:id="451" w:name="_Toc92965300"/>
      <w:bookmarkStart w:id="452" w:name="_Toc112151124"/>
      <w:bookmarkStart w:id="453" w:name="_Toc139258311"/>
      <w:bookmarkStart w:id="454" w:name="_Toc136662554"/>
      <w:r>
        <w:rPr>
          <w:rStyle w:val="CharSectno"/>
        </w:rPr>
        <w:t>58</w:t>
      </w:r>
      <w:r>
        <w:rPr>
          <w:snapToGrid w:val="0"/>
        </w:rPr>
        <w:t>.</w:t>
      </w:r>
      <w:r>
        <w:rPr>
          <w:snapToGrid w:val="0"/>
        </w:rPr>
        <w:tab/>
        <w:t>Notice to produce licence and current registration certificate</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55" w:name="_Toc31684994"/>
      <w:bookmarkStart w:id="456" w:name="_Toc92790672"/>
      <w:bookmarkStart w:id="457" w:name="_Toc92965301"/>
      <w:bookmarkStart w:id="458" w:name="_Toc112151125"/>
      <w:bookmarkStart w:id="459" w:name="_Toc139258312"/>
      <w:bookmarkStart w:id="460" w:name="_Toc136662555"/>
      <w:r>
        <w:rPr>
          <w:rStyle w:val="CharSectno"/>
        </w:rPr>
        <w:t>59</w:t>
      </w:r>
      <w:r>
        <w:rPr>
          <w:snapToGrid w:val="0"/>
        </w:rPr>
        <w:t>.</w:t>
      </w:r>
      <w:r>
        <w:rPr>
          <w:snapToGrid w:val="0"/>
        </w:rPr>
        <w:tab/>
        <w:t>Offences related to licensing</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61" w:name="_Toc31684995"/>
      <w:bookmarkStart w:id="462" w:name="_Toc92790673"/>
      <w:bookmarkStart w:id="463" w:name="_Toc92965302"/>
      <w:bookmarkStart w:id="464" w:name="_Toc112151126"/>
      <w:bookmarkStart w:id="465" w:name="_Toc139258313"/>
      <w:bookmarkStart w:id="466" w:name="_Toc136662556"/>
      <w:r>
        <w:rPr>
          <w:rStyle w:val="CharSectno"/>
        </w:rPr>
        <w:t>60</w:t>
      </w:r>
      <w:r>
        <w:rPr>
          <w:snapToGrid w:val="0"/>
        </w:rPr>
        <w:t>.</w:t>
      </w:r>
      <w:r>
        <w:rPr>
          <w:snapToGrid w:val="0"/>
        </w:rPr>
        <w:tab/>
        <w:t>Duplicate of licence or permit document</w:t>
      </w:r>
      <w:bookmarkEnd w:id="461"/>
      <w:bookmarkEnd w:id="462"/>
      <w:bookmarkEnd w:id="463"/>
      <w:bookmarkEnd w:id="464"/>
      <w:bookmarkEnd w:id="465"/>
      <w:bookmarkEnd w:id="466"/>
      <w:r>
        <w:rPr>
          <w:snapToGrid w:val="0"/>
        </w:rPr>
        <w:t xml:space="preserve"> </w:t>
      </w:r>
    </w:p>
    <w:p>
      <w:pPr>
        <w:pStyle w:val="Subsection"/>
        <w:spacing w:before="120"/>
        <w:rPr>
          <w:snapToGrid w:val="0"/>
        </w:rPr>
      </w:pPr>
      <w:r>
        <w:rPr>
          <w:snapToGrid w:val="0"/>
        </w:rPr>
        <w:tab/>
        <w:t>(1)</w:t>
      </w:r>
      <w:r>
        <w:rPr>
          <w:snapToGrid w:val="0"/>
        </w:rPr>
        <w:tab/>
        <w:t>Where the Board is satisfied that a licence or permit document has been lost, defaced, mutilated, or destroyed it may, on application in writing to the Board and payment of the appropriate fee set out in Schedule 1, issue to the holder a copy of the licence or permit document.</w:t>
      </w:r>
    </w:p>
    <w:p>
      <w:pPr>
        <w:pStyle w:val="Subsection"/>
        <w:spacing w:before="120"/>
        <w:rPr>
          <w:snapToGrid w:val="0"/>
        </w:rPr>
      </w:pPr>
      <w:r>
        <w:rPr>
          <w:snapToGrid w:val="0"/>
        </w:rPr>
        <w:tab/>
        <w:t>(2)</w:t>
      </w:r>
      <w:r>
        <w:rPr>
          <w:snapToGrid w:val="0"/>
        </w:rPr>
        <w:tab/>
        <w:t>The Board may decline to issue under subregulation (1) a copy of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A copy issued under this regulation shall be regarded for the purposes of these regulations as if it were the original licence or permit document of which it is a copy.</w:t>
      </w:r>
    </w:p>
    <w:p>
      <w:pPr>
        <w:pStyle w:val="Heading5"/>
        <w:rPr>
          <w:snapToGrid w:val="0"/>
        </w:rPr>
      </w:pPr>
      <w:bookmarkStart w:id="467" w:name="_Toc31684996"/>
      <w:bookmarkStart w:id="468" w:name="_Toc92790674"/>
      <w:bookmarkStart w:id="469" w:name="_Toc92965303"/>
      <w:bookmarkStart w:id="470" w:name="_Toc112151127"/>
      <w:bookmarkStart w:id="471" w:name="_Toc139258314"/>
      <w:bookmarkStart w:id="472" w:name="_Toc136662557"/>
      <w:r>
        <w:rPr>
          <w:rStyle w:val="CharSectno"/>
        </w:rPr>
        <w:t>61</w:t>
      </w:r>
      <w:r>
        <w:rPr>
          <w:snapToGrid w:val="0"/>
        </w:rPr>
        <w:t>.</w:t>
      </w:r>
      <w:r>
        <w:rPr>
          <w:snapToGrid w:val="0"/>
        </w:rPr>
        <w:tab/>
        <w:t>Return of licence or permit document</w:t>
      </w:r>
      <w:bookmarkEnd w:id="467"/>
      <w:bookmarkEnd w:id="468"/>
      <w:bookmarkEnd w:id="469"/>
      <w:bookmarkEnd w:id="470"/>
      <w:bookmarkEnd w:id="471"/>
      <w:bookmarkEnd w:id="472"/>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31(2)(c) or 47(2)(b);</w:t>
      </w:r>
    </w:p>
    <w:p>
      <w:pPr>
        <w:pStyle w:val="Indenta"/>
        <w:rPr>
          <w:snapToGrid w:val="0"/>
        </w:rPr>
      </w:pPr>
      <w:r>
        <w:rPr>
          <w:snapToGrid w:val="0"/>
        </w:rPr>
        <w:tab/>
        <w:t>(b)</w:t>
      </w:r>
      <w:r>
        <w:rPr>
          <w:snapToGrid w:val="0"/>
        </w:rPr>
        <w:tab/>
        <w:t>the cancellation of the licence or permit under regulation </w:t>
      </w:r>
      <w:r>
        <w:t>31(2)(a)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6996-7.]</w:t>
      </w:r>
    </w:p>
    <w:p>
      <w:pPr>
        <w:pStyle w:val="Heading5"/>
        <w:rPr>
          <w:snapToGrid w:val="0"/>
        </w:rPr>
      </w:pPr>
      <w:bookmarkStart w:id="473" w:name="_Toc31684997"/>
      <w:bookmarkStart w:id="474" w:name="_Toc92790675"/>
      <w:bookmarkStart w:id="475" w:name="_Toc92965304"/>
      <w:bookmarkStart w:id="476" w:name="_Toc112151128"/>
      <w:bookmarkStart w:id="477" w:name="_Toc139258315"/>
      <w:bookmarkStart w:id="478" w:name="_Toc136662558"/>
      <w:r>
        <w:rPr>
          <w:rStyle w:val="CharSectno"/>
        </w:rPr>
        <w:t>62</w:t>
      </w:r>
      <w:r>
        <w:rPr>
          <w:snapToGrid w:val="0"/>
        </w:rPr>
        <w:t>.</w:t>
      </w:r>
      <w:r>
        <w:rPr>
          <w:snapToGrid w:val="0"/>
        </w:rPr>
        <w:tab/>
        <w:t>Defects to be reported</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Subject to subregulation (2), where it appears to an electrical worker that there is a defect in any electrical installation or electrical equipment that renders the electrical installation or electrical equipment unsafe, the electrical worker shall immediately report the matter to the owner or operator of the installation, to the relevant supply authority and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w:t>
      </w:r>
    </w:p>
    <w:p>
      <w:pPr>
        <w:pStyle w:val="Heading5"/>
        <w:rPr>
          <w:snapToGrid w:val="0"/>
        </w:rPr>
      </w:pPr>
      <w:bookmarkStart w:id="479" w:name="_Toc31684998"/>
      <w:bookmarkStart w:id="480" w:name="_Toc92790676"/>
      <w:bookmarkStart w:id="481" w:name="_Toc92965305"/>
      <w:bookmarkStart w:id="482" w:name="_Toc112151129"/>
      <w:bookmarkStart w:id="483" w:name="_Toc139258316"/>
      <w:bookmarkStart w:id="484" w:name="_Toc136662559"/>
      <w:r>
        <w:rPr>
          <w:rStyle w:val="CharSectno"/>
        </w:rPr>
        <w:t>63</w:t>
      </w:r>
      <w:r>
        <w:rPr>
          <w:snapToGrid w:val="0"/>
        </w:rPr>
        <w:t>.</w:t>
      </w:r>
      <w:r>
        <w:rPr>
          <w:snapToGrid w:val="0"/>
        </w:rPr>
        <w:tab/>
        <w:t>Accidents to be reported</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Where an accident that has caused or is likely to cause danger to life or property has occurred any person who is aware of the accident or danger shall immediately report the fact to the Director and the relevant supply authority but if the person is an electrical worker in the course of his or her employment it is sufficient for the purposes of this regulation if the report is made to the employer of that person.</w:t>
      </w:r>
    </w:p>
    <w:p>
      <w:pPr>
        <w:pStyle w:val="Subsection"/>
        <w:rPr>
          <w:snapToGrid w:val="0"/>
        </w:rPr>
      </w:pPr>
      <w:r>
        <w:rPr>
          <w:snapToGrid w:val="0"/>
        </w:rPr>
        <w:tab/>
        <w:t>(2)</w:t>
      </w:r>
      <w:r>
        <w:rPr>
          <w:snapToGrid w:val="0"/>
        </w:rPr>
        <w:tab/>
        <w:t>Any report made to an employer under subregulation (1) shall be reported to the relevant supply authority and Director.</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accident</w:t>
      </w:r>
      <w:r>
        <w:rPr>
          <w:b/>
        </w:rPr>
        <w:t>”</w:t>
      </w:r>
      <w:r>
        <w:t xml:space="preserve"> means an accident that results from a sudden discharge of electricity or that otherwise has, or may have, electrical origins.</w:t>
      </w:r>
    </w:p>
    <w:p>
      <w:pPr>
        <w:pStyle w:val="Footnotesection"/>
      </w:pPr>
      <w:r>
        <w:tab/>
        <w:t xml:space="preserve">[Regulation 63 amended in Gazette 23 Dec 1994 p. 7134; 6 Sep 1996 p. 4419.] </w:t>
      </w:r>
    </w:p>
    <w:p>
      <w:pPr>
        <w:pStyle w:val="Heading5"/>
        <w:rPr>
          <w:snapToGrid w:val="0"/>
        </w:rPr>
      </w:pPr>
      <w:bookmarkStart w:id="485" w:name="_Toc31684999"/>
      <w:bookmarkStart w:id="486" w:name="_Toc92790677"/>
      <w:bookmarkStart w:id="487" w:name="_Toc92965306"/>
      <w:bookmarkStart w:id="488" w:name="_Toc112151130"/>
      <w:bookmarkStart w:id="489" w:name="_Toc139258317"/>
      <w:bookmarkStart w:id="490" w:name="_Toc136662560"/>
      <w:r>
        <w:rPr>
          <w:rStyle w:val="CharSectno"/>
        </w:rPr>
        <w:t>63A</w:t>
      </w:r>
      <w:r>
        <w:rPr>
          <w:snapToGrid w:val="0"/>
        </w:rPr>
        <w:t xml:space="preserve">. </w:t>
      </w:r>
      <w:r>
        <w:rPr>
          <w:snapToGrid w:val="0"/>
        </w:rPr>
        <w:tab/>
        <w:t>Interference with scene of accident</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person shall not do anything at the place at which an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w:t>
      </w:r>
    </w:p>
    <w:p>
      <w:pPr>
        <w:pStyle w:val="Heading5"/>
      </w:pPr>
      <w:bookmarkStart w:id="491" w:name="_Toc92790678"/>
      <w:bookmarkStart w:id="492" w:name="_Toc92965307"/>
      <w:bookmarkStart w:id="493" w:name="_Toc112151131"/>
      <w:bookmarkStart w:id="494" w:name="_Toc139258318"/>
      <w:bookmarkStart w:id="495" w:name="_Toc136662561"/>
      <w:bookmarkStart w:id="496" w:name="_Toc31685000"/>
      <w:r>
        <w:rPr>
          <w:rStyle w:val="CharSectno"/>
        </w:rPr>
        <w:t>63B</w:t>
      </w:r>
      <w:r>
        <w:t>.</w:t>
      </w:r>
      <w:r>
        <w:tab/>
        <w:t>Delegation by Director</w:t>
      </w:r>
      <w:bookmarkEnd w:id="491"/>
      <w:bookmarkEnd w:id="492"/>
      <w:bookmarkEnd w:id="493"/>
      <w:bookmarkEnd w:id="494"/>
      <w:bookmarkEnd w:id="49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497" w:name="_Toc92790679"/>
      <w:bookmarkStart w:id="498" w:name="_Toc92965308"/>
      <w:bookmarkStart w:id="499" w:name="_Toc112151132"/>
      <w:bookmarkStart w:id="500" w:name="_Toc139258319"/>
      <w:bookmarkStart w:id="501" w:name="_Toc136662562"/>
      <w:r>
        <w:rPr>
          <w:rStyle w:val="CharSectno"/>
        </w:rPr>
        <w:t>64</w:t>
      </w:r>
      <w:r>
        <w:rPr>
          <w:snapToGrid w:val="0"/>
        </w:rPr>
        <w:t>.</w:t>
      </w:r>
      <w:r>
        <w:rPr>
          <w:snapToGrid w:val="0"/>
        </w:rPr>
        <w:tab/>
        <w:t>Fees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holder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w:t>
      </w:r>
    </w:p>
    <w:p>
      <w:pPr>
        <w:pStyle w:val="Heading5"/>
        <w:rPr>
          <w:snapToGrid w:val="0"/>
        </w:rPr>
      </w:pPr>
      <w:bookmarkStart w:id="502" w:name="_Toc31685001"/>
      <w:bookmarkStart w:id="503" w:name="_Toc92790680"/>
      <w:bookmarkStart w:id="504" w:name="_Toc92965309"/>
      <w:bookmarkStart w:id="505" w:name="_Toc112151133"/>
      <w:bookmarkStart w:id="506" w:name="_Toc139258320"/>
      <w:bookmarkStart w:id="507" w:name="_Toc136662563"/>
      <w:r>
        <w:rPr>
          <w:rStyle w:val="CharSectno"/>
        </w:rPr>
        <w:t>65</w:t>
      </w:r>
      <w:r>
        <w:rPr>
          <w:snapToGrid w:val="0"/>
        </w:rPr>
        <w:t>.</w:t>
      </w:r>
      <w:r>
        <w:rPr>
          <w:snapToGrid w:val="0"/>
        </w:rPr>
        <w:tab/>
        <w:t>General offence and penalty</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A person who fails to do anything that person is required to do under these regulations or does anything that that person is prohibited from doing under these regulations commits an offence and is liable, where no other penalty is prescribed, to a fine — </w:t>
      </w:r>
    </w:p>
    <w:p>
      <w:pPr>
        <w:pStyle w:val="Indenta"/>
        <w:rPr>
          <w:snapToGrid w:val="0"/>
        </w:rPr>
      </w:pPr>
      <w:r>
        <w:rPr>
          <w:snapToGrid w:val="0"/>
        </w:rPr>
        <w:tab/>
        <w:t>(a)</w:t>
      </w:r>
      <w:r>
        <w:rPr>
          <w:snapToGrid w:val="0"/>
        </w:rPr>
        <w:tab/>
        <w:t>in the case of an individual, of $5 000;</w:t>
      </w:r>
    </w:p>
    <w:p>
      <w:pPr>
        <w:pStyle w:val="Indenta"/>
        <w:rPr>
          <w:snapToGrid w:val="0"/>
        </w:rPr>
      </w:pPr>
      <w:r>
        <w:rPr>
          <w:snapToGrid w:val="0"/>
        </w:rPr>
        <w:tab/>
        <w:t>(b)</w:t>
      </w:r>
      <w:r>
        <w:rPr>
          <w:snapToGrid w:val="0"/>
        </w:rPr>
        <w:tab/>
        <w:t>in the case of a corporation, of $20 000.</w:t>
      </w:r>
    </w:p>
    <w:p>
      <w:pPr>
        <w:pStyle w:val="Ednotesection"/>
        <w:rPr>
          <w:i w:val="0"/>
        </w:rPr>
      </w:pPr>
      <w:r>
        <w:t>[</w:t>
      </w:r>
      <w:r>
        <w:rPr>
          <w:b/>
        </w:rPr>
        <w:t>66.</w:t>
      </w:r>
      <w:r>
        <w:rPr>
          <w:b/>
        </w:rPr>
        <w:tab/>
      </w:r>
      <w:r>
        <w:t>Omitted under the Reprints Act 1984 s. 7(4)(e).]</w:t>
      </w:r>
    </w:p>
    <w:p>
      <w:pPr>
        <w:pStyle w:val="Heading5"/>
        <w:rPr>
          <w:snapToGrid w:val="0"/>
        </w:rPr>
      </w:pPr>
      <w:bookmarkStart w:id="508" w:name="_Toc31685003"/>
      <w:bookmarkStart w:id="509" w:name="_Toc92790681"/>
      <w:bookmarkStart w:id="510" w:name="_Toc92965310"/>
      <w:bookmarkStart w:id="511" w:name="_Toc112151134"/>
      <w:bookmarkStart w:id="512" w:name="_Toc139258321"/>
      <w:bookmarkStart w:id="513" w:name="_Toc136662564"/>
      <w:r>
        <w:rPr>
          <w:rStyle w:val="CharSectno"/>
        </w:rPr>
        <w:t>67</w:t>
      </w:r>
      <w:r>
        <w:rPr>
          <w:snapToGrid w:val="0"/>
        </w:rPr>
        <w:t>.</w:t>
      </w:r>
      <w:r>
        <w:rPr>
          <w:snapToGrid w:val="0"/>
        </w:rPr>
        <w:tab/>
        <w:t>Savings and transitional</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Notwithstanding anything in these regulations, a licence or permit issued under the repealed regulations and in force immediately before the commencement day shall, subject to this regulation, continue in force after that day and the registration of the licence holder may be renewed, suspended or cancelled under these regulations as though it were a licence issued under these regulations and the holder of such a licence is subject to the provisions of these regulations accordingly.</w:t>
      </w:r>
    </w:p>
    <w:p>
      <w:pPr>
        <w:pStyle w:val="Subsection"/>
        <w:rPr>
          <w:snapToGrid w:val="0"/>
        </w:rPr>
      </w:pPr>
      <w:r>
        <w:rPr>
          <w:snapToGrid w:val="0"/>
        </w:rPr>
        <w:tab/>
        <w:t>(2)</w:t>
      </w:r>
      <w:r>
        <w:rPr>
          <w:snapToGrid w:val="0"/>
        </w:rPr>
        <w:tab/>
        <w:t>Notwithstanding anything in these regulations, a person who immediately before the commencement day held a licence or permit of the kind specified in column 1 of the Table to this regulation under the repealed regulations shall after that day be deemed to hold a licence of the kind specified opposite and corresponding to that kind of licence in column 2 of that Table, but subject to the conditions and stipulations specified in the licence held by him or her under the repealed regulations.</w:t>
      </w:r>
    </w:p>
    <w:p>
      <w:pPr>
        <w:pStyle w:val="Subsection"/>
        <w:rPr>
          <w:snapToGrid w:val="0"/>
        </w:rPr>
      </w:pPr>
      <w:r>
        <w:rPr>
          <w:snapToGrid w:val="0"/>
        </w:rPr>
        <w:tab/>
        <w:t>(3)</w:t>
      </w:r>
      <w:r>
        <w:rPr>
          <w:snapToGrid w:val="0"/>
        </w:rPr>
        <w:tab/>
        <w:t>Subject to these regulations, on the expiry of a licence issued under the repealed regulations the holder of the licence shall be issued with a licence or permit of the kind he or she is deemed to hold under subregulation (2) but subject to such conditions and stipulations as are specified in the licence issued under the repealed regulations or as determined by the Board in accordance with these regulations.</w:t>
      </w:r>
    </w:p>
    <w:p>
      <w:pPr>
        <w:pStyle w:val="Subsection"/>
        <w:rPr>
          <w:snapToGrid w:val="0"/>
        </w:rPr>
      </w:pPr>
      <w:r>
        <w:rPr>
          <w:snapToGrid w:val="0"/>
        </w:rPr>
        <w:tab/>
        <w:t>(4)</w:t>
      </w:r>
      <w:r>
        <w:rPr>
          <w:snapToGrid w:val="0"/>
        </w:rPr>
        <w:tab/>
        <w:t>Where a licence or permit issued under the repealed regulations is not one of the kinds of licence or permit referred to in the Table to this regulation the Board shall, not later than 30 days before the appointed day fixed in relation to regulation 19(1), issue to the holder of the licence a licence of a grade determined by the Board.</w:t>
      </w:r>
    </w:p>
    <w:p>
      <w:pPr>
        <w:pStyle w:val="Subsection"/>
        <w:rPr>
          <w:snapToGrid w:val="0"/>
        </w:rPr>
      </w:pPr>
      <w:r>
        <w:rPr>
          <w:snapToGrid w:val="0"/>
        </w:rPr>
        <w:tab/>
        <w:t>(5)</w:t>
      </w:r>
      <w:r>
        <w:rPr>
          <w:snapToGrid w:val="0"/>
        </w:rPr>
        <w:tab/>
        <w:t>A person who is aggrieved by a decision of the Board under subregulation (4) may, within 14 days of that decision, appeal to a Local Court and the Court may order the Board to issue to that person such licence as the Court thinks proper.</w:t>
      </w:r>
    </w:p>
    <w:p>
      <w:pPr>
        <w:pStyle w:val="Subsection"/>
        <w:rPr>
          <w:snapToGrid w:val="0"/>
        </w:rPr>
      </w:pPr>
      <w:r>
        <w:rPr>
          <w:snapToGrid w:val="0"/>
        </w:rPr>
        <w:tab/>
        <w:t>(6)</w:t>
      </w:r>
      <w:r>
        <w:rPr>
          <w:snapToGrid w:val="0"/>
        </w:rPr>
        <w:tab/>
        <w:t>In this regulation — </w:t>
      </w:r>
    </w:p>
    <w:p>
      <w:pPr>
        <w:pStyle w:val="Defstart"/>
      </w:pPr>
      <w:r>
        <w:rPr>
          <w:b/>
        </w:rPr>
        <w:tab/>
        <w:t>“</w:t>
      </w:r>
      <w:r>
        <w:rPr>
          <w:rStyle w:val="CharDefText"/>
        </w:rPr>
        <w:t>commencement day</w:t>
      </w:r>
      <w:r>
        <w:rPr>
          <w:b/>
        </w:rPr>
        <w:t>”</w:t>
      </w:r>
      <w:r>
        <w:t xml:space="preserve"> means the day that these regulations come into operation;</w:t>
      </w:r>
    </w:p>
    <w:p>
      <w:pPr>
        <w:pStyle w:val="Defstart"/>
      </w:pPr>
      <w:r>
        <w:rPr>
          <w:b/>
        </w:rPr>
        <w:tab/>
        <w:t>“</w:t>
      </w:r>
      <w:r>
        <w:rPr>
          <w:rStyle w:val="CharDefText"/>
        </w:rPr>
        <w:t>the repealed regulations</w:t>
      </w:r>
      <w:r>
        <w:rPr>
          <w:b/>
        </w:rPr>
        <w:t>”</w:t>
      </w:r>
      <w:r>
        <w:t xml:space="preserve"> means the regulations repealed under regulation 66.</w:t>
      </w:r>
    </w:p>
    <w:p>
      <w:pPr>
        <w:pStyle w:val="MiscellaneousHeading"/>
        <w:rPr>
          <w:b/>
          <w:bCs/>
        </w:rPr>
      </w:pPr>
      <w:r>
        <w:rPr>
          <w:b/>
          <w:bCs/>
        </w:rPr>
        <w:t>Table</w:t>
      </w:r>
    </w:p>
    <w:tbl>
      <w:tblPr>
        <w:tblW w:w="0" w:type="auto"/>
        <w:tblInd w:w="851" w:type="dxa"/>
        <w:tblLayout w:type="fixed"/>
        <w:tblCellMar>
          <w:left w:w="283" w:type="dxa"/>
          <w:right w:w="283" w:type="dxa"/>
        </w:tblCellMar>
        <w:tblLook w:val="0000" w:firstRow="0" w:lastRow="0" w:firstColumn="0" w:lastColumn="0" w:noHBand="0" w:noVBand="0"/>
      </w:tblPr>
      <w:tblGrid>
        <w:gridCol w:w="3752"/>
        <w:gridCol w:w="2910"/>
      </w:tblGrid>
      <w:tr>
        <w:trPr>
          <w:tblHeader/>
        </w:trPr>
        <w:tc>
          <w:tcPr>
            <w:tcW w:w="3752" w:type="dxa"/>
          </w:tcPr>
          <w:p>
            <w:pPr>
              <w:pStyle w:val="Table"/>
              <w:spacing w:before="120"/>
              <w:ind w:right="728"/>
              <w:jc w:val="center"/>
              <w:rPr>
                <w:b/>
                <w:sz w:val="20"/>
              </w:rPr>
            </w:pPr>
            <w:r>
              <w:rPr>
                <w:b/>
                <w:sz w:val="20"/>
              </w:rPr>
              <w:t>Column 1</w:t>
            </w:r>
          </w:p>
        </w:tc>
        <w:tc>
          <w:tcPr>
            <w:tcW w:w="2910" w:type="dxa"/>
          </w:tcPr>
          <w:p>
            <w:pPr>
              <w:pStyle w:val="Table"/>
              <w:spacing w:before="120"/>
              <w:ind w:right="728"/>
              <w:jc w:val="center"/>
              <w:rPr>
                <w:b/>
                <w:sz w:val="20"/>
              </w:rPr>
            </w:pPr>
            <w:r>
              <w:rPr>
                <w:b/>
                <w:sz w:val="20"/>
              </w:rPr>
              <w:t>Column 2</w:t>
            </w:r>
          </w:p>
        </w:tc>
      </w:tr>
      <w:tr>
        <w:trPr>
          <w:tblHeader/>
        </w:trPr>
        <w:tc>
          <w:tcPr>
            <w:tcW w:w="3752" w:type="dxa"/>
          </w:tcPr>
          <w:p>
            <w:pPr>
              <w:pStyle w:val="Table"/>
              <w:spacing w:before="40" w:after="40"/>
              <w:ind w:right="728"/>
              <w:rPr>
                <w:b/>
                <w:bCs/>
                <w:sz w:val="20"/>
              </w:rPr>
            </w:pPr>
            <w:r>
              <w:rPr>
                <w:b/>
                <w:bCs/>
                <w:sz w:val="20"/>
              </w:rPr>
              <w:t>1947 Licence</w:t>
            </w:r>
          </w:p>
        </w:tc>
        <w:tc>
          <w:tcPr>
            <w:tcW w:w="2910" w:type="dxa"/>
          </w:tcPr>
          <w:p>
            <w:pPr>
              <w:pStyle w:val="Table"/>
              <w:spacing w:before="40" w:after="40"/>
              <w:ind w:right="227"/>
              <w:rPr>
                <w:b/>
                <w:bCs/>
                <w:sz w:val="20"/>
              </w:rPr>
            </w:pPr>
            <w:r>
              <w:rPr>
                <w:b/>
                <w:bCs/>
                <w:sz w:val="20"/>
              </w:rPr>
              <w:t>1991 Licence — Deemed Equivalent</w:t>
            </w:r>
          </w:p>
        </w:tc>
      </w:tr>
      <w:tr>
        <w:tc>
          <w:tcPr>
            <w:tcW w:w="3752" w:type="dxa"/>
          </w:tcPr>
          <w:p>
            <w:pPr>
              <w:pStyle w:val="Table"/>
              <w:spacing w:before="40" w:after="40"/>
              <w:ind w:right="728"/>
              <w:rPr>
                <w:sz w:val="20"/>
              </w:rPr>
            </w:pPr>
            <w:r>
              <w:rPr>
                <w:sz w:val="20"/>
              </w:rPr>
              <w:t>Electrical Worker’s Licence A Grade</w:t>
            </w:r>
          </w:p>
        </w:tc>
        <w:tc>
          <w:tcPr>
            <w:tcW w:w="2910" w:type="dxa"/>
          </w:tcPr>
          <w:p>
            <w:pPr>
              <w:pStyle w:val="Table"/>
              <w:spacing w:before="0" w:after="40"/>
              <w:ind w:right="728"/>
              <w:rPr>
                <w:sz w:val="20"/>
              </w:rPr>
            </w:pPr>
            <w:r>
              <w:rPr>
                <w:sz w:val="20"/>
              </w:rPr>
              <w:t>A Grade</w:t>
            </w:r>
            <w:r>
              <w:rPr>
                <w:sz w:val="20"/>
              </w:rPr>
              <w:br/>
              <w:t>All Electrical Work</w:t>
            </w:r>
          </w:p>
        </w:tc>
      </w:tr>
      <w:tr>
        <w:tc>
          <w:tcPr>
            <w:tcW w:w="3752" w:type="dxa"/>
          </w:tcPr>
          <w:p>
            <w:pPr>
              <w:pStyle w:val="Table"/>
              <w:spacing w:before="40" w:after="40"/>
              <w:ind w:right="248"/>
              <w:rPr>
                <w:sz w:val="20"/>
              </w:rPr>
            </w:pPr>
            <w:r>
              <w:rPr>
                <w:sz w:val="20"/>
              </w:rPr>
              <w:t>Electrical Worker’s Licence endorsed for an Electrical Fitter B Grade</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197"/>
              <w:rPr>
                <w:sz w:val="20"/>
              </w:rPr>
            </w:pPr>
            <w:r>
              <w:rPr>
                <w:sz w:val="20"/>
              </w:rPr>
              <w:t>Electrical Worker’s Licence endorsed for an Electrical Mechanic B Grade</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0" w:after="40"/>
              <w:ind w:right="728"/>
              <w:rPr>
                <w:sz w:val="20"/>
              </w:rPr>
            </w:pPr>
            <w:r>
              <w:rPr>
                <w:sz w:val="20"/>
              </w:rPr>
              <w:t xml:space="preserve">Electrical Worker’s Licence endorsed for Electrical Fitter Electrical Mechanic </w:t>
            </w:r>
            <w:r>
              <w:rPr>
                <w:sz w:val="20"/>
              </w:rPr>
              <w:br/>
              <w:t>B Grade</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ind w:right="317"/>
              <w:rPr>
                <w:sz w:val="20"/>
              </w:rPr>
            </w:pPr>
            <w:r>
              <w:rPr>
                <w:sz w:val="20"/>
              </w:rPr>
              <w:t>Special Electrical Worker’s Permit</w:t>
            </w:r>
            <w:r>
              <w:rPr>
                <w:sz w:val="20"/>
              </w:rPr>
              <w:br/>
              <w:t>Electrical Fitter</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317"/>
              <w:rPr>
                <w:sz w:val="20"/>
              </w:rPr>
            </w:pPr>
            <w:r>
              <w:rPr>
                <w:sz w:val="20"/>
              </w:rPr>
              <w:t>Special Electrical Worker’s Permit</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40" w:after="40"/>
              <w:ind w:right="128"/>
              <w:rPr>
                <w:sz w:val="20"/>
              </w:rPr>
            </w:pPr>
            <w:r>
              <w:rPr>
                <w:sz w:val="20"/>
              </w:rPr>
              <w:t>Special Electrical Worker’s Permit</w:t>
            </w:r>
            <w:r>
              <w:rPr>
                <w:sz w:val="20"/>
              </w:rPr>
              <w:br/>
              <w:t>Electrical Fitter</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rPr>
                <w:sz w:val="20"/>
              </w:rPr>
            </w:pPr>
            <w:r>
              <w:rPr>
                <w:sz w:val="20"/>
              </w:rPr>
              <w:t>Electrical Worker’s Licence endorsed for Fitter Employee</w:t>
            </w:r>
            <w:r>
              <w:rPr>
                <w:sz w:val="20"/>
              </w:rPr>
              <w:br/>
              <w:t>B Grade</w:t>
            </w:r>
          </w:p>
        </w:tc>
        <w:tc>
          <w:tcPr>
            <w:tcW w:w="2910" w:type="dxa"/>
          </w:tcPr>
          <w:p>
            <w:pPr>
              <w:pStyle w:val="Table"/>
              <w:spacing w:before="40" w:after="40"/>
              <w:ind w:right="728"/>
              <w:rPr>
                <w:sz w:val="20"/>
              </w:rPr>
            </w:pPr>
            <w:r>
              <w:rPr>
                <w:sz w:val="20"/>
              </w:rPr>
              <w:t>B Grade</w:t>
            </w:r>
            <w:r>
              <w:rPr>
                <w:sz w:val="20"/>
              </w:rPr>
              <w:br/>
              <w:t>Electrical Fitter</w:t>
            </w:r>
          </w:p>
        </w:tc>
      </w:tr>
      <w:tr>
        <w:tc>
          <w:tcPr>
            <w:tcW w:w="3752" w:type="dxa"/>
          </w:tcPr>
          <w:p>
            <w:pPr>
              <w:pStyle w:val="Table"/>
              <w:spacing w:before="40" w:after="40"/>
              <w:ind w:right="128"/>
              <w:rPr>
                <w:sz w:val="20"/>
              </w:rPr>
            </w:pPr>
            <w:r>
              <w:rPr>
                <w:sz w:val="20"/>
              </w:rPr>
              <w:t>Electrical Worker’s Licence endorsed for Mechanic Employee (Installer)</w:t>
            </w:r>
            <w:r>
              <w:rPr>
                <w:sz w:val="20"/>
              </w:rPr>
              <w:br/>
              <w:t>B Grade</w:t>
            </w:r>
          </w:p>
        </w:tc>
        <w:tc>
          <w:tcPr>
            <w:tcW w:w="2910" w:type="dxa"/>
          </w:tcPr>
          <w:p>
            <w:pPr>
              <w:pStyle w:val="Table"/>
              <w:spacing w:before="40" w:after="40"/>
              <w:ind w:right="728"/>
              <w:rPr>
                <w:sz w:val="20"/>
              </w:rPr>
            </w:pPr>
            <w:r>
              <w:rPr>
                <w:sz w:val="20"/>
              </w:rPr>
              <w:t>B Grade</w:t>
            </w:r>
            <w:r>
              <w:rPr>
                <w:sz w:val="20"/>
              </w:rPr>
              <w:br/>
              <w:t>Electrical Mechanic</w:t>
            </w:r>
          </w:p>
        </w:tc>
      </w:tr>
      <w:tr>
        <w:tc>
          <w:tcPr>
            <w:tcW w:w="3752" w:type="dxa"/>
          </w:tcPr>
          <w:p>
            <w:pPr>
              <w:pStyle w:val="Table"/>
              <w:spacing w:before="40" w:after="40"/>
              <w:ind w:right="128"/>
              <w:rPr>
                <w:sz w:val="20"/>
              </w:rPr>
            </w:pPr>
            <w:r>
              <w:rPr>
                <w:sz w:val="20"/>
              </w:rPr>
              <w:t>Electrical Worker’s Licence</w:t>
            </w:r>
            <w:r>
              <w:rPr>
                <w:sz w:val="20"/>
              </w:rPr>
              <w:br/>
              <w:t>C Grade</w:t>
            </w:r>
          </w:p>
        </w:tc>
        <w:tc>
          <w:tcPr>
            <w:tcW w:w="2910" w:type="dxa"/>
          </w:tcPr>
          <w:p>
            <w:pPr>
              <w:pStyle w:val="Table"/>
              <w:spacing w:before="40" w:after="40"/>
              <w:ind w:right="728"/>
              <w:rPr>
                <w:sz w:val="20"/>
              </w:rPr>
            </w:pPr>
            <w:r>
              <w:rPr>
                <w:sz w:val="20"/>
              </w:rPr>
              <w:t>C Grade</w:t>
            </w:r>
          </w:p>
        </w:tc>
      </w:tr>
      <w:tr>
        <w:tc>
          <w:tcPr>
            <w:tcW w:w="3752" w:type="dxa"/>
          </w:tcPr>
          <w:p>
            <w:pPr>
              <w:pStyle w:val="Table"/>
              <w:spacing w:before="40" w:after="40"/>
              <w:ind w:right="128"/>
              <w:rPr>
                <w:sz w:val="20"/>
              </w:rPr>
            </w:pPr>
            <w:r>
              <w:rPr>
                <w:sz w:val="20"/>
              </w:rPr>
              <w:t>Restricted R</w:t>
            </w:r>
          </w:p>
        </w:tc>
        <w:tc>
          <w:tcPr>
            <w:tcW w:w="2910" w:type="dxa"/>
          </w:tcPr>
          <w:p>
            <w:pPr>
              <w:pStyle w:val="Table"/>
              <w:spacing w:before="40" w:after="40"/>
              <w:ind w:right="728"/>
              <w:rPr>
                <w:sz w:val="20"/>
              </w:rPr>
            </w:pPr>
            <w:r>
              <w:rPr>
                <w:sz w:val="20"/>
              </w:rPr>
              <w:t>Restricted</w:t>
            </w:r>
          </w:p>
        </w:tc>
      </w:tr>
      <w:tr>
        <w:tc>
          <w:tcPr>
            <w:tcW w:w="3752" w:type="dxa"/>
          </w:tcPr>
          <w:p>
            <w:pPr>
              <w:pStyle w:val="Table"/>
              <w:spacing w:before="40" w:after="40"/>
              <w:ind w:right="128"/>
              <w:rPr>
                <w:sz w:val="20"/>
              </w:rPr>
            </w:pPr>
            <w:r>
              <w:rPr>
                <w:sz w:val="20"/>
              </w:rPr>
              <w:t>Restricted (Limited L)</w:t>
            </w:r>
          </w:p>
        </w:tc>
        <w:tc>
          <w:tcPr>
            <w:tcW w:w="2910" w:type="dxa"/>
          </w:tcPr>
          <w:p>
            <w:pPr>
              <w:pStyle w:val="Table"/>
              <w:spacing w:before="40" w:after="40"/>
              <w:ind w:right="728"/>
              <w:rPr>
                <w:sz w:val="20"/>
              </w:rPr>
            </w:pPr>
            <w:r>
              <w:rPr>
                <w:sz w:val="20"/>
              </w:rPr>
              <w:t>Limited</w:t>
            </w:r>
          </w:p>
        </w:tc>
      </w:tr>
      <w:tr>
        <w:tc>
          <w:tcPr>
            <w:tcW w:w="3752" w:type="dxa"/>
          </w:tcPr>
          <w:p>
            <w:pPr>
              <w:pStyle w:val="Table"/>
              <w:spacing w:before="40" w:after="40"/>
              <w:ind w:right="128"/>
              <w:rPr>
                <w:sz w:val="20"/>
              </w:rPr>
            </w:pPr>
            <w:r>
              <w:rPr>
                <w:sz w:val="20"/>
              </w:rPr>
              <w:t>Electrical Worker’s Permit</w:t>
            </w:r>
            <w:r>
              <w:rPr>
                <w:sz w:val="20"/>
              </w:rPr>
              <w:br/>
              <w:t>Determined according to</w:t>
            </w:r>
            <w:r>
              <w:rPr>
                <w:sz w:val="20"/>
              </w:rPr>
              <w:br/>
              <w:t>the condition as stated</w:t>
            </w:r>
          </w:p>
        </w:tc>
        <w:tc>
          <w:tcPr>
            <w:tcW w:w="2910" w:type="dxa"/>
          </w:tcPr>
          <w:p>
            <w:pPr>
              <w:pStyle w:val="Table"/>
              <w:spacing w:before="40" w:after="40"/>
              <w:ind w:right="728"/>
              <w:rPr>
                <w:sz w:val="20"/>
              </w:rPr>
            </w:pPr>
            <w:r>
              <w:rPr>
                <w:sz w:val="20"/>
              </w:rPr>
              <w:t>Permit</w:t>
            </w:r>
            <w:r>
              <w:rPr>
                <w:sz w:val="20"/>
              </w:rPr>
              <w:br/>
              <w:t>Subject to same</w:t>
            </w:r>
            <w:r>
              <w:rPr>
                <w:sz w:val="20"/>
              </w:rPr>
              <w:br/>
              <w:t>limitations and</w:t>
            </w:r>
            <w:r>
              <w:rPr>
                <w:sz w:val="20"/>
              </w:rPr>
              <w:br/>
              <w:t>expiry date</w:t>
            </w:r>
          </w:p>
        </w:tc>
      </w:tr>
      <w:tr>
        <w:tc>
          <w:tcPr>
            <w:tcW w:w="3752" w:type="dxa"/>
          </w:tcPr>
          <w:p>
            <w:pPr>
              <w:pStyle w:val="Table"/>
              <w:spacing w:before="40" w:after="40"/>
              <w:ind w:right="128"/>
              <w:rPr>
                <w:sz w:val="20"/>
              </w:rPr>
            </w:pPr>
            <w:r>
              <w:rPr>
                <w:sz w:val="20"/>
              </w:rPr>
              <w:t>Electrical Contractor’s Licence</w:t>
            </w:r>
          </w:p>
        </w:tc>
        <w:tc>
          <w:tcPr>
            <w:tcW w:w="2910" w:type="dxa"/>
          </w:tcPr>
          <w:p>
            <w:pPr>
              <w:pStyle w:val="Table"/>
              <w:spacing w:before="40" w:after="40"/>
              <w:ind w:right="728"/>
              <w:rPr>
                <w:sz w:val="20"/>
              </w:rPr>
            </w:pPr>
            <w:r>
              <w:rPr>
                <w:sz w:val="20"/>
              </w:rPr>
              <w:t>Electrical Contractor’s Licence</w:t>
            </w:r>
          </w:p>
        </w:tc>
      </w:tr>
    </w:tbl>
    <w:p>
      <w:pPr>
        <w:pStyle w:val="Footnotesection"/>
      </w:pPr>
      <w:r>
        <w:tab/>
        <w:t xml:space="preserve">[Regulation 67 corrigendum in Gazette 1 Nov 1991 p. 5665; amended in Gazette 6 Sep 1996 p. 4419.]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4" w:name="_Toc92790682"/>
      <w:bookmarkStart w:id="515" w:name="_Toc92965311"/>
      <w:bookmarkStart w:id="516" w:name="_Toc112151135"/>
      <w:bookmarkStart w:id="517" w:name="_Toc133305814"/>
      <w:bookmarkStart w:id="518" w:name="_Toc135028326"/>
      <w:bookmarkStart w:id="519" w:name="_Toc135121879"/>
      <w:bookmarkStart w:id="520" w:name="_Toc136661064"/>
      <w:bookmarkStart w:id="521" w:name="_Toc136661255"/>
      <w:bookmarkStart w:id="522" w:name="_Toc136662565"/>
      <w:bookmarkStart w:id="523" w:name="_Toc139258322"/>
      <w:r>
        <w:rPr>
          <w:rStyle w:val="CharSchNo"/>
        </w:rPr>
        <w:t>Schedule 1</w:t>
      </w:r>
      <w:bookmarkEnd w:id="514"/>
      <w:bookmarkEnd w:id="515"/>
      <w:bookmarkEnd w:id="516"/>
      <w:bookmarkEnd w:id="517"/>
      <w:bookmarkEnd w:id="518"/>
      <w:bookmarkEnd w:id="519"/>
      <w:bookmarkEnd w:id="520"/>
      <w:bookmarkEnd w:id="521"/>
      <w:bookmarkEnd w:id="522"/>
      <w:bookmarkEnd w:id="523"/>
      <w:r>
        <w:t xml:space="preserve"> </w:t>
      </w:r>
    </w:p>
    <w:p>
      <w:pPr>
        <w:pStyle w:val="yShoulderClause"/>
        <w:rPr>
          <w:snapToGrid w:val="0"/>
        </w:rPr>
      </w:pPr>
      <w:r>
        <w:rPr>
          <w:snapToGrid w:val="0"/>
        </w:rPr>
        <w:t>[Reg. 64]</w:t>
      </w:r>
    </w:p>
    <w:p>
      <w:pPr>
        <w:pStyle w:val="yHeading2"/>
      </w:pPr>
      <w:bookmarkStart w:id="524" w:name="_Toc136661256"/>
      <w:bookmarkStart w:id="525" w:name="_Toc136662566"/>
      <w:bookmarkStart w:id="526" w:name="_Toc139258323"/>
      <w:r>
        <w:rPr>
          <w:rStyle w:val="CharSchText"/>
        </w:rPr>
        <w:t>Fees</w:t>
      </w:r>
      <w:bookmarkEnd w:id="524"/>
      <w:bookmarkEnd w:id="525"/>
      <w:bookmarkEnd w:id="526"/>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before="0"/>
            </w:pPr>
          </w:p>
        </w:tc>
        <w:tc>
          <w:tcPr>
            <w:tcW w:w="1418" w:type="dxa"/>
          </w:tcPr>
          <w:p>
            <w:pPr>
              <w:pStyle w:val="yTable"/>
              <w:spacing w:before="0"/>
              <w:jc w:val="center"/>
            </w:pPr>
            <w:r>
              <w:t>$</w:t>
            </w:r>
          </w:p>
        </w:tc>
      </w:tr>
      <w:tr>
        <w:tc>
          <w:tcPr>
            <w:tcW w:w="5669" w:type="dxa"/>
          </w:tcPr>
          <w:p>
            <w:pPr>
              <w:pStyle w:val="yTable"/>
              <w:spacing w:before="0"/>
            </w:pPr>
            <w:r>
              <w:t>1.</w:t>
            </w:r>
            <w:r>
              <w:tab/>
              <w:t>Licences and permits under Part 3 — </w:t>
            </w:r>
          </w:p>
        </w:tc>
        <w:tc>
          <w:tcPr>
            <w:tcW w:w="1418" w:type="dxa"/>
          </w:tcPr>
          <w:p>
            <w:pPr>
              <w:pStyle w:val="yTable"/>
              <w:spacing w:before="0"/>
            </w:pPr>
          </w:p>
        </w:tc>
      </w:tr>
      <w:tr>
        <w:tc>
          <w:tcPr>
            <w:tcW w:w="5669" w:type="dxa"/>
          </w:tcPr>
          <w:p>
            <w:pPr>
              <w:pStyle w:val="yTable"/>
              <w:tabs>
                <w:tab w:val="left" w:pos="709"/>
              </w:tabs>
              <w:spacing w:before="0"/>
              <w:ind w:left="1418" w:hanging="1418"/>
            </w:pPr>
            <w:r>
              <w:tab/>
              <w:t>(a)</w:t>
            </w:r>
            <w:r>
              <w:tab/>
              <w:t>Application for licence or permit ..................</w:t>
            </w:r>
          </w:p>
        </w:tc>
        <w:tc>
          <w:tcPr>
            <w:tcW w:w="1418" w:type="dxa"/>
          </w:tcPr>
          <w:p>
            <w:pPr>
              <w:pStyle w:val="yTable"/>
              <w:spacing w:before="0"/>
              <w:jc w:val="center"/>
            </w:pPr>
            <w:del w:id="527" w:author="Master Repository Process" w:date="2021-08-01T09:46:00Z">
              <w:r>
                <w:delText>33</w:delText>
              </w:r>
            </w:del>
            <w:ins w:id="528" w:author="Master Repository Process" w:date="2021-08-01T09:46:00Z">
              <w:r>
                <w:t>34</w:t>
              </w:r>
            </w:ins>
          </w:p>
        </w:tc>
      </w:tr>
      <w:tr>
        <w:tc>
          <w:tcPr>
            <w:tcW w:w="5669" w:type="dxa"/>
          </w:tcPr>
          <w:p>
            <w:pPr>
              <w:pStyle w:val="yTable"/>
              <w:tabs>
                <w:tab w:val="left" w:pos="709"/>
              </w:tabs>
              <w:spacing w:before="0"/>
              <w:ind w:left="1418" w:hanging="1418"/>
            </w:pPr>
            <w:r>
              <w:tab/>
              <w:t>(b)</w:t>
            </w:r>
            <w:r>
              <w:tab/>
              <w:t xml:space="preserve">Registration of licence holder or permit or </w:t>
            </w:r>
            <w:r>
              <w:tab/>
              <w:t>renewal of registration (for each year) .........</w:t>
            </w:r>
          </w:p>
        </w:tc>
        <w:tc>
          <w:tcPr>
            <w:tcW w:w="1418" w:type="dxa"/>
          </w:tcPr>
          <w:p>
            <w:pPr>
              <w:pStyle w:val="yTable"/>
              <w:spacing w:before="0"/>
              <w:jc w:val="center"/>
            </w:pPr>
            <w:r>
              <w:br/>
            </w:r>
            <w:del w:id="529" w:author="Master Repository Process" w:date="2021-08-01T09:46:00Z">
              <w:r>
                <w:delText>56</w:delText>
              </w:r>
            </w:del>
            <w:ins w:id="530" w:author="Master Repository Process" w:date="2021-08-01T09:46:00Z">
              <w:r>
                <w:t>60</w:t>
              </w:r>
            </w:ins>
          </w:p>
        </w:tc>
      </w:tr>
      <w:tr>
        <w:tc>
          <w:tcPr>
            <w:tcW w:w="5669" w:type="dxa"/>
          </w:tcPr>
          <w:p>
            <w:pPr>
              <w:pStyle w:val="yTable"/>
              <w:tabs>
                <w:tab w:val="left" w:pos="709"/>
              </w:tabs>
              <w:spacing w:before="0"/>
              <w:ind w:left="1418" w:hanging="1418"/>
            </w:pPr>
            <w:r>
              <w:tab/>
              <w:t>(c)</w:t>
            </w:r>
            <w:r>
              <w:tab/>
              <w:t xml:space="preserve">Copy of licence, permit or certificate of </w:t>
            </w:r>
            <w:del w:id="531" w:author="Master Repository Process" w:date="2021-08-01T09:46:00Z">
              <w:r>
                <w:tab/>
              </w:r>
            </w:del>
            <w:r>
              <w:t>registration ....................................................</w:t>
            </w:r>
          </w:p>
        </w:tc>
        <w:tc>
          <w:tcPr>
            <w:tcW w:w="1418" w:type="dxa"/>
          </w:tcPr>
          <w:p>
            <w:pPr>
              <w:pStyle w:val="yTable"/>
              <w:spacing w:before="0"/>
              <w:jc w:val="center"/>
            </w:pPr>
            <w:r>
              <w:br/>
            </w:r>
            <w:del w:id="532" w:author="Master Repository Process" w:date="2021-08-01T09:46:00Z">
              <w:r>
                <w:delText>7</w:delText>
              </w:r>
            </w:del>
            <w:ins w:id="533" w:author="Master Repository Process" w:date="2021-08-01T09:46:00Z">
              <w:r>
                <w:t>10</w:t>
              </w:r>
            </w:ins>
          </w:p>
        </w:tc>
      </w:tr>
      <w:tr>
        <w:tc>
          <w:tcPr>
            <w:tcW w:w="5669" w:type="dxa"/>
          </w:tcPr>
          <w:p>
            <w:pPr>
              <w:pStyle w:val="yTable"/>
              <w:tabs>
                <w:tab w:val="left" w:pos="709"/>
              </w:tabs>
              <w:spacing w:before="0"/>
              <w:ind w:left="1418" w:hanging="1418"/>
            </w:pPr>
            <w:r>
              <w:tab/>
              <w:t>(d)</w:t>
            </w:r>
            <w:r>
              <w:tab/>
              <w:t xml:space="preserve">Application for restoration of name to </w:t>
            </w:r>
            <w:del w:id="534" w:author="Master Repository Process" w:date="2021-08-01T09:46:00Z">
              <w:r>
                <w:tab/>
              </w:r>
            </w:del>
            <w:r>
              <w:t>register (failure to renew) .............................</w:t>
            </w:r>
          </w:p>
        </w:tc>
        <w:tc>
          <w:tcPr>
            <w:tcW w:w="1418" w:type="dxa"/>
          </w:tcPr>
          <w:p>
            <w:pPr>
              <w:pStyle w:val="yTable"/>
              <w:spacing w:before="0"/>
              <w:jc w:val="center"/>
            </w:pPr>
            <w:r>
              <w:br/>
            </w:r>
            <w:del w:id="535" w:author="Master Repository Process" w:date="2021-08-01T09:46:00Z">
              <w:r>
                <w:delText>25</w:delText>
              </w:r>
            </w:del>
            <w:ins w:id="536" w:author="Master Repository Process" w:date="2021-08-01T09:46:00Z">
              <w:r>
                <w:t>34</w:t>
              </w:r>
            </w:ins>
          </w:p>
        </w:tc>
      </w:tr>
      <w:tr>
        <w:tc>
          <w:tcPr>
            <w:tcW w:w="5669" w:type="dxa"/>
          </w:tcPr>
          <w:p>
            <w:pPr>
              <w:pStyle w:val="yTable"/>
            </w:pPr>
            <w:r>
              <w:t>2.</w:t>
            </w:r>
            <w:r>
              <w:tab/>
              <w:t>Licences under Part 4 — </w:t>
            </w:r>
          </w:p>
        </w:tc>
        <w:tc>
          <w:tcPr>
            <w:tcW w:w="1418" w:type="dxa"/>
          </w:tcPr>
          <w:p>
            <w:pPr>
              <w:pStyle w:val="yTable"/>
            </w:pPr>
          </w:p>
        </w:tc>
      </w:tr>
      <w:tr>
        <w:tc>
          <w:tcPr>
            <w:tcW w:w="5669" w:type="dxa"/>
          </w:tcPr>
          <w:p>
            <w:pPr>
              <w:pStyle w:val="yTable"/>
              <w:tabs>
                <w:tab w:val="left" w:pos="709"/>
              </w:tabs>
              <w:spacing w:before="0"/>
              <w:ind w:left="1418" w:hanging="1418"/>
            </w:pPr>
            <w:r>
              <w:tab/>
              <w:t>(a)</w:t>
            </w:r>
            <w:r>
              <w:tab/>
              <w:t>Application for licence .................................</w:t>
            </w:r>
          </w:p>
        </w:tc>
        <w:tc>
          <w:tcPr>
            <w:tcW w:w="1418" w:type="dxa"/>
          </w:tcPr>
          <w:p>
            <w:pPr>
              <w:pStyle w:val="yTable"/>
              <w:spacing w:before="0"/>
              <w:jc w:val="center"/>
            </w:pPr>
            <w:del w:id="537" w:author="Master Repository Process" w:date="2021-08-01T09:46:00Z">
              <w:r>
                <w:delText>64</w:delText>
              </w:r>
            </w:del>
            <w:ins w:id="538" w:author="Master Repository Process" w:date="2021-08-01T09:46:00Z">
              <w:r>
                <w:t>66</w:t>
              </w:r>
            </w:ins>
          </w:p>
        </w:tc>
      </w:tr>
      <w:tr>
        <w:tc>
          <w:tcPr>
            <w:tcW w:w="5669" w:type="dxa"/>
          </w:tcPr>
          <w:p>
            <w:pPr>
              <w:pStyle w:val="yTable"/>
              <w:tabs>
                <w:tab w:val="left" w:pos="709"/>
              </w:tabs>
              <w:spacing w:before="0"/>
              <w:ind w:left="1418" w:hanging="1418"/>
            </w:pPr>
            <w:r>
              <w:tab/>
              <w:t>(b)</w:t>
            </w:r>
            <w:r>
              <w:tab/>
              <w:t>Registration or renewal of registration of a contractor ......................................................</w:t>
            </w:r>
          </w:p>
        </w:tc>
        <w:tc>
          <w:tcPr>
            <w:tcW w:w="1418" w:type="dxa"/>
          </w:tcPr>
          <w:p>
            <w:pPr>
              <w:pStyle w:val="yTable"/>
              <w:spacing w:before="0"/>
              <w:jc w:val="center"/>
            </w:pPr>
            <w:r>
              <w:br/>
            </w:r>
            <w:del w:id="539" w:author="Master Repository Process" w:date="2021-08-01T09:46:00Z">
              <w:r>
                <w:delText>340</w:delText>
              </w:r>
            </w:del>
            <w:ins w:id="540" w:author="Master Repository Process" w:date="2021-08-01T09:46:00Z">
              <w:r>
                <w:t>352</w:t>
              </w:r>
            </w:ins>
          </w:p>
        </w:tc>
      </w:tr>
      <w:tr>
        <w:tc>
          <w:tcPr>
            <w:tcW w:w="5669" w:type="dxa"/>
          </w:tcPr>
          <w:p>
            <w:pPr>
              <w:pStyle w:val="yTable"/>
              <w:tabs>
                <w:tab w:val="left" w:pos="709"/>
              </w:tabs>
              <w:spacing w:before="0"/>
              <w:ind w:left="1418" w:hanging="1418"/>
            </w:pPr>
            <w:r>
              <w:tab/>
              <w:t>(c)</w:t>
            </w:r>
            <w:r>
              <w:tab/>
              <w:t>Registration or renewal of registration of in</w:t>
            </w:r>
            <w:r>
              <w:noBreakHyphen/>
              <w:t>house electrical installing work ...............</w:t>
            </w:r>
          </w:p>
        </w:tc>
        <w:tc>
          <w:tcPr>
            <w:tcW w:w="1418" w:type="dxa"/>
          </w:tcPr>
          <w:p>
            <w:pPr>
              <w:pStyle w:val="yTable"/>
              <w:spacing w:before="0"/>
              <w:jc w:val="center"/>
            </w:pPr>
            <w:r>
              <w:br/>
            </w:r>
            <w:del w:id="541" w:author="Master Repository Process" w:date="2021-08-01T09:46:00Z">
              <w:r>
                <w:delText>170</w:delText>
              </w:r>
            </w:del>
            <w:ins w:id="542" w:author="Master Repository Process" w:date="2021-08-01T09:46:00Z">
              <w:r>
                <w:t>176</w:t>
              </w:r>
            </w:ins>
          </w:p>
        </w:tc>
      </w:tr>
      <w:tr>
        <w:tc>
          <w:tcPr>
            <w:tcW w:w="5669" w:type="dxa"/>
          </w:tcPr>
          <w:p>
            <w:pPr>
              <w:pStyle w:val="yTable"/>
              <w:tabs>
                <w:tab w:val="left" w:pos="709"/>
              </w:tabs>
              <w:spacing w:before="0"/>
              <w:ind w:left="1418" w:hanging="1418"/>
            </w:pPr>
            <w:r>
              <w:tab/>
              <w:t>(d)</w:t>
            </w:r>
            <w:r>
              <w:tab/>
              <w:t xml:space="preserve">Copy of licence or certificate of registration </w:t>
            </w:r>
          </w:p>
        </w:tc>
        <w:tc>
          <w:tcPr>
            <w:tcW w:w="1418" w:type="dxa"/>
          </w:tcPr>
          <w:p>
            <w:pPr>
              <w:pStyle w:val="yTable"/>
              <w:spacing w:before="0"/>
              <w:jc w:val="center"/>
            </w:pPr>
            <w:del w:id="543" w:author="Master Repository Process" w:date="2021-08-01T09:46:00Z">
              <w:r>
                <w:delText>24</w:delText>
              </w:r>
            </w:del>
            <w:ins w:id="544" w:author="Master Repository Process" w:date="2021-08-01T09:46:00Z">
              <w:r>
                <w:t>30</w:t>
              </w:r>
            </w:ins>
          </w:p>
        </w:tc>
      </w:tr>
      <w:tr>
        <w:tc>
          <w:tcPr>
            <w:tcW w:w="5669" w:type="dxa"/>
          </w:tcPr>
          <w:p>
            <w:pPr>
              <w:pStyle w:val="yTable"/>
              <w:tabs>
                <w:tab w:val="left" w:pos="709"/>
              </w:tabs>
              <w:spacing w:before="0"/>
              <w:ind w:left="1418" w:hanging="1418"/>
            </w:pPr>
            <w:r>
              <w:tab/>
              <w:t>(e)</w:t>
            </w:r>
            <w:r>
              <w:tab/>
              <w:t>Extract of register .........................................</w:t>
            </w:r>
          </w:p>
        </w:tc>
        <w:tc>
          <w:tcPr>
            <w:tcW w:w="1418" w:type="dxa"/>
          </w:tcPr>
          <w:p>
            <w:pPr>
              <w:pStyle w:val="yTable"/>
              <w:spacing w:before="0"/>
              <w:jc w:val="center"/>
            </w:pPr>
            <w:del w:id="545" w:author="Master Repository Process" w:date="2021-08-01T09:46:00Z">
              <w:r>
                <w:delText>24</w:delText>
              </w:r>
            </w:del>
            <w:ins w:id="546" w:author="Master Repository Process" w:date="2021-08-01T09:46:00Z">
              <w:r>
                <w:t>30</w:t>
              </w:r>
            </w:ins>
          </w:p>
        </w:tc>
      </w:tr>
      <w:tr>
        <w:tc>
          <w:tcPr>
            <w:tcW w:w="5669" w:type="dxa"/>
          </w:tcPr>
          <w:p>
            <w:pPr>
              <w:pStyle w:val="yTable"/>
              <w:tabs>
                <w:tab w:val="left" w:pos="709"/>
              </w:tabs>
              <w:spacing w:before="0"/>
              <w:ind w:left="1418" w:hanging="1418"/>
            </w:pPr>
            <w:r>
              <w:tab/>
              <w:t>(f)</w:t>
            </w:r>
            <w:r>
              <w:tab/>
              <w:t>Copy of register (if available) .......................</w:t>
            </w:r>
          </w:p>
        </w:tc>
        <w:tc>
          <w:tcPr>
            <w:tcW w:w="1418" w:type="dxa"/>
          </w:tcPr>
          <w:p>
            <w:pPr>
              <w:pStyle w:val="yTable"/>
              <w:spacing w:before="0"/>
              <w:jc w:val="center"/>
            </w:pPr>
            <w:del w:id="547" w:author="Master Repository Process" w:date="2021-08-01T09:46:00Z">
              <w:r>
                <w:delText>50</w:delText>
              </w:r>
            </w:del>
            <w:ins w:id="548" w:author="Master Repository Process" w:date="2021-08-01T09:46:00Z">
              <w:r>
                <w:t>62</w:t>
              </w:r>
            </w:ins>
          </w:p>
        </w:tc>
      </w:tr>
      <w:tr>
        <w:tc>
          <w:tcPr>
            <w:tcW w:w="5669" w:type="dxa"/>
          </w:tcPr>
          <w:p>
            <w:pPr>
              <w:pStyle w:val="yTable"/>
              <w:tabs>
                <w:tab w:val="left" w:pos="709"/>
              </w:tabs>
              <w:spacing w:before="0"/>
              <w:ind w:left="1418" w:hanging="1418"/>
            </w:pPr>
            <w:r>
              <w:tab/>
              <w:t>(g)</w:t>
            </w:r>
            <w:r>
              <w:tab/>
              <w:t>Application for restoration of name to register (failure to renew) .............................</w:t>
            </w:r>
          </w:p>
        </w:tc>
        <w:tc>
          <w:tcPr>
            <w:tcW w:w="1418" w:type="dxa"/>
          </w:tcPr>
          <w:p>
            <w:pPr>
              <w:pStyle w:val="yTable"/>
              <w:spacing w:before="0"/>
              <w:jc w:val="center"/>
            </w:pPr>
            <w:r>
              <w:br/>
            </w:r>
            <w:del w:id="549" w:author="Master Repository Process" w:date="2021-08-01T09:46:00Z">
              <w:r>
                <w:delText>25</w:delText>
              </w:r>
            </w:del>
            <w:ins w:id="550" w:author="Master Repository Process" w:date="2021-08-01T09:46:00Z">
              <w:r>
                <w:t>34</w:t>
              </w:r>
            </w:ins>
          </w:p>
        </w:tc>
      </w:tr>
      <w:tr>
        <w:tc>
          <w:tcPr>
            <w:tcW w:w="5669" w:type="dxa"/>
          </w:tcPr>
          <w:p>
            <w:pPr>
              <w:pStyle w:val="yTable"/>
              <w:tabs>
                <w:tab w:val="left" w:pos="0"/>
              </w:tabs>
            </w:pPr>
            <w:r>
              <w:t>3.</w:t>
            </w:r>
            <w:r>
              <w:tab/>
              <w:t>Further inspection ......................................................</w:t>
            </w:r>
          </w:p>
        </w:tc>
        <w:tc>
          <w:tcPr>
            <w:tcW w:w="1418" w:type="dxa"/>
          </w:tcPr>
          <w:p>
            <w:pPr>
              <w:pStyle w:val="yTable"/>
              <w:jc w:val="center"/>
            </w:pPr>
            <w:r>
              <w:t>70</w:t>
            </w:r>
          </w:p>
        </w:tc>
      </w:tr>
    </w:tbl>
    <w:p>
      <w:pPr>
        <w:pStyle w:val="yFootnotesection"/>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7</w:t>
      </w:r>
      <w:ins w:id="551" w:author="Master Repository Process" w:date="2021-08-01T09:46:00Z">
        <w:r>
          <w:t>; 27 Jun 2006 p. 2283-4</w:t>
        </w:r>
      </w:ins>
      <w:r>
        <w:t xml:space="preserve">.] </w:t>
      </w:r>
    </w:p>
    <w:p>
      <w:pPr>
        <w:pStyle w:val="yEdnoteschedule"/>
      </w:pPr>
      <w:r>
        <w:t xml:space="preserve">[Schedule 2 repealed in Gazette 6 Sep 1996 p. 4419.]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52" w:name="_Toc54672639"/>
      <w:bookmarkStart w:id="553" w:name="_Toc77479493"/>
      <w:bookmarkStart w:id="554" w:name="_Toc92790683"/>
      <w:bookmarkStart w:id="555" w:name="_Toc92790817"/>
      <w:bookmarkStart w:id="556" w:name="_Toc92965312"/>
      <w:bookmarkStart w:id="557" w:name="_Toc92965416"/>
      <w:bookmarkStart w:id="558" w:name="_Toc101593861"/>
      <w:bookmarkStart w:id="559" w:name="_Toc112133237"/>
      <w:bookmarkStart w:id="560" w:name="_Toc112151136"/>
      <w:bookmarkStart w:id="561" w:name="_Toc133305815"/>
      <w:bookmarkStart w:id="562" w:name="_Toc135028327"/>
      <w:bookmarkStart w:id="563" w:name="_Toc135121880"/>
      <w:bookmarkStart w:id="564" w:name="_Toc136661065"/>
      <w:bookmarkStart w:id="565" w:name="_Toc136661257"/>
      <w:bookmarkStart w:id="566" w:name="_Toc136662567"/>
      <w:bookmarkStart w:id="567" w:name="_Toc139258324"/>
      <w:r>
        <w:t>Notes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nSubsection"/>
        <w:rPr>
          <w:snapToGrid w:val="0"/>
        </w:rPr>
      </w:pPr>
      <w:r>
        <w:rPr>
          <w:snapToGrid w:val="0"/>
          <w:vertAlign w:val="superscript"/>
        </w:rPr>
        <w:t>1</w:t>
      </w:r>
      <w:r>
        <w:rPr>
          <w:snapToGrid w:val="0"/>
        </w:rPr>
        <w:tab/>
        <w:t xml:space="preserve">This reprint is a compilation as at 2 June 2006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8" w:name="_Toc139258325"/>
      <w:bookmarkStart w:id="569" w:name="_Toc136662568"/>
      <w:r>
        <w:rPr>
          <w:snapToGrid w:val="0"/>
        </w:rPr>
        <w:t>Compilation table</w:t>
      </w:r>
      <w:bookmarkEnd w:id="568"/>
      <w:bookmarkEnd w:id="5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c>
          <w:tcPr>
            <w:tcW w:w="3118" w:type="dxa"/>
          </w:tcPr>
          <w:p>
            <w:pPr>
              <w:pStyle w:val="nTable"/>
              <w:keepNext/>
              <w:keepLines/>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rPr>
          <w:ins w:id="570" w:author="Master Repository Process" w:date="2021-08-01T09:46:00Z"/>
        </w:trPr>
        <w:tc>
          <w:tcPr>
            <w:tcW w:w="3118" w:type="dxa"/>
            <w:tcBorders>
              <w:bottom w:val="single" w:sz="4" w:space="0" w:color="auto"/>
            </w:tcBorders>
          </w:tcPr>
          <w:p>
            <w:pPr>
              <w:pStyle w:val="nTable"/>
              <w:spacing w:after="40"/>
              <w:rPr>
                <w:ins w:id="571" w:author="Master Repository Process" w:date="2021-08-01T09:46:00Z"/>
                <w:i/>
                <w:sz w:val="19"/>
              </w:rPr>
            </w:pPr>
            <w:ins w:id="572" w:author="Master Repository Process" w:date="2021-08-01T09:46:00Z">
              <w:r>
                <w:rPr>
                  <w:i/>
                  <w:sz w:val="19"/>
                </w:rPr>
                <w:t>Electricity (Licensing) Amendment Regulations (No. 2) 2006</w:t>
              </w:r>
            </w:ins>
          </w:p>
        </w:tc>
        <w:tc>
          <w:tcPr>
            <w:tcW w:w="1276" w:type="dxa"/>
            <w:tcBorders>
              <w:bottom w:val="single" w:sz="4" w:space="0" w:color="auto"/>
            </w:tcBorders>
          </w:tcPr>
          <w:p>
            <w:pPr>
              <w:pStyle w:val="nTable"/>
              <w:spacing w:after="40"/>
              <w:rPr>
                <w:ins w:id="573" w:author="Master Repository Process" w:date="2021-08-01T09:46:00Z"/>
                <w:sz w:val="19"/>
              </w:rPr>
            </w:pPr>
            <w:ins w:id="574" w:author="Master Repository Process" w:date="2021-08-01T09:46:00Z">
              <w:r>
                <w:rPr>
                  <w:sz w:val="19"/>
                </w:rPr>
                <w:t>27 Jun 2006 p. 2283-4</w:t>
              </w:r>
            </w:ins>
          </w:p>
        </w:tc>
        <w:tc>
          <w:tcPr>
            <w:tcW w:w="2693" w:type="dxa"/>
            <w:tcBorders>
              <w:bottom w:val="single" w:sz="4" w:space="0" w:color="auto"/>
            </w:tcBorders>
          </w:tcPr>
          <w:p>
            <w:pPr>
              <w:pStyle w:val="nTable"/>
              <w:spacing w:after="40"/>
              <w:rPr>
                <w:ins w:id="575" w:author="Master Repository Process" w:date="2021-08-01T09:46:00Z"/>
                <w:sz w:val="19"/>
              </w:rPr>
            </w:pPr>
            <w:ins w:id="576" w:author="Master Repository Process" w:date="2021-08-01T09:46:00Z">
              <w:r>
                <w:rPr>
                  <w:sz w:val="19"/>
                </w:rPr>
                <w:t>1 Jul 2006 (see r. 2)</w:t>
              </w:r>
            </w:ins>
          </w:p>
        </w:tc>
      </w:tr>
    </w:tbl>
    <w:p>
      <w:pPr>
        <w:pStyle w:val="nSubsection"/>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6BDD14-4941-4C69-A4A9-46996CFDB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15348</Words>
  <Characters>76285</Characters>
  <Application>Microsoft Office Word</Application>
  <DocSecurity>0</DocSecurity>
  <Lines>2007</Lines>
  <Paragraphs>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03-a0-03 - 03-b0-02</dc:title>
  <dc:subject/>
  <dc:creator/>
  <cp:keywords/>
  <dc:description/>
  <cp:lastModifiedBy>Master Repository Process</cp:lastModifiedBy>
  <cp:revision>2</cp:revision>
  <cp:lastPrinted>2006-06-01T00:35:00Z</cp:lastPrinted>
  <dcterms:created xsi:type="dcterms:W3CDTF">2021-08-01T01:46:00Z</dcterms:created>
  <dcterms:modified xsi:type="dcterms:W3CDTF">2021-08-01T01:46:00Z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3</vt:lpwstr>
  </property>
  <property fmtid="{D5CDD505-2E9C-101B-9397-08002B2CF9AE}" pid="7" name="ReprintedAsAt">
    <vt:filetime>2006-06-01T16:00:00Z</vt:filetime>
  </property>
  <property fmtid="{D5CDD505-2E9C-101B-9397-08002B2CF9AE}" pid="8" name="FromSuffix">
    <vt:lpwstr>03-a0-03</vt:lpwstr>
  </property>
  <property fmtid="{D5CDD505-2E9C-101B-9397-08002B2CF9AE}" pid="9" name="FromAsAtDate">
    <vt:lpwstr>02 Jun 2006</vt:lpwstr>
  </property>
  <property fmtid="{D5CDD505-2E9C-101B-9397-08002B2CF9AE}" pid="10" name="ToSuffix">
    <vt:lpwstr>03-b0-02</vt:lpwstr>
  </property>
  <property fmtid="{D5CDD505-2E9C-101B-9397-08002B2CF9AE}" pid="11" name="ToAsAtDate">
    <vt:lpwstr>01 Jul 2006</vt:lpwstr>
  </property>
</Properties>
</file>