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2014</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13 May 2017</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t>
      </w: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r>
        <w:t xml:space="preserve"> Restricted Area) Regulations 2011</w:t>
      </w:r>
    </w:p>
    <w:p>
      <w:pPr>
        <w:pStyle w:val="Heading5"/>
      </w:pPr>
      <w:bookmarkStart w:id="1" w:name="_Toc482272733"/>
      <w:bookmarkStart w:id="2" w:name="_Toc388524536"/>
      <w:bookmarkStart w:id="3" w:name="_Toc421007372"/>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w:t>
      </w:r>
      <w:smartTag w:uri="urn:schemas-microsoft-com:office:smarttags" w:element="place">
        <w:smartTag w:uri="urn:schemas-microsoft-com:office:smarttags" w:element="PlaceName">
          <w:r>
            <w:rPr>
              <w:i/>
            </w:rPr>
            <w:t>Pandanus</w:t>
          </w:r>
        </w:smartTag>
        <w:r>
          <w:rPr>
            <w:i/>
          </w:rPr>
          <w:t xml:space="preserve"> </w:t>
        </w:r>
        <w:smartTag w:uri="urn:schemas-microsoft-com:office:smarttags" w:element="PlaceType">
          <w:r>
            <w:rPr>
              <w:i/>
            </w:rPr>
            <w:t>Park</w:t>
          </w:r>
        </w:smartTag>
      </w:smartTag>
      <w:r>
        <w:rPr>
          <w:i/>
        </w:rPr>
        <w:t xml:space="preserve"> Restricted Area) Regulations 2011</w:t>
      </w:r>
      <w:r>
        <w:t>.</w:t>
      </w:r>
    </w:p>
    <w:p>
      <w:pPr>
        <w:pStyle w:val="Heading5"/>
        <w:rPr>
          <w:spacing w:val="-2"/>
        </w:rPr>
      </w:pPr>
      <w:bookmarkStart w:id="6" w:name="_Toc482272734"/>
      <w:bookmarkStart w:id="7" w:name="_Toc388524537"/>
      <w:bookmarkStart w:id="8" w:name="_Toc421007373"/>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9" w:name="_Toc482272735"/>
      <w:bookmarkStart w:id="10" w:name="_Toc388524538"/>
      <w:bookmarkStart w:id="11" w:name="_Toc421007374"/>
      <w:r>
        <w:rPr>
          <w:rStyle w:val="CharSectno"/>
        </w:rPr>
        <w:t>3</w:t>
      </w:r>
      <w:r>
        <w:rPr>
          <w:snapToGrid w:val="0"/>
        </w:rPr>
        <w:t>.</w:t>
      </w:r>
      <w:r>
        <w:rPr>
          <w:snapToGrid w:val="0"/>
        </w:rPr>
        <w:tab/>
        <w:t xml:space="preserve">Term used: </w:t>
      </w:r>
      <w:smartTag w:uri="urn:schemas-microsoft-com:office:smarttags" w:element="place">
        <w:smartTag w:uri="urn:schemas-microsoft-com:office:smarttags" w:element="PlaceName">
          <w:r>
            <w:rPr>
              <w:snapToGrid w:val="0"/>
            </w:rPr>
            <w:t>Pandanus</w:t>
          </w:r>
        </w:smartTag>
        <w:r>
          <w:rPr>
            <w:snapToGrid w:val="0"/>
          </w:rPr>
          <w:t xml:space="preserve"> </w:t>
        </w:r>
        <w:smartTag w:uri="urn:schemas-microsoft-com:office:smarttags" w:element="PlaceType">
          <w:r>
            <w:rPr>
              <w:snapToGrid w:val="0"/>
            </w:rPr>
            <w:t>Park</w:t>
          </w:r>
        </w:smartTag>
      </w:smartTag>
      <w:r>
        <w:rPr>
          <w:snapToGrid w:val="0"/>
        </w:rPr>
        <w:t xml:space="preserve"> Aboriginal Community</w:t>
      </w:r>
      <w:bookmarkEnd w:id="9"/>
      <w:bookmarkEnd w:id="10"/>
      <w:bookmarkEnd w:id="11"/>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w:t>
      </w:r>
      <w:smartTag w:uri="urn:schemas-microsoft-com:office:smarttags" w:element="place">
        <w:r>
          <w:t>Lot</w:t>
        </w:r>
      </w:smartTag>
      <w:r>
        <w:t xml:space="preserve"> 353 on Deposited Plan 35956 and being the whole of the land in Certificate of Crown Land Title Volume LR3130 Folio 726.</w:t>
      </w:r>
    </w:p>
    <w:p>
      <w:pPr>
        <w:pStyle w:val="Heading5"/>
      </w:pPr>
      <w:bookmarkStart w:id="12" w:name="_Toc482272736"/>
      <w:bookmarkStart w:id="13" w:name="_Toc388524539"/>
      <w:bookmarkStart w:id="14" w:name="_Toc421007375"/>
      <w:r>
        <w:rPr>
          <w:rStyle w:val="CharSectno"/>
        </w:rPr>
        <w:t>4</w:t>
      </w:r>
      <w:r>
        <w:t>.</w:t>
      </w:r>
      <w:r>
        <w:tab/>
        <w:t>Note is not part of regulations</w:t>
      </w:r>
      <w:bookmarkEnd w:id="12"/>
      <w:bookmarkEnd w:id="13"/>
      <w:bookmarkEnd w:id="14"/>
    </w:p>
    <w:p>
      <w:pPr>
        <w:pStyle w:val="Subsection"/>
      </w:pPr>
      <w:r>
        <w:tab/>
      </w:r>
      <w:r>
        <w:tab/>
        <w:t>The note after regulation 9 does not form part of these regulations.</w:t>
      </w:r>
    </w:p>
    <w:p>
      <w:pPr>
        <w:pStyle w:val="Heading5"/>
      </w:pPr>
      <w:bookmarkStart w:id="15" w:name="_Toc482272737"/>
      <w:bookmarkStart w:id="16" w:name="_Toc388524540"/>
      <w:bookmarkStart w:id="17" w:name="_Toc421007376"/>
      <w:r>
        <w:rPr>
          <w:rStyle w:val="CharSectno"/>
        </w:rPr>
        <w:t>5</w:t>
      </w:r>
      <w:r>
        <w:t>.</w:t>
      </w:r>
      <w:r>
        <w:tab/>
        <w:t>Declaration of restricted area</w:t>
      </w:r>
      <w:bookmarkEnd w:id="15"/>
      <w:bookmarkEnd w:id="16"/>
      <w:bookmarkEnd w:id="17"/>
    </w:p>
    <w:p>
      <w:pPr>
        <w:pStyle w:val="Subsection"/>
      </w:pPr>
      <w:r>
        <w:tab/>
      </w:r>
      <w:r>
        <w:tab/>
        <w:t>The Pandanus Park Aboriginal Community is declared to be a restricted area for the purposes of section 175(1a) of the Act.</w:t>
      </w:r>
    </w:p>
    <w:p>
      <w:pPr>
        <w:pStyle w:val="Heading5"/>
      </w:pPr>
      <w:bookmarkStart w:id="18" w:name="_Toc482272738"/>
      <w:bookmarkStart w:id="19" w:name="_Toc388524541"/>
      <w:bookmarkStart w:id="20" w:name="_Toc421007377"/>
      <w:r>
        <w:rPr>
          <w:rStyle w:val="CharSectno"/>
        </w:rPr>
        <w:t>6</w:t>
      </w:r>
      <w:r>
        <w:t>.</w:t>
      </w:r>
      <w:r>
        <w:tab/>
        <w:t>Notice of restricted area</w:t>
      </w:r>
      <w:bookmarkEnd w:id="18"/>
      <w:bookmarkEnd w:id="19"/>
      <w:bookmarkEnd w:id="20"/>
    </w:p>
    <w:p>
      <w:pPr>
        <w:pStyle w:val="Subsection"/>
      </w:pPr>
      <w:r>
        <w:tab/>
        <w:t>(1)</w:t>
      </w:r>
      <w:r>
        <w:tab/>
        <w:t xml:space="preserve">The Director of Liquor Licensing must take all reasonable steps to cause to be posted, and while the Pandanus Park Aboriginal 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1" w:name="_Toc482272739"/>
      <w:bookmarkStart w:id="22" w:name="_Toc388524542"/>
      <w:bookmarkStart w:id="23" w:name="_Toc421007378"/>
      <w:r>
        <w:rPr>
          <w:rStyle w:val="CharSectno"/>
        </w:rPr>
        <w:t>7</w:t>
      </w:r>
      <w:r>
        <w:t>.</w:t>
      </w:r>
      <w:r>
        <w:tab/>
        <w:t xml:space="preserve">Prohibitions as to liquor in </w:t>
      </w: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r>
        <w:t xml:space="preserve"> Aboriginal Community</w:t>
      </w:r>
      <w:bookmarkEnd w:id="21"/>
      <w:bookmarkEnd w:id="22"/>
      <w:bookmarkEnd w:id="23"/>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4" w:name="_Toc482272740"/>
      <w:bookmarkStart w:id="25" w:name="_Toc388524543"/>
      <w:bookmarkStart w:id="26" w:name="_Toc421007379"/>
      <w:r>
        <w:rPr>
          <w:rStyle w:val="CharSectno"/>
        </w:rPr>
        <w:t>8</w:t>
      </w:r>
      <w:r>
        <w:t>.</w:t>
      </w:r>
      <w:r>
        <w:tab/>
        <w:t>Seizure and disposal of containers of liquor</w:t>
      </w:r>
      <w:bookmarkEnd w:id="24"/>
      <w:bookmarkEnd w:id="25"/>
      <w:bookmarkEnd w:id="2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7" w:name="_Toc482272741"/>
      <w:bookmarkStart w:id="28" w:name="_Toc388524544"/>
      <w:bookmarkStart w:id="29" w:name="_Toc421007380"/>
      <w:r>
        <w:rPr>
          <w:rStyle w:val="CharSectno"/>
        </w:rPr>
        <w:t>9</w:t>
      </w:r>
      <w:r>
        <w:t>.</w:t>
      </w:r>
      <w:r>
        <w:tab/>
        <w:t>Period during which these regulations have effect</w:t>
      </w:r>
      <w:bookmarkEnd w:id="27"/>
      <w:bookmarkEnd w:id="28"/>
      <w:bookmarkEnd w:id="29"/>
    </w:p>
    <w:p>
      <w:pPr>
        <w:pStyle w:val="Subsection"/>
      </w:pPr>
      <w:r>
        <w:tab/>
      </w:r>
      <w:r>
        <w:tab/>
        <w:t xml:space="preserve">Unless sooner repealed, these regulations have effect for the period </w:t>
      </w:r>
      <w:del w:id="30" w:author="Master Repository Process" w:date="2021-08-29T01:03:00Z">
        <w:r>
          <w:delText>of 6 years commencing at the time regulation 5 comes into operation</w:delText>
        </w:r>
      </w:del>
      <w:ins w:id="31" w:author="Master Repository Process" w:date="2021-08-29T01:03:00Z">
        <w:r>
          <w:t>that ends at the close of 28 May 2020</w:t>
        </w:r>
      </w:ins>
      <w:r>
        <w:t>.</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w:t>
      </w:r>
      <w:del w:id="32" w:author="Master Repository Process" w:date="2021-08-29T01:03:00Z">
        <w:r>
          <w:delText xml:space="preserve"> in</w:delText>
        </w:r>
      </w:del>
      <w:ins w:id="33" w:author="Master Repository Process" w:date="2021-08-29T01:03:00Z">
        <w:r>
          <w:t>:</w:t>
        </w:r>
      </w:ins>
      <w:r>
        <w:t xml:space="preserve"> Gazette 23 May 2014 p. 1637</w:t>
      </w:r>
      <w:ins w:id="34" w:author="Master Repository Process" w:date="2021-08-29T01:03:00Z">
        <w:r>
          <w:t>; 12 May 2017 p. 2471</w:t>
        </w:r>
      </w:ins>
      <w:r>
        <w: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5" w:name="_Toc482272724"/>
      <w:bookmarkStart w:id="36" w:name="_Toc482272742"/>
      <w:bookmarkStart w:id="37" w:name="_Toc388524545"/>
      <w:bookmarkStart w:id="38" w:name="_Toc421007370"/>
      <w:bookmarkStart w:id="39" w:name="_Toc421007381"/>
      <w:r>
        <w:t>Notes</w:t>
      </w:r>
      <w:bookmarkEnd w:id="35"/>
      <w:bookmarkEnd w:id="36"/>
      <w:bookmarkEnd w:id="37"/>
      <w:bookmarkEnd w:id="38"/>
      <w:bookmarkEnd w:id="39"/>
    </w:p>
    <w:p>
      <w:pPr>
        <w:pStyle w:val="nSubsection"/>
      </w:pPr>
      <w:r>
        <w:rPr>
          <w:vertAlign w:val="superscript"/>
        </w:rPr>
        <w:t>1</w:t>
      </w:r>
      <w:r>
        <w:tab/>
        <w:t xml:space="preserve">This is a compilation of the </w:t>
      </w:r>
      <w:r>
        <w:rPr>
          <w:i/>
          <w:noProof/>
        </w:rPr>
        <w:t>Liquor Control (Pandanus Park Restricted Area) Regulations 2011</w:t>
      </w:r>
      <w:del w:id="40" w:author="Master Repository Process" w:date="2021-08-29T01:03:00Z">
        <w:r>
          <w:rPr>
            <w:vertAlign w:val="superscript"/>
          </w:rPr>
          <w:delText> 2</w:delText>
        </w:r>
        <w:r>
          <w:rPr>
            <w:i/>
          </w:rPr>
          <w:delText>.</w:delText>
        </w:r>
        <w:r>
          <w:delText xml:space="preserve">  </w:delText>
        </w:r>
        <w:r>
          <w:rPr>
            <w:snapToGrid w:val="0"/>
          </w:rPr>
          <w:delText>The</w:delText>
        </w:r>
      </w:del>
      <w:ins w:id="41" w:author="Master Repository Process" w:date="2021-08-29T01:03:00Z">
        <w:r>
          <w:t xml:space="preserve"> and includes the amendments made by the other written laws referred to in the</w:t>
        </w:r>
      </w:ins>
      <w:r>
        <w:t xml:space="preserve"> following table</w:t>
      </w:r>
      <w:del w:id="42" w:author="Master Repository Process" w:date="2021-08-29T01:03:00Z">
        <w:r>
          <w:rPr>
            <w:snapToGrid w:val="0"/>
          </w:rPr>
          <w:delText xml:space="preserve"> contains information about those regulations.</w:delText>
        </w:r>
      </w:del>
      <w:ins w:id="43" w:author="Master Repository Process" w:date="2021-08-29T01:03:00Z">
        <w:r>
          <w:rPr>
            <w:vertAlign w:val="superscript"/>
          </w:rPr>
          <w:t> 2</w:t>
        </w:r>
        <w:r>
          <w:t xml:space="preserve">.  </w:t>
        </w:r>
      </w:ins>
    </w:p>
    <w:p>
      <w:pPr>
        <w:pStyle w:val="nHeading3"/>
      </w:pPr>
      <w:bookmarkStart w:id="44" w:name="_Toc482272743"/>
      <w:bookmarkStart w:id="45" w:name="_Toc388524546"/>
      <w:bookmarkStart w:id="46" w:name="_Toc421007382"/>
      <w:r>
        <w:t>Compilation table</w:t>
      </w:r>
      <w:bookmarkEnd w:id="44"/>
      <w:bookmarkEnd w:id="45"/>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Liquor Control (</w:t>
            </w:r>
            <w:smartTag w:uri="urn:schemas-microsoft-com:office:smarttags" w:element="place">
              <w:smartTag w:uri="urn:schemas-microsoft-com:office:smarttags" w:element="PlaceName">
                <w:r>
                  <w:rPr>
                    <w:i/>
                  </w:rPr>
                  <w:t>Pandanus</w:t>
                </w:r>
              </w:smartTag>
              <w:r>
                <w:rPr>
                  <w:i/>
                </w:rPr>
                <w:t xml:space="preserve"> </w:t>
              </w:r>
              <w:smartTag w:uri="urn:schemas-microsoft-com:office:smarttags" w:element="PlaceType">
                <w:r>
                  <w:rPr>
                    <w:i/>
                  </w:rPr>
                  <w:t>Park</w:t>
                </w:r>
              </w:smartTag>
            </w:smartTag>
            <w:r>
              <w:rPr>
                <w:i/>
              </w:rPr>
              <w:t xml:space="preserve"> Restricted Area) Regulations 2011</w:t>
            </w:r>
          </w:p>
        </w:tc>
        <w:tc>
          <w:tcPr>
            <w:tcW w:w="1276" w:type="dxa"/>
            <w:tcBorders>
              <w:bottom w:val="nil"/>
            </w:tcBorders>
          </w:tcPr>
          <w:p>
            <w:pPr>
              <w:pStyle w:val="nTable"/>
              <w:spacing w:after="40"/>
            </w:pPr>
            <w:r>
              <w:t>27 May 2011 p. 1932-4</w:t>
            </w:r>
          </w:p>
        </w:tc>
        <w:tc>
          <w:tcPr>
            <w:tcW w:w="2693" w:type="dxa"/>
            <w:tcBorders>
              <w:bottom w:val="nil"/>
            </w:tcBorders>
          </w:tcPr>
          <w:p>
            <w:pPr>
              <w:pStyle w:val="nTable"/>
              <w:spacing w:after="40"/>
            </w:pPr>
            <w:r>
              <w:t>r. 1 and 2: 27 May 2011 (see r. 2(a));</w:t>
            </w:r>
            <w:r>
              <w:br/>
              <w:t>Regulations other than r. 1 and 2: 28 May 2011 (see r. 2(b))</w:t>
            </w:r>
          </w:p>
        </w:tc>
      </w:tr>
      <w:tr>
        <w:tc>
          <w:tcPr>
            <w:tcW w:w="3118" w:type="dxa"/>
            <w:tcBorders>
              <w:top w:val="nil"/>
              <w:bottom w:val="nil"/>
            </w:tcBorders>
          </w:tcPr>
          <w:p>
            <w:pPr>
              <w:pStyle w:val="nTable"/>
              <w:spacing w:after="40"/>
              <w:rPr>
                <w:i/>
              </w:rPr>
            </w:pPr>
            <w:r>
              <w:rPr>
                <w:i/>
              </w:rPr>
              <w:t>Liquor Control (Pandanus Park Restricted Area) Amendment Regulations 2014</w:t>
            </w:r>
          </w:p>
        </w:tc>
        <w:tc>
          <w:tcPr>
            <w:tcW w:w="1276" w:type="dxa"/>
            <w:tcBorders>
              <w:top w:val="nil"/>
              <w:bottom w:val="nil"/>
            </w:tcBorders>
          </w:tcPr>
          <w:p>
            <w:pPr>
              <w:pStyle w:val="nTable"/>
              <w:spacing w:after="40"/>
            </w:pPr>
            <w:r>
              <w:t>23 May 2014 p. 1636-7</w:t>
            </w:r>
          </w:p>
        </w:tc>
        <w:tc>
          <w:tcPr>
            <w:tcW w:w="2693" w:type="dxa"/>
            <w:tcBorders>
              <w:top w:val="nil"/>
              <w:bottom w:val="nil"/>
            </w:tcBorders>
          </w:tcPr>
          <w:p>
            <w:pPr>
              <w:pStyle w:val="nTable"/>
              <w:spacing w:after="40"/>
            </w:pPr>
            <w:r>
              <w:t>r. 1 and 2: 23 May 2014 (see r. 2(a));</w:t>
            </w:r>
            <w:r>
              <w:br/>
              <w:t>Regulations other than r. 1 and 2: 24 May 2014 (see r. 2(b))</w:t>
            </w:r>
          </w:p>
        </w:tc>
      </w:tr>
      <w:tr>
        <w:trPr>
          <w:ins w:id="47" w:author="Master Repository Process" w:date="2021-08-29T01:03:00Z"/>
        </w:trPr>
        <w:tc>
          <w:tcPr>
            <w:tcW w:w="3118" w:type="dxa"/>
            <w:tcBorders>
              <w:top w:val="nil"/>
              <w:bottom w:val="single" w:sz="4" w:space="0" w:color="auto"/>
            </w:tcBorders>
          </w:tcPr>
          <w:p>
            <w:pPr>
              <w:pStyle w:val="nTable"/>
              <w:spacing w:after="40"/>
              <w:rPr>
                <w:ins w:id="48" w:author="Master Repository Process" w:date="2021-08-29T01:03:00Z"/>
                <w:i/>
              </w:rPr>
            </w:pPr>
            <w:ins w:id="49" w:author="Master Repository Process" w:date="2021-08-29T01:03:00Z">
              <w:r>
                <w:rPr>
                  <w:i/>
                </w:rPr>
                <w:t>Liquor Control (Pandanus Park Restricted Area) Amendment Regulations 2017</w:t>
              </w:r>
            </w:ins>
          </w:p>
        </w:tc>
        <w:tc>
          <w:tcPr>
            <w:tcW w:w="1276" w:type="dxa"/>
            <w:tcBorders>
              <w:top w:val="nil"/>
              <w:bottom w:val="single" w:sz="4" w:space="0" w:color="auto"/>
            </w:tcBorders>
          </w:tcPr>
          <w:p>
            <w:pPr>
              <w:pStyle w:val="nTable"/>
              <w:spacing w:after="40"/>
              <w:rPr>
                <w:ins w:id="50" w:author="Master Repository Process" w:date="2021-08-29T01:03:00Z"/>
              </w:rPr>
            </w:pPr>
            <w:ins w:id="51" w:author="Master Repository Process" w:date="2021-08-29T01:03:00Z">
              <w:r>
                <w:t>12 May 2017 p. 2470</w:t>
              </w:r>
              <w:r>
                <w:noBreakHyphen/>
                <w:t>1</w:t>
              </w:r>
            </w:ins>
          </w:p>
        </w:tc>
        <w:tc>
          <w:tcPr>
            <w:tcW w:w="2693" w:type="dxa"/>
            <w:tcBorders>
              <w:top w:val="nil"/>
              <w:bottom w:val="single" w:sz="4" w:space="0" w:color="auto"/>
            </w:tcBorders>
          </w:tcPr>
          <w:p>
            <w:pPr>
              <w:pStyle w:val="nTable"/>
              <w:spacing w:after="40"/>
              <w:rPr>
                <w:ins w:id="52" w:author="Master Repository Process" w:date="2021-08-29T01:03:00Z"/>
              </w:rPr>
            </w:pPr>
            <w:ins w:id="53" w:author="Master Repository Process" w:date="2021-08-29T01:03:00Z">
              <w:r>
                <w:t>r. 1 and 2: 12 May 2017 (see r. 2(a));</w:t>
              </w:r>
              <w:r>
                <w:br/>
                <w:t>Regulations other than r. 1 and 2: 13 May 2017 (see r. 2(b))</w:t>
              </w:r>
            </w:ins>
          </w:p>
        </w:tc>
      </w:tr>
    </w:tbl>
    <w:p/>
    <w:p>
      <w:pPr>
        <w:pStyle w:val="nSubsection"/>
      </w:pPr>
      <w:r>
        <w:rPr>
          <w:vertAlign w:val="superscript"/>
        </w:rPr>
        <w:t>2</w:t>
      </w:r>
      <w:r>
        <w:tab/>
        <w:t>These regulations expire on 28</w:t>
      </w:r>
      <w:del w:id="54" w:author="Master Repository Process" w:date="2021-08-29T01:03:00Z">
        <w:r>
          <w:delText xml:space="preserve"> </w:delText>
        </w:r>
      </w:del>
      <w:ins w:id="55" w:author="Master Repository Process" w:date="2021-08-29T01:03:00Z">
        <w:r>
          <w:t> </w:t>
        </w:r>
      </w:ins>
      <w:r>
        <w:t>May</w:t>
      </w:r>
      <w:del w:id="56" w:author="Master Repository Process" w:date="2021-08-29T01:03:00Z">
        <w:r>
          <w:delText xml:space="preserve"> 2017</w:delText>
        </w:r>
      </w:del>
      <w:ins w:id="57" w:author="Master Repository Process" w:date="2021-08-29T01:03:00Z">
        <w:r>
          <w:t> 2020</w:t>
        </w:r>
      </w:ins>
      <w:r>
        <w:t xml:space="preserve"> (see r.</w:t>
      </w:r>
      <w:del w:id="58" w:author="Master Repository Process" w:date="2021-08-29T01:03:00Z">
        <w:r>
          <w:delText xml:space="preserve"> </w:delText>
        </w:r>
      </w:del>
      <w:ins w:id="59" w:author="Master Repository Process" w:date="2021-08-29T01:03:00Z">
        <w:r>
          <w:t> </w:t>
        </w:r>
      </w:ins>
      <w:r>
        <w:t>9).</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511111142"/>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EEA21475-969B-4629-83E8-E4962A74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3548</Characters>
  <Application>Microsoft Office Word</Application>
  <DocSecurity>0</DocSecurity>
  <Lines>122</Lines>
  <Paragraphs>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00-b0-02 - 00-c0-03</dc:title>
  <dc:subject/>
  <dc:creator/>
  <cp:keywords/>
  <dc:description/>
  <cp:lastModifiedBy>Master Repository Process</cp:lastModifiedBy>
  <cp:revision>2</cp:revision>
  <cp:lastPrinted>2011-04-04T06:19:00Z</cp:lastPrinted>
  <dcterms:created xsi:type="dcterms:W3CDTF">2021-08-28T17:03:00Z</dcterms:created>
  <dcterms:modified xsi:type="dcterms:W3CDTF">2021-08-28T17:03:00Z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CommencementDate">
    <vt:lpwstr>20170513</vt:lpwstr>
  </property>
  <property fmtid="{D5CDD505-2E9C-101B-9397-08002B2CF9AE}" pid="4" name="DocumentType">
    <vt:lpwstr>Reg</vt:lpwstr>
  </property>
  <property fmtid="{D5CDD505-2E9C-101B-9397-08002B2CF9AE}" pid="5" name="FromSuffix">
    <vt:lpwstr>00-b0-02</vt:lpwstr>
  </property>
  <property fmtid="{D5CDD505-2E9C-101B-9397-08002B2CF9AE}" pid="6" name="FromAsAtDate">
    <vt:lpwstr>24 May 2014</vt:lpwstr>
  </property>
  <property fmtid="{D5CDD505-2E9C-101B-9397-08002B2CF9AE}" pid="7" name="ToSuffix">
    <vt:lpwstr>00-c0-03</vt:lpwstr>
  </property>
  <property fmtid="{D5CDD505-2E9C-101B-9397-08002B2CF9AE}" pid="8" name="ToAsAtDate">
    <vt:lpwstr>13 May 2017</vt:lpwstr>
  </property>
</Properties>
</file>