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(General)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00-d0-05</w:t>
      </w:r>
      <w:r>
        <w:fldChar w:fldCharType="end"/>
      </w:r>
      <w:r>
        <w:t>] and [</w:t>
      </w:r>
      <w:r>
        <w:fldChar w:fldCharType="begin"/>
      </w:r>
      <w:r>
        <w:instrText xml:space="preserve"> DocProperty ToAsAtDate</w:instrText>
      </w:r>
      <w:r>
        <w:fldChar w:fldCharType="separate"/>
      </w:r>
      <w:r>
        <w:t>05 Jan 2007</w:t>
      </w:r>
      <w:r>
        <w:fldChar w:fldCharType="end"/>
      </w:r>
      <w:r>
        <w:t xml:space="preserve">, </w:t>
      </w:r>
      <w:r>
        <w:fldChar w:fldCharType="begin"/>
      </w:r>
      <w:r>
        <w:instrText xml:space="preserve"> DocProperty ToSuffix</w:instrText>
      </w:r>
      <w:r>
        <w:fldChar w:fldCharType="separate"/>
      </w:r>
      <w:r>
        <w:t>00-e0-05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Finance Brokers Control Act 1975</w:t>
      </w:r>
    </w:p>
    <w:p>
      <w:pPr>
        <w:pStyle w:val="NameofActReg"/>
      </w:pPr>
      <w:r>
        <w:t>Finance Brokers Control (General)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15759603"/>
      <w:bookmarkStart w:id="8" w:name="_Toc155683805"/>
      <w:bookmarkStart w:id="9" w:name="_Toc139259947"/>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Finance Brokers Control (General)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14030345"/>
      <w:bookmarkStart w:id="18" w:name="_Toc115759604"/>
      <w:bookmarkStart w:id="19" w:name="_Toc155683806"/>
      <w:bookmarkStart w:id="20" w:name="_Toc13925994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 xml:space="preserve">These regulations come into operation on the day on which the </w:t>
      </w:r>
      <w:r>
        <w:rPr>
          <w:i/>
          <w:iCs/>
          <w:spacing w:val="-2"/>
        </w:rPr>
        <w:t>Finance Brokers Control Amendment Act 2004</w:t>
      </w:r>
      <w:r>
        <w:rPr>
          <w:spacing w:val="-2"/>
        </w:rPr>
        <w:t xml:space="preserve"> comes into operation.</w:t>
      </w:r>
    </w:p>
    <w:p>
      <w:pPr>
        <w:pStyle w:val="Heading5"/>
      </w:pPr>
      <w:bookmarkStart w:id="21" w:name="_Toc114030346"/>
      <w:bookmarkStart w:id="22" w:name="_Toc115759605"/>
      <w:bookmarkStart w:id="23" w:name="_Toc155683807"/>
      <w:bookmarkStart w:id="24" w:name="_Toc139259949"/>
      <w:r>
        <w:rPr>
          <w:rStyle w:val="CharSectno"/>
        </w:rPr>
        <w:t>3</w:t>
      </w:r>
      <w:r>
        <w:t>.</w:t>
      </w:r>
      <w:r>
        <w:tab/>
        <w:t>Interpretation</w:t>
      </w:r>
      <w:bookmarkEnd w:id="21"/>
      <w:bookmarkEnd w:id="22"/>
      <w:bookmarkEnd w:id="23"/>
      <w:bookmarkEnd w:id="24"/>
    </w:p>
    <w:p>
      <w:pPr>
        <w:pStyle w:val="Subsection"/>
      </w:pPr>
      <w:r>
        <w:tab/>
      </w:r>
      <w:r>
        <w:tab/>
        <w:t xml:space="preserve">In these regulations — </w:t>
      </w:r>
    </w:p>
    <w:p>
      <w:pPr>
        <w:pStyle w:val="Defstart"/>
      </w:pPr>
      <w:r>
        <w:rPr>
          <w:b/>
        </w:rPr>
        <w:tab/>
        <w:t>“</w:t>
      </w:r>
      <w:r>
        <w:rPr>
          <w:rStyle w:val="CharDefText"/>
        </w:rPr>
        <w:t>financial services licensee</w:t>
      </w:r>
      <w:r>
        <w:rPr>
          <w:b/>
        </w:rPr>
        <w:t>”</w:t>
      </w:r>
      <w:r>
        <w:t xml:space="preserve"> means a financial services licensee as defined in the </w:t>
      </w:r>
      <w:r>
        <w:rPr>
          <w:i/>
          <w:iCs/>
        </w:rPr>
        <w:t>Corporations Act 2001</w:t>
      </w:r>
      <w:r>
        <w:t xml:space="preserve"> of the Commonwealth;</w:t>
      </w:r>
    </w:p>
    <w:p>
      <w:pPr>
        <w:pStyle w:val="Defstart"/>
      </w:pPr>
      <w:r>
        <w:rPr>
          <w:b/>
        </w:rPr>
        <w:tab/>
        <w:t>“</w:t>
      </w:r>
      <w:r>
        <w:rPr>
          <w:rStyle w:val="CharDefText"/>
        </w:rPr>
        <w:t>provided by an approved training provider</w:t>
      </w:r>
      <w:r>
        <w:rPr>
          <w:b/>
        </w:rPr>
        <w:t>”</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t>“</w:t>
      </w:r>
      <w:r>
        <w:rPr>
          <w:rStyle w:val="CharDefText"/>
        </w:rPr>
        <w:t>relevant professional indemnity insurance</w:t>
      </w:r>
      <w:r>
        <w:rPr>
          <w:b/>
        </w:rPr>
        <w:t>”</w:t>
      </w:r>
      <w:r>
        <w:t xml:space="preserve"> means professional indemnity insurance that meets the requirements of guidelines issued by the Commissioner;</w:t>
      </w:r>
    </w:p>
    <w:p>
      <w:pPr>
        <w:pStyle w:val="Defstart"/>
      </w:pPr>
      <w:r>
        <w:rPr>
          <w:b/>
        </w:rPr>
        <w:tab/>
        <w:t>“</w:t>
      </w:r>
      <w:r>
        <w:rPr>
          <w:rStyle w:val="CharDefText"/>
        </w:rPr>
        <w:t>relevant supplementary Western Australian material</w:t>
      </w:r>
      <w:r>
        <w:rPr>
          <w:b/>
        </w:rPr>
        <w:t>”</w:t>
      </w:r>
      <w:r>
        <w:t xml:space="preserve"> means material that meets the Western Australian competency guidelines issued by the Commissioner.</w:t>
      </w:r>
    </w:p>
    <w:p>
      <w:pPr>
        <w:pStyle w:val="Heading5"/>
      </w:pPr>
      <w:bookmarkStart w:id="25" w:name="_Toc114030347"/>
      <w:bookmarkStart w:id="26" w:name="_Toc115759606"/>
      <w:bookmarkStart w:id="27" w:name="_Toc155683808"/>
      <w:bookmarkStart w:id="28" w:name="_Toc139259950"/>
      <w:r>
        <w:rPr>
          <w:rStyle w:val="CharSectno"/>
        </w:rPr>
        <w:lastRenderedPageBreak/>
        <w:t>4</w:t>
      </w:r>
      <w:r>
        <w:t>.</w:t>
      </w:r>
      <w:r>
        <w:tab/>
        <w:t>Exemption — Financial services licensee (section 5(2) and (3))</w:t>
      </w:r>
      <w:bookmarkEnd w:id="25"/>
      <w:bookmarkEnd w:id="26"/>
      <w:bookmarkEnd w:id="27"/>
      <w:bookmarkEnd w:id="28"/>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29" w:name="_Toc114030348"/>
      <w:bookmarkStart w:id="30" w:name="_Toc115759607"/>
      <w:bookmarkStart w:id="31" w:name="_Toc155683809"/>
      <w:bookmarkStart w:id="32" w:name="_Toc139259951"/>
      <w:r>
        <w:rPr>
          <w:rStyle w:val="CharSectno"/>
        </w:rPr>
        <w:t>5</w:t>
      </w:r>
      <w:r>
        <w:t>.</w:t>
      </w:r>
      <w:r>
        <w:tab/>
        <w:t>Exemption — Finance broker (section 5(2) and (3))</w:t>
      </w:r>
      <w:bookmarkEnd w:id="29"/>
      <w:bookmarkEnd w:id="30"/>
      <w:bookmarkEnd w:id="31"/>
      <w:bookmarkEnd w:id="32"/>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pPr>
      <w:bookmarkStart w:id="33" w:name="_Toc155683810"/>
      <w:bookmarkStart w:id="34" w:name="_Toc139259952"/>
      <w:bookmarkStart w:id="35" w:name="_Toc114030349"/>
      <w:bookmarkStart w:id="36" w:name="_Toc115759608"/>
      <w:r>
        <w:rPr>
          <w:rStyle w:val="CharSectno"/>
        </w:rPr>
        <w:t>5A</w:t>
      </w:r>
      <w:r>
        <w:t>.</w:t>
      </w:r>
      <w:r>
        <w:tab/>
        <w:t>Exemption — Residents of other Australian States or Territories need not reside in WA (section 5(2) and (3))</w:t>
      </w:r>
      <w:bookmarkEnd w:id="33"/>
      <w:bookmarkEnd w:id="34"/>
    </w:p>
    <w:p>
      <w:pPr>
        <w:pStyle w:val="Subsection"/>
      </w:pPr>
      <w:r>
        <w:tab/>
        <w:t>(1)</w:t>
      </w:r>
      <w:r>
        <w:tab/>
        <w:t>This exemption applies to an individual who is able to satisfy the Commissioner that he or she is a resident of an Australian State or Territory other than this State.</w:t>
      </w:r>
    </w:p>
    <w:p>
      <w:pPr>
        <w:pStyle w:val="Subsection"/>
      </w:pPr>
      <w:r>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 in Gazette 5 May 2006 p. 1729.]</w:t>
      </w:r>
    </w:p>
    <w:p>
      <w:pPr>
        <w:pStyle w:val="Heading5"/>
      </w:pPr>
      <w:bookmarkStart w:id="37" w:name="_Toc155683811"/>
      <w:bookmarkStart w:id="38" w:name="_Toc139259953"/>
      <w:r>
        <w:rPr>
          <w:rStyle w:val="CharSectno"/>
        </w:rPr>
        <w:t>6</w:t>
      </w:r>
      <w:r>
        <w:t>.</w:t>
      </w:r>
      <w:r>
        <w:tab/>
        <w:t>Licence application by an individual (section 24)</w:t>
      </w:r>
      <w:bookmarkEnd w:id="35"/>
      <w:bookmarkEnd w:id="36"/>
      <w:bookmarkEnd w:id="37"/>
      <w:bookmarkEnd w:id="38"/>
    </w:p>
    <w:p>
      <w:pPr>
        <w:pStyle w:val="Subsection"/>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 xml:space="preserve">a certificate from the Police Force, given not more than </w:t>
      </w:r>
      <w:del w:id="39" w:author="Master Repository Process" w:date="2021-08-01T16:28:00Z">
        <w:r>
          <w:delText>one month</w:delText>
        </w:r>
      </w:del>
      <w:ins w:id="40" w:author="Master Repository Process" w:date="2021-08-01T16:28:00Z">
        <w:r>
          <w:t>3 months</w:t>
        </w:r>
      </w:ins>
      <w:r>
        <w:t xml:space="preserve">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w:t>
      </w:r>
      <w:ins w:id="41" w:author="Master Repository Process" w:date="2021-08-01T16:28:00Z">
        <w:r>
          <w:t xml:space="preserve"> no more than 3 months before the application is lodged</w:t>
        </w:r>
      </w:ins>
      <w:r>
        <w:t>;</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w:t>
      </w:r>
    </w:p>
    <w:p>
      <w:pPr>
        <w:pStyle w:val="Indenti"/>
      </w:pPr>
      <w:r>
        <w:tab/>
        <w:t>(ii)</w:t>
      </w:r>
      <w:r>
        <w:tab/>
        <w:t>a letter of consent from the nominated auditor;</w:t>
      </w:r>
    </w:p>
    <w:p>
      <w:pPr>
        <w:pStyle w:val="Indenti"/>
      </w:pPr>
      <w:r>
        <w:tab/>
        <w:t>(iii)</w:t>
      </w:r>
      <w:r>
        <w:tab/>
      </w:r>
      <w:del w:id="42" w:author="Master Repository Process" w:date="2021-08-01T16:28:00Z">
        <w:r>
          <w:delText xml:space="preserve">a copy of </w:delText>
        </w:r>
      </w:del>
      <w:r>
        <w:t>the bond/bank guarantee; and</w:t>
      </w:r>
    </w:p>
    <w:p>
      <w:pPr>
        <w:pStyle w:val="Indenti"/>
      </w:pPr>
      <w:r>
        <w:tab/>
        <w:t>(iv)</w:t>
      </w:r>
      <w:r>
        <w:tab/>
        <w:t>a copy of the relevant professional indemnity insurance held by the applicant.</w:t>
      </w:r>
    </w:p>
    <w:p>
      <w:pPr>
        <w:pStyle w:val="Footnotesection"/>
        <w:rPr>
          <w:ins w:id="43" w:author="Master Repository Process" w:date="2021-08-01T16:28:00Z"/>
        </w:rPr>
      </w:pPr>
      <w:ins w:id="44" w:author="Master Repository Process" w:date="2021-08-01T16:28:00Z">
        <w:r>
          <w:tab/>
          <w:t>[Regulation 6 amended in Gazette 5 Jan 2007 p. 7.]</w:t>
        </w:r>
      </w:ins>
    </w:p>
    <w:p>
      <w:pPr>
        <w:pStyle w:val="Heading5"/>
      </w:pPr>
      <w:bookmarkStart w:id="45" w:name="_Toc114030350"/>
      <w:bookmarkStart w:id="46" w:name="_Toc115759609"/>
      <w:bookmarkStart w:id="47" w:name="_Toc155683812"/>
      <w:bookmarkStart w:id="48" w:name="_Toc139259954"/>
      <w:r>
        <w:rPr>
          <w:rStyle w:val="CharSectno"/>
        </w:rPr>
        <w:t>7</w:t>
      </w:r>
      <w:r>
        <w:t>.</w:t>
      </w:r>
      <w:r>
        <w:tab/>
        <w:t>Licence application by a firm (section 24)</w:t>
      </w:r>
      <w:bookmarkEnd w:id="45"/>
      <w:bookmarkEnd w:id="46"/>
      <w:bookmarkEnd w:id="47"/>
      <w:bookmarkEnd w:id="48"/>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 xml:space="preserve">for each individual that is a current member/partner of the firm — a certificate from the Police Force, given not more than </w:t>
      </w:r>
      <w:del w:id="49" w:author="Master Repository Process" w:date="2021-08-01T16:28:00Z">
        <w:r>
          <w:delText>one month</w:delText>
        </w:r>
      </w:del>
      <w:ins w:id="50" w:author="Master Repository Process" w:date="2021-08-01T16:28:00Z">
        <w:r>
          <w:t>3 months</w:t>
        </w:r>
      </w:ins>
      <w:r>
        <w:t xml:space="preserve"> before the application is lodged, setting out details of any offences committed by that individual against the law of any State or a Territory or of the Commonwealth;</w:t>
      </w:r>
    </w:p>
    <w:p>
      <w:pPr>
        <w:pStyle w:val="Indenta"/>
      </w:pPr>
      <w:r>
        <w:tab/>
        <w:t>(b)</w:t>
      </w:r>
      <w:r>
        <w:tab/>
        <w:t xml:space="preserve">for each director of, and each person concerned in the management or control of, a body corporate that is a partner in the firm — a certificate from the Police Force, given not more than </w:t>
      </w:r>
      <w:del w:id="51" w:author="Master Repository Process" w:date="2021-08-01T16:28:00Z">
        <w:r>
          <w:delText>one month</w:delText>
        </w:r>
      </w:del>
      <w:ins w:id="52" w:author="Master Repository Process" w:date="2021-08-01T16:28:00Z">
        <w:r>
          <w:t>3 months</w:t>
        </w:r>
      </w:ins>
      <w:r>
        <w:t xml:space="preserve">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w:t>
      </w:r>
      <w:ins w:id="53" w:author="Master Repository Process" w:date="2021-08-01T16:28:00Z">
        <w:r>
          <w:t>, if the body corporate has existed for sufficient time for the documents to be produced</w:t>
        </w:r>
      </w:ins>
      <w:r>
        <w:t>;</w:t>
      </w:r>
    </w:p>
    <w:p>
      <w:pPr>
        <w:pStyle w:val="Indenta"/>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w:t>
      </w:r>
      <w:ins w:id="54" w:author="Master Repository Process" w:date="2021-08-01T16:28:00Z">
        <w:r>
          <w:t xml:space="preserve"> no more than 3 months before the application is lodged</w:t>
        </w:r>
      </w:ins>
      <w:r>
        <w:t>;</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r>
      <w:del w:id="55" w:author="Master Repository Process" w:date="2021-08-01T16:28:00Z">
        <w:r>
          <w:delText xml:space="preserve">a copy of </w:delText>
        </w:r>
      </w:del>
      <w:r>
        <w:t>the bond/bank guarantee (if any); and</w:t>
      </w:r>
    </w:p>
    <w:p>
      <w:pPr>
        <w:pStyle w:val="Indenti"/>
      </w:pPr>
      <w:r>
        <w:tab/>
        <w:t>(iv)</w:t>
      </w:r>
      <w:r>
        <w:tab/>
        <w:t>a copy of the relevant professional indemnity insurance held by each partner.</w:t>
      </w:r>
    </w:p>
    <w:p>
      <w:pPr>
        <w:pStyle w:val="Footnotesection"/>
        <w:rPr>
          <w:ins w:id="56" w:author="Master Repository Process" w:date="2021-08-01T16:28:00Z"/>
        </w:rPr>
      </w:pPr>
      <w:bookmarkStart w:id="57" w:name="_Toc114030351"/>
      <w:bookmarkStart w:id="58" w:name="_Toc115759610"/>
      <w:ins w:id="59" w:author="Master Repository Process" w:date="2021-08-01T16:28:00Z">
        <w:r>
          <w:tab/>
          <w:t>[Regulation 7 amended in Gazette 5 Jan 2007 p. 8.]</w:t>
        </w:r>
      </w:ins>
    </w:p>
    <w:p>
      <w:pPr>
        <w:pStyle w:val="Heading5"/>
      </w:pPr>
      <w:bookmarkStart w:id="60" w:name="_Toc155683813"/>
      <w:bookmarkStart w:id="61" w:name="_Toc139259955"/>
      <w:r>
        <w:rPr>
          <w:rStyle w:val="CharSectno"/>
        </w:rPr>
        <w:t>8</w:t>
      </w:r>
      <w:r>
        <w:t>.</w:t>
      </w:r>
      <w:r>
        <w:tab/>
        <w:t>Licence application by a body corporate (section 24)</w:t>
      </w:r>
      <w:bookmarkEnd w:id="57"/>
      <w:bookmarkEnd w:id="58"/>
      <w:bookmarkEnd w:id="60"/>
      <w:bookmarkEnd w:id="61"/>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 xml:space="preserve">for each of the directors of, and persons concerned in the management or control of, the body corporate — a certificate from the Police Force, given not more than </w:t>
      </w:r>
      <w:del w:id="62" w:author="Master Repository Process" w:date="2021-08-01T16:28:00Z">
        <w:r>
          <w:delText>one month</w:delText>
        </w:r>
      </w:del>
      <w:ins w:id="63" w:author="Master Repository Process" w:date="2021-08-01T16:28:00Z">
        <w:r>
          <w:t>3 months</w:t>
        </w:r>
      </w:ins>
      <w:r>
        <w:t xml:space="preserve">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w:t>
      </w:r>
      <w:ins w:id="64" w:author="Master Repository Process" w:date="2021-08-01T16:28:00Z">
        <w:r>
          <w:t>, if the body corporate has existed for sufficient time for the documents to be produced</w:t>
        </w:r>
      </w:ins>
      <w:r>
        <w:t>;</w:t>
      </w:r>
    </w:p>
    <w:p>
      <w:pPr>
        <w:pStyle w:val="Indenta"/>
      </w:pPr>
      <w:r>
        <w:tab/>
        <w:t>(c)</w:t>
      </w:r>
      <w:r>
        <w:tab/>
        <w:t>a copy of the credit history of the body corporate, its directors and persons involved in its management, issued by an approved credit reference agency</w:t>
      </w:r>
      <w:ins w:id="65" w:author="Master Repository Process" w:date="2021-08-01T16:28:00Z">
        <w:r>
          <w:t xml:space="preserve"> no more than 3 months before the application is lodged</w:t>
        </w:r>
      </w:ins>
      <w:r>
        <w:t>;</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r>
      <w:del w:id="66" w:author="Master Repository Process" w:date="2021-08-01T16:28:00Z">
        <w:r>
          <w:delText xml:space="preserve">a copy of </w:delText>
        </w:r>
      </w:del>
      <w:r>
        <w:t>the bond/bank guarantee (if any); and</w:t>
      </w:r>
    </w:p>
    <w:p>
      <w:pPr>
        <w:pStyle w:val="Indenti"/>
      </w:pPr>
      <w:r>
        <w:tab/>
        <w:t>(iv)</w:t>
      </w:r>
      <w:r>
        <w:tab/>
        <w:t>a copy of the relevant professional indemnity insurance held by the body corporate.</w:t>
      </w:r>
    </w:p>
    <w:p>
      <w:pPr>
        <w:pStyle w:val="Footnotesection"/>
        <w:rPr>
          <w:ins w:id="67" w:author="Master Repository Process" w:date="2021-08-01T16:28:00Z"/>
        </w:rPr>
      </w:pPr>
      <w:bookmarkStart w:id="68" w:name="_Toc114030352"/>
      <w:bookmarkStart w:id="69" w:name="_Toc115759611"/>
      <w:ins w:id="70" w:author="Master Repository Process" w:date="2021-08-01T16:28:00Z">
        <w:r>
          <w:tab/>
          <w:t>[Regulation 8 amended in Gazette 5 Jan 2007 p. 8.]</w:t>
        </w:r>
      </w:ins>
    </w:p>
    <w:p>
      <w:pPr>
        <w:pStyle w:val="Heading5"/>
        <w:rPr>
          <w:snapToGrid w:val="0"/>
        </w:rPr>
      </w:pPr>
      <w:bookmarkStart w:id="71" w:name="_Toc155683814"/>
      <w:bookmarkStart w:id="72" w:name="_Toc139259956"/>
      <w:r>
        <w:rPr>
          <w:rStyle w:val="CharSectno"/>
        </w:rPr>
        <w:t>9</w:t>
      </w:r>
      <w:r>
        <w:t>.</w:t>
      </w:r>
      <w:r>
        <w:tab/>
        <w:t>N</w:t>
      </w:r>
      <w:bookmarkStart w:id="73" w:name="_Toc434198243"/>
      <w:bookmarkStart w:id="74" w:name="_Toc78176623"/>
      <w:r>
        <w:rPr>
          <w:snapToGrid w:val="0"/>
        </w:rPr>
        <w:t>otice of application for licence</w:t>
      </w:r>
      <w:bookmarkEnd w:id="68"/>
      <w:bookmarkEnd w:id="69"/>
      <w:bookmarkEnd w:id="71"/>
      <w:bookmarkEnd w:id="73"/>
      <w:bookmarkEnd w:id="74"/>
      <w:bookmarkEnd w:id="72"/>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wide circulation within 28 days prior to</w:t>
      </w:r>
      <w:ins w:id="75" w:author="Master Repository Process" w:date="2021-08-01T16:28:00Z">
        <w:r>
          <w:t>, or any time after,</w:t>
        </w:r>
      </w:ins>
      <w:r>
        <w:rPr>
          <w:snapToGrid w:val="0"/>
        </w:rPr>
        <w:t xml:space="preserve">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w:t>
      </w:r>
      <w:ins w:id="76" w:author="Master Repository Process" w:date="2021-08-01T16:28:00Z">
        <w:r>
          <w:t>, or any time after,</w:t>
        </w:r>
      </w:ins>
      <w:r>
        <w:rPr>
          <w:snapToGrid w:val="0"/>
        </w:rPr>
        <w:t xml:space="preserve"> the application is lodged.</w:t>
      </w:r>
    </w:p>
    <w:p>
      <w:pPr>
        <w:pStyle w:val="Footnotesection"/>
        <w:rPr>
          <w:ins w:id="77" w:author="Master Repository Process" w:date="2021-08-01T16:28:00Z"/>
        </w:rPr>
      </w:pPr>
      <w:bookmarkStart w:id="78" w:name="_Toc114030353"/>
      <w:bookmarkStart w:id="79" w:name="_Toc115759612"/>
      <w:ins w:id="80" w:author="Master Repository Process" w:date="2021-08-01T16:28:00Z">
        <w:r>
          <w:tab/>
          <w:t>[Regulation 9 amended in Gazette 5 Jan 2007 p. 8-9.]</w:t>
        </w:r>
      </w:ins>
    </w:p>
    <w:p>
      <w:pPr>
        <w:pStyle w:val="Heading5"/>
        <w:rPr>
          <w:snapToGrid w:val="0"/>
        </w:rPr>
      </w:pPr>
      <w:bookmarkStart w:id="81" w:name="_Toc155683815"/>
      <w:bookmarkStart w:id="82" w:name="_Toc139259957"/>
      <w:r>
        <w:rPr>
          <w:rStyle w:val="CharSectno"/>
        </w:rPr>
        <w:t>10</w:t>
      </w:r>
      <w:r>
        <w:t>.</w:t>
      </w:r>
      <w:r>
        <w:tab/>
        <w:t>Requirements for persons in bona fide control (sections 28 and 29)</w:t>
      </w:r>
      <w:bookmarkEnd w:id="78"/>
      <w:bookmarkEnd w:id="79"/>
      <w:bookmarkEnd w:id="81"/>
      <w:bookmarkEnd w:id="82"/>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83" w:name="_Toc114030354"/>
      <w:bookmarkStart w:id="84" w:name="_Toc115759613"/>
      <w:bookmarkStart w:id="85" w:name="_Toc155683816"/>
      <w:bookmarkStart w:id="86" w:name="_Toc139259958"/>
      <w:r>
        <w:rPr>
          <w:rStyle w:val="CharSectno"/>
        </w:rPr>
        <w:t>11</w:t>
      </w:r>
      <w:r>
        <w:t>.</w:t>
      </w:r>
      <w:r>
        <w:tab/>
        <w:t>Renewal of licence (section 32)</w:t>
      </w:r>
      <w:bookmarkEnd w:id="83"/>
      <w:bookmarkEnd w:id="84"/>
      <w:bookmarkEnd w:id="85"/>
      <w:bookmarkEnd w:id="86"/>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spacing w:before="120"/>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87" w:name="_Toc114030355"/>
      <w:bookmarkStart w:id="88" w:name="_Toc115759614"/>
      <w:bookmarkStart w:id="89" w:name="_Toc155683817"/>
      <w:bookmarkStart w:id="90" w:name="_Toc139259959"/>
      <w:r>
        <w:rPr>
          <w:rStyle w:val="CharSectno"/>
        </w:rPr>
        <w:t>12</w:t>
      </w:r>
      <w:r>
        <w:t>.</w:t>
      </w:r>
      <w:r>
        <w:tab/>
        <w:t>Exemption from bond requirements (section 35A)</w:t>
      </w:r>
      <w:bookmarkEnd w:id="87"/>
      <w:bookmarkEnd w:id="88"/>
      <w:bookmarkEnd w:id="89"/>
      <w:bookmarkEnd w:id="90"/>
    </w:p>
    <w:p>
      <w:pPr>
        <w:pStyle w:val="Subsection"/>
      </w:pPr>
      <w:r>
        <w:tab/>
      </w:r>
      <w:r>
        <w:tab/>
        <w:t>A licensee who does not receive or hold monies on behalf of other persons in the course of business is exempted from the requirement under section 35 of the Act to lodge a bond or guarantee.</w:t>
      </w:r>
    </w:p>
    <w:p>
      <w:pPr>
        <w:pStyle w:val="Heading5"/>
        <w:rPr>
          <w:rStyle w:val="CharSectno"/>
        </w:rPr>
      </w:pPr>
      <w:bookmarkStart w:id="91" w:name="_Toc114030356"/>
      <w:bookmarkStart w:id="92" w:name="_Toc115759615"/>
      <w:bookmarkStart w:id="93" w:name="_Toc155683818"/>
      <w:bookmarkStart w:id="94" w:name="_Toc139259960"/>
      <w:r>
        <w:rPr>
          <w:rStyle w:val="CharSectno"/>
        </w:rPr>
        <w:t>13.</w:t>
      </w:r>
      <w:r>
        <w:rPr>
          <w:rStyle w:val="CharSectno"/>
        </w:rPr>
        <w:tab/>
        <w:t>Code of conduct prescribed (section 81)</w:t>
      </w:r>
      <w:bookmarkEnd w:id="91"/>
      <w:bookmarkEnd w:id="92"/>
      <w:bookmarkEnd w:id="93"/>
      <w:bookmarkEnd w:id="94"/>
    </w:p>
    <w:p>
      <w:pPr>
        <w:pStyle w:val="Subsection"/>
      </w:pPr>
      <w:r>
        <w:tab/>
      </w:r>
      <w:r>
        <w:tab/>
        <w:t xml:space="preserve">The code of conduct approved by the former Finance Brokers Supervisory Board of Western Australia and published in the </w:t>
      </w:r>
      <w:r>
        <w:rPr>
          <w:i/>
          <w:iCs/>
        </w:rPr>
        <w:t>Gazette</w:t>
      </w:r>
      <w:r>
        <w:t xml:space="preserve"> of 4 December 2001, p. 6141</w:t>
      </w:r>
      <w:r>
        <w:noBreakHyphen/>
        <w:t>66, is prescribed under section 81 of the Act as a code of conduct for finance brokers.</w:t>
      </w:r>
    </w:p>
    <w:p>
      <w:pPr>
        <w:pStyle w:val="Heading5"/>
        <w:rPr>
          <w:snapToGrid w:val="0"/>
        </w:rPr>
      </w:pPr>
      <w:bookmarkStart w:id="95" w:name="_Toc114030357"/>
      <w:bookmarkStart w:id="96" w:name="_Toc115759616"/>
      <w:bookmarkStart w:id="97" w:name="_Toc155683819"/>
      <w:bookmarkStart w:id="98" w:name="_Toc139259961"/>
      <w:r>
        <w:rPr>
          <w:rStyle w:val="CharSectno"/>
        </w:rPr>
        <w:t>14</w:t>
      </w:r>
      <w:r>
        <w:t>.</w:t>
      </w:r>
      <w:r>
        <w:tab/>
        <w:t>P</w:t>
      </w:r>
      <w:bookmarkStart w:id="99" w:name="_Toc434198244"/>
      <w:bookmarkStart w:id="100" w:name="_Toc78176624"/>
      <w:r>
        <w:rPr>
          <w:snapToGrid w:val="0"/>
        </w:rPr>
        <w:t>articulars to be included in register</w:t>
      </w:r>
      <w:bookmarkEnd w:id="99"/>
      <w:bookmarkEnd w:id="100"/>
      <w:r>
        <w:rPr>
          <w:snapToGrid w:val="0"/>
        </w:rPr>
        <w:t xml:space="preserve"> (section 84(2))</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101" w:name="_Toc434198245"/>
      <w:bookmarkStart w:id="102" w:name="_Toc78176625"/>
      <w:bookmarkStart w:id="103" w:name="_Toc114030358"/>
      <w:bookmarkStart w:id="104" w:name="_Toc115759617"/>
      <w:bookmarkStart w:id="105" w:name="_Toc155683820"/>
      <w:bookmarkStart w:id="106" w:name="_Toc139259962"/>
      <w:r>
        <w:rPr>
          <w:snapToGrid w:val="0"/>
        </w:rPr>
        <w:t>15.</w:t>
      </w:r>
      <w:r>
        <w:rPr>
          <w:snapToGrid w:val="0"/>
        </w:rPr>
        <w:tab/>
        <w:t>Notification of changes in particulars</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107" w:name="_Toc114030359"/>
      <w:bookmarkStart w:id="108" w:name="_Toc115759618"/>
      <w:bookmarkStart w:id="109" w:name="_Toc155683821"/>
      <w:bookmarkStart w:id="110" w:name="_Toc139259963"/>
      <w:r>
        <w:rPr>
          <w:rStyle w:val="CharSectno"/>
        </w:rPr>
        <w:t>16</w:t>
      </w:r>
      <w:r>
        <w:t>.</w:t>
      </w:r>
      <w:r>
        <w:tab/>
        <w:t>Classes of licences (section 95(2)(b)) and transitional provisions</w:t>
      </w:r>
      <w:bookmarkEnd w:id="107"/>
      <w:bookmarkEnd w:id="108"/>
      <w:bookmarkEnd w:id="109"/>
      <w:bookmarkEnd w:id="110"/>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 xml:space="preserve">a condition that requires the licensee to carry on business as a finance broker operating under the exclusive supervision of a nominated </w:t>
      </w:r>
      <w:del w:id="111" w:author="Master Repository Process" w:date="2021-08-01T16:28:00Z">
        <w:r>
          <w:delText>broker.</w:delText>
        </w:r>
      </w:del>
      <w:ins w:id="112" w:author="Master Repository Process" w:date="2021-08-01T16:28:00Z">
        <w:r>
          <w:t>“A” class licensee or “B” class licensee;</w:t>
        </w:r>
      </w:ins>
    </w:p>
    <w:p>
      <w:pPr>
        <w:pStyle w:val="Indenta"/>
        <w:rPr>
          <w:ins w:id="113" w:author="Master Repository Process" w:date="2021-08-01T16:28:00Z"/>
        </w:rPr>
      </w:pPr>
      <w:ins w:id="114" w:author="Master Repository Process" w:date="2021-08-01T16:28:00Z">
        <w:r>
          <w:tab/>
        </w:r>
        <w:r>
          <w:tab/>
          <w:t>or</w:t>
        </w:r>
      </w:ins>
    </w:p>
    <w:p>
      <w:pPr>
        <w:pStyle w:val="Indenta"/>
        <w:rPr>
          <w:ins w:id="115" w:author="Master Repository Process" w:date="2021-08-01T16:28:00Z"/>
        </w:rPr>
      </w:pPr>
      <w:ins w:id="116" w:author="Master Repository Process" w:date="2021-08-01T16:28:00Z">
        <w:r>
          <w:tab/>
          <w:t>(c)</w:t>
        </w:r>
        <w:r>
          <w:tab/>
          <w:t xml:space="preserve">a “D” class licence — granted subject to a condition that — </w:t>
        </w:r>
      </w:ins>
    </w:p>
    <w:p>
      <w:pPr>
        <w:pStyle w:val="Indenti"/>
        <w:rPr>
          <w:ins w:id="117" w:author="Master Repository Process" w:date="2021-08-01T16:28:00Z"/>
        </w:rPr>
      </w:pPr>
      <w:ins w:id="118" w:author="Master Repository Process" w:date="2021-08-01T16:28:00Z">
        <w:r>
          <w:tab/>
          <w:t>(i)</w:t>
        </w:r>
        <w:r>
          <w:tab/>
          <w:t>the individual is either a partner of a firm or a director of a body corporate that is the holder of a licence; and</w:t>
        </w:r>
      </w:ins>
    </w:p>
    <w:p>
      <w:pPr>
        <w:pStyle w:val="Indenti"/>
        <w:rPr>
          <w:ins w:id="119" w:author="Master Repository Process" w:date="2021-08-01T16:28:00Z"/>
        </w:rPr>
      </w:pPr>
      <w:ins w:id="120" w:author="Master Repository Process" w:date="2021-08-01T16:28:00Z">
        <w:r>
          <w:tab/>
          <w:t>(ii)</w:t>
        </w:r>
        <w:r>
          <w:tab/>
          <w:t>another individual in the employ of the firm or body corporate who has bona fide control of the finance broking operations of the business holds an “A” class or a “B” class licence.</w:t>
        </w:r>
      </w:ins>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rPr>
          <w:ins w:id="121" w:author="Master Repository Process" w:date="2021-08-01T16:28:00Z"/>
        </w:rPr>
      </w:pPr>
      <w:ins w:id="122" w:author="Master Repository Process" w:date="2021-08-01T16:28:00Z">
        <w:r>
          <w:tab/>
          <w:t>(5a)</w:t>
        </w:r>
        <w:r>
          <w:tab/>
          <w:t>For a “D” class licence to be granted to an individual, that individual must satisfy the prerequisite criteria set out in regulation 18A.</w:t>
        </w:r>
      </w:ins>
    </w:p>
    <w:p>
      <w:pPr>
        <w:pStyle w:val="Subsection"/>
      </w:pPr>
      <w:r>
        <w:tab/>
        <w:t>(6)</w:t>
      </w:r>
      <w:r>
        <w:tab/>
        <w:t>The transitional provisions in Schedule 4 have effect.</w:t>
      </w:r>
    </w:p>
    <w:p>
      <w:pPr>
        <w:pStyle w:val="Footnotesection"/>
        <w:rPr>
          <w:ins w:id="123" w:author="Master Repository Process" w:date="2021-08-01T16:28:00Z"/>
        </w:rPr>
      </w:pPr>
      <w:ins w:id="124" w:author="Master Repository Process" w:date="2021-08-01T16:28:00Z">
        <w:r>
          <w:tab/>
          <w:t>[Regulation 16 amended in Gazette 5 Jan 2007 p. 9.]</w:t>
        </w:r>
      </w:ins>
    </w:p>
    <w:p>
      <w:pPr>
        <w:pStyle w:val="Heading5"/>
      </w:pPr>
      <w:bookmarkStart w:id="125" w:name="_Toc114030360"/>
      <w:bookmarkStart w:id="126" w:name="_Toc115759619"/>
      <w:bookmarkStart w:id="127" w:name="_Toc155683822"/>
      <w:bookmarkStart w:id="128" w:name="_Toc139259964"/>
      <w:r>
        <w:rPr>
          <w:rStyle w:val="CharSectno"/>
        </w:rPr>
        <w:t>17</w:t>
      </w:r>
      <w:r>
        <w:t>.</w:t>
      </w:r>
      <w:r>
        <w:tab/>
        <w:t>Qualifications required for an “A” class licence (section 95(2)(ba))</w:t>
      </w:r>
      <w:bookmarkEnd w:id="125"/>
      <w:bookmarkEnd w:id="126"/>
      <w:bookmarkEnd w:id="127"/>
      <w:bookmarkEnd w:id="128"/>
    </w:p>
    <w:p>
      <w:pPr>
        <w:pStyle w:val="Subsection"/>
      </w:pPr>
      <w:r>
        <w:tab/>
        <w:t>(1)</w:t>
      </w:r>
      <w:r>
        <w:tab/>
        <w:t>The requirements set out in the Table to this subregulation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provided by an approved training provider.</w:t>
            </w:r>
          </w:p>
        </w:tc>
      </w:tr>
    </w:tbl>
    <w:p>
      <w:pPr>
        <w:pStyle w:val="Subsection"/>
        <w:rPr>
          <w:del w:id="129" w:author="Master Repository Process" w:date="2021-08-01T16:28:00Z"/>
        </w:rPr>
      </w:pPr>
      <w:del w:id="130" w:author="Master Repository Process" w:date="2021-08-01T16:28:00Z">
        <w:r>
          <w:tab/>
          <w:delText>(3)</w:delText>
        </w:r>
        <w:r>
          <w:tab/>
          <w:delText>Where the application for the grant of an “A” class licence is made on or before 31 December 2005, the same alternative qualifications may be substituted for subregulation (2) item 1 as are available for those applying for the grant of a “B” class licence under regulation 18(3) on or before that date.</w:delText>
        </w:r>
      </w:del>
    </w:p>
    <w:p>
      <w:pPr>
        <w:pStyle w:val="Ednotesubsection"/>
        <w:rPr>
          <w:ins w:id="131" w:author="Master Repository Process" w:date="2021-08-01T16:28:00Z"/>
        </w:rPr>
      </w:pPr>
      <w:ins w:id="132" w:author="Master Repository Process" w:date="2021-08-01T16:28:00Z">
        <w:r>
          <w:tab/>
          <w:t>[(3)</w:t>
        </w:r>
        <w:r>
          <w:tab/>
          <w:t>repealed]</w:t>
        </w:r>
      </w:ins>
    </w:p>
    <w:p>
      <w:pPr>
        <w:pStyle w:val="Footnotesection"/>
        <w:rPr>
          <w:ins w:id="133" w:author="Master Repository Process" w:date="2021-08-01T16:28:00Z"/>
        </w:rPr>
      </w:pPr>
      <w:bookmarkStart w:id="134" w:name="_Toc114030361"/>
      <w:bookmarkStart w:id="135" w:name="_Toc115759620"/>
      <w:ins w:id="136" w:author="Master Repository Process" w:date="2021-08-01T16:28:00Z">
        <w:r>
          <w:tab/>
          <w:t>[Regulation 17 amended in Gazette 5 Jan 2007 p. 9.]</w:t>
        </w:r>
      </w:ins>
    </w:p>
    <w:p>
      <w:pPr>
        <w:pStyle w:val="Heading5"/>
      </w:pPr>
      <w:bookmarkStart w:id="137" w:name="_Toc155683823"/>
      <w:bookmarkStart w:id="138" w:name="_Toc139259965"/>
      <w:r>
        <w:rPr>
          <w:rStyle w:val="CharSectno"/>
        </w:rPr>
        <w:t>18</w:t>
      </w:r>
      <w:r>
        <w:t>.</w:t>
      </w:r>
      <w:r>
        <w:tab/>
        <w:t>Qualifications required for a “B” class or “C” class licence (section 95(2)(ba))</w:t>
      </w:r>
      <w:bookmarkEnd w:id="134"/>
      <w:bookmarkEnd w:id="135"/>
      <w:bookmarkEnd w:id="137"/>
      <w:bookmarkEnd w:id="138"/>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qualification set out in the Table to this subregulation is imposed as prerequisite criteria to the grant of a “B” class licence or a “C” class licence.</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Subsection"/>
        <w:rPr>
          <w:del w:id="139" w:author="Master Repository Process" w:date="2021-08-01T16:28:00Z"/>
        </w:rPr>
      </w:pPr>
      <w:del w:id="140" w:author="Master Repository Process" w:date="2021-08-01T16:28:00Z">
        <w:r>
          <w:tab/>
          <w:delText>(3)</w:delText>
        </w:r>
        <w:r>
          <w:tab/>
          <w:delText>Any one of the qualifications set out as an item in the Table to this subregulation is prescribed as an alternative to the qualification in subregulation (2), where the application for the grant of a “B” class licence or a “C” class licence is made on or before 31 December 2005.</w:delText>
        </w:r>
      </w:del>
    </w:p>
    <w:p>
      <w:pPr>
        <w:pStyle w:val="MiscellaneousHeading"/>
        <w:pageBreakBefore/>
        <w:spacing w:after="120"/>
        <w:rPr>
          <w:del w:id="141" w:author="Master Repository Process" w:date="2021-08-01T16:28:00Z"/>
          <w:b/>
        </w:rPr>
      </w:pPr>
      <w:del w:id="142" w:author="Master Repository Process" w:date="2021-08-01T16:28:00Z">
        <w:r>
          <w:rPr>
            <w:b/>
          </w:rPr>
          <w:delText>Table</w:delText>
        </w:r>
      </w:del>
    </w:p>
    <w:tbl>
      <w:tblPr>
        <w:tblW w:w="0" w:type="auto"/>
        <w:tblInd w:w="1101" w:type="dxa"/>
        <w:tblLayout w:type="fixed"/>
        <w:tblLook w:val="0000" w:firstRow="0" w:lastRow="0" w:firstColumn="0" w:lastColumn="0" w:noHBand="0" w:noVBand="0"/>
      </w:tblPr>
      <w:tblGrid>
        <w:gridCol w:w="567"/>
        <w:gridCol w:w="567"/>
        <w:gridCol w:w="4961"/>
      </w:tblGrid>
      <w:tr>
        <w:trPr>
          <w:tblHeader/>
          <w:del w:id="143" w:author="Master Repository Process" w:date="2021-08-01T16:28:00Z"/>
        </w:trPr>
        <w:tc>
          <w:tcPr>
            <w:tcW w:w="567" w:type="dxa"/>
            <w:tcBorders>
              <w:top w:val="single" w:sz="4" w:space="0" w:color="auto"/>
              <w:bottom w:val="single" w:sz="4" w:space="0" w:color="auto"/>
            </w:tcBorders>
          </w:tcPr>
          <w:p>
            <w:pPr>
              <w:pStyle w:val="Table"/>
              <w:spacing w:before="0" w:line="240" w:lineRule="auto"/>
              <w:ind w:left="567"/>
              <w:jc w:val="center"/>
              <w:rPr>
                <w:del w:id="144" w:author="Master Repository Process" w:date="2021-08-01T16:28:00Z"/>
                <w:b/>
              </w:rPr>
            </w:pPr>
          </w:p>
        </w:tc>
        <w:tc>
          <w:tcPr>
            <w:tcW w:w="5528" w:type="dxa"/>
            <w:gridSpan w:val="2"/>
            <w:tcBorders>
              <w:top w:val="single" w:sz="4" w:space="0" w:color="auto"/>
              <w:bottom w:val="single" w:sz="4" w:space="0" w:color="auto"/>
            </w:tcBorders>
          </w:tcPr>
          <w:p>
            <w:pPr>
              <w:pStyle w:val="Table"/>
              <w:spacing w:before="0" w:line="240" w:lineRule="auto"/>
              <w:ind w:left="567" w:right="601"/>
              <w:jc w:val="center"/>
              <w:rPr>
                <w:del w:id="145" w:author="Master Repository Process" w:date="2021-08-01T16:28:00Z"/>
                <w:b/>
              </w:rPr>
            </w:pPr>
            <w:del w:id="146" w:author="Master Repository Process" w:date="2021-08-01T16:28:00Z">
              <w:r>
                <w:rPr>
                  <w:b/>
                </w:rPr>
                <w:delText>Alternative Qualifications to Certificate IV</w:delText>
              </w:r>
            </w:del>
          </w:p>
          <w:p>
            <w:pPr>
              <w:pStyle w:val="Table"/>
              <w:spacing w:before="0" w:line="240" w:lineRule="auto"/>
              <w:ind w:left="567" w:right="601"/>
              <w:jc w:val="center"/>
              <w:rPr>
                <w:del w:id="147" w:author="Master Repository Process" w:date="2021-08-01T16:28:00Z"/>
                <w:b/>
              </w:rPr>
            </w:pPr>
            <w:del w:id="148" w:author="Master Repository Process" w:date="2021-08-01T16:28:00Z">
              <w:r>
                <w:rPr>
                  <w:b/>
                </w:rPr>
                <w:delText>(pre</w:delText>
              </w:r>
              <w:r>
                <w:rPr>
                  <w:b/>
                </w:rPr>
                <w:noBreakHyphen/>
                <w:delText>2006)</w:delText>
              </w:r>
            </w:del>
          </w:p>
        </w:tc>
      </w:tr>
      <w:tr>
        <w:trPr>
          <w:del w:id="149" w:author="Master Repository Process" w:date="2021-08-01T16:28:00Z"/>
        </w:trPr>
        <w:tc>
          <w:tcPr>
            <w:tcW w:w="567" w:type="dxa"/>
            <w:tcBorders>
              <w:top w:val="single" w:sz="4" w:space="0" w:color="auto"/>
            </w:tcBorders>
          </w:tcPr>
          <w:p>
            <w:pPr>
              <w:pStyle w:val="Table"/>
              <w:rPr>
                <w:del w:id="150" w:author="Master Repository Process" w:date="2021-08-01T16:28:00Z"/>
              </w:rPr>
            </w:pPr>
            <w:del w:id="151" w:author="Master Repository Process" w:date="2021-08-01T16:28:00Z">
              <w:r>
                <w:delText>1.</w:delText>
              </w:r>
            </w:del>
          </w:p>
        </w:tc>
        <w:tc>
          <w:tcPr>
            <w:tcW w:w="5528" w:type="dxa"/>
            <w:gridSpan w:val="2"/>
            <w:tcBorders>
              <w:top w:val="single" w:sz="4" w:space="0" w:color="auto"/>
            </w:tcBorders>
          </w:tcPr>
          <w:p>
            <w:pPr>
              <w:pStyle w:val="Table"/>
              <w:rPr>
                <w:del w:id="152" w:author="Master Repository Process" w:date="2021-08-01T16:28:00Z"/>
              </w:rPr>
            </w:pPr>
            <w:del w:id="153" w:author="Master Repository Process" w:date="2021-08-01T16:28:00Z">
              <w:r>
                <w:delText xml:space="preserve">Successful completion of Finance Broking Practice 1 and Finance Broking Practice 2 provided by Central TAFE Perth, plus — </w:delText>
              </w:r>
            </w:del>
          </w:p>
        </w:tc>
      </w:tr>
      <w:tr>
        <w:trPr>
          <w:del w:id="154" w:author="Master Repository Process" w:date="2021-08-01T16:28:00Z"/>
        </w:trPr>
        <w:tc>
          <w:tcPr>
            <w:tcW w:w="567" w:type="dxa"/>
          </w:tcPr>
          <w:p>
            <w:pPr>
              <w:pStyle w:val="Table"/>
              <w:rPr>
                <w:del w:id="155" w:author="Master Repository Process" w:date="2021-08-01T16:28:00Z"/>
              </w:rPr>
            </w:pPr>
          </w:p>
        </w:tc>
        <w:tc>
          <w:tcPr>
            <w:tcW w:w="567" w:type="dxa"/>
          </w:tcPr>
          <w:p>
            <w:pPr>
              <w:pStyle w:val="Table"/>
              <w:rPr>
                <w:del w:id="156" w:author="Master Repository Process" w:date="2021-08-01T16:28:00Z"/>
              </w:rPr>
            </w:pPr>
            <w:del w:id="157" w:author="Master Repository Process" w:date="2021-08-01T16:28:00Z">
              <w:r>
                <w:delText>(a)</w:delText>
              </w:r>
            </w:del>
          </w:p>
        </w:tc>
        <w:tc>
          <w:tcPr>
            <w:tcW w:w="4961" w:type="dxa"/>
          </w:tcPr>
          <w:p>
            <w:pPr>
              <w:pStyle w:val="Table"/>
              <w:rPr>
                <w:del w:id="158" w:author="Master Repository Process" w:date="2021-08-01T16:28:00Z"/>
              </w:rPr>
            </w:pPr>
            <w:del w:id="159" w:author="Master Repository Process" w:date="2021-08-01T16:28:00Z">
              <w:r>
                <w:delText xml:space="preserve">the modules Loan Serviceability, Real Estate Law, Maintain Trust Accounts and Develop Product Knowledge – HP and Leases, provided by Central TAFE Perth or TAFE NSW; or </w:delText>
              </w:r>
            </w:del>
          </w:p>
        </w:tc>
      </w:tr>
      <w:tr>
        <w:trPr>
          <w:del w:id="160" w:author="Master Repository Process" w:date="2021-08-01T16:28:00Z"/>
        </w:trPr>
        <w:tc>
          <w:tcPr>
            <w:tcW w:w="567" w:type="dxa"/>
          </w:tcPr>
          <w:p>
            <w:pPr>
              <w:pStyle w:val="Table"/>
              <w:rPr>
                <w:del w:id="161" w:author="Master Repository Process" w:date="2021-08-01T16:28:00Z"/>
              </w:rPr>
            </w:pPr>
          </w:p>
        </w:tc>
        <w:tc>
          <w:tcPr>
            <w:tcW w:w="567" w:type="dxa"/>
          </w:tcPr>
          <w:p>
            <w:pPr>
              <w:pStyle w:val="Table"/>
              <w:rPr>
                <w:del w:id="162" w:author="Master Repository Process" w:date="2021-08-01T16:28:00Z"/>
              </w:rPr>
            </w:pPr>
            <w:del w:id="163" w:author="Master Repository Process" w:date="2021-08-01T16:28:00Z">
              <w:r>
                <w:delText>(b)</w:delText>
              </w:r>
            </w:del>
          </w:p>
        </w:tc>
        <w:tc>
          <w:tcPr>
            <w:tcW w:w="4961" w:type="dxa"/>
          </w:tcPr>
          <w:p>
            <w:pPr>
              <w:pStyle w:val="Table"/>
              <w:rPr>
                <w:del w:id="164" w:author="Master Repository Process" w:date="2021-08-01T16:28:00Z"/>
              </w:rPr>
            </w:pPr>
            <w:del w:id="165" w:author="Master Repository Process" w:date="2021-08-01T16:28:00Z">
              <w:r>
                <w:delText>the Western Australian Bridging Module, comprising the sections Qualification of a Client for Credit — The Principles of Lending, Types and Classes of Mortgage and Credit Products, Basic Principles of WA Property Law and Maintaining Trust Accounts, provided by the Australian College of Financial Services or by the Australian Academy of Mortgage Consultants.</w:delText>
              </w:r>
            </w:del>
          </w:p>
        </w:tc>
      </w:tr>
      <w:tr>
        <w:trPr>
          <w:del w:id="166" w:author="Master Repository Process" w:date="2021-08-01T16:28:00Z"/>
        </w:trPr>
        <w:tc>
          <w:tcPr>
            <w:tcW w:w="567" w:type="dxa"/>
          </w:tcPr>
          <w:p>
            <w:pPr>
              <w:pStyle w:val="Table"/>
              <w:rPr>
                <w:del w:id="167" w:author="Master Repository Process" w:date="2021-08-01T16:28:00Z"/>
              </w:rPr>
            </w:pPr>
            <w:del w:id="168" w:author="Master Repository Process" w:date="2021-08-01T16:28:00Z">
              <w:r>
                <w:delText>2.</w:delText>
              </w:r>
            </w:del>
          </w:p>
        </w:tc>
        <w:tc>
          <w:tcPr>
            <w:tcW w:w="5528" w:type="dxa"/>
            <w:gridSpan w:val="2"/>
          </w:tcPr>
          <w:p>
            <w:pPr>
              <w:pStyle w:val="Table"/>
              <w:rPr>
                <w:del w:id="169" w:author="Master Repository Process" w:date="2021-08-01T16:28:00Z"/>
              </w:rPr>
            </w:pPr>
            <w:del w:id="170" w:author="Master Repository Process" w:date="2021-08-01T16:28:00Z">
              <w:r>
                <w:delText xml:space="preserve">Successful completion of Certificate III in Mortgage Lending III, provided by an approved training provider, plus — </w:delText>
              </w:r>
            </w:del>
          </w:p>
        </w:tc>
      </w:tr>
      <w:tr>
        <w:trPr>
          <w:del w:id="171" w:author="Master Repository Process" w:date="2021-08-01T16:28:00Z"/>
        </w:trPr>
        <w:tc>
          <w:tcPr>
            <w:tcW w:w="567" w:type="dxa"/>
          </w:tcPr>
          <w:p>
            <w:pPr>
              <w:pStyle w:val="Table"/>
              <w:rPr>
                <w:del w:id="172" w:author="Master Repository Process" w:date="2021-08-01T16:28:00Z"/>
              </w:rPr>
            </w:pPr>
          </w:p>
        </w:tc>
        <w:tc>
          <w:tcPr>
            <w:tcW w:w="567" w:type="dxa"/>
          </w:tcPr>
          <w:p>
            <w:pPr>
              <w:pStyle w:val="Table"/>
              <w:rPr>
                <w:del w:id="173" w:author="Master Repository Process" w:date="2021-08-01T16:28:00Z"/>
              </w:rPr>
            </w:pPr>
            <w:del w:id="174" w:author="Master Repository Process" w:date="2021-08-01T16:28:00Z">
              <w:r>
                <w:delText>(a)</w:delText>
              </w:r>
            </w:del>
          </w:p>
        </w:tc>
        <w:tc>
          <w:tcPr>
            <w:tcW w:w="4961" w:type="dxa"/>
          </w:tcPr>
          <w:p>
            <w:pPr>
              <w:pStyle w:val="Table"/>
              <w:rPr>
                <w:del w:id="175" w:author="Master Repository Process" w:date="2021-08-01T16:28:00Z"/>
              </w:rPr>
            </w:pPr>
            <w:del w:id="176" w:author="Master Repository Process" w:date="2021-08-01T16:28:00Z">
              <w:r>
                <w:delText xml:space="preserve">the modules Real Estate Law, and Maintain Trust Accounts and Develop Product Knowledge — HP and Leases, provided by Central TAFE Perth or TAFE NSW; or </w:delText>
              </w:r>
            </w:del>
          </w:p>
        </w:tc>
      </w:tr>
      <w:tr>
        <w:trPr>
          <w:del w:id="177" w:author="Master Repository Process" w:date="2021-08-01T16:28:00Z"/>
        </w:trPr>
        <w:tc>
          <w:tcPr>
            <w:tcW w:w="567" w:type="dxa"/>
          </w:tcPr>
          <w:p>
            <w:pPr>
              <w:pStyle w:val="Table"/>
              <w:rPr>
                <w:del w:id="178" w:author="Master Repository Process" w:date="2021-08-01T16:28:00Z"/>
              </w:rPr>
            </w:pPr>
          </w:p>
        </w:tc>
        <w:tc>
          <w:tcPr>
            <w:tcW w:w="567" w:type="dxa"/>
          </w:tcPr>
          <w:p>
            <w:pPr>
              <w:pStyle w:val="Table"/>
              <w:rPr>
                <w:del w:id="179" w:author="Master Repository Process" w:date="2021-08-01T16:28:00Z"/>
              </w:rPr>
            </w:pPr>
            <w:del w:id="180" w:author="Master Repository Process" w:date="2021-08-01T16:28:00Z">
              <w:r>
                <w:delText>(b)</w:delText>
              </w:r>
            </w:del>
          </w:p>
        </w:tc>
        <w:tc>
          <w:tcPr>
            <w:tcW w:w="4961" w:type="dxa"/>
          </w:tcPr>
          <w:p>
            <w:pPr>
              <w:pStyle w:val="Table"/>
              <w:rPr>
                <w:del w:id="181" w:author="Master Repository Process" w:date="2021-08-01T16:28:00Z"/>
                <w:rFonts w:ascii="Times" w:hAnsi="Times"/>
                <w:spacing w:val="-4"/>
              </w:rPr>
            </w:pPr>
            <w:del w:id="182" w:author="Master Repository Process" w:date="2021-08-01T16:28:00Z">
              <w:r>
                <w:rPr>
                  <w:rFonts w:ascii="Times" w:hAnsi="Times"/>
                  <w:spacing w:val="-4"/>
                </w:rPr>
                <w:delText>the Western Australian Bridging Module, comprising the sections Qualification of a Client for Credit — The Principles of Lending, Types and Classes of Mortgage and Credit Products, Basic Principles of WA Property Law and Maintaining Trust Accounts, provided by the Australian College of Financial Services or by the Australian Academy of Mortgage Consultants.</w:delText>
              </w:r>
            </w:del>
          </w:p>
        </w:tc>
      </w:tr>
      <w:tr>
        <w:trPr>
          <w:del w:id="183" w:author="Master Repository Process" w:date="2021-08-01T16:28:00Z"/>
        </w:trPr>
        <w:tc>
          <w:tcPr>
            <w:tcW w:w="567" w:type="dxa"/>
          </w:tcPr>
          <w:p>
            <w:pPr>
              <w:pStyle w:val="Table"/>
              <w:rPr>
                <w:del w:id="184" w:author="Master Repository Process" w:date="2021-08-01T16:28:00Z"/>
              </w:rPr>
            </w:pPr>
            <w:del w:id="185" w:author="Master Repository Process" w:date="2021-08-01T16:28:00Z">
              <w:r>
                <w:delText>3.</w:delText>
              </w:r>
            </w:del>
          </w:p>
        </w:tc>
        <w:tc>
          <w:tcPr>
            <w:tcW w:w="5528" w:type="dxa"/>
            <w:gridSpan w:val="2"/>
          </w:tcPr>
          <w:p>
            <w:pPr>
              <w:pStyle w:val="Table"/>
              <w:rPr>
                <w:del w:id="186" w:author="Master Repository Process" w:date="2021-08-01T16:28:00Z"/>
              </w:rPr>
            </w:pPr>
            <w:del w:id="187" w:author="Master Repository Process" w:date="2021-08-01T16:28:00Z">
              <w:r>
                <w:delText xml:space="preserve">Successful completion of a Diploma of Financial Services that includes the units Generic Financial Services Competencies (DFSA), Financial Planning Competencies (DFSB), Financial Analysis and Follow Up (DFSG) and Provide Advice in Mortgage (DFSM), provided by an approved training provider, plus — </w:delText>
              </w:r>
            </w:del>
          </w:p>
        </w:tc>
      </w:tr>
      <w:tr>
        <w:trPr>
          <w:del w:id="188" w:author="Master Repository Process" w:date="2021-08-01T16:28:00Z"/>
        </w:trPr>
        <w:tc>
          <w:tcPr>
            <w:tcW w:w="567" w:type="dxa"/>
          </w:tcPr>
          <w:p>
            <w:pPr>
              <w:pStyle w:val="Table"/>
              <w:rPr>
                <w:del w:id="189" w:author="Master Repository Process" w:date="2021-08-01T16:28:00Z"/>
              </w:rPr>
            </w:pPr>
          </w:p>
        </w:tc>
        <w:tc>
          <w:tcPr>
            <w:tcW w:w="567" w:type="dxa"/>
          </w:tcPr>
          <w:p>
            <w:pPr>
              <w:pStyle w:val="Table"/>
              <w:rPr>
                <w:del w:id="190" w:author="Master Repository Process" w:date="2021-08-01T16:28:00Z"/>
              </w:rPr>
            </w:pPr>
            <w:del w:id="191" w:author="Master Repository Process" w:date="2021-08-01T16:28:00Z">
              <w:r>
                <w:delText>(a)</w:delText>
              </w:r>
            </w:del>
          </w:p>
        </w:tc>
        <w:tc>
          <w:tcPr>
            <w:tcW w:w="4961" w:type="dxa"/>
          </w:tcPr>
          <w:p>
            <w:pPr>
              <w:pStyle w:val="Table"/>
              <w:rPr>
                <w:del w:id="192" w:author="Master Repository Process" w:date="2021-08-01T16:28:00Z"/>
              </w:rPr>
            </w:pPr>
            <w:del w:id="193" w:author="Master Repository Process" w:date="2021-08-01T16:28:00Z">
              <w:r>
                <w:delText xml:space="preserve">the WA supplementary unit provided by Australian College of Financial Services; and </w:delText>
              </w:r>
            </w:del>
          </w:p>
        </w:tc>
      </w:tr>
      <w:tr>
        <w:trPr>
          <w:del w:id="194" w:author="Master Repository Process" w:date="2021-08-01T16:28:00Z"/>
        </w:trPr>
        <w:tc>
          <w:tcPr>
            <w:tcW w:w="567" w:type="dxa"/>
          </w:tcPr>
          <w:p>
            <w:pPr>
              <w:pStyle w:val="Table"/>
              <w:rPr>
                <w:del w:id="195" w:author="Master Repository Process" w:date="2021-08-01T16:28:00Z"/>
              </w:rPr>
            </w:pPr>
          </w:p>
        </w:tc>
        <w:tc>
          <w:tcPr>
            <w:tcW w:w="567" w:type="dxa"/>
          </w:tcPr>
          <w:p>
            <w:pPr>
              <w:pStyle w:val="Table"/>
              <w:pageBreakBefore/>
              <w:rPr>
                <w:del w:id="196" w:author="Master Repository Process" w:date="2021-08-01T16:28:00Z"/>
              </w:rPr>
            </w:pPr>
            <w:del w:id="197" w:author="Master Repository Process" w:date="2021-08-01T16:28:00Z">
              <w:r>
                <w:delText>(b)</w:delText>
              </w:r>
            </w:del>
          </w:p>
        </w:tc>
        <w:tc>
          <w:tcPr>
            <w:tcW w:w="4961" w:type="dxa"/>
          </w:tcPr>
          <w:p>
            <w:pPr>
              <w:pStyle w:val="Table"/>
              <w:rPr>
                <w:del w:id="198" w:author="Master Repository Process" w:date="2021-08-01T16:28:00Z"/>
              </w:rPr>
            </w:pPr>
            <w:del w:id="199" w:author="Master Repository Process" w:date="2021-08-01T16:28:00Z">
              <w:r>
                <w:delText xml:space="preserve">one of the following units provided by an approved training organisation — </w:delText>
              </w:r>
            </w:del>
          </w:p>
          <w:p>
            <w:pPr>
              <w:pStyle w:val="Table"/>
              <w:numPr>
                <w:ilvl w:val="0"/>
                <w:numId w:val="14"/>
              </w:numPr>
              <w:tabs>
                <w:tab w:val="num" w:pos="459"/>
              </w:tabs>
              <w:spacing w:before="0"/>
              <w:ind w:left="459" w:hanging="425"/>
              <w:rPr>
                <w:del w:id="200" w:author="Master Repository Process" w:date="2021-08-01T16:28:00Z"/>
              </w:rPr>
            </w:pPr>
            <w:del w:id="201" w:author="Master Repository Process" w:date="2021-08-01T16:28:00Z">
              <w:r>
                <w:delText>Provide Advice in Superannuation (DFSC);</w:delText>
              </w:r>
            </w:del>
          </w:p>
          <w:p>
            <w:pPr>
              <w:pStyle w:val="Table"/>
              <w:numPr>
                <w:ilvl w:val="0"/>
                <w:numId w:val="14"/>
              </w:numPr>
              <w:tabs>
                <w:tab w:val="num" w:pos="459"/>
              </w:tabs>
              <w:spacing w:before="0"/>
              <w:ind w:left="459" w:hanging="425"/>
              <w:rPr>
                <w:del w:id="202" w:author="Master Repository Process" w:date="2021-08-01T16:28:00Z"/>
              </w:rPr>
            </w:pPr>
            <w:del w:id="203" w:author="Master Repository Process" w:date="2021-08-01T16:28:00Z">
              <w:r>
                <w:delText>Provide Advice in Insurance (DFSD); or</w:delText>
              </w:r>
            </w:del>
          </w:p>
          <w:p>
            <w:pPr>
              <w:pStyle w:val="Table"/>
              <w:numPr>
                <w:ilvl w:val="0"/>
                <w:numId w:val="14"/>
              </w:numPr>
              <w:tabs>
                <w:tab w:val="num" w:pos="459"/>
              </w:tabs>
              <w:spacing w:before="0"/>
              <w:ind w:left="459" w:hanging="425"/>
              <w:rPr>
                <w:del w:id="204" w:author="Master Repository Process" w:date="2021-08-01T16:28:00Z"/>
              </w:rPr>
            </w:pPr>
            <w:del w:id="205" w:author="Master Repository Process" w:date="2021-08-01T16:28:00Z">
              <w:r>
                <w:delText>Provide Advice in Investments, Securities and Derivatives (DFSE).</w:delText>
              </w:r>
            </w:del>
          </w:p>
        </w:tc>
      </w:tr>
      <w:tr>
        <w:trPr>
          <w:del w:id="206" w:author="Master Repository Process" w:date="2021-08-01T16:28:00Z"/>
        </w:trPr>
        <w:tc>
          <w:tcPr>
            <w:tcW w:w="567" w:type="dxa"/>
            <w:tcBorders>
              <w:bottom w:val="single" w:sz="4" w:space="0" w:color="auto"/>
            </w:tcBorders>
          </w:tcPr>
          <w:p>
            <w:pPr>
              <w:pStyle w:val="Table"/>
              <w:rPr>
                <w:del w:id="207" w:author="Master Repository Process" w:date="2021-08-01T16:28:00Z"/>
              </w:rPr>
            </w:pPr>
            <w:del w:id="208" w:author="Master Repository Process" w:date="2021-08-01T16:28:00Z">
              <w:r>
                <w:delText>4.</w:delText>
              </w:r>
            </w:del>
          </w:p>
        </w:tc>
        <w:tc>
          <w:tcPr>
            <w:tcW w:w="5528" w:type="dxa"/>
            <w:gridSpan w:val="2"/>
            <w:tcBorders>
              <w:bottom w:val="single" w:sz="4" w:space="0" w:color="auto"/>
            </w:tcBorders>
          </w:tcPr>
          <w:p>
            <w:pPr>
              <w:pStyle w:val="Table"/>
              <w:rPr>
                <w:del w:id="209" w:author="Master Repository Process" w:date="2021-08-01T16:28:00Z"/>
              </w:rPr>
            </w:pPr>
            <w:del w:id="210" w:author="Master Repository Process" w:date="2021-08-01T16:28:00Z">
              <w:r>
                <w:delText xml:space="preserve">Successful completion of a course that is provided by an approved training provider and that the applicant satisfies the Commissioner is equivalent to one of the courses set out in this Table, together with any </w:delText>
              </w:r>
              <w:r>
                <w:rPr>
                  <w:bCs/>
                </w:rPr>
                <w:delText>relevant supplementary Western Australian material associated with the course.</w:delText>
              </w:r>
            </w:del>
          </w:p>
        </w:tc>
      </w:tr>
    </w:tbl>
    <w:p>
      <w:pPr>
        <w:pStyle w:val="Ednotesubsection"/>
        <w:rPr>
          <w:ins w:id="211" w:author="Master Repository Process" w:date="2021-08-01T16:28:00Z"/>
        </w:rPr>
      </w:pPr>
      <w:bookmarkStart w:id="212" w:name="_Toc114030362"/>
      <w:bookmarkStart w:id="213" w:name="_Toc115759621"/>
      <w:ins w:id="214" w:author="Master Repository Process" w:date="2021-08-01T16:28:00Z">
        <w:r>
          <w:tab/>
          <w:t>[(3)</w:t>
        </w:r>
        <w:r>
          <w:tab/>
          <w:t>repealed]</w:t>
        </w:r>
      </w:ins>
    </w:p>
    <w:p>
      <w:pPr>
        <w:pStyle w:val="Footnotesection"/>
        <w:rPr>
          <w:ins w:id="215" w:author="Master Repository Process" w:date="2021-08-01T16:28:00Z"/>
        </w:rPr>
      </w:pPr>
      <w:r>
        <w:tab/>
        <w:t>[Regulation 18 amended in Gazette 10 Feb 2006 p. 660</w:t>
      </w:r>
      <w:ins w:id="216" w:author="Master Repository Process" w:date="2021-08-01T16:28:00Z">
        <w:r>
          <w:t>; 5 Jan 2007 p. 9.]</w:t>
        </w:r>
      </w:ins>
    </w:p>
    <w:p>
      <w:pPr>
        <w:pStyle w:val="Heading5"/>
        <w:rPr>
          <w:ins w:id="217" w:author="Master Repository Process" w:date="2021-08-01T16:28:00Z"/>
        </w:rPr>
      </w:pPr>
      <w:bookmarkStart w:id="218" w:name="_Toc155683824"/>
      <w:ins w:id="219" w:author="Master Repository Process" w:date="2021-08-01T16:28:00Z">
        <w:r>
          <w:rPr>
            <w:rStyle w:val="CharSectno"/>
          </w:rPr>
          <w:t>18A</w:t>
        </w:r>
        <w:r>
          <w:t>.</w:t>
        </w:r>
        <w:r>
          <w:tab/>
          <w:t>Requirements for a “D” class licence (section 95(2)(ba))</w:t>
        </w:r>
        <w:bookmarkEnd w:id="218"/>
      </w:ins>
    </w:p>
    <w:p>
      <w:pPr>
        <w:pStyle w:val="Subsection"/>
        <w:rPr>
          <w:ins w:id="220" w:author="Master Repository Process" w:date="2021-08-01T16:28:00Z"/>
        </w:rPr>
      </w:pPr>
      <w:ins w:id="221" w:author="Master Repository Process" w:date="2021-08-01T16:28:00Z">
        <w:r>
          <w:tab/>
        </w:r>
        <w:r>
          <w:tab/>
          <w:t xml:space="preserve">The following requirements are imposed as prerequisite criteria to the grant of a “D” class licence to an individual — </w:t>
        </w:r>
      </w:ins>
    </w:p>
    <w:p>
      <w:pPr>
        <w:pStyle w:val="Indenta"/>
        <w:rPr>
          <w:ins w:id="222" w:author="Master Repository Process" w:date="2021-08-01T16:28:00Z"/>
        </w:rPr>
      </w:pPr>
      <w:ins w:id="223" w:author="Master Repository Process" w:date="2021-08-01T16:28:00Z">
        <w:r>
          <w:tab/>
          <w:t>(a)</w:t>
        </w:r>
        <w:r>
          <w:tab/>
          <w:t>the individual must be either a partner of a firm or a director of a body corporate that is a licensee, or that is applying for a licence under section 24 of the Act or renewing a licence under section 32 of the Act;</w:t>
        </w:r>
      </w:ins>
    </w:p>
    <w:p>
      <w:pPr>
        <w:pStyle w:val="Indenta"/>
        <w:rPr>
          <w:ins w:id="224" w:author="Master Repository Process" w:date="2021-08-01T16:28:00Z"/>
        </w:rPr>
      </w:pPr>
      <w:ins w:id="225" w:author="Master Repository Process" w:date="2021-08-01T16:28:00Z">
        <w:r>
          <w:tab/>
          <w:t>(b)</w:t>
        </w:r>
        <w:r>
          <w:tab/>
          <w:t>the individual must identify and nominate another individual in the employ of the firm or body corporate who has bona fide control of the finance broking operations of the business of the firm or body corporate;</w:t>
        </w:r>
      </w:ins>
    </w:p>
    <w:p>
      <w:pPr>
        <w:pStyle w:val="Indenta"/>
        <w:rPr>
          <w:ins w:id="226" w:author="Master Repository Process" w:date="2021-08-01T16:28:00Z"/>
        </w:rPr>
      </w:pPr>
      <w:ins w:id="227" w:author="Master Repository Process" w:date="2021-08-01T16:28:00Z">
        <w:r>
          <w:tab/>
          <w:t>(c)</w:t>
        </w:r>
        <w:r>
          <w:tab/>
          <w:t>the individual nominated under paragraph (b) must be the holder of an “A” class licence or a “B” class licence.</w:t>
        </w:r>
      </w:ins>
    </w:p>
    <w:p>
      <w:pPr>
        <w:pStyle w:val="Footnotesection"/>
      </w:pPr>
      <w:ins w:id="228" w:author="Master Repository Process" w:date="2021-08-01T16:28:00Z">
        <w:r>
          <w:tab/>
          <w:t>[Regulation 18A inserted in Gazette 5 Jan 2007 p. 9-10</w:t>
        </w:r>
      </w:ins>
      <w:r>
        <w:t>.]</w:t>
      </w:r>
    </w:p>
    <w:p>
      <w:pPr>
        <w:pStyle w:val="Heading5"/>
      </w:pPr>
      <w:bookmarkStart w:id="229" w:name="_Toc155683825"/>
      <w:bookmarkStart w:id="230" w:name="_Toc139259966"/>
      <w:r>
        <w:rPr>
          <w:rStyle w:val="CharSectno"/>
        </w:rPr>
        <w:t>19</w:t>
      </w:r>
      <w:r>
        <w:t>.</w:t>
      </w:r>
      <w:r>
        <w:tab/>
        <w:t>Fees</w:t>
      </w:r>
      <w:bookmarkEnd w:id="212"/>
      <w:bookmarkEnd w:id="213"/>
      <w:bookmarkEnd w:id="229"/>
      <w:bookmarkEnd w:id="230"/>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rPr>
          <w:snapToGrid w:val="0"/>
        </w:rPr>
      </w:pPr>
      <w:bookmarkStart w:id="231" w:name="_Toc434198246"/>
      <w:bookmarkStart w:id="232" w:name="_Toc78176626"/>
      <w:bookmarkStart w:id="233" w:name="_Toc114030363"/>
      <w:bookmarkStart w:id="234" w:name="_Toc115759622"/>
      <w:bookmarkStart w:id="235" w:name="_Toc155683826"/>
      <w:bookmarkStart w:id="236" w:name="_Toc139259967"/>
      <w:r>
        <w:rPr>
          <w:snapToGrid w:val="0"/>
        </w:rPr>
        <w:t>20.</w:t>
      </w:r>
      <w:r>
        <w:rPr>
          <w:snapToGrid w:val="0"/>
        </w:rPr>
        <w:tab/>
        <w:t>Recovery of fees</w:t>
      </w:r>
      <w:bookmarkEnd w:id="231"/>
      <w:bookmarkEnd w:id="232"/>
      <w:bookmarkEnd w:id="233"/>
      <w:bookmarkEnd w:id="234"/>
      <w:bookmarkEnd w:id="235"/>
      <w:bookmarkEnd w:id="236"/>
    </w:p>
    <w:p>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rPr>
          <w:snapToGrid w:val="0"/>
        </w:rPr>
      </w:pPr>
      <w:bookmarkStart w:id="237" w:name="_Toc114030364"/>
      <w:bookmarkStart w:id="238" w:name="_Toc115759623"/>
      <w:bookmarkStart w:id="239" w:name="_Toc155683827"/>
      <w:bookmarkStart w:id="240" w:name="_Toc139259968"/>
      <w:r>
        <w:rPr>
          <w:snapToGrid w:val="0"/>
        </w:rPr>
        <w:t>21.</w:t>
      </w:r>
      <w:r>
        <w:rPr>
          <w:snapToGrid w:val="0"/>
        </w:rPr>
        <w:tab/>
        <w:t>Modified penalties</w:t>
      </w:r>
      <w:bookmarkEnd w:id="237"/>
      <w:bookmarkEnd w:id="238"/>
      <w:bookmarkEnd w:id="239"/>
      <w:bookmarkEnd w:id="240"/>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241" w:name="_Toc114030365"/>
      <w:bookmarkStart w:id="242" w:name="_Toc115759624"/>
      <w:bookmarkStart w:id="243" w:name="_Toc155683828"/>
      <w:bookmarkStart w:id="244" w:name="_Toc139259969"/>
      <w:r>
        <w:rPr>
          <w:snapToGrid w:val="0"/>
        </w:rPr>
        <w:t>22.</w:t>
      </w:r>
      <w:r>
        <w:rPr>
          <w:snapToGrid w:val="0"/>
        </w:rPr>
        <w:tab/>
        <w:t>Infringement notice</w:t>
      </w:r>
      <w:bookmarkEnd w:id="241"/>
      <w:bookmarkEnd w:id="242"/>
      <w:bookmarkEnd w:id="243"/>
      <w:bookmarkEnd w:id="244"/>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245" w:name="_Toc114030366"/>
      <w:bookmarkStart w:id="246" w:name="_Toc115759625"/>
      <w:bookmarkStart w:id="247" w:name="_Toc155683829"/>
      <w:bookmarkStart w:id="248" w:name="_Toc139259970"/>
      <w:r>
        <w:rPr>
          <w:snapToGrid w:val="0"/>
        </w:rPr>
        <w:t>23.</w:t>
      </w:r>
      <w:r>
        <w:rPr>
          <w:snapToGrid w:val="0"/>
        </w:rPr>
        <w:tab/>
        <w:t>Withdrawal of infringement notice</w:t>
      </w:r>
      <w:bookmarkEnd w:id="245"/>
      <w:bookmarkEnd w:id="246"/>
      <w:bookmarkEnd w:id="247"/>
      <w:bookmarkEnd w:id="248"/>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Heading5"/>
        <w:rPr>
          <w:snapToGrid w:val="0"/>
        </w:rPr>
      </w:pPr>
      <w:bookmarkStart w:id="249" w:name="_Toc114030367"/>
      <w:bookmarkStart w:id="250" w:name="_Toc115759626"/>
      <w:bookmarkStart w:id="251" w:name="_Toc155683830"/>
      <w:bookmarkStart w:id="252" w:name="_Toc139259971"/>
      <w:r>
        <w:rPr>
          <w:snapToGrid w:val="0"/>
        </w:rPr>
        <w:t>24.</w:t>
      </w:r>
      <w:r>
        <w:rPr>
          <w:snapToGrid w:val="0"/>
        </w:rPr>
        <w:tab/>
        <w:t>Repeal</w:t>
      </w:r>
      <w:bookmarkEnd w:id="249"/>
      <w:bookmarkEnd w:id="250"/>
      <w:bookmarkEnd w:id="251"/>
      <w:bookmarkEnd w:id="252"/>
    </w:p>
    <w:p>
      <w:pPr>
        <w:pStyle w:val="Subsection"/>
      </w:pPr>
      <w:r>
        <w:tab/>
        <w:t>(1)</w:t>
      </w:r>
      <w:r>
        <w:tab/>
        <w:t xml:space="preserve">The </w:t>
      </w:r>
      <w:r>
        <w:rPr>
          <w:i/>
          <w:iCs/>
        </w:rPr>
        <w:t>Finance Brokers Control (General) Regulations 1977</w:t>
      </w:r>
      <w:r>
        <w:t xml:space="preserve"> are repealed.</w:t>
      </w:r>
    </w:p>
    <w:p>
      <w:pPr>
        <w:pStyle w:val="Subsection"/>
        <w:rPr>
          <w:i/>
          <w:iCs/>
        </w:rPr>
      </w:pPr>
      <w:r>
        <w:tab/>
        <w:t>(2)</w:t>
      </w:r>
      <w:r>
        <w:tab/>
        <w:t xml:space="preserve">The </w:t>
      </w:r>
      <w:r>
        <w:rPr>
          <w:i/>
          <w:iCs/>
        </w:rPr>
        <w:t>Finance Brokers Supervisory Board (Elections) Regulations 1978</w:t>
      </w:r>
      <w: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253" w:name="_Toc114376579"/>
      <w:bookmarkStart w:id="254" w:name="_Toc114386710"/>
      <w:bookmarkStart w:id="255" w:name="_Toc114387002"/>
      <w:bookmarkStart w:id="256" w:name="_Toc114388165"/>
      <w:bookmarkStart w:id="257" w:name="_Toc115076536"/>
      <w:bookmarkStart w:id="258" w:name="_Toc115078381"/>
      <w:bookmarkStart w:id="259" w:name="_Toc115149746"/>
      <w:bookmarkStart w:id="260" w:name="_Toc115149776"/>
      <w:bookmarkStart w:id="261" w:name="_Toc115238109"/>
      <w:bookmarkStart w:id="262" w:name="_Toc115238156"/>
      <w:bookmarkStart w:id="263" w:name="_Toc115238186"/>
      <w:bookmarkStart w:id="264" w:name="_Toc115238216"/>
      <w:bookmarkStart w:id="265" w:name="_Toc115594242"/>
      <w:bookmarkStart w:id="266" w:name="_Toc115601815"/>
      <w:bookmarkStart w:id="267" w:name="_Toc115601896"/>
      <w:bookmarkStart w:id="268" w:name="_Toc115750291"/>
      <w:bookmarkStart w:id="269" w:name="_Toc115750368"/>
      <w:bookmarkStart w:id="270" w:name="_Toc115750404"/>
      <w:bookmarkStart w:id="271" w:name="_Toc115759593"/>
      <w:bookmarkStart w:id="272" w:name="_Toc115759627"/>
      <w:bookmarkStart w:id="273" w:name="_Toc117063054"/>
    </w:p>
    <w:p>
      <w:pPr>
        <w:pStyle w:val="yScheduleHeading"/>
      </w:pPr>
      <w:bookmarkStart w:id="274" w:name="_Toc117064301"/>
      <w:bookmarkStart w:id="275" w:name="_Toc117064504"/>
      <w:bookmarkStart w:id="276" w:name="_Toc127256362"/>
      <w:bookmarkStart w:id="277" w:name="_Toc127333145"/>
      <w:bookmarkStart w:id="278" w:name="_Toc134518549"/>
      <w:bookmarkStart w:id="279" w:name="_Toc139259972"/>
      <w:bookmarkStart w:id="280" w:name="_Toc155675747"/>
      <w:bookmarkStart w:id="281" w:name="_Toc155683831"/>
      <w:r>
        <w:rPr>
          <w:rStyle w:val="CharSchNo"/>
        </w:rPr>
        <w:t>Schedule 1</w:t>
      </w:r>
      <w:r>
        <w:rPr>
          <w:rStyle w:val="CharSDivNo"/>
        </w:rPr>
        <w:t> </w:t>
      </w:r>
      <w:r>
        <w:t>—</w:t>
      </w:r>
      <w:r>
        <w:rPr>
          <w:rStyle w:val="CharSDivText"/>
        </w:rPr>
        <w:t> </w:t>
      </w:r>
      <w:r>
        <w:rPr>
          <w:rStyle w:val="CharSchText"/>
        </w:rPr>
        <w:t>Fees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yShoulderClause"/>
        <w:spacing w:after="60"/>
      </w:pPr>
      <w:r>
        <w:t>[r. 6, 7, 8, 11 &amp; 19]</w:t>
      </w:r>
    </w:p>
    <w:tbl>
      <w:tblPr>
        <w:tblW w:w="7080" w:type="dxa"/>
        <w:tblInd w:w="232" w:type="dxa"/>
        <w:tblLayout w:type="fixed"/>
        <w:tblLook w:val="0000" w:firstRow="0" w:lastRow="0" w:firstColumn="0" w:lastColumn="0" w:noHBand="0" w:noVBand="0"/>
      </w:tblPr>
      <w:tblGrid>
        <w:gridCol w:w="585"/>
        <w:gridCol w:w="5051"/>
        <w:gridCol w:w="1444"/>
      </w:tblGrid>
      <w:tr>
        <w:trPr>
          <w:cantSplit/>
        </w:trPr>
        <w:tc>
          <w:tcPr>
            <w:tcW w:w="585" w:type="dxa"/>
          </w:tcPr>
          <w:p>
            <w:pPr>
              <w:pStyle w:val="yTable"/>
            </w:pPr>
          </w:p>
        </w:tc>
        <w:tc>
          <w:tcPr>
            <w:tcW w:w="5051" w:type="dxa"/>
          </w:tcPr>
          <w:p>
            <w:pPr>
              <w:pStyle w:val="yTable"/>
            </w:pPr>
          </w:p>
        </w:tc>
        <w:tc>
          <w:tcPr>
            <w:tcW w:w="1444" w:type="dxa"/>
          </w:tcPr>
          <w:p>
            <w:pPr>
              <w:pStyle w:val="yTable"/>
              <w:tabs>
                <w:tab w:val="right" w:pos="732"/>
              </w:tabs>
              <w:jc w:val="center"/>
              <w:rPr>
                <w:b/>
                <w:bCs/>
              </w:rPr>
            </w:pPr>
            <w:r>
              <w:rPr>
                <w:b/>
                <w:bCs/>
              </w:rPr>
              <w:t>$</w:t>
            </w:r>
          </w:p>
        </w:tc>
      </w:tr>
      <w:tr>
        <w:trPr>
          <w:cantSplit/>
        </w:trPr>
        <w:tc>
          <w:tcPr>
            <w:tcW w:w="585" w:type="dxa"/>
          </w:tcPr>
          <w:p>
            <w:pPr>
              <w:pStyle w:val="yTable"/>
            </w:pPr>
            <w:r>
              <w:t>1.</w:t>
            </w:r>
          </w:p>
        </w:tc>
        <w:tc>
          <w:tcPr>
            <w:tcW w:w="5051" w:type="dxa"/>
          </w:tcPr>
          <w:p>
            <w:pPr>
              <w:pStyle w:val="yTable"/>
            </w:pPr>
            <w:r>
              <w:t>Application for licence by a natural person .</w:t>
            </w:r>
            <w:r>
              <w:rPr>
                <w:snapToGrid w:val="0"/>
              </w:rPr>
              <w:t>.................</w:t>
            </w:r>
          </w:p>
        </w:tc>
        <w:tc>
          <w:tcPr>
            <w:tcW w:w="1444" w:type="dxa"/>
          </w:tcPr>
          <w:p>
            <w:pPr>
              <w:pStyle w:val="yTable"/>
              <w:ind w:right="408"/>
              <w:jc w:val="right"/>
            </w:pPr>
            <w:r>
              <w:t>525</w:t>
            </w:r>
          </w:p>
        </w:tc>
      </w:tr>
      <w:tr>
        <w:trPr>
          <w:cantSplit/>
        </w:trPr>
        <w:tc>
          <w:tcPr>
            <w:tcW w:w="585" w:type="dxa"/>
          </w:tcPr>
          <w:p>
            <w:pPr>
              <w:pStyle w:val="yTable"/>
            </w:pPr>
            <w:r>
              <w:t>2.</w:t>
            </w:r>
          </w:p>
        </w:tc>
        <w:tc>
          <w:tcPr>
            <w:tcW w:w="5051" w:type="dxa"/>
          </w:tcPr>
          <w:p>
            <w:pPr>
              <w:pStyle w:val="yTable"/>
            </w:pPr>
            <w:r>
              <w:t>Application for licence by a firm .</w:t>
            </w:r>
            <w:r>
              <w:rPr>
                <w:snapToGrid w:val="0"/>
              </w:rPr>
              <w:t>.................................</w:t>
            </w:r>
          </w:p>
        </w:tc>
        <w:tc>
          <w:tcPr>
            <w:tcW w:w="1444" w:type="dxa"/>
          </w:tcPr>
          <w:p>
            <w:pPr>
              <w:pStyle w:val="yTable"/>
              <w:tabs>
                <w:tab w:val="right" w:pos="852"/>
              </w:tabs>
              <w:ind w:right="408"/>
              <w:jc w:val="right"/>
            </w:pPr>
            <w:r>
              <w:t>525</w:t>
            </w:r>
          </w:p>
        </w:tc>
      </w:tr>
      <w:tr>
        <w:trPr>
          <w:cantSplit/>
        </w:trPr>
        <w:tc>
          <w:tcPr>
            <w:tcW w:w="585" w:type="dxa"/>
          </w:tcPr>
          <w:p>
            <w:pPr>
              <w:pStyle w:val="yTable"/>
            </w:pPr>
            <w:r>
              <w:t>3.</w:t>
            </w:r>
          </w:p>
        </w:tc>
        <w:tc>
          <w:tcPr>
            <w:tcW w:w="5051" w:type="dxa"/>
          </w:tcPr>
          <w:p>
            <w:pPr>
              <w:pStyle w:val="yTable"/>
            </w:pPr>
            <w:r>
              <w:t>Application for licence by a body corporate .</w:t>
            </w:r>
            <w:r>
              <w:rPr>
                <w:snapToGrid w:val="0"/>
              </w:rPr>
              <w:t>................</w:t>
            </w:r>
          </w:p>
        </w:tc>
        <w:tc>
          <w:tcPr>
            <w:tcW w:w="1444" w:type="dxa"/>
          </w:tcPr>
          <w:p>
            <w:pPr>
              <w:pStyle w:val="yTable"/>
              <w:tabs>
                <w:tab w:val="right" w:pos="852"/>
              </w:tabs>
              <w:ind w:right="408"/>
              <w:jc w:val="right"/>
            </w:pPr>
            <w:r>
              <w:t>525</w:t>
            </w:r>
          </w:p>
        </w:tc>
      </w:tr>
      <w:tr>
        <w:trPr>
          <w:cantSplit/>
        </w:trPr>
        <w:tc>
          <w:tcPr>
            <w:tcW w:w="585" w:type="dxa"/>
          </w:tcPr>
          <w:p>
            <w:pPr>
              <w:pStyle w:val="yTable"/>
            </w:pPr>
            <w:r>
              <w:t>4.</w:t>
            </w:r>
          </w:p>
        </w:tc>
        <w:tc>
          <w:tcPr>
            <w:tcW w:w="5051" w:type="dxa"/>
          </w:tcPr>
          <w:p>
            <w:pPr>
              <w:pStyle w:val="yTable"/>
            </w:pPr>
            <w:r>
              <w:t>For renewal of licence — (for a period of 3 years) ......</w:t>
            </w:r>
          </w:p>
        </w:tc>
        <w:tc>
          <w:tcPr>
            <w:tcW w:w="1444" w:type="dxa"/>
          </w:tcPr>
          <w:p>
            <w:pPr>
              <w:pStyle w:val="yTable"/>
              <w:tabs>
                <w:tab w:val="right" w:pos="852"/>
              </w:tabs>
              <w:ind w:right="408"/>
              <w:jc w:val="right"/>
            </w:pPr>
            <w:r>
              <w:t>525</w:t>
            </w:r>
          </w:p>
        </w:tc>
      </w:tr>
      <w:tr>
        <w:trPr>
          <w:cantSplit/>
        </w:trPr>
        <w:tc>
          <w:tcPr>
            <w:tcW w:w="585" w:type="dxa"/>
          </w:tcPr>
          <w:p>
            <w:pPr>
              <w:pStyle w:val="yTable"/>
            </w:pPr>
            <w:r>
              <w:t>5.</w:t>
            </w:r>
          </w:p>
        </w:tc>
        <w:tc>
          <w:tcPr>
            <w:tcW w:w="5051" w:type="dxa"/>
          </w:tcPr>
          <w:p>
            <w:pPr>
              <w:pStyle w:val="yTable"/>
            </w:pPr>
            <w:r>
              <w:t>Inspection of register .</w:t>
            </w:r>
            <w:r>
              <w:rPr>
                <w:snapToGrid w:val="0"/>
              </w:rPr>
              <w:t>...................................................</w:t>
            </w:r>
          </w:p>
        </w:tc>
        <w:tc>
          <w:tcPr>
            <w:tcW w:w="1444" w:type="dxa"/>
          </w:tcPr>
          <w:p>
            <w:pPr>
              <w:pStyle w:val="yTable"/>
              <w:tabs>
                <w:tab w:val="right" w:pos="852"/>
              </w:tabs>
              <w:ind w:right="408"/>
              <w:jc w:val="right"/>
            </w:pPr>
            <w:r>
              <w:t>10</w:t>
            </w:r>
          </w:p>
        </w:tc>
      </w:tr>
      <w:tr>
        <w:trPr>
          <w:cantSplit/>
        </w:trPr>
        <w:tc>
          <w:tcPr>
            <w:tcW w:w="585" w:type="dxa"/>
          </w:tcPr>
          <w:p>
            <w:pPr>
              <w:pStyle w:val="yTable"/>
            </w:pPr>
            <w:r>
              <w:t>6.</w:t>
            </w:r>
          </w:p>
        </w:tc>
        <w:tc>
          <w:tcPr>
            <w:tcW w:w="5051" w:type="dxa"/>
          </w:tcPr>
          <w:p>
            <w:pPr>
              <w:pStyle w:val="yTable"/>
            </w:pPr>
            <w:r>
              <w:t>Certificate as to an individual registration — </w:t>
            </w:r>
          </w:p>
        </w:tc>
        <w:tc>
          <w:tcPr>
            <w:tcW w:w="1444" w:type="dxa"/>
          </w:tcPr>
          <w:p>
            <w:pPr>
              <w:pStyle w:val="yTable"/>
              <w:tabs>
                <w:tab w:val="right" w:pos="852"/>
              </w:tabs>
              <w:ind w:right="408"/>
              <w:jc w:val="right"/>
            </w:pPr>
          </w:p>
        </w:tc>
      </w:tr>
      <w:tr>
        <w:trPr>
          <w:cantSplit/>
        </w:trPr>
        <w:tc>
          <w:tcPr>
            <w:tcW w:w="585" w:type="dxa"/>
          </w:tcPr>
          <w:p>
            <w:pPr>
              <w:pStyle w:val="yTable"/>
            </w:pPr>
          </w:p>
        </w:tc>
        <w:tc>
          <w:tcPr>
            <w:tcW w:w="5051" w:type="dxa"/>
          </w:tcPr>
          <w:p>
            <w:pPr>
              <w:pStyle w:val="yTable"/>
              <w:rPr>
                <w:snapToGrid w:val="0"/>
              </w:rPr>
            </w:pPr>
            <w:r>
              <w:tab/>
              <w:t> — first page .</w:t>
            </w:r>
            <w:r>
              <w:rPr>
                <w:snapToGrid w:val="0"/>
              </w:rPr>
              <w:t>............................................</w:t>
            </w:r>
          </w:p>
          <w:p>
            <w:pPr>
              <w:pStyle w:val="yTable"/>
            </w:pPr>
            <w:r>
              <w:tab/>
              <w:t> — each subsequent page .</w:t>
            </w:r>
            <w:r>
              <w:rPr>
                <w:snapToGrid w:val="0"/>
              </w:rPr>
              <w:t>........................</w:t>
            </w:r>
          </w:p>
        </w:tc>
        <w:tc>
          <w:tcPr>
            <w:tcW w:w="1444" w:type="dxa"/>
          </w:tcPr>
          <w:p>
            <w:pPr>
              <w:pStyle w:val="yTable"/>
              <w:tabs>
                <w:tab w:val="right" w:pos="852"/>
              </w:tabs>
              <w:ind w:right="408"/>
              <w:jc w:val="right"/>
            </w:pPr>
            <w:r>
              <w:t>10</w:t>
            </w:r>
          </w:p>
          <w:p>
            <w:pPr>
              <w:pStyle w:val="yTable"/>
              <w:tabs>
                <w:tab w:val="right" w:pos="852"/>
              </w:tabs>
              <w:ind w:right="408"/>
              <w:jc w:val="right"/>
            </w:pPr>
            <w:r>
              <w:t>2</w:t>
            </w:r>
          </w:p>
        </w:tc>
      </w:tr>
      <w:tr>
        <w:trPr>
          <w:cantSplit/>
        </w:trPr>
        <w:tc>
          <w:tcPr>
            <w:tcW w:w="585" w:type="dxa"/>
          </w:tcPr>
          <w:p>
            <w:pPr>
              <w:pStyle w:val="yTable"/>
            </w:pPr>
            <w:r>
              <w:t>7.</w:t>
            </w:r>
          </w:p>
        </w:tc>
        <w:tc>
          <w:tcPr>
            <w:tcW w:w="5051" w:type="dxa"/>
          </w:tcPr>
          <w:p>
            <w:pPr>
              <w:pStyle w:val="yTable"/>
            </w:pPr>
            <w:r>
              <w:t>Certificate of all registrations in register .</w:t>
            </w:r>
            <w:r>
              <w:rPr>
                <w:snapToGrid w:val="0"/>
              </w:rPr>
              <w:t>.....................</w:t>
            </w:r>
          </w:p>
        </w:tc>
        <w:tc>
          <w:tcPr>
            <w:tcW w:w="1444" w:type="dxa"/>
          </w:tcPr>
          <w:p>
            <w:pPr>
              <w:pStyle w:val="yTable"/>
              <w:tabs>
                <w:tab w:val="right" w:pos="732"/>
              </w:tabs>
              <w:ind w:right="408"/>
              <w:jc w:val="right"/>
            </w:pPr>
            <w:r>
              <w:t>122</w:t>
            </w:r>
          </w:p>
        </w:tc>
      </w:tr>
    </w:tbl>
    <w:p>
      <w:pPr>
        <w:pStyle w:val="yFootnotesection"/>
      </w:pPr>
      <w:bookmarkStart w:id="282" w:name="_Toc114376580"/>
      <w:bookmarkStart w:id="283" w:name="_Toc114386711"/>
      <w:bookmarkStart w:id="284" w:name="_Toc114387003"/>
      <w:bookmarkStart w:id="285" w:name="_Toc114388166"/>
      <w:bookmarkStart w:id="286" w:name="_Toc115076537"/>
      <w:bookmarkStart w:id="287" w:name="_Toc115078382"/>
      <w:bookmarkStart w:id="288" w:name="_Toc115149747"/>
      <w:bookmarkStart w:id="289" w:name="_Toc115149777"/>
      <w:bookmarkStart w:id="290" w:name="_Toc115238110"/>
      <w:bookmarkStart w:id="291" w:name="_Toc115238157"/>
      <w:bookmarkStart w:id="292" w:name="_Toc115238187"/>
      <w:bookmarkStart w:id="293" w:name="_Toc115238217"/>
      <w:bookmarkStart w:id="294" w:name="_Toc115594243"/>
      <w:bookmarkStart w:id="295" w:name="_Toc115601816"/>
      <w:bookmarkStart w:id="296" w:name="_Toc115601897"/>
      <w:bookmarkStart w:id="297" w:name="_Toc115750292"/>
      <w:bookmarkStart w:id="298" w:name="_Toc115750369"/>
      <w:bookmarkStart w:id="299" w:name="_Toc115750405"/>
      <w:bookmarkStart w:id="300" w:name="_Toc115759594"/>
      <w:bookmarkStart w:id="301" w:name="_Toc115759628"/>
      <w:bookmarkStart w:id="302" w:name="_Toc117063055"/>
      <w:bookmarkStart w:id="303" w:name="_Toc117064302"/>
      <w:bookmarkStart w:id="304" w:name="_Toc117064505"/>
      <w:bookmarkStart w:id="305" w:name="_Toc127256363"/>
      <w:bookmarkStart w:id="306" w:name="_Toc127333146"/>
      <w:bookmarkStart w:id="307" w:name="_Toc134518550"/>
      <w:bookmarkStart w:id="308" w:name="_Toc114030369"/>
      <w:r>
        <w:tab/>
        <w:t>[Schedule 1 amended in Gazette 27 Jun 2006 p. 2255.]</w:t>
      </w:r>
    </w:p>
    <w:p>
      <w:pPr>
        <w:pStyle w:val="yScheduleHeading"/>
      </w:pPr>
      <w:bookmarkStart w:id="309" w:name="_Toc139259973"/>
      <w:bookmarkStart w:id="310" w:name="_Toc155675748"/>
      <w:bookmarkStart w:id="311" w:name="_Toc155683832"/>
      <w:r>
        <w:rPr>
          <w:rStyle w:val="CharSchNo"/>
        </w:rPr>
        <w:t>Schedule 2</w:t>
      </w:r>
      <w:r>
        <w:rPr>
          <w:rStyle w:val="CharSDivNo"/>
        </w:rPr>
        <w:t> </w:t>
      </w:r>
      <w:r>
        <w:t>—</w:t>
      </w:r>
      <w:r>
        <w:rPr>
          <w:rStyle w:val="CharSDivText"/>
        </w:rPr>
        <w:t> </w:t>
      </w:r>
      <w:r>
        <w:rPr>
          <w:rStyle w:val="CharSchText"/>
        </w:rPr>
        <w:t>Modified penalties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9"/>
      <w:bookmarkEnd w:id="310"/>
      <w:bookmarkEnd w:id="311"/>
    </w:p>
    <w:bookmarkEnd w:id="308"/>
    <w:p>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pPr>
              <w:pStyle w:val="yTable"/>
              <w:rPr>
                <w:b/>
                <w:bCs/>
              </w:rPr>
            </w:pPr>
            <w:r>
              <w:rPr>
                <w:b/>
                <w:bCs/>
              </w:rPr>
              <w:t>Section or</w:t>
            </w:r>
          </w:p>
          <w:p>
            <w:pPr>
              <w:pStyle w:val="yTable"/>
              <w:rPr>
                <w:b/>
                <w:bCs/>
              </w:rPr>
            </w:pPr>
            <w:r>
              <w:rPr>
                <w:b/>
                <w:bCs/>
              </w:rPr>
              <w:t>regulation</w:t>
            </w:r>
          </w:p>
        </w:tc>
        <w:tc>
          <w:tcPr>
            <w:tcW w:w="3544" w:type="dxa"/>
            <w:tcBorders>
              <w:top w:val="single" w:sz="4" w:space="0" w:color="auto"/>
              <w:left w:val="single" w:sz="4" w:space="0" w:color="auto"/>
              <w:bottom w:val="single" w:sz="4" w:space="0" w:color="auto"/>
              <w:right w:val="single" w:sz="4" w:space="0" w:color="auto"/>
            </w:tcBorders>
          </w:tcPr>
          <w:p>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pPr>
              <w:pStyle w:val="yTable"/>
              <w:rPr>
                <w:b/>
                <w:bCs/>
              </w:rPr>
            </w:pPr>
            <w:r>
              <w:rPr>
                <w:b/>
                <w:bCs/>
              </w:rP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s. 30(3)(b)</w:t>
            </w:r>
          </w:p>
        </w:tc>
        <w:tc>
          <w:tcPr>
            <w:tcW w:w="3544" w:type="dxa"/>
            <w:tcBorders>
              <w:left w:val="single" w:sz="4" w:space="0" w:color="auto"/>
              <w:right w:val="single" w:sz="4" w:space="0" w:color="auto"/>
            </w:tcBorders>
          </w:tcPr>
          <w:p>
            <w:pPr>
              <w:pStyle w:val="yTable"/>
            </w:pPr>
            <w:r>
              <w:t>Failing to surrender licence following suspension by Commissioner</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s. 34(3)</w:t>
            </w:r>
          </w:p>
        </w:tc>
        <w:tc>
          <w:tcPr>
            <w:tcW w:w="3544" w:type="dxa"/>
            <w:tcBorders>
              <w:left w:val="single" w:sz="4" w:space="0" w:color="auto"/>
              <w:right w:val="single" w:sz="4" w:space="0" w:color="auto"/>
            </w:tcBorders>
          </w:tcPr>
          <w:p>
            <w:pPr>
              <w:pStyle w:val="yTable"/>
            </w:pPr>
            <w:r>
              <w:t>Failing to comply with a licence condition</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s. 36(1)</w:t>
            </w:r>
          </w:p>
        </w:tc>
        <w:tc>
          <w:tcPr>
            <w:tcW w:w="3544" w:type="dxa"/>
            <w:tcBorders>
              <w:left w:val="single" w:sz="4" w:space="0" w:color="auto"/>
              <w:right w:val="single" w:sz="4" w:space="0" w:color="auto"/>
            </w:tcBorders>
          </w:tcPr>
          <w:p>
            <w:pPr>
              <w:pStyle w:val="yTable"/>
            </w:pPr>
            <w:r>
              <w:t>Failing to give notice of commencing or ceasing to carry on business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s. 36(2)</w:t>
            </w:r>
          </w:p>
        </w:tc>
        <w:tc>
          <w:tcPr>
            <w:tcW w:w="3544" w:type="dxa"/>
            <w:tcBorders>
              <w:left w:val="single" w:sz="4" w:space="0" w:color="auto"/>
              <w:right w:val="single" w:sz="4" w:space="0" w:color="auto"/>
            </w:tcBorders>
          </w:tcPr>
          <w:p>
            <w:pPr>
              <w:pStyle w:val="yTable"/>
            </w:pPr>
            <w:r>
              <w:t>Failing to give notice of ceasing to have a registered office and of residential address</w:t>
            </w:r>
          </w:p>
        </w:tc>
        <w:tc>
          <w:tcPr>
            <w:tcW w:w="1392" w:type="dxa"/>
            <w:tcBorders>
              <w:left w:val="single" w:sz="4" w:space="0" w:color="auto"/>
            </w:tcBorders>
          </w:tcPr>
          <w:p>
            <w:pPr>
              <w:pStyle w:val="yTable"/>
            </w:pPr>
            <w:r>
              <w:br/>
            </w:r>
            <w:r>
              <w:br/>
              <w:t>400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s. 36(3)</w:t>
            </w:r>
          </w:p>
        </w:tc>
        <w:tc>
          <w:tcPr>
            <w:tcW w:w="3544" w:type="dxa"/>
            <w:tcBorders>
              <w:left w:val="single" w:sz="4" w:space="0" w:color="auto"/>
              <w:right w:val="single" w:sz="4" w:space="0" w:color="auto"/>
            </w:tcBorders>
          </w:tcPr>
          <w:p>
            <w:pPr>
              <w:pStyle w:val="yTable"/>
            </w:pPr>
            <w:r>
              <w:t>Failing to give notice of change of residential address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yTable"/>
            </w:pPr>
            <w:r>
              <w:t>s. 37(1)</w:t>
            </w:r>
          </w:p>
        </w:tc>
        <w:tc>
          <w:tcPr>
            <w:tcW w:w="3544" w:type="dxa"/>
            <w:tcBorders>
              <w:left w:val="single" w:sz="4" w:space="0" w:color="auto"/>
              <w:right w:val="single" w:sz="4" w:space="0" w:color="auto"/>
            </w:tcBorders>
          </w:tcPr>
          <w:p>
            <w:pPr>
              <w:pStyle w:val="yTable"/>
            </w:pPr>
            <w:r>
              <w:t>Failing to have a registered office</w:t>
            </w:r>
          </w:p>
        </w:tc>
        <w:tc>
          <w:tcPr>
            <w:tcW w:w="1392" w:type="dxa"/>
            <w:tcBorders>
              <w:left w:val="single" w:sz="4" w:space="0" w:color="auto"/>
            </w:tcBorders>
          </w:tcPr>
          <w:p>
            <w:pPr>
              <w:pStyle w:val="yTable"/>
            </w:pPr>
            <w:r>
              <w:t>400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t>s. 38(1)</w:t>
            </w:r>
          </w:p>
        </w:tc>
        <w:tc>
          <w:tcPr>
            <w:tcW w:w="3544" w:type="dxa"/>
            <w:tcBorders>
              <w:left w:val="single" w:sz="4" w:space="0" w:color="auto"/>
              <w:right w:val="single" w:sz="4" w:space="0" w:color="auto"/>
            </w:tcBorders>
          </w:tcPr>
          <w:p>
            <w:pPr>
              <w:pStyle w:val="yTable"/>
            </w:pPr>
            <w:r>
              <w:t>Failing to give notice of the location of a branch office</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s. 41(1)(a)</w:t>
            </w:r>
          </w:p>
        </w:tc>
        <w:tc>
          <w:tcPr>
            <w:tcW w:w="3544" w:type="dxa"/>
            <w:tcBorders>
              <w:left w:val="single" w:sz="4" w:space="0" w:color="auto"/>
              <w:right w:val="single" w:sz="4" w:space="0" w:color="auto"/>
            </w:tcBorders>
          </w:tcPr>
          <w:p>
            <w:pPr>
              <w:pStyle w:val="yTable"/>
            </w:pPr>
            <w:r>
              <w:t>Carrying on business under more than one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s. 41(1)(b)</w:t>
            </w:r>
          </w:p>
        </w:tc>
        <w:tc>
          <w:tcPr>
            <w:tcW w:w="3544" w:type="dxa"/>
            <w:tcBorders>
              <w:left w:val="single" w:sz="4" w:space="0" w:color="auto"/>
              <w:right w:val="single" w:sz="4" w:space="0" w:color="auto"/>
            </w:tcBorders>
          </w:tcPr>
          <w:p>
            <w:pPr>
              <w:pStyle w:val="yTable"/>
            </w:pPr>
            <w:r>
              <w:t>Failing to display surname and initials on top of correspondence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s. 41(2)</w:t>
            </w:r>
          </w:p>
        </w:tc>
        <w:tc>
          <w:tcPr>
            <w:tcW w:w="3544" w:type="dxa"/>
            <w:tcBorders>
              <w:left w:val="single" w:sz="4" w:space="0" w:color="auto"/>
              <w:right w:val="single" w:sz="4" w:space="0" w:color="auto"/>
            </w:tcBorders>
          </w:tcPr>
          <w:p>
            <w:pPr>
              <w:pStyle w:val="yTable"/>
            </w:pPr>
            <w:r>
              <w:t>Failing to give notice of change of business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s. 42</w:t>
            </w:r>
          </w:p>
        </w:tc>
        <w:tc>
          <w:tcPr>
            <w:tcW w:w="3544" w:type="dxa"/>
            <w:tcBorders>
              <w:left w:val="single" w:sz="4" w:space="0" w:color="auto"/>
              <w:right w:val="single" w:sz="4" w:space="0" w:color="auto"/>
            </w:tcBorders>
          </w:tcPr>
          <w:p>
            <w:pPr>
              <w:pStyle w:val="yTable"/>
            </w:pPr>
            <w:r>
              <w:t>Failing to display licensee’s name, branch manager’s name, etc.</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bookmarkStart w:id="312" w:name="_Hlt451592855"/>
            <w:r>
              <w:t>s. 45(1)</w:t>
            </w:r>
            <w:bookmarkEnd w:id="312"/>
          </w:p>
        </w:tc>
        <w:tc>
          <w:tcPr>
            <w:tcW w:w="3544" w:type="dxa"/>
            <w:tcBorders>
              <w:left w:val="single" w:sz="4" w:space="0" w:color="auto"/>
              <w:right w:val="single" w:sz="4" w:space="0" w:color="auto"/>
            </w:tcBorders>
          </w:tcPr>
          <w:p>
            <w:pPr>
              <w:pStyle w:val="yTable"/>
            </w:pPr>
            <w:r>
              <w:t>Publishing an unauthorised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display licence number in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s.</w:t>
            </w:r>
            <w:del w:id="313" w:author="Master Repository Process" w:date="2021-08-01T16:28:00Z">
              <w:r>
                <w:delText> </w:delText>
              </w:r>
            </w:del>
            <w:ins w:id="314" w:author="Master Repository Process" w:date="2021-08-01T16:28:00Z">
              <w:r>
                <w:t xml:space="preserve"> </w:t>
              </w:r>
            </w:ins>
            <w:r>
              <w:t>45(</w:t>
            </w:r>
            <w:del w:id="315" w:author="Master Repository Process" w:date="2021-08-01T16:28:00Z">
              <w:r>
                <w:delText>2</w:delText>
              </w:r>
            </w:del>
            <w:ins w:id="316" w:author="Master Repository Process" w:date="2021-08-01T16:28:00Z">
              <w:r>
                <w:t>3</w:t>
              </w:r>
            </w:ins>
            <w:r>
              <w:t>)</w:t>
            </w:r>
          </w:p>
        </w:tc>
        <w:tc>
          <w:tcPr>
            <w:tcW w:w="3544" w:type="dxa"/>
            <w:tcBorders>
              <w:left w:val="single" w:sz="4" w:space="0" w:color="auto"/>
              <w:right w:val="single" w:sz="4" w:space="0" w:color="auto"/>
            </w:tcBorders>
          </w:tcPr>
          <w:p>
            <w:pPr>
              <w:pStyle w:val="yTable"/>
            </w:pPr>
            <w:r>
              <w:t>Failing to include comparative rate in advertisement where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s. 46</w:t>
            </w:r>
          </w:p>
        </w:tc>
        <w:tc>
          <w:tcPr>
            <w:tcW w:w="3544" w:type="dxa"/>
            <w:tcBorders>
              <w:left w:val="single" w:sz="4" w:space="0" w:color="auto"/>
              <w:right w:val="single" w:sz="4" w:space="0" w:color="auto"/>
            </w:tcBorders>
          </w:tcPr>
          <w:p>
            <w:pPr>
              <w:pStyle w:val="yTable"/>
            </w:pPr>
            <w:r>
              <w:t>Failing to provide a copy of a loan document as required or failing to obtain acknowledgment of receipt of the copy</w:t>
            </w:r>
          </w:p>
        </w:tc>
        <w:tc>
          <w:tcPr>
            <w:tcW w:w="1392" w:type="dxa"/>
            <w:tcBorders>
              <w:left w:val="single" w:sz="4" w:space="0" w:color="auto"/>
            </w:tcBorders>
          </w:tcPr>
          <w:p>
            <w:pPr>
              <w:pStyle w:val="yTable"/>
            </w:pPr>
            <w:r>
              <w:br/>
            </w:r>
            <w:r>
              <w:br/>
            </w:r>
            <w:r>
              <w:br/>
              <w:t>400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s. 49</w:t>
            </w:r>
          </w:p>
        </w:tc>
        <w:tc>
          <w:tcPr>
            <w:tcW w:w="3544" w:type="dxa"/>
            <w:tcBorders>
              <w:left w:val="single" w:sz="4" w:space="0" w:color="auto"/>
              <w:right w:val="single" w:sz="4" w:space="0" w:color="auto"/>
            </w:tcBorders>
          </w:tcPr>
          <w:p>
            <w:pPr>
              <w:pStyle w:val="yTable"/>
            </w:pPr>
            <w:r>
              <w:t>Failing to issue and record a receipt as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17.</w:t>
            </w:r>
          </w:p>
        </w:tc>
        <w:tc>
          <w:tcPr>
            <w:tcW w:w="1701" w:type="dxa"/>
            <w:tcBorders>
              <w:left w:val="single" w:sz="4" w:space="0" w:color="auto"/>
              <w:right w:val="single" w:sz="4" w:space="0" w:color="auto"/>
            </w:tcBorders>
          </w:tcPr>
          <w:p>
            <w:pPr>
              <w:pStyle w:val="yTable"/>
            </w:pPr>
            <w:r>
              <w:t xml:space="preserve">r. </w:t>
            </w:r>
            <w:del w:id="317" w:author="Master Repository Process" w:date="2021-08-01T16:28:00Z">
              <w:r>
                <w:delText>14</w:delText>
              </w:r>
            </w:del>
            <w:ins w:id="318" w:author="Master Repository Process" w:date="2021-08-01T16:28:00Z">
              <w:r>
                <w:t>15</w:t>
              </w:r>
            </w:ins>
            <w:r>
              <w:t>(1)</w:t>
            </w:r>
          </w:p>
        </w:tc>
        <w:tc>
          <w:tcPr>
            <w:tcW w:w="3544" w:type="dxa"/>
            <w:tcBorders>
              <w:left w:val="single" w:sz="4" w:space="0" w:color="auto"/>
              <w:right w:val="single" w:sz="4" w:space="0" w:color="auto"/>
            </w:tcBorders>
          </w:tcPr>
          <w:p>
            <w:pPr>
              <w:pStyle w:val="yTable"/>
            </w:pPr>
            <w:r>
              <w:t>Failing to give notice of changes in particulars of directors, partners, etc.</w:t>
            </w:r>
          </w:p>
        </w:tc>
        <w:tc>
          <w:tcPr>
            <w:tcW w:w="1392" w:type="dxa"/>
            <w:tcBorders>
              <w:left w:val="single" w:sz="4" w:space="0" w:color="auto"/>
            </w:tcBorders>
          </w:tcPr>
          <w:p>
            <w:pPr>
              <w:pStyle w:val="yTable"/>
            </w:pPr>
            <w:r>
              <w:br/>
              <w:t>200</w:t>
            </w:r>
          </w:p>
        </w:tc>
      </w:tr>
      <w:tr>
        <w:trPr>
          <w:cantSplit/>
        </w:trPr>
        <w:tc>
          <w:tcPr>
            <w:tcW w:w="675" w:type="dxa"/>
            <w:tcBorders>
              <w:bottom w:val="single" w:sz="4" w:space="0" w:color="auto"/>
              <w:right w:val="single" w:sz="4" w:space="0" w:color="auto"/>
            </w:tcBorders>
          </w:tcPr>
          <w:p>
            <w:pPr>
              <w:pStyle w:val="yTable"/>
            </w:pPr>
            <w:r>
              <w:t>18.</w:t>
            </w:r>
          </w:p>
        </w:tc>
        <w:tc>
          <w:tcPr>
            <w:tcW w:w="1701" w:type="dxa"/>
            <w:tcBorders>
              <w:left w:val="single" w:sz="4" w:space="0" w:color="auto"/>
              <w:bottom w:val="single" w:sz="4" w:space="0" w:color="auto"/>
              <w:right w:val="single" w:sz="4" w:space="0" w:color="auto"/>
            </w:tcBorders>
          </w:tcPr>
          <w:p>
            <w:pPr>
              <w:pStyle w:val="yTable"/>
            </w:pPr>
            <w:r>
              <w:t xml:space="preserve">r. </w:t>
            </w:r>
            <w:del w:id="319" w:author="Master Repository Process" w:date="2021-08-01T16:28:00Z">
              <w:r>
                <w:delText>14</w:delText>
              </w:r>
            </w:del>
            <w:ins w:id="320" w:author="Master Repository Process" w:date="2021-08-01T16:28:00Z">
              <w:r>
                <w:t>15</w:t>
              </w:r>
            </w:ins>
            <w:r>
              <w:t>(2)</w:t>
            </w:r>
          </w:p>
        </w:tc>
        <w:tc>
          <w:tcPr>
            <w:tcW w:w="3544" w:type="dxa"/>
            <w:tcBorders>
              <w:left w:val="single" w:sz="4" w:space="0" w:color="auto"/>
              <w:bottom w:val="single" w:sz="4" w:space="0" w:color="auto"/>
              <w:right w:val="single" w:sz="4" w:space="0" w:color="auto"/>
            </w:tcBorders>
          </w:tcPr>
          <w:p>
            <w:pPr>
              <w:pStyle w:val="yTable"/>
            </w:pPr>
            <w:r>
              <w:t>Failing to give notice of change of address of principal place of business</w:t>
            </w:r>
          </w:p>
        </w:tc>
        <w:tc>
          <w:tcPr>
            <w:tcW w:w="1392" w:type="dxa"/>
            <w:tcBorders>
              <w:left w:val="single" w:sz="4" w:space="0" w:color="auto"/>
              <w:bottom w:val="single" w:sz="4" w:space="0" w:color="auto"/>
            </w:tcBorders>
          </w:tcPr>
          <w:p>
            <w:pPr>
              <w:pStyle w:val="yTable"/>
            </w:pPr>
            <w:r>
              <w:br/>
              <w:t>200</w:t>
            </w:r>
          </w:p>
        </w:tc>
      </w:tr>
    </w:tbl>
    <w:p>
      <w:pPr>
        <w:pStyle w:val="yFootnotesection"/>
        <w:rPr>
          <w:ins w:id="321" w:author="Master Repository Process" w:date="2021-08-01T16:28:00Z"/>
        </w:rPr>
      </w:pPr>
      <w:bookmarkStart w:id="322" w:name="_Toc114376581"/>
      <w:bookmarkStart w:id="323" w:name="_Toc114386712"/>
      <w:bookmarkStart w:id="324" w:name="_Toc114387004"/>
      <w:bookmarkStart w:id="325" w:name="_Toc114388167"/>
      <w:bookmarkStart w:id="326" w:name="_Toc115076538"/>
      <w:bookmarkStart w:id="327" w:name="_Toc115078383"/>
      <w:bookmarkStart w:id="328" w:name="_Toc115149748"/>
      <w:bookmarkStart w:id="329" w:name="_Toc115149778"/>
      <w:bookmarkStart w:id="330" w:name="_Toc115238111"/>
      <w:bookmarkStart w:id="331" w:name="_Toc115238158"/>
      <w:bookmarkStart w:id="332" w:name="_Toc115238188"/>
      <w:bookmarkStart w:id="333" w:name="_Toc115238218"/>
      <w:bookmarkStart w:id="334" w:name="_Toc115594244"/>
      <w:bookmarkStart w:id="335" w:name="_Toc115601817"/>
      <w:bookmarkStart w:id="336" w:name="_Toc115601898"/>
      <w:bookmarkStart w:id="337" w:name="_Toc115750293"/>
      <w:bookmarkStart w:id="338" w:name="_Toc115750370"/>
      <w:bookmarkStart w:id="339" w:name="_Toc115750406"/>
      <w:bookmarkStart w:id="340" w:name="_Toc115759595"/>
      <w:bookmarkStart w:id="341" w:name="_Toc115759629"/>
      <w:bookmarkStart w:id="342" w:name="_Toc117063056"/>
      <w:bookmarkStart w:id="343" w:name="_Toc117064303"/>
      <w:bookmarkStart w:id="344" w:name="_Toc117064506"/>
      <w:bookmarkStart w:id="345" w:name="_Toc127256364"/>
      <w:bookmarkStart w:id="346" w:name="_Toc127333147"/>
      <w:bookmarkStart w:id="347" w:name="_Toc134518551"/>
      <w:bookmarkStart w:id="348" w:name="_Toc139259974"/>
      <w:bookmarkStart w:id="349" w:name="_Toc114030370"/>
      <w:ins w:id="350" w:author="Master Repository Process" w:date="2021-08-01T16:28:00Z">
        <w:r>
          <w:tab/>
          <w:t>[Schedule 2 amended in Gazette 5 Jan 2007 p. 10.]</w:t>
        </w:r>
      </w:ins>
    </w:p>
    <w:p>
      <w:pPr>
        <w:pStyle w:val="yScheduleHeading"/>
      </w:pPr>
      <w:bookmarkStart w:id="351" w:name="_Toc155675749"/>
      <w:bookmarkStart w:id="352" w:name="_Toc155683833"/>
      <w:r>
        <w:rPr>
          <w:rStyle w:val="CharSchNo"/>
        </w:rPr>
        <w:t>Schedule 3</w:t>
      </w:r>
      <w:r>
        <w:rPr>
          <w:rStyle w:val="CharSDivNo"/>
        </w:rPr>
        <w:t> </w:t>
      </w:r>
      <w:r>
        <w:t>—</w:t>
      </w:r>
      <w:r>
        <w:rPr>
          <w:rStyle w:val="CharSDivText"/>
        </w:rPr>
        <w:t> </w:t>
      </w:r>
      <w:r>
        <w:rPr>
          <w:rStyle w:val="CharSchText"/>
        </w:rPr>
        <w:t>Forms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51"/>
      <w:bookmarkEnd w:id="352"/>
    </w:p>
    <w:bookmarkEnd w:id="349"/>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3"/>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3"/>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353" w:name="_Toc114376582"/>
      <w:bookmarkStart w:id="354" w:name="_Toc114386713"/>
      <w:bookmarkStart w:id="355" w:name="_Toc114387005"/>
      <w:bookmarkStart w:id="356" w:name="_Toc114388168"/>
      <w:bookmarkStart w:id="357" w:name="_Toc115076539"/>
      <w:bookmarkStart w:id="358" w:name="_Toc115078384"/>
      <w:bookmarkStart w:id="359" w:name="_Toc115149749"/>
      <w:bookmarkStart w:id="360" w:name="_Toc115149779"/>
      <w:bookmarkStart w:id="361" w:name="_Toc115238112"/>
      <w:bookmarkStart w:id="362" w:name="_Toc115238159"/>
      <w:bookmarkStart w:id="363" w:name="_Toc115238189"/>
      <w:bookmarkStart w:id="364" w:name="_Toc115238219"/>
      <w:bookmarkStart w:id="365" w:name="_Toc115594245"/>
      <w:bookmarkStart w:id="366" w:name="_Toc115601818"/>
      <w:bookmarkStart w:id="367" w:name="_Toc115601899"/>
      <w:bookmarkStart w:id="368" w:name="_Toc115750294"/>
      <w:bookmarkStart w:id="369" w:name="_Toc115750371"/>
      <w:bookmarkStart w:id="370" w:name="_Toc115750407"/>
      <w:bookmarkStart w:id="371" w:name="_Toc115759596"/>
      <w:bookmarkStart w:id="372" w:name="_Toc115759630"/>
      <w:bookmarkStart w:id="373" w:name="_Toc117063057"/>
      <w:bookmarkStart w:id="374" w:name="_Toc117064304"/>
      <w:bookmarkStart w:id="375" w:name="_Toc117064507"/>
      <w:bookmarkStart w:id="376" w:name="_Toc127256365"/>
      <w:bookmarkStart w:id="377" w:name="_Toc127333148"/>
      <w:bookmarkStart w:id="378" w:name="_Toc134518552"/>
      <w:bookmarkStart w:id="379" w:name="_Toc139259975"/>
      <w:bookmarkStart w:id="380" w:name="_Toc155675750"/>
      <w:bookmarkStart w:id="381" w:name="_Toc155683834"/>
      <w:bookmarkStart w:id="382" w:name="_Toc114030371"/>
      <w:r>
        <w:rPr>
          <w:rStyle w:val="CharSchNo"/>
        </w:rPr>
        <w:t>Schedule 4</w:t>
      </w:r>
      <w:r>
        <w:rPr>
          <w:rStyle w:val="CharSDivNo"/>
        </w:rPr>
        <w:t> </w:t>
      </w:r>
      <w:r>
        <w:t>—</w:t>
      </w:r>
      <w:r>
        <w:rPr>
          <w:rStyle w:val="CharSDivText"/>
        </w:rPr>
        <w:t> </w:t>
      </w:r>
      <w:r>
        <w:rPr>
          <w:rStyle w:val="CharSchText"/>
        </w:rPr>
        <w:t>Transitional</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bookmarkEnd w:id="382"/>
    <w:p>
      <w:pPr>
        <w:pStyle w:val="yShoulderClause"/>
      </w:pPr>
      <w:r>
        <w:t>[r. 16]</w:t>
      </w:r>
    </w:p>
    <w:p>
      <w:pPr>
        <w:pStyle w:val="yHeading5"/>
      </w:pPr>
      <w:bookmarkStart w:id="383" w:name="_Toc115759631"/>
      <w:bookmarkStart w:id="384" w:name="_Toc155683835"/>
      <w:bookmarkStart w:id="385" w:name="_Toc139259976"/>
      <w:r>
        <w:rPr>
          <w:rStyle w:val="CharSClsNo"/>
        </w:rPr>
        <w:t>1</w:t>
      </w:r>
      <w:r>
        <w:t>.</w:t>
      </w:r>
      <w:r>
        <w:tab/>
      </w:r>
      <w:bookmarkStart w:id="386" w:name="_Toc114030372"/>
      <w:r>
        <w:t>Interpretation</w:t>
      </w:r>
      <w:bookmarkEnd w:id="383"/>
      <w:bookmarkEnd w:id="384"/>
      <w:bookmarkEnd w:id="386"/>
      <w:bookmarkEnd w:id="385"/>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on which the </w:t>
      </w:r>
      <w:r>
        <w:rPr>
          <w:i/>
          <w:iCs/>
        </w:rPr>
        <w:t>Finance Brokers (Control) Amendment Act 2004</w:t>
      </w:r>
      <w:r>
        <w:t xml:space="preserve"> comes into operation.</w:t>
      </w:r>
    </w:p>
    <w:p>
      <w:pPr>
        <w:pStyle w:val="yHeading5"/>
      </w:pPr>
      <w:bookmarkStart w:id="387" w:name="_Toc114030373"/>
      <w:bookmarkStart w:id="388" w:name="_Toc115759632"/>
      <w:bookmarkStart w:id="389" w:name="_Toc155683836"/>
      <w:bookmarkStart w:id="390" w:name="_Toc139259977"/>
      <w:r>
        <w:rPr>
          <w:rStyle w:val="CharSClsNo"/>
        </w:rPr>
        <w:t>2</w:t>
      </w:r>
      <w:r>
        <w:t>.</w:t>
      </w:r>
      <w:r>
        <w:tab/>
        <w:t>Licences for former certificate holders after the commencement day</w:t>
      </w:r>
      <w:bookmarkEnd w:id="387"/>
      <w:bookmarkEnd w:id="388"/>
      <w:bookmarkEnd w:id="389"/>
      <w:bookmarkEnd w:id="390"/>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391" w:name="_Toc113695922"/>
    </w:p>
    <w:p>
      <w:pPr>
        <w:pStyle w:val="nHeading2"/>
      </w:pPr>
      <w:bookmarkStart w:id="392" w:name="_Toc117064307"/>
      <w:bookmarkStart w:id="393" w:name="_Toc117064510"/>
      <w:bookmarkStart w:id="394" w:name="_Toc127256368"/>
      <w:bookmarkStart w:id="395" w:name="_Toc127333151"/>
      <w:bookmarkStart w:id="396" w:name="_Toc134518555"/>
      <w:bookmarkStart w:id="397" w:name="_Toc139259978"/>
      <w:bookmarkStart w:id="398" w:name="_Toc155675753"/>
      <w:bookmarkStart w:id="399" w:name="_Toc155683837"/>
      <w:r>
        <w:t>Notes</w:t>
      </w:r>
      <w:bookmarkEnd w:id="391"/>
      <w:bookmarkEnd w:id="392"/>
      <w:bookmarkEnd w:id="393"/>
      <w:bookmarkEnd w:id="394"/>
      <w:bookmarkEnd w:id="395"/>
      <w:bookmarkEnd w:id="396"/>
      <w:bookmarkEnd w:id="397"/>
      <w:bookmarkEnd w:id="398"/>
      <w:bookmarkEnd w:id="399"/>
    </w:p>
    <w:p>
      <w:pPr>
        <w:pStyle w:val="nSubsection"/>
        <w:rPr>
          <w:snapToGrid w:val="0"/>
        </w:rPr>
      </w:pPr>
      <w:bookmarkStart w:id="400" w:name="_Toc70311430"/>
      <w:bookmarkStart w:id="401" w:name="_Toc113695923"/>
      <w:r>
        <w:rPr>
          <w:snapToGrid w:val="0"/>
          <w:vertAlign w:val="superscript"/>
        </w:rPr>
        <w:t>1</w:t>
      </w:r>
      <w:r>
        <w:rPr>
          <w:snapToGrid w:val="0"/>
        </w:rPr>
        <w:tab/>
        <w:t xml:space="preserve">This is a compilation of the </w:t>
      </w:r>
      <w:r>
        <w:rPr>
          <w:i/>
          <w:noProof/>
          <w:snapToGrid w:val="0"/>
        </w:rPr>
        <w:t xml:space="preserve">Finance Brokers Control (General) Regulations 2005 </w:t>
      </w:r>
      <w:r>
        <w:rPr>
          <w:snapToGrid w:val="0"/>
        </w:rPr>
        <w:t xml:space="preserve">and includes the amendments made by the other written laws referred to in the following table. </w:t>
      </w:r>
    </w:p>
    <w:p>
      <w:pPr>
        <w:pStyle w:val="nHeading3"/>
      </w:pPr>
      <w:bookmarkStart w:id="402" w:name="_Toc155683838"/>
      <w:bookmarkStart w:id="403" w:name="_Toc139259979"/>
      <w:r>
        <w:t>Compilation table</w:t>
      </w:r>
      <w:bookmarkEnd w:id="400"/>
      <w:bookmarkEnd w:id="401"/>
      <w:bookmarkEnd w:id="402"/>
      <w:bookmarkEnd w:id="40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Finance Brokers Control (General) Regulations 2005</w:t>
            </w:r>
          </w:p>
        </w:tc>
        <w:tc>
          <w:tcPr>
            <w:tcW w:w="1276" w:type="dxa"/>
            <w:tcBorders>
              <w:top w:val="single" w:sz="8" w:space="0" w:color="auto"/>
            </w:tcBorders>
          </w:tcPr>
          <w:p>
            <w:pPr>
              <w:pStyle w:val="nTable"/>
              <w:rPr>
                <w:sz w:val="19"/>
              </w:rPr>
            </w:pPr>
            <w:r>
              <w:rPr>
                <w:sz w:val="19"/>
              </w:rPr>
              <w:t>14 Oct 2005 p. 4585</w:t>
            </w:r>
            <w:r>
              <w:rPr>
                <w:sz w:val="19"/>
              </w:rPr>
              <w:noBreakHyphen/>
              <w:t>613</w:t>
            </w:r>
          </w:p>
        </w:tc>
        <w:tc>
          <w:tcPr>
            <w:tcW w:w="2693" w:type="dxa"/>
            <w:tcBorders>
              <w:top w:val="single" w:sz="8" w:space="0" w:color="auto"/>
            </w:tcBorders>
          </w:tcPr>
          <w:p>
            <w:pPr>
              <w:pStyle w:val="nTable"/>
              <w:rPr>
                <w:i/>
                <w:iCs/>
                <w:sz w:val="19"/>
              </w:rPr>
            </w:pPr>
            <w:r>
              <w:rPr>
                <w:sz w:val="19"/>
              </w:rPr>
              <w:t xml:space="preserve">31 Oct 2005 ( see r. 2 and </w:t>
            </w:r>
            <w:r>
              <w:rPr>
                <w:i/>
                <w:iCs/>
                <w:sz w:val="19"/>
              </w:rPr>
              <w:t xml:space="preserve">Gazette </w:t>
            </w:r>
            <w:r>
              <w:rPr>
                <w:sz w:val="19"/>
              </w:rPr>
              <w:t>28 Oct 2005 p. 4839.)</w:t>
            </w:r>
          </w:p>
        </w:tc>
      </w:tr>
      <w:tr>
        <w:tc>
          <w:tcPr>
            <w:tcW w:w="3118" w:type="dxa"/>
          </w:tcPr>
          <w:p>
            <w:pPr>
              <w:pStyle w:val="nTable"/>
              <w:rPr>
                <w:i/>
                <w:noProof/>
                <w:snapToGrid w:val="0"/>
                <w:sz w:val="19"/>
              </w:rPr>
            </w:pPr>
            <w:r>
              <w:rPr>
                <w:i/>
                <w:noProof/>
                <w:snapToGrid w:val="0"/>
                <w:sz w:val="19"/>
              </w:rPr>
              <w:t>Finance Brokers Control (General) Amendment Regulations 2006</w:t>
            </w:r>
          </w:p>
        </w:tc>
        <w:tc>
          <w:tcPr>
            <w:tcW w:w="1276" w:type="dxa"/>
          </w:tcPr>
          <w:p>
            <w:pPr>
              <w:pStyle w:val="nTable"/>
              <w:rPr>
                <w:sz w:val="19"/>
              </w:rPr>
            </w:pPr>
            <w:r>
              <w:rPr>
                <w:sz w:val="19"/>
              </w:rPr>
              <w:t>10 Feb 2006 p. 659-60</w:t>
            </w:r>
          </w:p>
        </w:tc>
        <w:tc>
          <w:tcPr>
            <w:tcW w:w="2693" w:type="dxa"/>
          </w:tcPr>
          <w:p>
            <w:pPr>
              <w:pStyle w:val="nTable"/>
              <w:rPr>
                <w:sz w:val="19"/>
              </w:rPr>
            </w:pPr>
            <w:r>
              <w:rPr>
                <w:sz w:val="19"/>
              </w:rPr>
              <w:t>10 Feb 2006</w:t>
            </w:r>
          </w:p>
        </w:tc>
      </w:tr>
      <w:tr>
        <w:tc>
          <w:tcPr>
            <w:tcW w:w="3118" w:type="dxa"/>
          </w:tcPr>
          <w:p>
            <w:pPr>
              <w:pStyle w:val="nTable"/>
              <w:rPr>
                <w:i/>
                <w:noProof/>
                <w:snapToGrid w:val="0"/>
                <w:sz w:val="19"/>
              </w:rPr>
            </w:pPr>
            <w:r>
              <w:rPr>
                <w:i/>
                <w:noProof/>
                <w:snapToGrid w:val="0"/>
                <w:sz w:val="19"/>
              </w:rPr>
              <w:t>Finance Brokers Control (General) Amendment Regulations (No. 2) 2006</w:t>
            </w:r>
          </w:p>
        </w:tc>
        <w:tc>
          <w:tcPr>
            <w:tcW w:w="1276" w:type="dxa"/>
          </w:tcPr>
          <w:p>
            <w:pPr>
              <w:pStyle w:val="nTable"/>
              <w:rPr>
                <w:sz w:val="19"/>
              </w:rPr>
            </w:pPr>
            <w:r>
              <w:rPr>
                <w:sz w:val="19"/>
              </w:rPr>
              <w:t>5 May 2006 p. 1729</w:t>
            </w:r>
          </w:p>
        </w:tc>
        <w:tc>
          <w:tcPr>
            <w:tcW w:w="2693" w:type="dxa"/>
          </w:tcPr>
          <w:p>
            <w:pPr>
              <w:pStyle w:val="nTable"/>
              <w:rPr>
                <w:sz w:val="19"/>
              </w:rPr>
            </w:pPr>
            <w:r>
              <w:rPr>
                <w:sz w:val="19"/>
              </w:rPr>
              <w:t>5 May 2006</w:t>
            </w:r>
          </w:p>
        </w:tc>
      </w:tr>
      <w:tr>
        <w:tc>
          <w:tcPr>
            <w:tcW w:w="3118" w:type="dxa"/>
          </w:tcPr>
          <w:p>
            <w:pPr>
              <w:pStyle w:val="nTable"/>
              <w:rPr>
                <w:i/>
                <w:noProof/>
                <w:snapToGrid w:val="0"/>
                <w:sz w:val="19"/>
              </w:rPr>
            </w:pPr>
            <w:r>
              <w:rPr>
                <w:i/>
                <w:noProof/>
                <w:snapToGrid w:val="0"/>
                <w:sz w:val="19"/>
              </w:rPr>
              <w:t>Finance Brokers Control (General) Amendment Regulations (No. 3) 2006</w:t>
            </w:r>
          </w:p>
        </w:tc>
        <w:tc>
          <w:tcPr>
            <w:tcW w:w="1276" w:type="dxa"/>
          </w:tcPr>
          <w:p>
            <w:pPr>
              <w:pStyle w:val="nTable"/>
              <w:rPr>
                <w:sz w:val="19"/>
              </w:rPr>
            </w:pPr>
            <w:r>
              <w:rPr>
                <w:sz w:val="19"/>
              </w:rPr>
              <w:t>27 Jun 2006 p. 2255</w:t>
            </w:r>
          </w:p>
        </w:tc>
        <w:tc>
          <w:tcPr>
            <w:tcW w:w="2693" w:type="dxa"/>
          </w:tcPr>
          <w:p>
            <w:pPr>
              <w:pStyle w:val="nTable"/>
              <w:rPr>
                <w:sz w:val="19"/>
              </w:rPr>
            </w:pPr>
            <w:r>
              <w:rPr>
                <w:sz w:val="19"/>
              </w:rPr>
              <w:t>1 Jul 2006 (see r. 2)</w:t>
            </w:r>
          </w:p>
        </w:tc>
      </w:tr>
      <w:tr>
        <w:trPr>
          <w:ins w:id="404" w:author="Master Repository Process" w:date="2021-08-01T16:28:00Z"/>
        </w:trPr>
        <w:tc>
          <w:tcPr>
            <w:tcW w:w="3118" w:type="dxa"/>
            <w:tcBorders>
              <w:bottom w:val="single" w:sz="4" w:space="0" w:color="auto"/>
            </w:tcBorders>
          </w:tcPr>
          <w:p>
            <w:pPr>
              <w:pStyle w:val="nTable"/>
              <w:rPr>
                <w:ins w:id="405" w:author="Master Repository Process" w:date="2021-08-01T16:28:00Z"/>
                <w:i/>
                <w:noProof/>
                <w:snapToGrid w:val="0"/>
                <w:sz w:val="19"/>
              </w:rPr>
            </w:pPr>
            <w:ins w:id="406" w:author="Master Repository Process" w:date="2021-08-01T16:28:00Z">
              <w:r>
                <w:rPr>
                  <w:i/>
                  <w:noProof/>
                  <w:snapToGrid w:val="0"/>
                  <w:sz w:val="19"/>
                </w:rPr>
                <w:t>Finance Brokers Control (General) Amendment Regulations (No. 5) 2006</w:t>
              </w:r>
            </w:ins>
          </w:p>
        </w:tc>
        <w:tc>
          <w:tcPr>
            <w:tcW w:w="1276" w:type="dxa"/>
            <w:tcBorders>
              <w:bottom w:val="single" w:sz="4" w:space="0" w:color="auto"/>
            </w:tcBorders>
          </w:tcPr>
          <w:p>
            <w:pPr>
              <w:pStyle w:val="nTable"/>
              <w:rPr>
                <w:ins w:id="407" w:author="Master Repository Process" w:date="2021-08-01T16:28:00Z"/>
                <w:sz w:val="19"/>
              </w:rPr>
            </w:pPr>
            <w:ins w:id="408" w:author="Master Repository Process" w:date="2021-08-01T16:28:00Z">
              <w:r>
                <w:rPr>
                  <w:sz w:val="19"/>
                </w:rPr>
                <w:t>5 Jan 2007 p. 7-10</w:t>
              </w:r>
            </w:ins>
          </w:p>
        </w:tc>
        <w:tc>
          <w:tcPr>
            <w:tcW w:w="2693" w:type="dxa"/>
            <w:tcBorders>
              <w:bottom w:val="single" w:sz="4" w:space="0" w:color="auto"/>
            </w:tcBorders>
          </w:tcPr>
          <w:p>
            <w:pPr>
              <w:pStyle w:val="nTable"/>
              <w:rPr>
                <w:ins w:id="409" w:author="Master Repository Process" w:date="2021-08-01T16:28:00Z"/>
                <w:sz w:val="19"/>
              </w:rPr>
            </w:pPr>
            <w:ins w:id="410" w:author="Master Repository Process" w:date="2021-08-01T16:28:00Z">
              <w:r>
                <w:rPr>
                  <w:sz w:val="19"/>
                </w:rPr>
                <w:t>5 Jan 2007</w:t>
              </w:r>
            </w:ins>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(General)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B31473E"/>
    <w:multiLevelType w:val="hybridMultilevel"/>
    <w:tmpl w:val="B5C857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17"/>
  </w:num>
  <w:num w:numId="14">
    <w:abstractNumId w:val="29"/>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41430"/>
    <w:docVar w:name="WAFER_20151204151704" w:val="RemoveBadVanishTags"/>
    <w:docVar w:name="WAFER_20151204151704_GUID" w:val="19aac69a-81c0-4a95-9ba5-7ae37be82a57"/>
    <w:docVar w:name="WAFER_20151216141430" w:val="RemoveTrackChanges"/>
    <w:docVar w:name="WAFER_20151216141430_GUID" w:val="95052af9-b967-4acf-ad5e-969a513b41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583E52E-8E5F-4C2E-8A33-12A104314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605"/>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5749</Words>
  <Characters>30414</Characters>
  <Application>Microsoft Office Word</Application>
  <DocSecurity>0</DocSecurity>
  <Lines>950</Lines>
  <Paragraphs>547</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Fees</vt:lpstr>
      <vt:lpstr>    Schedule 2 — Modified penalties</vt:lpstr>
      <vt:lpstr>    Schedule 3 — Forms</vt:lpstr>
      <vt:lpstr>    Schedule 4 — Transitional</vt:lpstr>
      <vt:lpstr>    Notes</vt:lpstr>
    </vt:vector>
  </TitlesOfParts>
  <Manager/>
  <Company/>
  <LinksUpToDate>false</LinksUpToDate>
  <CharactersWithSpaces>35616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00-d0-05 - 00-e0-05</dc:title>
  <dc:subject/>
  <dc:creator/>
  <cp:keywords/>
  <dc:description/>
  <cp:lastModifiedBy>Master Repository Process</cp:lastModifiedBy>
  <cp:revision>2</cp:revision>
  <cp:lastPrinted>2005-09-29T04:17:00Z</cp:lastPrinted>
  <dcterms:created xsi:type="dcterms:W3CDTF">2021-08-01T08:28:00Z</dcterms:created>
  <dcterms:modified xsi:type="dcterms:W3CDTF">2021-08-01T08:28:00Z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20070105</vt:lpwstr>
  </property>
  <property fmtid="{D5CDD505-2E9C-101B-9397-08002B2CF9AE}" pid="4" name="DocumentType">
    <vt:lpwstr>Reg</vt:lpwstr>
  </property>
  <property fmtid="{D5CDD505-2E9C-101B-9397-08002B2CF9AE}" pid="5" name="OwlsUID">
    <vt:i4>37385</vt:i4>
  </property>
  <property fmtid="{D5CDD505-2E9C-101B-9397-08002B2CF9AE}" pid="6" name="FromSuffix">
    <vt:lpwstr>00-d0-05</vt:lpwstr>
  </property>
  <property fmtid="{D5CDD505-2E9C-101B-9397-08002B2CF9AE}" pid="7" name="FromAsAtDate">
    <vt:lpwstr>01 Jul 2006</vt:lpwstr>
  </property>
  <property fmtid="{D5CDD505-2E9C-101B-9397-08002B2CF9AE}" pid="8" name="ToSuffix">
    <vt:lpwstr>00-e0-05</vt:lpwstr>
  </property>
  <property fmtid="{D5CDD505-2E9C-101B-9397-08002B2CF9AE}" pid="9" name="ToAsAtDate">
    <vt:lpwstr>05 Jan 2007</vt:lpwstr>
  </property>
</Properties>
</file>