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14 Jun 2006</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Coal Industry Superannuation Act 1989 </w:t>
      </w:r>
    </w:p>
    <w:p>
      <w:pPr>
        <w:pStyle w:val="LongTitle"/>
        <w:rPr>
          <w:del w:id="0" w:author="svcMRProcess" w:date="2015-12-09T18:00:00Z"/>
          <w:snapToGrid w:val="0"/>
        </w:rPr>
      </w:pPr>
      <w:bookmarkStart w:id="1" w:name="_Toc135715607"/>
      <w:bookmarkStart w:id="2" w:name="_Toc135716386"/>
      <w:bookmarkStart w:id="3" w:name="_Toc135717490"/>
      <w:bookmarkStart w:id="4" w:name="_Toc135718295"/>
      <w:del w:id="5" w:author="svcMRProcess" w:date="2015-12-09T18:00:00Z">
        <w:r>
          <w:rPr>
            <w:snapToGrid w:val="0"/>
          </w:rPr>
          <w:delText>A</w:delText>
        </w:r>
        <w:bookmarkStart w:id="6" w:name="_GoBack"/>
        <w:bookmarkEnd w:id="6"/>
        <w:r>
          <w:rPr>
            <w:snapToGrid w:val="0"/>
          </w:rPr>
          <w:delText xml:space="preserve">n Act to establish the Coal Industry Superannuation Board and the Coal Industry Superannuation Fund, to provide for a superannuation scheme for mine workers and officers of the Board, to empower the making of regulations providing for contributions to and benefits from the Fund, to repeal the </w:delText>
        </w:r>
        <w:r>
          <w:rPr>
            <w:i/>
            <w:snapToGrid w:val="0"/>
          </w:rPr>
          <w:delText>Coal Mine Workers (Pensions) Act 1943</w:delText>
        </w:r>
        <w:r>
          <w:rPr>
            <w:snapToGrid w:val="0"/>
          </w:rPr>
          <w:delText xml:space="preserve">, and for connected purposes. </w:delText>
        </w:r>
      </w:del>
    </w:p>
    <w:p>
      <w:pPr>
        <w:pStyle w:val="LongTitle"/>
        <w:rPr>
          <w:ins w:id="7" w:author="svcMRProcess" w:date="2015-12-09T18:00:00Z"/>
        </w:rPr>
      </w:pPr>
      <w:ins w:id="8" w:author="svcMRProcess" w:date="2015-12-09T18:00:00Z">
        <w:r>
          <w:t>An Act relating to superannuation for persons involved in coal mining in Western Australia and for various other persons and for related purposes.</w:t>
        </w:r>
      </w:ins>
    </w:p>
    <w:p>
      <w:pPr>
        <w:pStyle w:val="Footnotelongtitle"/>
      </w:pPr>
      <w:r>
        <w:tab/>
        <w:t xml:space="preserve">[Long title </w:t>
      </w:r>
      <w:del w:id="9" w:author="svcMRProcess" w:date="2015-12-09T18:00:00Z">
        <w:r>
          <w:delText>amended</w:delText>
        </w:r>
      </w:del>
      <w:ins w:id="10" w:author="svcMRProcess" w:date="2015-12-09T18:00:00Z">
        <w:r>
          <w:t>inserted</w:t>
        </w:r>
      </w:ins>
      <w:r>
        <w:t xml:space="preserve"> by No. </w:t>
      </w:r>
      <w:del w:id="11" w:author="svcMRProcess" w:date="2015-12-09T18:00:00Z">
        <w:r>
          <w:delText>46</w:delText>
        </w:r>
      </w:del>
      <w:ins w:id="12" w:author="svcMRProcess" w:date="2015-12-09T18:00:00Z">
        <w:r>
          <w:t>16</w:t>
        </w:r>
      </w:ins>
      <w:r>
        <w:t xml:space="preserve"> of </w:t>
      </w:r>
      <w:del w:id="13" w:author="svcMRProcess" w:date="2015-12-09T18:00:00Z">
        <w:r>
          <w:delText>1995</w:delText>
        </w:r>
      </w:del>
      <w:ins w:id="14" w:author="svcMRProcess" w:date="2015-12-09T18:00:00Z">
        <w:r>
          <w:t>2006</w:t>
        </w:r>
      </w:ins>
      <w:r>
        <w:t xml:space="preserve"> s.</w:t>
      </w:r>
      <w:del w:id="15" w:author="svcMRProcess" w:date="2015-12-09T18:00:00Z">
        <w:r>
          <w:delText xml:space="preserve">4.] </w:delText>
        </w:r>
      </w:del>
      <w:ins w:id="16" w:author="svcMRProcess" w:date="2015-12-09T18:00:00Z">
        <w:r>
          <w:t> 3.]</w:t>
        </w:r>
      </w:ins>
    </w:p>
    <w:p>
      <w:pPr>
        <w:pStyle w:val="Heading2"/>
      </w:pPr>
      <w:bookmarkStart w:id="17" w:name="_Toc17012524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17"/>
      <w:r>
        <w:rPr>
          <w:rStyle w:val="CharPartText"/>
        </w:rPr>
        <w:t xml:space="preserve"> </w:t>
      </w:r>
    </w:p>
    <w:p>
      <w:pPr>
        <w:pStyle w:val="Heading5"/>
        <w:spacing w:before="180"/>
        <w:rPr>
          <w:snapToGrid w:val="0"/>
        </w:rPr>
      </w:pPr>
      <w:bookmarkStart w:id="18" w:name="_Toc494852064"/>
      <w:bookmarkStart w:id="19" w:name="_Toc501513259"/>
      <w:bookmarkStart w:id="20" w:name="_Toc170125242"/>
      <w:bookmarkStart w:id="21" w:name="_Toc135718296"/>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22" w:name="_Toc494852065"/>
      <w:bookmarkStart w:id="23" w:name="_Toc501513260"/>
      <w:bookmarkStart w:id="24" w:name="_Toc170125243"/>
      <w:bookmarkStart w:id="25" w:name="_Toc135718297"/>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26" w:name="_Toc494852066"/>
      <w:bookmarkStart w:id="27" w:name="_Toc501513261"/>
      <w:bookmarkStart w:id="28" w:name="_Toc170125244"/>
      <w:bookmarkStart w:id="29" w:name="_Toc135718298"/>
      <w:r>
        <w:rPr>
          <w:rStyle w:val="CharSectno"/>
        </w:rPr>
        <w:t>3</w:t>
      </w:r>
      <w:r>
        <w:rPr>
          <w:snapToGrid w:val="0"/>
        </w:rPr>
        <w:t>.</w:t>
      </w:r>
      <w:r>
        <w:rPr>
          <w:snapToGrid w:val="0"/>
        </w:rPr>
        <w:tab/>
        <w:t>Interpretation</w:t>
      </w:r>
      <w:bookmarkEnd w:id="26"/>
      <w:bookmarkEnd w:id="27"/>
      <w:bookmarkEnd w:id="28"/>
      <w:bookmarkEnd w:id="29"/>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t>“</w:t>
      </w:r>
      <w:r>
        <w:rPr>
          <w:rStyle w:val="CharDefText"/>
        </w:rPr>
        <w:t>Administration Manager</w:t>
      </w:r>
      <w:r>
        <w:rPr>
          <w:b/>
        </w:rPr>
        <w:t>”</w:t>
      </w:r>
      <w:r>
        <w:t xml:space="preserve"> means the Administration Manager appointed under section 19;</w:t>
      </w:r>
    </w:p>
    <w:p>
      <w:pPr>
        <w:pStyle w:val="Defstart"/>
        <w:spacing w:before="70"/>
      </w:pPr>
      <w:r>
        <w:rPr>
          <w:b/>
        </w:rPr>
        <w:tab/>
        <w:t>“</w:t>
      </w:r>
      <w:r>
        <w:rPr>
          <w:rStyle w:val="CharDefText"/>
        </w:rPr>
        <w:t>Board</w:t>
      </w:r>
      <w:r>
        <w:rPr>
          <w:b/>
        </w:rPr>
        <w:t>”</w:t>
      </w:r>
      <w:r>
        <w:t xml:space="preserve"> means the Coal Industry Superannuation Board established under section 7;</w:t>
      </w:r>
    </w:p>
    <w:p>
      <w:pPr>
        <w:pStyle w:val="Defstart"/>
        <w:spacing w:before="70"/>
      </w:pPr>
      <w:r>
        <w:rPr>
          <w:b/>
        </w:rPr>
        <w:tab/>
        <w:t>“</w:t>
      </w:r>
      <w:r>
        <w:rPr>
          <w:rStyle w:val="CharDefText"/>
        </w:rPr>
        <w:t>Commissioner</w:t>
      </w:r>
      <w:r>
        <w:rPr>
          <w:b/>
        </w:rPr>
        <w:t>”</w:t>
      </w:r>
      <w:r>
        <w:t xml:space="preserve"> has the same meaning as in the SIS Act;</w:t>
      </w:r>
    </w:p>
    <w:p>
      <w:pPr>
        <w:pStyle w:val="Defstart"/>
        <w:spacing w:before="70"/>
      </w:pPr>
      <w:r>
        <w:rPr>
          <w:b/>
        </w:rPr>
        <w:tab/>
        <w:t>“</w:t>
      </w:r>
      <w:r>
        <w:rPr>
          <w:rStyle w:val="CharDefText"/>
        </w:rPr>
        <w:t>coal mine</w:t>
      </w:r>
      <w:r>
        <w:rPr>
          <w:b/>
        </w:rPr>
        <w:t>”</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spacing w:before="70"/>
      </w:pPr>
      <w:r>
        <w:rPr>
          <w:b/>
        </w:rPr>
        <w:tab/>
        <w:t>“</w:t>
      </w:r>
      <w:r>
        <w:rPr>
          <w:rStyle w:val="CharDefText"/>
        </w:rPr>
        <w:t>delegate</w:t>
      </w:r>
      <w:r>
        <w:rPr>
          <w:b/>
        </w:rPr>
        <w:t>”</w:t>
      </w:r>
      <w:r>
        <w:t xml:space="preserve"> means a person to whom any function of the Board is delegated under section 16;</w:t>
      </w:r>
    </w:p>
    <w:p>
      <w:pPr>
        <w:pStyle w:val="Defstart"/>
        <w:spacing w:before="70"/>
      </w:pPr>
      <w:r>
        <w:rPr>
          <w:b/>
        </w:rPr>
        <w:tab/>
        <w:t>“</w:t>
      </w:r>
      <w:r>
        <w:rPr>
          <w:rStyle w:val="CharDefText"/>
        </w:rPr>
        <w:t>employer</w:t>
      </w:r>
      <w:r>
        <w:rPr>
          <w:b/>
        </w:rPr>
        <w:t>”</w:t>
      </w:r>
      <w:r>
        <w:t xml:space="preserve"> means an employer mentioned in Schedule 1;</w:t>
      </w:r>
    </w:p>
    <w:p>
      <w:pPr>
        <w:pStyle w:val="Defstart"/>
        <w:spacing w:before="70"/>
      </w:pPr>
      <w:r>
        <w:rPr>
          <w:b/>
        </w:rPr>
        <w:tab/>
        <w:t>“</w:t>
      </w:r>
      <w:r>
        <w:rPr>
          <w:rStyle w:val="CharDefText"/>
        </w:rPr>
        <w:t>Fund</w:t>
      </w:r>
      <w:r>
        <w:rPr>
          <w:b/>
        </w:rPr>
        <w:t>”</w:t>
      </w:r>
      <w:r>
        <w:t xml:space="preserve"> means the Coal Industry Superannuation Fund established under section 9;</w:t>
      </w:r>
    </w:p>
    <w:p>
      <w:pPr>
        <w:pStyle w:val="Defstart"/>
        <w:spacing w:before="70"/>
      </w:pPr>
      <w:r>
        <w:rPr>
          <w:b/>
        </w:rPr>
        <w:tab/>
        <w:t>“</w:t>
      </w:r>
      <w:r>
        <w:rPr>
          <w:rStyle w:val="CharDefText"/>
        </w:rPr>
        <w:t>investment manager</w:t>
      </w:r>
      <w:r>
        <w:rPr>
          <w:b/>
        </w:rPr>
        <w:t>”</w:t>
      </w:r>
      <w:r>
        <w:t xml:space="preserve"> means an investment manager appointed under section 18;</w:t>
      </w:r>
    </w:p>
    <w:p>
      <w:pPr>
        <w:pStyle w:val="Defstart"/>
        <w:spacing w:before="70"/>
      </w:pPr>
      <w:r>
        <w:rPr>
          <w:b/>
        </w:rPr>
        <w:tab/>
        <w:t>“mine worker”</w:t>
      </w:r>
      <w:r>
        <w:t xml:space="preserve"> means a person who is a mine worker under section 4;</w:t>
      </w:r>
    </w:p>
    <w:p>
      <w:pPr>
        <w:pStyle w:val="Defstart"/>
        <w:keepNext/>
        <w:spacing w:before="70"/>
      </w:pPr>
      <w:r>
        <w:rPr>
          <w:b/>
        </w:rPr>
        <w:tab/>
        <w:t>“</w:t>
      </w:r>
      <w:r>
        <w:rPr>
          <w:rStyle w:val="CharDefText"/>
        </w:rPr>
        <w:t>officer</w:t>
      </w:r>
      <w:r>
        <w:rPr>
          <w:b/>
        </w:rPr>
        <w:t>”</w:t>
      </w:r>
      <w:r>
        <w:t xml:space="preserve"> of the Board, means — </w:t>
      </w:r>
    </w:p>
    <w:p>
      <w:pPr>
        <w:pStyle w:val="Defpara"/>
        <w:spacing w:before="70"/>
      </w:pPr>
      <w:r>
        <w:tab/>
        <w:t>(a)</w:t>
      </w:r>
      <w:r>
        <w:tab/>
        <w:t>the Administration Manager; and</w:t>
      </w:r>
    </w:p>
    <w:p>
      <w:pPr>
        <w:pStyle w:val="Defpara"/>
      </w:pPr>
      <w:r>
        <w:tab/>
        <w:t>(b)</w:t>
      </w:r>
      <w:r>
        <w:tab/>
        <w:t>any person appointed to be an officer of the Board under section 21(1);</w:t>
      </w:r>
    </w:p>
    <w:p>
      <w:pPr>
        <w:pStyle w:val="Defstart"/>
      </w:pPr>
      <w:r>
        <w:rPr>
          <w:b/>
        </w:rPr>
        <w:tab/>
        <w:t>“</w:t>
      </w:r>
      <w:r>
        <w:rPr>
          <w:rStyle w:val="CharDefText"/>
        </w:rPr>
        <w:t>open cut</w:t>
      </w:r>
      <w:r>
        <w:rPr>
          <w:b/>
        </w:rPr>
        <w:t>”</w:t>
      </w:r>
      <w:r>
        <w:t xml:space="preserve"> means a coal mine that is formed by an excavation in the ground and that has no overlying cover of earth;</w:t>
      </w:r>
    </w:p>
    <w:p>
      <w:pPr>
        <w:pStyle w:val="Defstart"/>
      </w:pPr>
      <w:r>
        <w:rPr>
          <w:b/>
        </w:rPr>
        <w:tab/>
        <w:t>“</w:t>
      </w:r>
      <w:r>
        <w:rPr>
          <w:rStyle w:val="CharDefText"/>
        </w:rPr>
        <w:t>property</w:t>
      </w:r>
      <w:r>
        <w:rPr>
          <w:b/>
        </w:rPr>
        <w:t>”</w:t>
      </w:r>
      <w:r>
        <w:t xml:space="preserve"> means real and personal property of any nature and includes — </w:t>
      </w:r>
    </w:p>
    <w:p>
      <w:pPr>
        <w:pStyle w:val="Defpara"/>
      </w:pPr>
      <w:r>
        <w:tab/>
        <w:t>(a)</w:t>
      </w:r>
      <w:r>
        <w:tab/>
        <w:t>any estate, share or interest in any property;</w:t>
      </w:r>
    </w:p>
    <w:p>
      <w:pPr>
        <w:pStyle w:val="Defpara"/>
      </w:pPr>
      <w:r>
        <w:tab/>
        <w:t>(b)</w:t>
      </w:r>
      <w:r>
        <w:tab/>
        <w:t>any thing or chose in action;</w:t>
      </w:r>
    </w:p>
    <w:p>
      <w:pPr>
        <w:pStyle w:val="Defpara"/>
      </w:pPr>
      <w:r>
        <w:tab/>
        <w:t>(c)</w:t>
      </w:r>
      <w:r>
        <w:tab/>
        <w:t>money and money’s worth; and</w:t>
      </w:r>
    </w:p>
    <w:p>
      <w:pPr>
        <w:pStyle w:val="Defpara"/>
      </w:pPr>
      <w:r>
        <w:tab/>
        <w:t>(d)</w:t>
      </w:r>
      <w:r>
        <w:tab/>
        <w:t>policies of insurance and assurance;</w:t>
      </w:r>
    </w:p>
    <w:p>
      <w:pPr>
        <w:pStyle w:val="Defstart"/>
      </w:pPr>
      <w:r>
        <w:rPr>
          <w:b/>
        </w:rPr>
        <w:tab/>
        <w:t>“</w:t>
      </w:r>
      <w:r>
        <w:rPr>
          <w:rStyle w:val="CharDefText"/>
        </w:rPr>
        <w:t>SIS Act</w:t>
      </w:r>
      <w:r>
        <w:rPr>
          <w:b/>
        </w:rPr>
        <w: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rPr>
          <w:b/>
        </w:rPr>
        <w:tab/>
        <w:t>“</w:t>
      </w:r>
      <w:r>
        <w:rPr>
          <w:rStyle w:val="CharDefText"/>
        </w:rPr>
        <w:t>the actuary</w:t>
      </w:r>
      <w:r>
        <w:rPr>
          <w:b/>
        </w:rPr>
        <w:t>”</w:t>
      </w:r>
      <w:r>
        <w:t xml:space="preserve"> means the actuary appointed under section 20.</w:t>
      </w:r>
    </w:p>
    <w:p>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by No. 45 of 1994 s.4; No. 46 of 1995 s.5.] </w:t>
      </w:r>
    </w:p>
    <w:p>
      <w:pPr>
        <w:pStyle w:val="Heading5"/>
        <w:rPr>
          <w:snapToGrid w:val="0"/>
        </w:rPr>
      </w:pPr>
      <w:bookmarkStart w:id="30" w:name="_Toc494852067"/>
      <w:bookmarkStart w:id="31" w:name="_Toc501513262"/>
      <w:bookmarkStart w:id="32" w:name="_Toc170125245"/>
      <w:bookmarkStart w:id="33" w:name="_Toc135718299"/>
      <w:r>
        <w:rPr>
          <w:rStyle w:val="CharSectno"/>
        </w:rPr>
        <w:t>4</w:t>
      </w:r>
      <w:r>
        <w:rPr>
          <w:snapToGrid w:val="0"/>
        </w:rPr>
        <w:t>.</w:t>
      </w:r>
      <w:r>
        <w:rPr>
          <w:snapToGrid w:val="0"/>
        </w:rPr>
        <w:tab/>
        <w:t>Mine worker</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b/>
          <w:snapToGrid w:val="0"/>
        </w:rPr>
        <w:t>“</w:t>
      </w:r>
      <w:r>
        <w:rPr>
          <w:rStyle w:val="CharDefText"/>
        </w:rPr>
        <w:t>mine worker</w:t>
      </w:r>
      <w:r>
        <w:rPr>
          <w:b/>
          <w:snapToGrid w:val="0"/>
        </w:rPr>
        <w:t>”</w:t>
      </w:r>
      <w:r>
        <w:rPr>
          <w:snapToGrid w:val="0"/>
        </w:rPr>
        <w:t xml:space="preserve"> means — </w:t>
      </w:r>
    </w:p>
    <w:p>
      <w:pPr>
        <w:pStyle w:val="Indenta"/>
        <w:rPr>
          <w:snapToGrid w:val="0"/>
        </w:rPr>
      </w:pPr>
      <w:r>
        <w:rPr>
          <w:snapToGrid w:val="0"/>
        </w:rPr>
        <w:tab/>
        <w:t>(a)</w:t>
      </w:r>
      <w:r>
        <w:rPr>
          <w:snapToGrid w:val="0"/>
        </w:rPr>
        <w:tab/>
        <w:t xml:space="preserve">a person who is employed in the coal mining industry of Western Australia in terms of an award or industrial agreement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other than a person who is for the time being excluded by a notice of the Board under subsection (3);</w:t>
      </w:r>
    </w:p>
    <w:p>
      <w:pPr>
        <w:pStyle w:val="Indenta"/>
        <w:rPr>
          <w:snapToGrid w:val="0"/>
        </w:rPr>
      </w:pPr>
      <w:r>
        <w:rPr>
          <w:snapToGrid w:val="0"/>
        </w:rPr>
        <w:tab/>
        <w:t>(b)</w:t>
      </w:r>
      <w:r>
        <w:rPr>
          <w:snapToGrid w:val="0"/>
        </w:rPr>
        <w:tab/>
        <w:t xml:space="preserve">an employee’s inspector appointed under section 17 of the </w:t>
      </w:r>
      <w:r>
        <w:rPr>
          <w:i/>
          <w:snapToGrid w:val="0"/>
        </w:rPr>
        <w:t>Mines Safety and Inspection Act 1994;</w:t>
      </w:r>
      <w:r>
        <w:rPr>
          <w:snapToGrid w:val="0"/>
        </w:rPr>
        <w:t xml:space="preserve"> </w:t>
      </w:r>
    </w:p>
    <w:p>
      <w:pPr>
        <w:pStyle w:val="Indenta"/>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an industrial or trade union of employees, or of an association of employees, registered as an organisation within the meaning of the </w:t>
      </w:r>
      <w:r>
        <w:rPr>
          <w:i/>
          <w:snapToGrid w:val="0"/>
        </w:rPr>
        <w:t>Industrial Relations Act 1988</w:t>
      </w:r>
      <w:r>
        <w:rPr>
          <w:snapToGrid w:val="0"/>
        </w:rPr>
        <w:t xml:space="preserve"> of the Commonwealth, or under the </w:t>
      </w:r>
      <w:r>
        <w:rPr>
          <w:i/>
          <w:snapToGrid w:val="0"/>
        </w:rPr>
        <w:t>Industrial Relations Act 1979</w:t>
      </w:r>
      <w:r>
        <w:rPr>
          <w:snapToGrid w:val="0"/>
        </w:rPr>
        <w:t>, of which union or association the membership is principally confined to mine workers referred to in paragraph (a); and</w:t>
      </w:r>
    </w:p>
    <w:p>
      <w:pPr>
        <w:pStyle w:val="Indenti"/>
        <w:spacing w:before="60"/>
        <w:rPr>
          <w:snapToGrid w:val="0"/>
        </w:rPr>
      </w:pPr>
      <w:r>
        <w:rPr>
          <w:snapToGrid w:val="0"/>
        </w:rPr>
        <w:tab/>
        <w:t>(ii)</w:t>
      </w:r>
      <w:r>
        <w:rPr>
          <w:snapToGrid w:val="0"/>
        </w:rPr>
        <w:tab/>
        <w:t>in the opinion of the Board has actually been employed in a coal mine in Western Australia for a period of, or for periods aggregating not less than, 5 years;</w:t>
      </w:r>
    </w:p>
    <w:p>
      <w:pPr>
        <w:pStyle w:val="Indenta"/>
        <w:spacing w:before="60"/>
        <w:rPr>
          <w:snapToGrid w:val="0"/>
        </w:rPr>
      </w:pPr>
      <w:r>
        <w:rPr>
          <w:snapToGrid w:val="0"/>
        </w:rPr>
        <w:tab/>
        <w:t>(d)</w:t>
      </w:r>
      <w:r>
        <w:rPr>
          <w:snapToGrid w:val="0"/>
        </w:rPr>
        <w:tab/>
        <w:t>a person who, in the opinion of the Board,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extend the definition of “mine worker”.</w:t>
      </w:r>
    </w:p>
    <w:p>
      <w:pPr>
        <w:pStyle w:val="Subsection"/>
        <w:rPr>
          <w:snapToGrid w:val="0"/>
        </w:rPr>
      </w:pPr>
      <w:r>
        <w:rPr>
          <w:snapToGrid w:val="0"/>
        </w:rPr>
        <w:tab/>
        <w:t>(3)</w:t>
      </w:r>
      <w:r>
        <w:rPr>
          <w:snapToGrid w:val="0"/>
        </w:rPr>
        <w:tab/>
        <w:t xml:space="preserve">Where the Board is of the opinion that it is not likely that a person will become entitled to a benefit under this Act as, or in respect of, a person who is employed in the coal mining industry of Western Australia pursuant to an award or industrial agreement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the Board may by notice served on that person, exclude the person so employed from the definition of “mine worker”.</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made regular contributions to the Fund as a mine worker; and</w:t>
      </w:r>
    </w:p>
    <w:p>
      <w:pPr>
        <w:pStyle w:val="Indenta"/>
        <w:rPr>
          <w:snapToGrid w:val="0"/>
        </w:rPr>
      </w:pPr>
      <w:r>
        <w:rPr>
          <w:snapToGrid w:val="0"/>
        </w:rPr>
        <w:tab/>
        <w:t>(b)</w:t>
      </w:r>
      <w:r>
        <w:rPr>
          <w:snapToGrid w:val="0"/>
        </w:rPr>
        <w:tab/>
        <w:t>the Board has excluded that person from the definition of “mine worker”,</w:t>
      </w:r>
    </w:p>
    <w:p>
      <w:pPr>
        <w:pStyle w:val="Subsection"/>
        <w:rPr>
          <w:snapToGrid w:val="0"/>
        </w:rPr>
      </w:pPr>
      <w:r>
        <w:rPr>
          <w:snapToGrid w:val="0"/>
        </w:rPr>
        <w:tab/>
      </w:r>
      <w:r>
        <w:rPr>
          <w:snapToGrid w:val="0"/>
        </w:rPr>
        <w:tab/>
        <w:t>the Board shall — </w:t>
      </w:r>
    </w:p>
    <w:p>
      <w:pPr>
        <w:pStyle w:val="Indenta"/>
        <w:rPr>
          <w:snapToGrid w:val="0"/>
        </w:rPr>
      </w:pPr>
      <w:r>
        <w:rPr>
          <w:snapToGrid w:val="0"/>
        </w:rPr>
        <w:tab/>
        <w:t>(c)</w:t>
      </w:r>
      <w:r>
        <w:rPr>
          <w:snapToGrid w:val="0"/>
        </w:rPr>
        <w:tab/>
        <w:t>pay to that person an amount calculated as prescribed; and</w:t>
      </w:r>
    </w:p>
    <w:p>
      <w:pPr>
        <w:pStyle w:val="Indenta"/>
        <w:rPr>
          <w:snapToGrid w:val="0"/>
        </w:rPr>
      </w:pPr>
      <w:r>
        <w:rPr>
          <w:snapToGrid w:val="0"/>
        </w:rPr>
        <w:tab/>
        <w:t>(d)</w:t>
      </w:r>
      <w:r>
        <w:rPr>
          <w:snapToGrid w:val="0"/>
        </w:rPr>
        <w:tab/>
        <w:t>determine the period of service in respect of which the amount referred to in paragraph (c) is calculated and that period of service shall be disregarded in the ascertainment of any future or other benefits under this Act to that mine worker or to any other person whose entitlement is derived through that mine worker.</w:t>
      </w:r>
    </w:p>
    <w:p>
      <w:pPr>
        <w:pStyle w:val="Subsection"/>
        <w:rPr>
          <w:snapToGrid w:val="0"/>
        </w:rPr>
      </w:pPr>
      <w:r>
        <w:rPr>
          <w:snapToGrid w:val="0"/>
        </w:rPr>
        <w:tab/>
        <w:t>(5)</w:t>
      </w:r>
      <w:r>
        <w:rPr>
          <w:snapToGrid w:val="0"/>
        </w:rPr>
        <w:tab/>
        <w:t>Where the Board is of the opinion that there has been a change in the circumstances which the Board considered in making a determination under subsection (3), the Board may give a further written notice to that person providing that, from a day specified in that notice, the person is no longer excluded from the definition of “mine worker”.</w:t>
      </w:r>
    </w:p>
    <w:p>
      <w:pPr>
        <w:pStyle w:val="Subsection"/>
        <w:rPr>
          <w:snapToGrid w:val="0"/>
        </w:rPr>
      </w:pPr>
      <w:r>
        <w:rPr>
          <w:snapToGrid w:val="0"/>
        </w:rPr>
        <w:tab/>
        <w:t>(6)</w:t>
      </w:r>
      <w:r>
        <w:rPr>
          <w:snapToGrid w:val="0"/>
        </w:rPr>
        <w:tab/>
        <w:t>Where under subsection (5) the Board gives notice that a person is no longer excluded from the definition of “mine worker”, and if that person has repaid to the Board any amount paid to that person under subsection (4) and interest on that amount at a rate determined by the Board, then the period of service in respect of which that amount was calculated shall be included when ascertaining any future or other benefits to that mine worker or to any other person whose entitlement is derived through that mine worker.</w:t>
      </w:r>
    </w:p>
    <w:p>
      <w:pPr>
        <w:pStyle w:val="Footnotesection"/>
      </w:pPr>
      <w:r>
        <w:tab/>
        <w:t xml:space="preserve">[Section 4 amended by No. 62 of 1994 s.109.] </w:t>
      </w:r>
    </w:p>
    <w:p>
      <w:pPr>
        <w:pStyle w:val="Heading5"/>
        <w:rPr>
          <w:del w:id="34" w:author="svcMRProcess" w:date="2015-12-09T18:00:00Z"/>
          <w:snapToGrid w:val="0"/>
        </w:rPr>
      </w:pPr>
      <w:ins w:id="35" w:author="svcMRProcess" w:date="2015-12-09T18:00:00Z">
        <w:r>
          <w:t>[</w:t>
        </w:r>
      </w:ins>
      <w:bookmarkStart w:id="36" w:name="_Toc494852068"/>
      <w:bookmarkStart w:id="37" w:name="_Toc501513263"/>
      <w:bookmarkStart w:id="38" w:name="_Toc135718300"/>
      <w:r>
        <w:rPr>
          <w:bCs/>
        </w:rPr>
        <w:t>5.</w:t>
      </w:r>
      <w:r>
        <w:tab/>
      </w:r>
      <w:del w:id="39" w:author="svcMRProcess" w:date="2015-12-09T18:00:00Z">
        <w:r>
          <w:rPr>
            <w:snapToGrid w:val="0"/>
          </w:rPr>
          <w:delText>Reciprocating States</w:delText>
        </w:r>
        <w:bookmarkEnd w:id="36"/>
        <w:bookmarkEnd w:id="37"/>
        <w:bookmarkEnd w:id="38"/>
        <w:r>
          <w:rPr>
            <w:snapToGrid w:val="0"/>
          </w:rPr>
          <w:delText xml:space="preserve"> </w:delText>
        </w:r>
      </w:del>
    </w:p>
    <w:p>
      <w:pPr>
        <w:pStyle w:val="Subsection"/>
        <w:rPr>
          <w:del w:id="40" w:author="svcMRProcess" w:date="2015-12-09T18:00:00Z"/>
          <w:snapToGrid w:val="0"/>
        </w:rPr>
      </w:pPr>
      <w:del w:id="41" w:author="svcMRProcess" w:date="2015-12-09T18:00:00Z">
        <w:r>
          <w:rPr>
            <w:snapToGrid w:val="0"/>
          </w:rPr>
          <w:tab/>
          <w:delText>(1)</w:delText>
        </w:r>
        <w:r>
          <w:rPr>
            <w:snapToGrid w:val="0"/>
          </w:rPr>
          <w:tab/>
          <w:delText>Where the Governor is satisfied — </w:delText>
        </w:r>
      </w:del>
    </w:p>
    <w:p>
      <w:pPr>
        <w:pStyle w:val="Indenta"/>
        <w:rPr>
          <w:del w:id="42" w:author="svcMRProcess" w:date="2015-12-09T18:00:00Z"/>
          <w:snapToGrid w:val="0"/>
        </w:rPr>
      </w:pPr>
      <w:del w:id="43" w:author="svcMRProcess" w:date="2015-12-09T18:00:00Z">
        <w:r>
          <w:rPr>
            <w:snapToGrid w:val="0"/>
          </w:rPr>
          <w:tab/>
          <w:delText>(a)</w:delText>
        </w:r>
        <w:r>
          <w:rPr>
            <w:snapToGrid w:val="0"/>
          </w:rPr>
          <w:tab/>
          <w:delText>that there is in force in any other State legislation providing for the payment</w:delText>
        </w:r>
      </w:del>
      <w:ins w:id="44" w:author="svcMRProcess" w:date="2015-12-09T18:00:00Z">
        <w:r>
          <w:t>Repealed by No. 16</w:t>
        </w:r>
      </w:ins>
      <w:r>
        <w:t xml:space="preserve"> of </w:t>
      </w:r>
      <w:del w:id="45" w:author="svcMRProcess" w:date="2015-12-09T18:00:00Z">
        <w:r>
          <w:rPr>
            <w:snapToGrid w:val="0"/>
          </w:rPr>
          <w:delText>benefits to coal mine workers and their dependants; and</w:delText>
        </w:r>
      </w:del>
    </w:p>
    <w:p>
      <w:pPr>
        <w:pStyle w:val="Indenta"/>
        <w:rPr>
          <w:del w:id="46" w:author="svcMRProcess" w:date="2015-12-09T18:00:00Z"/>
          <w:snapToGrid w:val="0"/>
        </w:rPr>
      </w:pPr>
      <w:del w:id="47" w:author="svcMRProcess" w:date="2015-12-09T18:00:00Z">
        <w:r>
          <w:rPr>
            <w:snapToGrid w:val="0"/>
          </w:rPr>
          <w:tab/>
          <w:delText>(b)</w:delText>
        </w:r>
        <w:r>
          <w:rPr>
            <w:snapToGrid w:val="0"/>
          </w:rPr>
          <w:tab/>
          <w:delText>that an agreement with such other State has been entered into under subsection (2),</w:delText>
        </w:r>
      </w:del>
    </w:p>
    <w:p>
      <w:pPr>
        <w:pStyle w:val="Subsection"/>
        <w:rPr>
          <w:del w:id="48" w:author="svcMRProcess" w:date="2015-12-09T18:00:00Z"/>
          <w:snapToGrid w:val="0"/>
        </w:rPr>
      </w:pPr>
      <w:del w:id="49" w:author="svcMRProcess" w:date="2015-12-09T18:00:00Z">
        <w:r>
          <w:rPr>
            <w:snapToGrid w:val="0"/>
          </w:rPr>
          <w:tab/>
        </w:r>
        <w:r>
          <w:rPr>
            <w:snapToGrid w:val="0"/>
          </w:rPr>
          <w:tab/>
          <w:delText xml:space="preserve">he may by order published in the </w:delText>
        </w:r>
        <w:r>
          <w:rPr>
            <w:i/>
            <w:snapToGrid w:val="0"/>
          </w:rPr>
          <w:delText>Gazette</w:delText>
        </w:r>
        <w:r>
          <w:rPr>
            <w:snapToGrid w:val="0"/>
          </w:rPr>
          <w:delText xml:space="preserve"> declare such other State to be a reciprocating State for the purposes of this Act.</w:delText>
        </w:r>
      </w:del>
    </w:p>
    <w:p>
      <w:pPr>
        <w:pStyle w:val="Subsection"/>
        <w:rPr>
          <w:del w:id="50" w:author="svcMRProcess" w:date="2015-12-09T18:00:00Z"/>
          <w:snapToGrid w:val="0"/>
        </w:rPr>
      </w:pPr>
      <w:del w:id="51" w:author="svcMRProcess" w:date="2015-12-09T18:00:00Z">
        <w:r>
          <w:rPr>
            <w:snapToGrid w:val="0"/>
          </w:rPr>
          <w:tab/>
          <w:delText>(2)</w:delText>
        </w:r>
        <w:r>
          <w:rPr>
            <w:snapToGrid w:val="0"/>
          </w:rPr>
          <w:tab/>
          <w:delText>The Minister may, on behalf of this State, enter into an agreement with a Minister of the Crown for such other State acting on behalf of such other State, with respect to all or any of the following matters — </w:delText>
        </w:r>
      </w:del>
    </w:p>
    <w:p>
      <w:pPr>
        <w:pStyle w:val="Indenta"/>
        <w:rPr>
          <w:del w:id="52" w:author="svcMRProcess" w:date="2015-12-09T18:00:00Z"/>
          <w:snapToGrid w:val="0"/>
        </w:rPr>
      </w:pPr>
      <w:del w:id="53" w:author="svcMRProcess" w:date="2015-12-09T18:00:00Z">
        <w:r>
          <w:rPr>
            <w:snapToGrid w:val="0"/>
          </w:rPr>
          <w:tab/>
          <w:delText>(a)</w:delText>
        </w:r>
        <w:r>
          <w:rPr>
            <w:snapToGrid w:val="0"/>
          </w:rPr>
          <w:tab/>
          <w:delText>the circumstances in which and the conditions subject to which the Board will, for the purposes of this Act, regard any person who is or has been a mine worker in or is or has been engaged in the coal mining industry of such other State, as a person who is or has been a mine worker within the meaning of this Act;</w:delText>
        </w:r>
      </w:del>
    </w:p>
    <w:p>
      <w:pPr>
        <w:pStyle w:val="Indenta"/>
        <w:rPr>
          <w:del w:id="54" w:author="svcMRProcess" w:date="2015-12-09T18:00:00Z"/>
          <w:snapToGrid w:val="0"/>
        </w:rPr>
      </w:pPr>
      <w:del w:id="55" w:author="svcMRProcess" w:date="2015-12-09T18:00:00Z">
        <w:r>
          <w:rPr>
            <w:snapToGrid w:val="0"/>
          </w:rPr>
          <w:tab/>
          <w:delText>(b)</w:delText>
        </w:r>
        <w:r>
          <w:rPr>
            <w:snapToGrid w:val="0"/>
          </w:rPr>
          <w:tab/>
          <w:delText>the circumstances in which and the conditions subject to which the Board may accept and act upon a certificate furnished by the Minister of the Crown for such other State or by a specified officer of such other State that any person is or has been a mine worker in or is or has been engaged in the coal mining industry of such other State, and the period or periods during which he has been such a worker or has been so engaged;</w:delText>
        </w:r>
      </w:del>
    </w:p>
    <w:p>
      <w:pPr>
        <w:pStyle w:val="Indenta"/>
        <w:rPr>
          <w:del w:id="56" w:author="svcMRProcess" w:date="2015-12-09T18:00:00Z"/>
          <w:snapToGrid w:val="0"/>
        </w:rPr>
      </w:pPr>
      <w:del w:id="57" w:author="svcMRProcess" w:date="2015-12-09T18:00:00Z">
        <w:r>
          <w:rPr>
            <w:snapToGrid w:val="0"/>
          </w:rPr>
          <w:tab/>
          <w:delText>(c)</w:delText>
        </w:r>
        <w:r>
          <w:rPr>
            <w:snapToGrid w:val="0"/>
          </w:rPr>
          <w:tab/>
          <w:delText>the circumstances in which and the conditions subject to which the Fund shall be liable for the payment of the whole or any part of any benefit awarded to a person of the class referred to in paragraph (a);</w:delText>
        </w:r>
      </w:del>
    </w:p>
    <w:p>
      <w:pPr>
        <w:pStyle w:val="Indenta"/>
        <w:rPr>
          <w:del w:id="58" w:author="svcMRProcess" w:date="2015-12-09T18:00:00Z"/>
          <w:snapToGrid w:val="0"/>
        </w:rPr>
      </w:pPr>
      <w:del w:id="59" w:author="svcMRProcess" w:date="2015-12-09T18:00:00Z">
        <w:r>
          <w:rPr>
            <w:snapToGrid w:val="0"/>
          </w:rPr>
          <w:tab/>
          <w:delText>(d)</w:delText>
        </w:r>
        <w:r>
          <w:rPr>
            <w:snapToGrid w:val="0"/>
          </w:rPr>
          <w:tab/>
          <w:delText>the circumstances in which and the conditions subject to which payment may be made from the Fund to the corresponding fund or funds established under the legislation of such other State;</w:delText>
        </w:r>
      </w:del>
    </w:p>
    <w:p>
      <w:pPr>
        <w:pStyle w:val="Indenta"/>
        <w:rPr>
          <w:del w:id="60" w:author="svcMRProcess" w:date="2015-12-09T18:00:00Z"/>
          <w:snapToGrid w:val="0"/>
        </w:rPr>
      </w:pPr>
      <w:del w:id="61" w:author="svcMRProcess" w:date="2015-12-09T18:00:00Z">
        <w:r>
          <w:rPr>
            <w:snapToGrid w:val="0"/>
          </w:rPr>
          <w:tab/>
          <w:delText>(e)</w:delText>
        </w:r>
        <w:r>
          <w:rPr>
            <w:snapToGrid w:val="0"/>
          </w:rPr>
          <w:tab/>
          <w:delText>the making of such provision as may be necessary to ensure that a mine worker or the dependants of that mine worker shall not become entitled to payment of a benefit under this Act as well as under the legislation of such other State;</w:delText>
        </w:r>
      </w:del>
    </w:p>
    <w:p>
      <w:pPr>
        <w:pStyle w:val="Indenta"/>
        <w:rPr>
          <w:del w:id="62" w:author="svcMRProcess" w:date="2015-12-09T18:00:00Z"/>
          <w:snapToGrid w:val="0"/>
        </w:rPr>
      </w:pPr>
      <w:del w:id="63" w:author="svcMRProcess" w:date="2015-12-09T18:00:00Z">
        <w:r>
          <w:rPr>
            <w:snapToGrid w:val="0"/>
          </w:rPr>
          <w:tab/>
          <w:delText>(f)</w:delText>
        </w:r>
        <w:r>
          <w:rPr>
            <w:snapToGrid w:val="0"/>
          </w:rPr>
          <w:tab/>
          <w:delText>any adjustment which may be necessary, if the order declaring such other State to be a reciprocating State is revoked; and</w:delText>
        </w:r>
      </w:del>
    </w:p>
    <w:p>
      <w:pPr>
        <w:pStyle w:val="Indenta"/>
        <w:rPr>
          <w:del w:id="64" w:author="svcMRProcess" w:date="2015-12-09T18:00:00Z"/>
          <w:snapToGrid w:val="0"/>
        </w:rPr>
      </w:pPr>
      <w:del w:id="65" w:author="svcMRProcess" w:date="2015-12-09T18:00:00Z">
        <w:r>
          <w:rPr>
            <w:snapToGrid w:val="0"/>
          </w:rPr>
          <w:tab/>
          <w:delText>(g)</w:delText>
        </w:r>
        <w:r>
          <w:rPr>
            <w:snapToGrid w:val="0"/>
          </w:rPr>
          <w:tab/>
          <w:delText>any other matter arising under this Act which the Minister may consider necessary or convenient to be included in the agreement.</w:delText>
        </w:r>
      </w:del>
    </w:p>
    <w:p>
      <w:pPr>
        <w:pStyle w:val="Subsection"/>
        <w:rPr>
          <w:del w:id="66" w:author="svcMRProcess" w:date="2015-12-09T18:00:00Z"/>
          <w:snapToGrid w:val="0"/>
        </w:rPr>
      </w:pPr>
      <w:del w:id="67" w:author="svcMRProcess" w:date="2015-12-09T18:00:00Z">
        <w:r>
          <w:rPr>
            <w:snapToGrid w:val="0"/>
          </w:rPr>
          <w:tab/>
          <w:delText>(3)</w:delText>
        </w:r>
        <w:r>
          <w:rPr>
            <w:snapToGrid w:val="0"/>
          </w:rPr>
          <w:tab/>
          <w:delText xml:space="preserve">An agreement with a Minister of the Crown for a State entered into under subsection (2) shall not have effect until an order under subsection (1) in respect of that State is published in the </w:delText>
        </w:r>
        <w:r>
          <w:rPr>
            <w:i/>
            <w:snapToGrid w:val="0"/>
          </w:rPr>
          <w:delText>Gazette</w:delText>
        </w:r>
        <w:r>
          <w:rPr>
            <w:snapToGrid w:val="0"/>
          </w:rPr>
          <w:delText>.</w:delText>
        </w:r>
      </w:del>
    </w:p>
    <w:p>
      <w:pPr>
        <w:pStyle w:val="Ednotesection"/>
      </w:pPr>
      <w:del w:id="68" w:author="svcMRProcess" w:date="2015-12-09T18:00:00Z">
        <w:r>
          <w:tab/>
          <w:delText>(</w:delText>
        </w:r>
      </w:del>
      <w:ins w:id="69" w:author="svcMRProcess" w:date="2015-12-09T18:00:00Z">
        <w:r>
          <w:t>2006 s. </w:t>
        </w:r>
      </w:ins>
      <w:r>
        <w:t>4</w:t>
      </w:r>
      <w:del w:id="70" w:author="svcMRProcess" w:date="2015-12-09T18:00:00Z">
        <w:r>
          <w:delText>)</w:delText>
        </w:r>
        <w:r>
          <w:tab/>
          <w:delText>The Governor may by order published in the Gazette revoke an order under subsection (1) with the Minister of the Crown for a State, and where an order is so revoked the agreement entered into under subsection (2) in respect of that State lapses, except to the extent to which it relates to the matters referred to in paragraph (f) of that subsection.</w:delText>
        </w:r>
      </w:del>
      <w:ins w:id="71" w:author="svcMRProcess" w:date="2015-12-09T18:00:00Z">
        <w:r>
          <w:t>.]</w:t>
        </w:r>
      </w:ins>
    </w:p>
    <w:p>
      <w:pPr>
        <w:pStyle w:val="Subsection"/>
        <w:rPr>
          <w:del w:id="72" w:author="svcMRProcess" w:date="2015-12-09T18:00:00Z"/>
          <w:snapToGrid w:val="0"/>
        </w:rPr>
      </w:pPr>
      <w:del w:id="73" w:author="svcMRProcess" w:date="2015-12-09T18:00:00Z">
        <w:r>
          <w:rPr>
            <w:snapToGrid w:val="0"/>
          </w:rPr>
          <w:tab/>
          <w:delText>(5)</w:delText>
        </w:r>
        <w:r>
          <w:rPr>
            <w:snapToGrid w:val="0"/>
          </w:rPr>
          <w:tab/>
          <w:delText>In this section —</w:delText>
        </w:r>
      </w:del>
    </w:p>
    <w:p>
      <w:pPr>
        <w:pStyle w:val="Defstart"/>
        <w:rPr>
          <w:del w:id="74" w:author="svcMRProcess" w:date="2015-12-09T18:00:00Z"/>
        </w:rPr>
      </w:pPr>
      <w:del w:id="75" w:author="svcMRProcess" w:date="2015-12-09T18:00:00Z">
        <w:r>
          <w:tab/>
        </w:r>
        <w:r>
          <w:rPr>
            <w:b/>
          </w:rPr>
          <w:delText>“</w:delText>
        </w:r>
        <w:r>
          <w:rPr>
            <w:rStyle w:val="CharDefText"/>
          </w:rPr>
          <w:delText>State</w:delText>
        </w:r>
        <w:r>
          <w:rPr>
            <w:b/>
          </w:rPr>
          <w:delText>”</w:delText>
        </w:r>
        <w:r>
          <w:delText xml:space="preserve"> includes the Northern Territory and the Australian Capital Territory.</w:delText>
        </w:r>
      </w:del>
    </w:p>
    <w:p>
      <w:pPr>
        <w:pStyle w:val="Ednotepart"/>
      </w:pPr>
      <w:r>
        <w:t>[Part 2 (section 6) repealed by No. 46 of 1995 s.6.]</w:t>
      </w:r>
    </w:p>
    <w:p>
      <w:pPr>
        <w:pStyle w:val="Heading2"/>
      </w:pPr>
      <w:bookmarkStart w:id="76" w:name="_Toc135715613"/>
      <w:bookmarkStart w:id="77" w:name="_Toc135716392"/>
      <w:bookmarkStart w:id="78" w:name="_Toc135717496"/>
      <w:bookmarkStart w:id="79" w:name="_Toc135718301"/>
      <w:bookmarkStart w:id="80" w:name="_Toc170125246"/>
      <w:r>
        <w:rPr>
          <w:rStyle w:val="CharPartNo"/>
        </w:rPr>
        <w:t>Part 3</w:t>
      </w:r>
      <w:r>
        <w:rPr>
          <w:rStyle w:val="CharDivNo"/>
        </w:rPr>
        <w:t> </w:t>
      </w:r>
      <w:r>
        <w:t>—</w:t>
      </w:r>
      <w:r>
        <w:rPr>
          <w:rStyle w:val="CharDivText"/>
        </w:rPr>
        <w:t> </w:t>
      </w:r>
      <w:r>
        <w:rPr>
          <w:rStyle w:val="CharPartText"/>
        </w:rPr>
        <w:t>The Coal Industry Superannuation Board</w:t>
      </w:r>
      <w:bookmarkEnd w:id="76"/>
      <w:bookmarkEnd w:id="77"/>
      <w:bookmarkEnd w:id="78"/>
      <w:bookmarkEnd w:id="79"/>
      <w:bookmarkEnd w:id="80"/>
      <w:r>
        <w:rPr>
          <w:rStyle w:val="CharPartText"/>
        </w:rPr>
        <w:t xml:space="preserve"> </w:t>
      </w:r>
    </w:p>
    <w:p>
      <w:pPr>
        <w:pStyle w:val="Heading5"/>
        <w:rPr>
          <w:snapToGrid w:val="0"/>
        </w:rPr>
      </w:pPr>
      <w:bookmarkStart w:id="81" w:name="_Toc494852069"/>
      <w:bookmarkStart w:id="82" w:name="_Toc501513264"/>
      <w:bookmarkStart w:id="83" w:name="_Toc170125247"/>
      <w:bookmarkStart w:id="84" w:name="_Toc135718302"/>
      <w:r>
        <w:rPr>
          <w:rStyle w:val="CharSectno"/>
        </w:rPr>
        <w:t>7</w:t>
      </w:r>
      <w:r>
        <w:rPr>
          <w:snapToGrid w:val="0"/>
        </w:rPr>
        <w:t>.</w:t>
      </w:r>
      <w:r>
        <w:rPr>
          <w:snapToGrid w:val="0"/>
        </w:rPr>
        <w:tab/>
        <w:t>Establishment of the Board</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For the purposes of this Act there shall be a board to be known as the Coal Industry Superannuation Board.</w:t>
      </w:r>
    </w:p>
    <w:p>
      <w:pPr>
        <w:pStyle w:val="Subsection"/>
        <w:rPr>
          <w:snapToGrid w:val="0"/>
        </w:rPr>
      </w:pPr>
      <w:r>
        <w:rPr>
          <w:snapToGrid w:val="0"/>
        </w:rPr>
        <w:tab/>
        <w:t>(2)</w:t>
      </w:r>
      <w:r>
        <w:rPr>
          <w:snapToGrid w:val="0"/>
        </w:rPr>
        <w:tab/>
        <w:t>The Board is a body corporate with perpetual succession and a common seal and is capable of — </w:t>
      </w:r>
    </w:p>
    <w:p>
      <w:pPr>
        <w:pStyle w:val="Indenta"/>
        <w:rPr>
          <w:snapToGrid w:val="0"/>
        </w:rPr>
      </w:pPr>
      <w:r>
        <w:rPr>
          <w:snapToGrid w:val="0"/>
        </w:rPr>
        <w:tab/>
        <w:t>(a)</w:t>
      </w:r>
      <w:r>
        <w:rPr>
          <w:snapToGrid w:val="0"/>
        </w:rPr>
        <w:tab/>
        <w:t>acquiring, holding and disposing of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pPr>
        <w:pStyle w:val="Subsection"/>
        <w:rPr>
          <w:snapToGrid w:val="0"/>
        </w:rPr>
      </w:pPr>
      <w:r>
        <w:rPr>
          <w:snapToGrid w:val="0"/>
        </w:rPr>
        <w:tab/>
        <w:t>(4)</w:t>
      </w:r>
      <w:r>
        <w:rPr>
          <w:snapToGrid w:val="0"/>
        </w:rPr>
        <w:tab/>
        <w:t>The Board is not an agent of the Crown in right of the State.</w:t>
      </w:r>
    </w:p>
    <w:p>
      <w:pPr>
        <w:pStyle w:val="Subsection"/>
        <w:rPr>
          <w:snapToGrid w:val="0"/>
        </w:rPr>
      </w:pPr>
      <w:r>
        <w:rPr>
          <w:snapToGrid w:val="0"/>
        </w:rPr>
        <w:tab/>
        <w:t>(5)</w:t>
      </w:r>
      <w:r>
        <w:rPr>
          <w:snapToGrid w:val="0"/>
        </w:rPr>
        <w:tab/>
        <w:t xml:space="preserve">The Board is not part of the Public Service under the </w:t>
      </w:r>
      <w:r>
        <w:rPr>
          <w:i/>
          <w:snapToGrid w:val="0"/>
        </w:rPr>
        <w:t>Public Sector Management 1994</w:t>
      </w:r>
      <w:r>
        <w:rPr>
          <w:snapToGrid w:val="0"/>
        </w:rPr>
        <w:t>.</w:t>
      </w:r>
    </w:p>
    <w:p>
      <w:pPr>
        <w:pStyle w:val="Footnotesection"/>
      </w:pPr>
      <w:r>
        <w:tab/>
        <w:t xml:space="preserve">[Section 7 amended by No. 46 of 1995 s.7.] </w:t>
      </w:r>
    </w:p>
    <w:p>
      <w:pPr>
        <w:pStyle w:val="Heading5"/>
        <w:rPr>
          <w:snapToGrid w:val="0"/>
        </w:rPr>
      </w:pPr>
      <w:bookmarkStart w:id="85" w:name="_Toc494852070"/>
      <w:bookmarkStart w:id="86" w:name="_Toc501513265"/>
      <w:bookmarkStart w:id="87" w:name="_Toc170125248"/>
      <w:bookmarkStart w:id="88" w:name="_Toc135718303"/>
      <w:r>
        <w:rPr>
          <w:rStyle w:val="CharSectno"/>
        </w:rPr>
        <w:t>8</w:t>
      </w:r>
      <w:r>
        <w:rPr>
          <w:snapToGrid w:val="0"/>
        </w:rPr>
        <w:t>.</w:t>
      </w:r>
      <w:r>
        <w:rPr>
          <w:snapToGrid w:val="0"/>
        </w:rPr>
        <w:tab/>
        <w:t>Constitution of the Board</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this Act the Board shall consist of 5 members of whom — </w:t>
      </w:r>
    </w:p>
    <w:p>
      <w:pPr>
        <w:pStyle w:val="Indenta"/>
        <w:rPr>
          <w:snapToGrid w:val="0"/>
        </w:rPr>
      </w:pPr>
      <w:r>
        <w:rPr>
          <w:snapToGrid w:val="0"/>
        </w:rPr>
        <w:tab/>
        <w:t>(a)</w:t>
      </w:r>
      <w:r>
        <w:rPr>
          <w:snapToGrid w:val="0"/>
        </w:rPr>
        <w:tab/>
        <w:t>one shall be a chairman appointed by the Governor in accordance with the requirements of the SIS Act;</w:t>
      </w:r>
    </w:p>
    <w:p>
      <w:pPr>
        <w:pStyle w:val="Indenta"/>
        <w:rPr>
          <w:snapToGrid w:val="0"/>
        </w:rPr>
      </w:pPr>
      <w:r>
        <w:rPr>
          <w:snapToGrid w:val="0"/>
        </w:rPr>
        <w:tab/>
        <w:t>(b)</w:t>
      </w:r>
      <w:r>
        <w:rPr>
          <w:snapToGrid w:val="0"/>
        </w:rPr>
        <w:tab/>
        <w:t>2 shall be elected in accordance with the regulations by the members of the Fund; and</w:t>
      </w:r>
    </w:p>
    <w:p>
      <w:pPr>
        <w:pStyle w:val="Indenta"/>
        <w:rPr>
          <w:snapToGrid w:val="0"/>
        </w:rPr>
      </w:pPr>
      <w:r>
        <w:rPr>
          <w:snapToGrid w:val="0"/>
        </w:rPr>
        <w:tab/>
        <w:t>(c)</w:t>
      </w:r>
      <w:r>
        <w:rPr>
          <w:snapToGrid w:val="0"/>
        </w:rPr>
        <w:tab/>
        <w:t>2 shall be appointed in accordance with the regulations by the employers.</w:t>
      </w:r>
    </w:p>
    <w:p>
      <w:pPr>
        <w:pStyle w:val="Subsection"/>
        <w:rPr>
          <w:snapToGrid w:val="0"/>
        </w:rPr>
      </w:pPr>
      <w:r>
        <w:rPr>
          <w:snapToGrid w:val="0"/>
        </w:rPr>
        <w:tab/>
        <w:t>(2)</w:t>
      </w:r>
      <w:r>
        <w:rPr>
          <w:snapToGrid w:val="0"/>
        </w:rPr>
        <w:tab/>
        <w:t>The members of the Fund may in accordance with the regulations elect a person to be an alternate member of the Board.</w:t>
      </w:r>
    </w:p>
    <w:p>
      <w:pPr>
        <w:pStyle w:val="Subsection"/>
        <w:rPr>
          <w:snapToGrid w:val="0"/>
        </w:rPr>
      </w:pPr>
      <w:r>
        <w:rPr>
          <w:snapToGrid w:val="0"/>
        </w:rPr>
        <w:tab/>
        <w:t>(3)</w:t>
      </w:r>
      <w:r>
        <w:rPr>
          <w:snapToGrid w:val="0"/>
        </w:rPr>
        <w:tab/>
        <w:t>The employers may in accordance with the regulations appoint a person to be an alternate member of the Board.</w:t>
      </w:r>
    </w:p>
    <w:p>
      <w:pPr>
        <w:pStyle w:val="Subsection"/>
        <w:rPr>
          <w:snapToGrid w:val="0"/>
        </w:rPr>
      </w:pPr>
      <w:r>
        <w:rPr>
          <w:snapToGrid w:val="0"/>
        </w:rPr>
        <w:tab/>
        <w:t>(4)</w:t>
      </w:r>
      <w:r>
        <w:rPr>
          <w:snapToGrid w:val="0"/>
        </w:rPr>
        <w:tab/>
        <w:t>Schedule 2 has effect in relation to the Board.</w:t>
      </w:r>
    </w:p>
    <w:p>
      <w:pPr>
        <w:pStyle w:val="Footnotesection"/>
      </w:pPr>
      <w:r>
        <w:tab/>
        <w:t xml:space="preserve">[Section 8 amended by No. 46 of 1995 s.8.] </w:t>
      </w:r>
    </w:p>
    <w:p>
      <w:pPr>
        <w:pStyle w:val="Heading5"/>
        <w:rPr>
          <w:snapToGrid w:val="0"/>
        </w:rPr>
      </w:pPr>
      <w:bookmarkStart w:id="89" w:name="_Toc494852071"/>
      <w:bookmarkStart w:id="90" w:name="_Toc501513266"/>
      <w:bookmarkStart w:id="91" w:name="_Toc170125249"/>
      <w:bookmarkStart w:id="92" w:name="_Toc135718304"/>
      <w:r>
        <w:rPr>
          <w:rStyle w:val="CharSectno"/>
        </w:rPr>
        <w:t>9</w:t>
      </w:r>
      <w:r>
        <w:rPr>
          <w:snapToGrid w:val="0"/>
        </w:rPr>
        <w:t>.</w:t>
      </w:r>
      <w:r>
        <w:rPr>
          <w:snapToGrid w:val="0"/>
        </w:rPr>
        <w:tab/>
        <w:t>The Coal Industry Superannuation Fund</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r>
      <w:del w:id="93" w:author="svcMRProcess" w:date="2015-12-09T18:00:00Z">
        <w:r>
          <w:rPr>
            <w:snapToGrid w:val="0"/>
          </w:rPr>
          <w:delText>For the purposes of providing superannuation and related benefits to and in respect of mine workers and officers of the Board under this Act there shall be</w:delText>
        </w:r>
      </w:del>
      <w:ins w:id="94" w:author="svcMRProcess" w:date="2015-12-09T18:00:00Z">
        <w:r>
          <w:t>There is</w:t>
        </w:r>
      </w:ins>
      <w:r>
        <w:rPr>
          <w:snapToGrid w:val="0"/>
        </w:rPr>
        <w:t xml:space="preserve"> a fund to be known as the Coal Industry Superannuation Fund.</w:t>
      </w:r>
    </w:p>
    <w:p>
      <w:pPr>
        <w:pStyle w:val="Subsection"/>
        <w:rPr>
          <w:ins w:id="95" w:author="svcMRProcess" w:date="2015-12-09T18:00:00Z"/>
        </w:rPr>
      </w:pPr>
      <w:ins w:id="96" w:author="svcMRProcess" w:date="2015-12-09T18:00:00Z">
        <w:r>
          <w:tab/>
          <w:t>(1a)</w:t>
        </w:r>
        <w:r>
          <w:tab/>
          <w:t>The regulations may provide for people in any of the following categories to be members of the Fund —</w:t>
        </w:r>
      </w:ins>
    </w:p>
    <w:p>
      <w:pPr>
        <w:pStyle w:val="Indenta"/>
        <w:rPr>
          <w:ins w:id="97" w:author="svcMRProcess" w:date="2015-12-09T18:00:00Z"/>
        </w:rPr>
      </w:pPr>
      <w:ins w:id="98" w:author="svcMRProcess" w:date="2015-12-09T18:00:00Z">
        <w:r>
          <w:tab/>
          <w:t>(a)</w:t>
        </w:r>
        <w:r>
          <w:tab/>
          <w:t xml:space="preserve">mine workers; </w:t>
        </w:r>
      </w:ins>
    </w:p>
    <w:p>
      <w:pPr>
        <w:pStyle w:val="Indenta"/>
        <w:rPr>
          <w:ins w:id="99" w:author="svcMRProcess" w:date="2015-12-09T18:00:00Z"/>
        </w:rPr>
      </w:pPr>
      <w:ins w:id="100" w:author="svcMRProcess" w:date="2015-12-09T18:00:00Z">
        <w:r>
          <w:tab/>
          <w:t>(b)</w:t>
        </w:r>
        <w:r>
          <w:tab/>
          <w:t>officers of the Board; or</w:t>
        </w:r>
      </w:ins>
    </w:p>
    <w:p>
      <w:pPr>
        <w:pStyle w:val="Indenta"/>
        <w:rPr>
          <w:ins w:id="101" w:author="svcMRProcess" w:date="2015-12-09T18:00:00Z"/>
        </w:rPr>
      </w:pPr>
      <w:ins w:id="102" w:author="svcMRProcess" w:date="2015-12-09T18:00:00Z">
        <w:r>
          <w:tab/>
          <w:t>(c)</w:t>
        </w:r>
        <w:r>
          <w:tab/>
          <w:t>people who are or have been the spouses or de facto partners of people referred to in paragraphs (a) or (b).</w:t>
        </w:r>
      </w:ins>
    </w:p>
    <w:p>
      <w:pPr>
        <w:pStyle w:val="Subsection"/>
        <w:rPr>
          <w:ins w:id="103" w:author="svcMRProcess" w:date="2015-12-09T18:00:00Z"/>
        </w:rPr>
      </w:pPr>
      <w:ins w:id="104" w:author="svcMRProcess" w:date="2015-12-09T18:00:00Z">
        <w:r>
          <w:tab/>
          <w:t>(1b)</w:t>
        </w:r>
        <w:r>
          <w:tab/>
        </w:r>
        <w:r>
          <w:rPr>
            <w:rFonts w:ascii="Times" w:hAnsi="Times"/>
            <w:spacing w:val="-4"/>
          </w:rPr>
          <w:t xml:space="preserve">The Governor may, by order published in the </w:t>
        </w:r>
        <w:r>
          <w:rPr>
            <w:rFonts w:ascii="Times" w:hAnsi="Times"/>
            <w:i/>
            <w:spacing w:val="-4"/>
          </w:rPr>
          <w:t>Gazette</w:t>
        </w:r>
        <w:r>
          <w:rPr>
            <w:rFonts w:ascii="Times" w:hAnsi="Times"/>
            <w:spacing w:val="-4"/>
          </w:rPr>
          <w:t>, specify other categories of people who may be permitted by the regulations to be members of the Fund.</w:t>
        </w:r>
      </w:ins>
    </w:p>
    <w:p>
      <w:pPr>
        <w:pStyle w:val="Subsection"/>
        <w:rPr>
          <w:ins w:id="105" w:author="svcMRProcess" w:date="2015-12-09T18:00:00Z"/>
        </w:rPr>
      </w:pPr>
      <w:ins w:id="106" w:author="svcMRProcess" w:date="2015-12-09T18:00:00Z">
        <w:r>
          <w:tab/>
          <w:t>(1c)</w:t>
        </w:r>
        <w:r>
          <w:tab/>
          <w:t>The people specified under subsection (1b) must be people —</w:t>
        </w:r>
      </w:ins>
    </w:p>
    <w:p>
      <w:pPr>
        <w:pStyle w:val="Indenta"/>
        <w:rPr>
          <w:ins w:id="107" w:author="svcMRProcess" w:date="2015-12-09T18:00:00Z"/>
        </w:rPr>
      </w:pPr>
      <w:ins w:id="108" w:author="svcMRProcess" w:date="2015-12-09T18:00:00Z">
        <w:r>
          <w:tab/>
          <w:t>(a)</w:t>
        </w:r>
        <w:r>
          <w:tab/>
          <w:t>who are, or have been —</w:t>
        </w:r>
      </w:ins>
    </w:p>
    <w:p>
      <w:pPr>
        <w:pStyle w:val="Indenti"/>
        <w:rPr>
          <w:ins w:id="109" w:author="svcMRProcess" w:date="2015-12-09T18:00:00Z"/>
        </w:rPr>
      </w:pPr>
      <w:ins w:id="110" w:author="svcMRProcess" w:date="2015-12-09T18:00:00Z">
        <w:r>
          <w:tab/>
          <w:t>(i)</w:t>
        </w:r>
        <w:r>
          <w:tab/>
          <w:t>involved in coal mining in Western Australia; or</w:t>
        </w:r>
      </w:ins>
    </w:p>
    <w:p>
      <w:pPr>
        <w:pStyle w:val="Indenti"/>
        <w:rPr>
          <w:ins w:id="111" w:author="svcMRProcess" w:date="2015-12-09T18:00:00Z"/>
        </w:rPr>
      </w:pPr>
      <w:ins w:id="112" w:author="svcMRProcess" w:date="2015-12-09T18:00:00Z">
        <w:r>
          <w:tab/>
          <w:t>(ii)</w:t>
        </w:r>
        <w:r>
          <w:tab/>
          <w:t xml:space="preserve">closely related to a person who is or has been involved in coal mining in Western Australia; </w:t>
        </w:r>
      </w:ins>
    </w:p>
    <w:p>
      <w:pPr>
        <w:pStyle w:val="Indenta"/>
        <w:rPr>
          <w:ins w:id="113" w:author="svcMRProcess" w:date="2015-12-09T18:00:00Z"/>
        </w:rPr>
      </w:pPr>
      <w:ins w:id="114" w:author="svcMRProcess" w:date="2015-12-09T18:00:00Z">
        <w:r>
          <w:tab/>
        </w:r>
        <w:r>
          <w:tab/>
          <w:t>and</w:t>
        </w:r>
      </w:ins>
    </w:p>
    <w:p>
      <w:pPr>
        <w:pStyle w:val="Indenta"/>
        <w:rPr>
          <w:ins w:id="115" w:author="svcMRProcess" w:date="2015-12-09T18:00:00Z"/>
        </w:rPr>
      </w:pPr>
      <w:ins w:id="116" w:author="svcMRProcess" w:date="2015-12-09T18:00:00Z">
        <w:r>
          <w:tab/>
          <w:t>(b)</w:t>
        </w:r>
        <w:r>
          <w:tab/>
          <w:t>whose membership of the Fund would not prevent the Fund being a complying superannuation fund within the meaning of the SIS Act.</w:t>
        </w:r>
      </w:ins>
    </w:p>
    <w:p>
      <w:pPr>
        <w:pStyle w:val="Subsection"/>
        <w:rPr>
          <w:snapToGrid w:val="0"/>
        </w:rPr>
      </w:pPr>
      <w:r>
        <w:rPr>
          <w:snapToGrid w:val="0"/>
        </w:rPr>
        <w:tab/>
        <w:t>(2)</w:t>
      </w:r>
      <w:r>
        <w:rPr>
          <w:snapToGrid w:val="0"/>
        </w:rPr>
        <w:tab/>
        <w:t>The Fund consists of — </w:t>
      </w:r>
    </w:p>
    <w:p>
      <w:pPr>
        <w:pStyle w:val="Indenta"/>
        <w:rPr>
          <w:snapToGrid w:val="0"/>
        </w:rPr>
      </w:pPr>
      <w:r>
        <w:rPr>
          <w:snapToGrid w:val="0"/>
        </w:rPr>
        <w:tab/>
        <w:t>(a)</w:t>
      </w:r>
      <w:r>
        <w:rPr>
          <w:snapToGrid w:val="0"/>
        </w:rPr>
        <w:tab/>
        <w:t>contributions paid in accordance with the regulations</w:t>
      </w:r>
      <w:del w:id="117" w:author="svcMRProcess" w:date="2015-12-09T18:00:00Z">
        <w:r>
          <w:rPr>
            <w:snapToGrid w:val="0"/>
          </w:rPr>
          <w:delText xml:space="preserve"> by members of the Fund and by employers in respect of such members</w:delText>
        </w:r>
      </w:del>
      <w:r>
        <w:rPr>
          <w:snapToGrid w:val="0"/>
        </w:rPr>
        <w:t>;</w:t>
      </w:r>
    </w:p>
    <w:p>
      <w:pPr>
        <w:pStyle w:val="Indenta"/>
        <w:rPr>
          <w:snapToGrid w:val="0"/>
        </w:rPr>
      </w:pPr>
      <w:r>
        <w:rPr>
          <w:snapToGrid w:val="0"/>
        </w:rPr>
        <w:tab/>
        <w:t>(b)</w:t>
      </w:r>
      <w:r>
        <w:rPr>
          <w:snapToGrid w:val="0"/>
        </w:rPr>
        <w:tab/>
        <w:t>all other property received by the Board for or in connection with the Fund;</w:t>
      </w:r>
    </w:p>
    <w:p>
      <w:pPr>
        <w:pStyle w:val="Indenta"/>
        <w:rPr>
          <w:snapToGrid w:val="0"/>
        </w:rPr>
      </w:pPr>
      <w:r>
        <w:rPr>
          <w:snapToGrid w:val="0"/>
        </w:rPr>
        <w:tab/>
        <w:t>(c)</w:t>
      </w:r>
      <w:r>
        <w:rPr>
          <w:snapToGrid w:val="0"/>
        </w:rPr>
        <w:tab/>
        <w:t>property in which the Fund is invested;</w:t>
      </w:r>
    </w:p>
    <w:p>
      <w:pPr>
        <w:pStyle w:val="Indenta"/>
        <w:rPr>
          <w:snapToGrid w:val="0"/>
        </w:rPr>
      </w:pPr>
      <w:r>
        <w:rPr>
          <w:snapToGrid w:val="0"/>
        </w:rPr>
        <w:tab/>
        <w:t>(d)</w:t>
      </w:r>
      <w:r>
        <w:rPr>
          <w:snapToGrid w:val="0"/>
        </w:rPr>
        <w:tab/>
        <w:t>income derived from the investment of the Fund; and</w:t>
      </w:r>
    </w:p>
    <w:p>
      <w:pPr>
        <w:pStyle w:val="Indenta"/>
        <w:rPr>
          <w:snapToGrid w:val="0"/>
        </w:rPr>
      </w:pPr>
      <w:r>
        <w:rPr>
          <w:snapToGrid w:val="0"/>
        </w:rPr>
        <w:tab/>
        <w:t>(e)</w:t>
      </w:r>
      <w:r>
        <w:rPr>
          <w:snapToGrid w:val="0"/>
        </w:rPr>
        <w:tab/>
        <w:t>accretions to, and profits arising from the realisation of, property in which the Fund is invested.</w:t>
      </w:r>
    </w:p>
    <w:p>
      <w:pPr>
        <w:pStyle w:val="Subsection"/>
        <w:rPr>
          <w:snapToGrid w:val="0"/>
        </w:rPr>
      </w:pPr>
      <w:r>
        <w:rPr>
          <w:snapToGrid w:val="0"/>
        </w:rPr>
        <w:tab/>
        <w:t>(3)</w:t>
      </w:r>
      <w:r>
        <w:rPr>
          <w:snapToGrid w:val="0"/>
        </w:rPr>
        <w:tab/>
        <w:t>The Fund shall be available for the payment of — </w:t>
      </w:r>
    </w:p>
    <w:p>
      <w:pPr>
        <w:pStyle w:val="Indenta"/>
        <w:rPr>
          <w:snapToGrid w:val="0"/>
        </w:rPr>
      </w:pPr>
      <w:r>
        <w:rPr>
          <w:snapToGrid w:val="0"/>
        </w:rPr>
        <w:tab/>
        <w:t>(a)</w:t>
      </w:r>
      <w:r>
        <w:rPr>
          <w:snapToGrid w:val="0"/>
        </w:rPr>
        <w:tab/>
        <w:t>benefits to or in respect of members of the Fund in accordance with this Act;</w:t>
      </w:r>
    </w:p>
    <w:p>
      <w:pPr>
        <w:pStyle w:val="Indenta"/>
        <w:rPr>
          <w:snapToGrid w:val="0"/>
        </w:rPr>
      </w:pPr>
      <w:r>
        <w:rPr>
          <w:snapToGrid w:val="0"/>
        </w:rPr>
        <w:tab/>
        <w:t>(b)</w:t>
      </w:r>
      <w:r>
        <w:rPr>
          <w:snapToGrid w:val="0"/>
        </w:rPr>
        <w:tab/>
        <w:t>pensions and additional payments payable under clause 6 of Schedule 3;</w:t>
      </w:r>
    </w:p>
    <w:p>
      <w:pPr>
        <w:pStyle w:val="Indenta"/>
        <w:rPr>
          <w:snapToGrid w:val="0"/>
        </w:rPr>
      </w:pPr>
      <w:r>
        <w:rPr>
          <w:snapToGrid w:val="0"/>
        </w:rPr>
        <w:tab/>
        <w:t>(c)</w:t>
      </w:r>
      <w:r>
        <w:rPr>
          <w:snapToGrid w:val="0"/>
        </w:rPr>
        <w:tab/>
        <w:t>the costs and expenses of conducting elections under clause 2 of Schedule 2;</w:t>
      </w:r>
    </w:p>
    <w:p>
      <w:pPr>
        <w:pStyle w:val="Indenta"/>
        <w:rPr>
          <w:snapToGrid w:val="0"/>
        </w:rPr>
      </w:pPr>
      <w:r>
        <w:rPr>
          <w:snapToGrid w:val="0"/>
        </w:rPr>
        <w:tab/>
        <w:t>(d)</w:t>
      </w:r>
      <w:r>
        <w:rPr>
          <w:snapToGrid w:val="0"/>
        </w:rPr>
        <w:tab/>
        <w:t>allowances to members of the Board under clause 13 of Schedule 2; and</w:t>
      </w:r>
    </w:p>
    <w:p>
      <w:pPr>
        <w:pStyle w:val="Indenta"/>
        <w:rPr>
          <w:snapToGrid w:val="0"/>
        </w:rPr>
      </w:pPr>
      <w:r>
        <w:rPr>
          <w:snapToGrid w:val="0"/>
        </w:rPr>
        <w:tab/>
        <w:t>(e)</w:t>
      </w:r>
      <w:r>
        <w:rPr>
          <w:snapToGrid w:val="0"/>
        </w:rPr>
        <w:tab/>
        <w:t>the costs and expenses of administering the Fund and the provisions of this Act relating to the Fund.</w:t>
      </w:r>
    </w:p>
    <w:p>
      <w:pPr>
        <w:pStyle w:val="Footnotesection"/>
      </w:pPr>
      <w:r>
        <w:tab/>
        <w:t>[Section 9 amended by No. 46 of 1995 s.9</w:t>
      </w:r>
      <w:ins w:id="118" w:author="svcMRProcess" w:date="2015-12-09T18:00:00Z">
        <w:r>
          <w:t>; No. 16 of 2006 s. 5</w:t>
        </w:r>
      </w:ins>
      <w:r>
        <w:t xml:space="preserve">.] </w:t>
      </w:r>
    </w:p>
    <w:p>
      <w:pPr>
        <w:pStyle w:val="Heading5"/>
        <w:rPr>
          <w:snapToGrid w:val="0"/>
        </w:rPr>
      </w:pPr>
      <w:bookmarkStart w:id="119" w:name="_Toc494852072"/>
      <w:bookmarkStart w:id="120" w:name="_Toc501513267"/>
      <w:bookmarkStart w:id="121" w:name="_Toc170125250"/>
      <w:bookmarkStart w:id="122" w:name="_Toc135718305"/>
      <w:r>
        <w:rPr>
          <w:rStyle w:val="CharSectno"/>
        </w:rPr>
        <w:t>10</w:t>
      </w:r>
      <w:r>
        <w:rPr>
          <w:snapToGrid w:val="0"/>
        </w:rPr>
        <w:t>.</w:t>
      </w:r>
      <w:r>
        <w:rPr>
          <w:snapToGrid w:val="0"/>
        </w:rPr>
        <w:tab/>
        <w:t>Functions and general powers of the Board</w:t>
      </w:r>
      <w:bookmarkEnd w:id="119"/>
      <w:bookmarkEnd w:id="120"/>
      <w:bookmarkEnd w:id="121"/>
      <w:bookmarkEnd w:id="122"/>
      <w:r>
        <w:rPr>
          <w:snapToGrid w:val="0"/>
        </w:rPr>
        <w:t xml:space="preserve"> </w:t>
      </w:r>
    </w:p>
    <w:p>
      <w:pPr>
        <w:pStyle w:val="Subsection"/>
        <w:rPr>
          <w:ins w:id="123" w:author="svcMRProcess" w:date="2015-12-09T18:00:00Z"/>
        </w:rPr>
      </w:pPr>
      <w:r>
        <w:tab/>
        <w:t>(1)</w:t>
      </w:r>
      <w:r>
        <w:tab/>
      </w:r>
      <w:del w:id="124" w:author="svcMRProcess" w:date="2015-12-09T18:00:00Z">
        <w:r>
          <w:rPr>
            <w:snapToGrid w:val="0"/>
          </w:rPr>
          <w:delText>Subject to section 10B, the</w:delText>
        </w:r>
      </w:del>
      <w:ins w:id="125" w:author="svcMRProcess" w:date="2015-12-09T18:00:00Z">
        <w:r>
          <w:t>The</w:t>
        </w:r>
      </w:ins>
      <w:r>
        <w:t xml:space="preserve"> functions of the Board are</w:t>
      </w:r>
      <w:del w:id="126" w:author="svcMRProcess" w:date="2015-12-09T18:00:00Z">
        <w:r>
          <w:rPr>
            <w:snapToGrid w:val="0"/>
          </w:rPr>
          <w:delText xml:space="preserve"> </w:delText>
        </w:r>
      </w:del>
      <w:ins w:id="127" w:author="svcMRProcess" w:date="2015-12-09T18:00:00Z">
        <w:r>
          <w:t> —</w:t>
        </w:r>
      </w:ins>
    </w:p>
    <w:p>
      <w:pPr>
        <w:pStyle w:val="Indenta"/>
        <w:rPr>
          <w:ins w:id="128" w:author="svcMRProcess" w:date="2015-12-09T18:00:00Z"/>
        </w:rPr>
      </w:pPr>
      <w:ins w:id="129" w:author="svcMRProcess" w:date="2015-12-09T18:00:00Z">
        <w:r>
          <w:tab/>
          <w:t>(a)</w:t>
        </w:r>
        <w:r>
          <w:tab/>
        </w:r>
      </w:ins>
      <w:r>
        <w:t>to administer, invest and manage the Fund</w:t>
      </w:r>
      <w:ins w:id="130" w:author="svcMRProcess" w:date="2015-12-09T18:00:00Z">
        <w:r>
          <w:t>; and</w:t>
        </w:r>
      </w:ins>
    </w:p>
    <w:p>
      <w:pPr>
        <w:pStyle w:val="Indenta"/>
      </w:pPr>
      <w:ins w:id="131" w:author="svcMRProcess" w:date="2015-12-09T18:00:00Z">
        <w:r>
          <w:tab/>
          <w:t>(b)</w:t>
        </w:r>
        <w:r>
          <w:tab/>
          <w:t>to perform any other functions conferred on the Board under any written law</w:t>
        </w:r>
      </w:ins>
      <w:r>
        <w:t>.</w:t>
      </w:r>
    </w:p>
    <w:p>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pPr>
        <w:pStyle w:val="Subsection"/>
        <w:rPr>
          <w:snapToGrid w:val="0"/>
        </w:rPr>
      </w:pPr>
      <w:r>
        <w:rPr>
          <w:snapToGrid w:val="0"/>
        </w:rPr>
        <w:tab/>
        <w:t>(3)</w:t>
      </w:r>
      <w:r>
        <w:rPr>
          <w:snapToGrid w:val="0"/>
        </w:rPr>
        <w:tab/>
        <w:t>Without limiting the generality of subsection (2) the Board may, subject to this Act — </w:t>
      </w:r>
    </w:p>
    <w:p>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pPr>
        <w:pStyle w:val="Indenta"/>
        <w:rPr>
          <w:snapToGrid w:val="0"/>
        </w:rPr>
      </w:pPr>
      <w:r>
        <w:rPr>
          <w:snapToGrid w:val="0"/>
        </w:rPr>
        <w:tab/>
        <w:t>(c)</w:t>
      </w:r>
      <w:r>
        <w:rPr>
          <w:snapToGrid w:val="0"/>
        </w:rPr>
        <w:tab/>
        <w:t>acquire or dispose of any property on such terms of payment as it thinks fit;</w:t>
      </w:r>
    </w:p>
    <w:p>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pPr>
        <w:pStyle w:val="Indenta"/>
        <w:rPr>
          <w:snapToGrid w:val="0"/>
        </w:rPr>
      </w:pPr>
      <w:r>
        <w:rPr>
          <w:snapToGrid w:val="0"/>
        </w:rPr>
        <w:tab/>
        <w:t>(j)</w:t>
      </w:r>
      <w:r>
        <w:rPr>
          <w:snapToGrid w:val="0"/>
        </w:rPr>
        <w:tab/>
        <w:t>lease, let out or hire for such periods and at such rentals as it thinks fit any property forming part of the Fund;</w:t>
      </w:r>
    </w:p>
    <w:p>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pPr>
        <w:pStyle w:val="Indenta"/>
        <w:rPr>
          <w:snapToGrid w:val="0"/>
        </w:rPr>
      </w:pPr>
      <w:r>
        <w:rPr>
          <w:snapToGrid w:val="0"/>
        </w:rPr>
        <w:tab/>
        <w:t>(l)</w:t>
      </w:r>
      <w:r>
        <w:rPr>
          <w:snapToGrid w:val="0"/>
        </w:rPr>
        <w:tab/>
        <w:t>expend such amounts in the development and improvement of any property forming part of the Fund as the Board thinks fit</w:t>
      </w:r>
      <w:del w:id="132" w:author="svcMRProcess" w:date="2015-12-09T18:00:00Z">
        <w:r>
          <w:rPr>
            <w:snapToGrid w:val="0"/>
          </w:rPr>
          <w:delText>.</w:delText>
        </w:r>
      </w:del>
      <w:ins w:id="133" w:author="svcMRProcess" w:date="2015-12-09T18:00:00Z">
        <w:r>
          <w:rPr>
            <w:snapToGrid w:val="0"/>
          </w:rPr>
          <w:t>;</w:t>
        </w:r>
      </w:ins>
    </w:p>
    <w:p>
      <w:pPr>
        <w:pStyle w:val="Indenta"/>
        <w:rPr>
          <w:ins w:id="134" w:author="svcMRProcess" w:date="2015-12-09T18:00:00Z"/>
        </w:rPr>
      </w:pPr>
      <w:ins w:id="135" w:author="svcMRProcess" w:date="2015-12-09T18:00:00Z">
        <w:r>
          <w:tab/>
          <w:t>(m)</w:t>
        </w:r>
        <w:r>
          <w:tab/>
          <w:t xml:space="preserve">promote and market the Fund; </w:t>
        </w:r>
      </w:ins>
    </w:p>
    <w:p>
      <w:pPr>
        <w:pStyle w:val="Indenta"/>
        <w:rPr>
          <w:ins w:id="136" w:author="svcMRProcess" w:date="2015-12-09T18:00:00Z"/>
        </w:rPr>
      </w:pPr>
      <w:ins w:id="137" w:author="svcMRProcess" w:date="2015-12-09T18:00:00Z">
        <w:r>
          <w:tab/>
          <w:t>(n)</w:t>
        </w:r>
        <w:r>
          <w:tab/>
          <w:t>conduct research relating to the Fund.</w:t>
        </w:r>
      </w:ins>
    </w:p>
    <w:p>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pPr>
        <w:pStyle w:val="Subsection"/>
        <w:rPr>
          <w:ins w:id="138" w:author="svcMRProcess" w:date="2015-12-09T18:00:00Z"/>
        </w:rPr>
      </w:pPr>
      <w:ins w:id="139" w:author="svcMRProcess" w:date="2015-12-09T18:00:00Z">
        <w:r>
          <w:tab/>
          <w:t>(5)</w:t>
        </w:r>
        <w:r>
          <w:tab/>
          <w:t>The Board may recover any money owing to the Fund —</w:t>
        </w:r>
      </w:ins>
    </w:p>
    <w:p>
      <w:pPr>
        <w:pStyle w:val="Indenta"/>
        <w:rPr>
          <w:ins w:id="140" w:author="svcMRProcess" w:date="2015-12-09T18:00:00Z"/>
        </w:rPr>
      </w:pPr>
      <w:ins w:id="141" w:author="svcMRProcess" w:date="2015-12-09T18:00:00Z">
        <w:r>
          <w:tab/>
          <w:t>(a)</w:t>
        </w:r>
        <w:r>
          <w:tab/>
          <w:t xml:space="preserve">in any court of competent jurisdiction as a debt due to the Board; </w:t>
        </w:r>
      </w:ins>
    </w:p>
    <w:p>
      <w:pPr>
        <w:pStyle w:val="Indenta"/>
        <w:rPr>
          <w:ins w:id="142" w:author="svcMRProcess" w:date="2015-12-09T18:00:00Z"/>
        </w:rPr>
      </w:pPr>
      <w:ins w:id="143" w:author="svcMRProcess" w:date="2015-12-09T18:00:00Z">
        <w:r>
          <w:tab/>
          <w:t>(b)</w:t>
        </w:r>
        <w:r>
          <w:tab/>
          <w:t>by deducting the amount owing from any amount that is, or becomes, payable from the Fund to the debtor;</w:t>
        </w:r>
      </w:ins>
    </w:p>
    <w:p>
      <w:pPr>
        <w:pStyle w:val="Indenta"/>
        <w:rPr>
          <w:ins w:id="144" w:author="svcMRProcess" w:date="2015-12-09T18:00:00Z"/>
        </w:rPr>
      </w:pPr>
      <w:ins w:id="145" w:author="svcMRProcess" w:date="2015-12-09T18:00:00Z">
        <w:r>
          <w:tab/>
          <w:t>(c)</w:t>
        </w:r>
        <w:r>
          <w:tab/>
          <w:t>if the money is owed by an employer, by entering into an arrangement for the satisfaction of the debt in such manner as the Board considers appropriate; or</w:t>
        </w:r>
      </w:ins>
    </w:p>
    <w:p>
      <w:pPr>
        <w:pStyle w:val="Indenta"/>
        <w:rPr>
          <w:ins w:id="146" w:author="svcMRProcess" w:date="2015-12-09T18:00:00Z"/>
        </w:rPr>
      </w:pPr>
      <w:ins w:id="147" w:author="svcMRProcess" w:date="2015-12-09T18:00:00Z">
        <w:r>
          <w:tab/>
          <w:t>(d)</w:t>
        </w:r>
        <w:r>
          <w:tab/>
          <w:t xml:space="preserve">if the money is owed by a member of the Fund who is employed by an employer, by directing that employer to deduct the amount owing from the member’s pay and to pay it to the Board. </w:t>
        </w:r>
      </w:ins>
    </w:p>
    <w:p>
      <w:pPr>
        <w:pStyle w:val="Subsection"/>
        <w:rPr>
          <w:ins w:id="148" w:author="svcMRProcess" w:date="2015-12-09T18:00:00Z"/>
        </w:rPr>
      </w:pPr>
      <w:ins w:id="149" w:author="svcMRProcess" w:date="2015-12-09T18:00:00Z">
        <w:r>
          <w:tab/>
          <w:t>(6)</w:t>
        </w:r>
        <w:r>
          <w:tab/>
          <w:t>An employer must comply with a direction given to it under subsection (5)(d).</w:t>
        </w:r>
      </w:ins>
    </w:p>
    <w:p>
      <w:pPr>
        <w:pStyle w:val="Subsection"/>
        <w:rPr>
          <w:ins w:id="150" w:author="svcMRProcess" w:date="2015-12-09T18:00:00Z"/>
        </w:rPr>
      </w:pPr>
      <w:ins w:id="151" w:author="svcMRProcess" w:date="2015-12-09T18:00:00Z">
        <w:r>
          <w:tab/>
          <w:t>(7)</w:t>
        </w:r>
        <w:r>
          <w:tab/>
          <w:t xml:space="preserve">In carrying out its functions the Board must, as far as practicable — </w:t>
        </w:r>
      </w:ins>
    </w:p>
    <w:p>
      <w:pPr>
        <w:pStyle w:val="Indenta"/>
        <w:rPr>
          <w:ins w:id="152" w:author="svcMRProcess" w:date="2015-12-09T18:00:00Z"/>
        </w:rPr>
      </w:pPr>
      <w:ins w:id="153" w:author="svcMRProcess" w:date="2015-12-09T18:00:00Z">
        <w:r>
          <w:tab/>
          <w:t>(a)</w:t>
        </w:r>
        <w:r>
          <w:tab/>
          <w:t>act in the best interests of members of the Fund;</w:t>
        </w:r>
      </w:ins>
    </w:p>
    <w:p>
      <w:pPr>
        <w:pStyle w:val="Indenta"/>
        <w:rPr>
          <w:ins w:id="154" w:author="svcMRProcess" w:date="2015-12-09T18:00:00Z"/>
        </w:rPr>
      </w:pPr>
      <w:ins w:id="155" w:author="svcMRProcess" w:date="2015-12-09T18:00:00Z">
        <w:r>
          <w:tab/>
          <w:t>(b)</w:t>
        </w:r>
        <w:r>
          <w:tab/>
          <w:t>ensure that members of the Fund and employers are fully informed of their rights and obligations under the Act; and</w:t>
        </w:r>
      </w:ins>
    </w:p>
    <w:p>
      <w:pPr>
        <w:pStyle w:val="Indenta"/>
        <w:rPr>
          <w:ins w:id="156" w:author="svcMRProcess" w:date="2015-12-09T18:00:00Z"/>
        </w:rPr>
      </w:pPr>
      <w:ins w:id="157" w:author="svcMRProcess" w:date="2015-12-09T18:00:00Z">
        <w:r>
          <w:tab/>
          <w:t>(c)</w:t>
        </w:r>
        <w:r>
          <w:tab/>
          <w:t>ensure equity between different categories of members of the Fund.</w:t>
        </w:r>
      </w:ins>
    </w:p>
    <w:p>
      <w:pPr>
        <w:pStyle w:val="Footnotesection"/>
      </w:pPr>
      <w:r>
        <w:tab/>
        <w:t>[Section 10 amended by No. 45 of 1994 ss.5 and 19</w:t>
      </w:r>
      <w:ins w:id="158" w:author="svcMRProcess" w:date="2015-12-09T18:00:00Z">
        <w:r>
          <w:t>; No. 16 of 2006 s. 6</w:t>
        </w:r>
      </w:ins>
      <w:r>
        <w:t xml:space="preserve">.] </w:t>
      </w:r>
    </w:p>
    <w:p>
      <w:pPr>
        <w:pStyle w:val="Heading5"/>
        <w:rPr>
          <w:snapToGrid w:val="0"/>
        </w:rPr>
      </w:pPr>
      <w:bookmarkStart w:id="159" w:name="_Toc494852073"/>
      <w:bookmarkStart w:id="160" w:name="_Toc501513268"/>
      <w:bookmarkStart w:id="161" w:name="_Toc170125251"/>
      <w:bookmarkStart w:id="162" w:name="_Toc135718306"/>
      <w:r>
        <w:rPr>
          <w:rStyle w:val="CharSectno"/>
        </w:rPr>
        <w:t>10A</w:t>
      </w:r>
      <w:r>
        <w:rPr>
          <w:snapToGrid w:val="0"/>
        </w:rPr>
        <w:t xml:space="preserve">. </w:t>
      </w:r>
      <w:r>
        <w:rPr>
          <w:snapToGrid w:val="0"/>
        </w:rPr>
        <w:tab/>
        <w:t>Compliance with SIS Act</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Board shall ensure that, so far as practicable — </w:t>
      </w:r>
    </w:p>
    <w:p>
      <w:pPr>
        <w:pStyle w:val="Indenta"/>
        <w:rPr>
          <w:snapToGrid w:val="0"/>
        </w:rPr>
      </w:pPr>
      <w:r>
        <w:rPr>
          <w:snapToGrid w:val="0"/>
        </w:rPr>
        <w:tab/>
        <w:t>(a)</w:t>
      </w:r>
      <w:r>
        <w:rPr>
          <w:snapToGrid w:val="0"/>
        </w:rPr>
        <w:tab/>
        <w:t>the requirements of the SIS Act are complied with so far as they relate to the Fund; and</w:t>
      </w:r>
    </w:p>
    <w:p>
      <w:pPr>
        <w:pStyle w:val="Indenta"/>
        <w:rPr>
          <w:snapToGrid w:val="0"/>
        </w:rPr>
      </w:pPr>
      <w:r>
        <w:rPr>
          <w:snapToGrid w:val="0"/>
        </w:rPr>
        <w:tab/>
        <w:t>(b)</w:t>
      </w:r>
      <w:r>
        <w:rPr>
          <w:snapToGrid w:val="0"/>
        </w:rPr>
        <w:tab/>
        <w:t>any direction given by the Commissioner under the SIS Act in relation to the Fund is complied with.</w:t>
      </w:r>
    </w:p>
    <w:p>
      <w:pPr>
        <w:pStyle w:val="Subsection"/>
        <w:rPr>
          <w:snapToGrid w:val="0"/>
        </w:rPr>
      </w:pPr>
      <w:r>
        <w:rPr>
          <w:snapToGrid w:val="0"/>
        </w:rPr>
        <w:tab/>
        <w:t>(2)</w:t>
      </w:r>
      <w:r>
        <w:rPr>
          <w:snapToGrid w:val="0"/>
        </w:rPr>
        <w:tab/>
        <w:t>The Board may do anything that is necessary or convenient to be done to enable it to comply with subsection (1).</w:t>
      </w:r>
    </w:p>
    <w:p>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pPr>
        <w:pStyle w:val="Subsection"/>
        <w:rPr>
          <w:snapToGrid w:val="0"/>
        </w:rPr>
      </w:pPr>
      <w:r>
        <w:rPr>
          <w:snapToGrid w:val="0"/>
        </w:rPr>
        <w:tab/>
        <w:t>(4)</w:t>
      </w:r>
      <w:r>
        <w:rPr>
          <w:snapToGrid w:val="0"/>
        </w:rPr>
        <w:tab/>
        <w:t>This section has effect notwithstanding any other provision of this Act.</w:t>
      </w:r>
    </w:p>
    <w:p>
      <w:pPr>
        <w:pStyle w:val="Footnotesection"/>
      </w:pPr>
      <w:r>
        <w:tab/>
        <w:t xml:space="preserve">[Section 10A inserted by No. 46 of 1995 s.10.] </w:t>
      </w:r>
    </w:p>
    <w:p>
      <w:pPr>
        <w:pStyle w:val="Heading5"/>
        <w:rPr>
          <w:snapToGrid w:val="0"/>
        </w:rPr>
      </w:pPr>
      <w:bookmarkStart w:id="163" w:name="_Toc494852074"/>
      <w:bookmarkStart w:id="164" w:name="_Toc501513269"/>
      <w:bookmarkStart w:id="165" w:name="_Toc170125252"/>
      <w:bookmarkStart w:id="166" w:name="_Toc135718307"/>
      <w:r>
        <w:rPr>
          <w:rStyle w:val="CharSectno"/>
        </w:rPr>
        <w:t>10AA</w:t>
      </w:r>
      <w:r>
        <w:rPr>
          <w:snapToGrid w:val="0"/>
        </w:rPr>
        <w:t xml:space="preserve">. </w:t>
      </w:r>
      <w:r>
        <w:rPr>
          <w:snapToGrid w:val="0"/>
        </w:rPr>
        <w:tab/>
        <w:t>Consent of Board to be obtained if required under SIS Act</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pPr>
        <w:pStyle w:val="Footnotesection"/>
      </w:pPr>
      <w:r>
        <w:tab/>
        <w:t xml:space="preserve">[Section 10AA inserted by No. 46 of 1995 s.10.] </w:t>
      </w:r>
    </w:p>
    <w:p>
      <w:pPr>
        <w:pStyle w:val="Heading5"/>
        <w:rPr>
          <w:snapToGrid w:val="0"/>
        </w:rPr>
      </w:pPr>
      <w:bookmarkStart w:id="167" w:name="_Toc494852075"/>
      <w:bookmarkStart w:id="168" w:name="_Toc501513270"/>
      <w:bookmarkStart w:id="169" w:name="_Toc170125253"/>
      <w:bookmarkStart w:id="170" w:name="_Toc135718308"/>
      <w:r>
        <w:rPr>
          <w:rStyle w:val="CharSectno"/>
        </w:rPr>
        <w:t>10B</w:t>
      </w:r>
      <w:r>
        <w:rPr>
          <w:snapToGrid w:val="0"/>
        </w:rPr>
        <w:t xml:space="preserve">. </w:t>
      </w:r>
      <w:r>
        <w:rPr>
          <w:snapToGrid w:val="0"/>
        </w:rPr>
        <w:tab/>
        <w:t>Board may administer Long Service Leave Fund on behalf of Commonwealth</w:t>
      </w:r>
      <w:bookmarkEnd w:id="167"/>
      <w:r>
        <w:rPr>
          <w:snapToGrid w:val="0"/>
        </w:rPr>
        <w:t xml:space="preserve"> Corporation</w:t>
      </w:r>
      <w:bookmarkEnd w:id="168"/>
      <w:bookmarkEnd w:id="169"/>
      <w:bookmarkEnd w:id="170"/>
      <w:r>
        <w:rPr>
          <w:snapToGrid w:val="0"/>
        </w:rPr>
        <w:t xml:space="preserve"> </w:t>
      </w:r>
    </w:p>
    <w:p>
      <w:pPr>
        <w:pStyle w:val="Subsection"/>
        <w:rPr>
          <w:snapToGrid w:val="0"/>
        </w:rPr>
      </w:pPr>
      <w:r>
        <w:rPr>
          <w:snapToGrid w:val="0"/>
        </w:rPr>
        <w:tab/>
        <w:t>(1)</w:t>
      </w:r>
      <w:r>
        <w:rPr>
          <w:snapToGrid w:val="0"/>
        </w:rPr>
        <w:tab/>
        <w:t>The Board may enter into a contract with the Corporation, to administer the Long Service Leave Fund on behalf of the Board of that Corporation.</w:t>
      </w:r>
    </w:p>
    <w:p>
      <w:pPr>
        <w:pStyle w:val="Subsection"/>
        <w:rPr>
          <w:snapToGrid w:val="0"/>
        </w:rPr>
      </w:pPr>
      <w:r>
        <w:rPr>
          <w:snapToGrid w:val="0"/>
        </w:rPr>
        <w:tab/>
        <w:t>(2)</w:t>
      </w:r>
      <w:r>
        <w:rPr>
          <w:snapToGrid w:val="0"/>
        </w:rPr>
        <w:tab/>
        <w:t>For the purpose of administering the Long Service Leave Fund pursuant to a contract entered into under subsection (1), the Board has such functions, duties and powers as are necessary or convenient to meet its obligations under that contract.</w:t>
      </w:r>
    </w:p>
    <w:p>
      <w:pPr>
        <w:pStyle w:val="Subsection"/>
        <w:rPr>
          <w:snapToGrid w:val="0"/>
        </w:rPr>
      </w:pPr>
      <w:r>
        <w:rPr>
          <w:snapToGrid w:val="0"/>
        </w:rPr>
        <w:tab/>
        <w:t>(3)</w:t>
      </w:r>
      <w:r>
        <w:rPr>
          <w:snapToGrid w:val="0"/>
        </w:rPr>
        <w:tab/>
        <w:t>Nothing in this section empowers the Board to exercise any of its functions and general powers under section 10 or 11 other than in relation to the Fund.</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Corporation</w:t>
      </w:r>
      <w:r>
        <w:rPr>
          <w:b/>
        </w:rPr>
        <w:t>”</w:t>
      </w:r>
      <w:r>
        <w:t xml:space="preserve"> means the Coal Mining Industry (Long Service Leave) Corporation, established under the </w:t>
      </w:r>
      <w:r>
        <w:rPr>
          <w:i/>
        </w:rPr>
        <w:t>Coal Mining Industry (Long Service Leave Funding) Act 1992</w:t>
      </w:r>
      <w:r>
        <w:t xml:space="preserve"> of the Commonwealth;</w:t>
      </w:r>
    </w:p>
    <w:p>
      <w:pPr>
        <w:pStyle w:val="Defstart"/>
      </w:pPr>
      <w:r>
        <w:rPr>
          <w:b/>
        </w:rPr>
        <w:tab/>
        <w:t>“</w:t>
      </w:r>
      <w:r>
        <w:rPr>
          <w:rStyle w:val="CharDefText"/>
        </w:rPr>
        <w:t>Long Service Leave Fund</w:t>
      </w:r>
      <w:r>
        <w:rPr>
          <w:b/>
        </w:rPr>
        <w:t>”</w:t>
      </w:r>
      <w:r>
        <w:t xml:space="preserve"> means the Coal Mining Industry (Long Service Leave) Fund, established under the </w:t>
      </w:r>
      <w:r>
        <w:rPr>
          <w:i/>
        </w:rPr>
        <w:t>Coal Mining Industry (Long Service Leave Funding) Act 1992</w:t>
      </w:r>
      <w:r>
        <w:t xml:space="preserve"> of the Commonwealth.</w:t>
      </w:r>
    </w:p>
    <w:p>
      <w:pPr>
        <w:pStyle w:val="Footnotesection"/>
      </w:pPr>
      <w:r>
        <w:tab/>
        <w:t xml:space="preserve">[Section 10B inserted by No. 45 of 1994 s.19.] </w:t>
      </w:r>
    </w:p>
    <w:p>
      <w:pPr>
        <w:pStyle w:val="Heading5"/>
        <w:rPr>
          <w:snapToGrid w:val="0"/>
        </w:rPr>
      </w:pPr>
      <w:bookmarkStart w:id="171" w:name="_Toc494852076"/>
      <w:bookmarkStart w:id="172" w:name="_Toc501513271"/>
      <w:bookmarkStart w:id="173" w:name="_Toc170125254"/>
      <w:bookmarkStart w:id="174" w:name="_Toc135718309"/>
      <w:r>
        <w:rPr>
          <w:rStyle w:val="CharSectno"/>
        </w:rPr>
        <w:t>11</w:t>
      </w:r>
      <w:r>
        <w:rPr>
          <w:snapToGrid w:val="0"/>
        </w:rPr>
        <w:t>.</w:t>
      </w:r>
      <w:r>
        <w:rPr>
          <w:snapToGrid w:val="0"/>
        </w:rPr>
        <w:tab/>
        <w:t>Power to invest</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pPr>
        <w:pStyle w:val="Ednotepara"/>
        <w:spacing w:before="80"/>
        <w:ind w:left="1610" w:hanging="1610"/>
        <w:rPr>
          <w:snapToGrid w:val="0"/>
        </w:rPr>
      </w:pPr>
      <w:r>
        <w:rPr>
          <w:snapToGrid w:val="0"/>
        </w:rPr>
        <w:tab/>
        <w:t xml:space="preserve">[(c) </w:t>
      </w:r>
      <w:r>
        <w:rPr>
          <w:snapToGrid w:val="0"/>
        </w:rPr>
        <w:tab/>
        <w:t xml:space="preserve">deleted] </w:t>
      </w:r>
    </w:p>
    <w:p>
      <w:pPr>
        <w:pStyle w:val="Indenta"/>
        <w:rPr>
          <w:snapToGrid w:val="0"/>
        </w:rPr>
      </w:pPr>
      <w:r>
        <w:rPr>
          <w:snapToGrid w:val="0"/>
        </w:rPr>
        <w:tab/>
        <w:t>(d)</w:t>
      </w:r>
      <w:r>
        <w:rPr>
          <w:snapToGrid w:val="0"/>
        </w:rPr>
        <w:tab/>
        <w:t>in any other investment, or class or kind of investment, approved by the Minister.</w:t>
      </w:r>
    </w:p>
    <w:p>
      <w:pPr>
        <w:pStyle w:val="Subsection"/>
        <w:rPr>
          <w:snapToGrid w:val="0"/>
        </w:rPr>
      </w:pPr>
      <w:r>
        <w:rPr>
          <w:snapToGrid w:val="0"/>
        </w:rPr>
        <w:tab/>
        <w:t>(2)</w:t>
      </w:r>
      <w:r>
        <w:rPr>
          <w:snapToGrid w:val="0"/>
        </w:rPr>
        <w:tab/>
        <w:t>An investment under this section may be made jointly or in association with any other person or persons.</w:t>
      </w:r>
    </w:p>
    <w:p>
      <w:pPr>
        <w:pStyle w:val="Subsection"/>
        <w:rPr>
          <w:snapToGrid w:val="0"/>
        </w:rPr>
      </w:pPr>
      <w:r>
        <w:rPr>
          <w:snapToGrid w:val="0"/>
        </w:rPr>
        <w:tab/>
        <w:t>(3)</w:t>
      </w:r>
      <w:r>
        <w:rPr>
          <w:snapToGrid w:val="0"/>
        </w:rPr>
        <w:tab/>
        <w:t>An investment shall not be made under subsection (1)(b) except in accordance with independent expert advice.</w:t>
      </w:r>
    </w:p>
    <w:p>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pPr>
        <w:pStyle w:val="Footnotesection"/>
      </w:pPr>
      <w:r>
        <w:tab/>
        <w:t xml:space="preserve">[Section 11 amended by No. 45 of 1994 s.7; No. 1 of 1997 s.18.] </w:t>
      </w:r>
    </w:p>
    <w:p>
      <w:pPr>
        <w:pStyle w:val="Heading5"/>
        <w:rPr>
          <w:snapToGrid w:val="0"/>
        </w:rPr>
      </w:pPr>
      <w:bookmarkStart w:id="175" w:name="_Toc494852077"/>
      <w:bookmarkStart w:id="176" w:name="_Toc501513272"/>
      <w:bookmarkStart w:id="177" w:name="_Toc170125255"/>
      <w:bookmarkStart w:id="178" w:name="_Toc135718310"/>
      <w:r>
        <w:rPr>
          <w:rStyle w:val="CharSectno"/>
        </w:rPr>
        <w:t>12</w:t>
      </w:r>
      <w:r>
        <w:rPr>
          <w:snapToGrid w:val="0"/>
        </w:rPr>
        <w:t>.</w:t>
      </w:r>
      <w:r>
        <w:rPr>
          <w:snapToGrid w:val="0"/>
        </w:rPr>
        <w:tab/>
        <w:t>Investment policy</w:t>
      </w:r>
      <w:bookmarkEnd w:id="175"/>
      <w:bookmarkEnd w:id="176"/>
      <w:bookmarkEnd w:id="177"/>
      <w:bookmarkEnd w:id="178"/>
      <w:r>
        <w:rPr>
          <w:snapToGrid w:val="0"/>
        </w:rPr>
        <w:t xml:space="preserve"> </w:t>
      </w:r>
    </w:p>
    <w:p>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pPr>
        <w:pStyle w:val="Heading5"/>
        <w:spacing w:before="200"/>
        <w:rPr>
          <w:snapToGrid w:val="0"/>
        </w:rPr>
      </w:pPr>
      <w:bookmarkStart w:id="179" w:name="_Toc494852078"/>
      <w:bookmarkStart w:id="180" w:name="_Toc501513273"/>
      <w:bookmarkStart w:id="181" w:name="_Toc170125256"/>
      <w:bookmarkStart w:id="182" w:name="_Toc135718311"/>
      <w:r>
        <w:rPr>
          <w:rStyle w:val="CharSectno"/>
        </w:rPr>
        <w:t>13</w:t>
      </w:r>
      <w:r>
        <w:rPr>
          <w:snapToGrid w:val="0"/>
        </w:rPr>
        <w:t>.</w:t>
      </w:r>
      <w:r>
        <w:rPr>
          <w:snapToGrid w:val="0"/>
        </w:rPr>
        <w:tab/>
        <w:t>Power to insure</w:t>
      </w:r>
      <w:bookmarkEnd w:id="179"/>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pPr>
        <w:pStyle w:val="Indenta"/>
        <w:rPr>
          <w:snapToGrid w:val="0"/>
        </w:rPr>
      </w:pPr>
      <w:r>
        <w:rPr>
          <w:snapToGrid w:val="0"/>
        </w:rPr>
        <w:tab/>
        <w:t>(b)</w:t>
      </w:r>
      <w:r>
        <w:rPr>
          <w:snapToGrid w:val="0"/>
        </w:rPr>
        <w:tab/>
        <w:t>pay out of the Fund all premiums under or in respect of policies referred to in paragraph (a).</w:t>
      </w:r>
    </w:p>
    <w:p>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pPr>
        <w:pStyle w:val="Subsection"/>
        <w:spacing w:before="120"/>
        <w:rPr>
          <w:snapToGrid w:val="0"/>
        </w:rPr>
      </w:pPr>
      <w:r>
        <w:rPr>
          <w:snapToGrid w:val="0"/>
        </w:rPr>
        <w:tab/>
        <w:t>(3)</w:t>
      </w:r>
      <w:r>
        <w:rPr>
          <w:snapToGrid w:val="0"/>
        </w:rPr>
        <w:tab/>
        <w:t>In this section —</w:t>
      </w:r>
    </w:p>
    <w:p>
      <w:pPr>
        <w:pStyle w:val="Defstart"/>
      </w:pPr>
      <w:r>
        <w:rPr>
          <w:b/>
        </w:rPr>
        <w:tab/>
        <w:t>“</w:t>
      </w:r>
      <w:r>
        <w:rPr>
          <w:rStyle w:val="CharDefText"/>
        </w:rPr>
        <w:t>effect</w:t>
      </w:r>
      <w:r>
        <w:rPr>
          <w:b/>
        </w:rPr>
        <w:t>”</w:t>
      </w:r>
      <w:r>
        <w:t xml:space="preserve"> includes acquire or take by assignment.</w:t>
      </w:r>
    </w:p>
    <w:p>
      <w:pPr>
        <w:pStyle w:val="Heading5"/>
        <w:spacing w:before="200"/>
        <w:rPr>
          <w:snapToGrid w:val="0"/>
        </w:rPr>
      </w:pPr>
      <w:bookmarkStart w:id="183" w:name="_Toc494852079"/>
      <w:bookmarkStart w:id="184" w:name="_Toc501513274"/>
      <w:bookmarkStart w:id="185" w:name="_Toc170125257"/>
      <w:bookmarkStart w:id="186" w:name="_Toc135718312"/>
      <w:r>
        <w:rPr>
          <w:rStyle w:val="CharSectno"/>
        </w:rPr>
        <w:t>14</w:t>
      </w:r>
      <w:r>
        <w:rPr>
          <w:snapToGrid w:val="0"/>
        </w:rPr>
        <w:t>.</w:t>
      </w:r>
      <w:r>
        <w:rPr>
          <w:snapToGrid w:val="0"/>
        </w:rPr>
        <w:tab/>
        <w:t>Board to have powers of trustee</w:t>
      </w:r>
      <w:bookmarkEnd w:id="183"/>
      <w:bookmarkEnd w:id="184"/>
      <w:bookmarkEnd w:id="185"/>
      <w:bookmarkEnd w:id="186"/>
      <w:r>
        <w:rPr>
          <w:snapToGrid w:val="0"/>
        </w:rPr>
        <w:t xml:space="preserve"> </w:t>
      </w:r>
    </w:p>
    <w:p>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pPr>
        <w:pStyle w:val="Heading5"/>
        <w:spacing w:before="200"/>
        <w:rPr>
          <w:snapToGrid w:val="0"/>
        </w:rPr>
      </w:pPr>
      <w:bookmarkStart w:id="187" w:name="_Toc494852080"/>
      <w:bookmarkStart w:id="188" w:name="_Toc501513275"/>
      <w:bookmarkStart w:id="189" w:name="_Toc170125258"/>
      <w:bookmarkStart w:id="190" w:name="_Toc135718313"/>
      <w:r>
        <w:rPr>
          <w:rStyle w:val="CharSectno"/>
        </w:rPr>
        <w:t>15</w:t>
      </w:r>
      <w:r>
        <w:rPr>
          <w:snapToGrid w:val="0"/>
        </w:rPr>
        <w:t>.</w:t>
      </w:r>
      <w:r>
        <w:rPr>
          <w:snapToGrid w:val="0"/>
        </w:rPr>
        <w:tab/>
        <w:t>Discretionary exercise of powers</w:t>
      </w:r>
      <w:bookmarkEnd w:id="187"/>
      <w:bookmarkEnd w:id="188"/>
      <w:bookmarkEnd w:id="189"/>
      <w:bookmarkEnd w:id="190"/>
      <w:r>
        <w:rPr>
          <w:snapToGrid w:val="0"/>
        </w:rPr>
        <w:t xml:space="preserve"> </w:t>
      </w:r>
    </w:p>
    <w:p>
      <w:pPr>
        <w:pStyle w:val="Subsection"/>
        <w:spacing w:before="120"/>
        <w:rPr>
          <w:snapToGrid w:val="0"/>
        </w:rPr>
      </w:pPr>
      <w:r>
        <w:rPr>
          <w:snapToGrid w:val="0"/>
        </w:rPr>
        <w:tab/>
      </w:r>
      <w:r>
        <w:rPr>
          <w:snapToGrid w:val="0"/>
        </w:rPr>
        <w:tab/>
        <w:t>Subject to section 12 the powers conferred on the Board under this Act or by any other law — </w:t>
      </w:r>
    </w:p>
    <w:p>
      <w:pPr>
        <w:pStyle w:val="Indenta"/>
        <w:rPr>
          <w:snapToGrid w:val="0"/>
        </w:rPr>
      </w:pPr>
      <w:r>
        <w:rPr>
          <w:snapToGrid w:val="0"/>
        </w:rPr>
        <w:tab/>
        <w:t>(a)</w:t>
      </w:r>
      <w:r>
        <w:rPr>
          <w:snapToGrid w:val="0"/>
        </w:rPr>
        <w:tab/>
        <w:t>may be exercised by the Board in such circumstances, in such manner and on such terms and conditions as the Board thinks fit;</w:t>
      </w:r>
    </w:p>
    <w:p>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pPr>
        <w:pStyle w:val="Heading5"/>
        <w:spacing w:before="200"/>
        <w:rPr>
          <w:snapToGrid w:val="0"/>
        </w:rPr>
      </w:pPr>
      <w:bookmarkStart w:id="191" w:name="_Toc494852081"/>
      <w:bookmarkStart w:id="192" w:name="_Toc501513276"/>
      <w:bookmarkStart w:id="193" w:name="_Toc170125259"/>
      <w:bookmarkStart w:id="194" w:name="_Toc135718314"/>
      <w:r>
        <w:rPr>
          <w:rStyle w:val="CharSectno"/>
        </w:rPr>
        <w:t>16</w:t>
      </w:r>
      <w:r>
        <w:rPr>
          <w:snapToGrid w:val="0"/>
        </w:rPr>
        <w:t>.</w:t>
      </w:r>
      <w:r>
        <w:rPr>
          <w:snapToGrid w:val="0"/>
        </w:rPr>
        <w:tab/>
        <w:t>Delegation</w:t>
      </w:r>
      <w:bookmarkEnd w:id="191"/>
      <w:bookmarkEnd w:id="192"/>
      <w:bookmarkEnd w:id="193"/>
      <w:bookmarkEnd w:id="194"/>
      <w:r>
        <w:rPr>
          <w:snapToGrid w:val="0"/>
        </w:rPr>
        <w:t xml:space="preserve"> </w:t>
      </w:r>
    </w:p>
    <w:p>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pPr>
        <w:pStyle w:val="Heading5"/>
        <w:spacing w:before="200"/>
        <w:rPr>
          <w:snapToGrid w:val="0"/>
        </w:rPr>
      </w:pPr>
      <w:bookmarkStart w:id="195" w:name="_Toc494852082"/>
      <w:bookmarkStart w:id="196" w:name="_Toc501513277"/>
      <w:bookmarkStart w:id="197" w:name="_Toc170125260"/>
      <w:bookmarkStart w:id="198" w:name="_Toc135718315"/>
      <w:r>
        <w:rPr>
          <w:rStyle w:val="CharSectno"/>
        </w:rPr>
        <w:t>17</w:t>
      </w:r>
      <w:r>
        <w:rPr>
          <w:snapToGrid w:val="0"/>
        </w:rPr>
        <w:t>.</w:t>
      </w:r>
      <w:r>
        <w:rPr>
          <w:snapToGrid w:val="0"/>
        </w:rPr>
        <w:tab/>
        <w:t>Power to make determinations</w:t>
      </w:r>
      <w:bookmarkEnd w:id="195"/>
      <w:bookmarkEnd w:id="196"/>
      <w:bookmarkEnd w:id="197"/>
      <w:bookmarkEnd w:id="198"/>
      <w:r>
        <w:rPr>
          <w:snapToGrid w:val="0"/>
        </w:rPr>
        <w:t xml:space="preserve"> </w:t>
      </w:r>
    </w:p>
    <w:p>
      <w:pPr>
        <w:pStyle w:val="Subsection"/>
        <w:spacing w:before="140"/>
        <w:rPr>
          <w:snapToGrid w:val="0"/>
        </w:rPr>
      </w:pPr>
      <w:r>
        <w:rPr>
          <w:snapToGrid w:val="0"/>
        </w:rPr>
        <w:tab/>
      </w:r>
      <w:r>
        <w:rPr>
          <w:snapToGrid w:val="0"/>
        </w:rPr>
        <w:tab/>
        <w:t>The Board shall determine all questions or issues of doubt or difficulty in relation to — </w:t>
      </w:r>
    </w:p>
    <w:p>
      <w:pPr>
        <w:pStyle w:val="Indenta"/>
        <w:spacing w:before="60"/>
        <w:rPr>
          <w:snapToGrid w:val="0"/>
        </w:rPr>
      </w:pPr>
      <w:r>
        <w:rPr>
          <w:snapToGrid w:val="0"/>
        </w:rPr>
        <w:tab/>
        <w:t>(a)</w:t>
      </w:r>
      <w:r>
        <w:rPr>
          <w:snapToGrid w:val="0"/>
        </w:rPr>
        <w:tab/>
        <w:t>the interpretation of any of the provisions of this Act relating to the Fund;</w:t>
      </w:r>
    </w:p>
    <w:p>
      <w:pPr>
        <w:pStyle w:val="Indenta"/>
        <w:spacing w:before="60"/>
        <w:rPr>
          <w:snapToGrid w:val="0"/>
        </w:rPr>
      </w:pPr>
      <w:r>
        <w:rPr>
          <w:snapToGrid w:val="0"/>
        </w:rPr>
        <w:tab/>
        <w:t>(b)</w:t>
      </w:r>
      <w:r>
        <w:rPr>
          <w:snapToGrid w:val="0"/>
        </w:rPr>
        <w:tab/>
        <w:t>the rights of the members of the Fund under this Act; or</w:t>
      </w:r>
    </w:p>
    <w:p>
      <w:pPr>
        <w:pStyle w:val="Indenta"/>
        <w:spacing w:before="60"/>
        <w:rPr>
          <w:snapToGrid w:val="0"/>
        </w:rPr>
      </w:pPr>
      <w:r>
        <w:rPr>
          <w:snapToGrid w:val="0"/>
        </w:rPr>
        <w:tab/>
        <w:t>(c)</w:t>
      </w:r>
      <w:r>
        <w:rPr>
          <w:snapToGrid w:val="0"/>
        </w:rPr>
        <w:tab/>
        <w:t>the management and administration of the Fund or the performance of the functions conferred on the Board.</w:t>
      </w:r>
    </w:p>
    <w:p>
      <w:pPr>
        <w:pStyle w:val="Heading5"/>
        <w:spacing w:before="200"/>
        <w:rPr>
          <w:snapToGrid w:val="0"/>
        </w:rPr>
      </w:pPr>
      <w:bookmarkStart w:id="199" w:name="_Toc494852083"/>
      <w:bookmarkStart w:id="200" w:name="_Toc501513278"/>
      <w:bookmarkStart w:id="201" w:name="_Toc170125261"/>
      <w:bookmarkStart w:id="202" w:name="_Toc135718316"/>
      <w:r>
        <w:rPr>
          <w:rStyle w:val="CharSectno"/>
        </w:rPr>
        <w:t>18</w:t>
      </w:r>
      <w:r>
        <w:rPr>
          <w:snapToGrid w:val="0"/>
        </w:rPr>
        <w:t>.</w:t>
      </w:r>
      <w:r>
        <w:rPr>
          <w:snapToGrid w:val="0"/>
        </w:rPr>
        <w:tab/>
        <w:t>Appointment of investment managers</w:t>
      </w:r>
      <w:bookmarkEnd w:id="199"/>
      <w:bookmarkEnd w:id="200"/>
      <w:bookmarkEnd w:id="201"/>
      <w:bookmarkEnd w:id="202"/>
      <w:r>
        <w:rPr>
          <w:snapToGrid w:val="0"/>
        </w:rPr>
        <w:t xml:space="preserve"> </w:t>
      </w:r>
    </w:p>
    <w:p>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pPr>
        <w:pStyle w:val="Footnotesection"/>
        <w:spacing w:before="100"/>
        <w:ind w:left="890" w:hanging="890"/>
      </w:pPr>
      <w:r>
        <w:tab/>
        <w:t xml:space="preserve">[Section 18 amended by No. 46 of 1995 s.11.] </w:t>
      </w:r>
    </w:p>
    <w:p>
      <w:pPr>
        <w:pStyle w:val="Heading5"/>
        <w:rPr>
          <w:snapToGrid w:val="0"/>
        </w:rPr>
      </w:pPr>
      <w:bookmarkStart w:id="203" w:name="_Toc494852084"/>
      <w:bookmarkStart w:id="204" w:name="_Toc501513279"/>
      <w:bookmarkStart w:id="205" w:name="_Toc170125262"/>
      <w:bookmarkStart w:id="206" w:name="_Toc135718317"/>
      <w:r>
        <w:rPr>
          <w:rStyle w:val="CharSectno"/>
        </w:rPr>
        <w:t>19</w:t>
      </w:r>
      <w:r>
        <w:rPr>
          <w:snapToGrid w:val="0"/>
        </w:rPr>
        <w:t>.</w:t>
      </w:r>
      <w:r>
        <w:rPr>
          <w:snapToGrid w:val="0"/>
        </w:rPr>
        <w:tab/>
        <w:t>Appointment of Administration Manager</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Board shall, by instrument in writing, appoint an Administration Manager of the Board.</w:t>
      </w:r>
    </w:p>
    <w:p>
      <w:pPr>
        <w:pStyle w:val="Subsection"/>
        <w:rPr>
          <w:snapToGrid w:val="0"/>
        </w:rPr>
      </w:pPr>
      <w:r>
        <w:rPr>
          <w:snapToGrid w:val="0"/>
        </w:rPr>
        <w:tab/>
        <w:t>(2)</w:t>
      </w:r>
      <w:r>
        <w:rPr>
          <w:snapToGrid w:val="0"/>
        </w:rPr>
        <w:tab/>
        <w:t>The Administration Manager shall perform such duties and have such powers as the Board may from time to time determine.</w:t>
      </w:r>
    </w:p>
    <w:p>
      <w:pPr>
        <w:pStyle w:val="Footnotesection"/>
      </w:pPr>
      <w:r>
        <w:tab/>
        <w:t xml:space="preserve">[Section 19 inserted by No. 45 of 1994 s.8; amended by No. 46 of 1995 s.12.] </w:t>
      </w:r>
    </w:p>
    <w:p>
      <w:pPr>
        <w:pStyle w:val="Heading5"/>
      </w:pPr>
      <w:bookmarkStart w:id="207" w:name="_Toc170125263"/>
      <w:bookmarkStart w:id="208" w:name="_Toc494852085"/>
      <w:bookmarkStart w:id="209" w:name="_Toc501513280"/>
      <w:bookmarkStart w:id="210" w:name="_Toc135718318"/>
      <w:bookmarkStart w:id="211" w:name="_Toc494852086"/>
      <w:bookmarkStart w:id="212" w:name="_Toc501513281"/>
      <w:r>
        <w:rPr>
          <w:rStyle w:val="CharSectno"/>
        </w:rPr>
        <w:t>20</w:t>
      </w:r>
      <w:r>
        <w:t>.</w:t>
      </w:r>
      <w:r>
        <w:tab/>
        <w:t>Appointment of actuary</w:t>
      </w:r>
      <w:bookmarkEnd w:id="207"/>
      <w:bookmarkEnd w:id="208"/>
      <w:bookmarkEnd w:id="209"/>
      <w:bookmarkEnd w:id="210"/>
      <w:del w:id="213" w:author="svcMRProcess" w:date="2015-12-09T18:00:00Z">
        <w:r>
          <w:rPr>
            <w:snapToGrid w:val="0"/>
          </w:rPr>
          <w:delText xml:space="preserve"> </w:delText>
        </w:r>
      </w:del>
    </w:p>
    <w:p>
      <w:pPr>
        <w:pStyle w:val="Subsection"/>
      </w:pPr>
      <w:r>
        <w:tab/>
      </w:r>
      <w:r>
        <w:tab/>
        <w:t xml:space="preserve">The Board </w:t>
      </w:r>
      <w:del w:id="214" w:author="svcMRProcess" w:date="2015-12-09T18:00:00Z">
        <w:r>
          <w:rPr>
            <w:snapToGrid w:val="0"/>
          </w:rPr>
          <w:delText>shall</w:delText>
        </w:r>
      </w:del>
      <w:ins w:id="215" w:author="svcMRProcess" w:date="2015-12-09T18:00:00Z">
        <w:r>
          <w:t>is to</w:t>
        </w:r>
      </w:ins>
      <w:r>
        <w:t xml:space="preserve"> appoint as the actuary to the Fund </w:t>
      </w:r>
      <w:del w:id="216" w:author="svcMRProcess" w:date="2015-12-09T18:00:00Z">
        <w:r>
          <w:rPr>
            <w:snapToGrid w:val="0"/>
          </w:rPr>
          <w:delText>any</w:delText>
        </w:r>
      </w:del>
      <w:ins w:id="217" w:author="svcMRProcess" w:date="2015-12-09T18:00:00Z">
        <w:r>
          <w:t>a</w:t>
        </w:r>
      </w:ins>
      <w:r>
        <w:t xml:space="preserve"> person who is</w:t>
      </w:r>
      <w:del w:id="218" w:author="svcMRProcess" w:date="2015-12-09T18:00:00Z">
        <w:r>
          <w:rPr>
            <w:snapToGrid w:val="0"/>
          </w:rPr>
          <w:delText>, or any firm a member of which is,</w:delText>
        </w:r>
      </w:del>
      <w:r>
        <w:t xml:space="preserve"> a Fellow </w:t>
      </w:r>
      <w:ins w:id="219" w:author="svcMRProcess" w:date="2015-12-09T18:00:00Z">
        <w:r>
          <w:t xml:space="preserve">or Accredited Member </w:t>
        </w:r>
      </w:ins>
      <w:r>
        <w:t>of the Institute of Actuaries of Australia</w:t>
      </w:r>
      <w:del w:id="220" w:author="svcMRProcess" w:date="2015-12-09T18:00:00Z">
        <w:r>
          <w:rPr>
            <w:snapToGrid w:val="0"/>
          </w:rPr>
          <w:delText xml:space="preserve"> or any body formed in reconstruction of or in succession to that Institute</w:delText>
        </w:r>
      </w:del>
      <w:r>
        <w:t>.</w:t>
      </w:r>
    </w:p>
    <w:p>
      <w:pPr>
        <w:pStyle w:val="Footnotesection"/>
        <w:rPr>
          <w:ins w:id="221" w:author="svcMRProcess" w:date="2015-12-09T18:00:00Z"/>
        </w:rPr>
      </w:pPr>
      <w:ins w:id="222" w:author="svcMRProcess" w:date="2015-12-09T18:00:00Z">
        <w:r>
          <w:tab/>
          <w:t>[Section 20 amended by No. 16 of 2006 s. 7.]</w:t>
        </w:r>
      </w:ins>
    </w:p>
    <w:p>
      <w:pPr>
        <w:pStyle w:val="Heading5"/>
        <w:rPr>
          <w:snapToGrid w:val="0"/>
        </w:rPr>
      </w:pPr>
      <w:bookmarkStart w:id="223" w:name="_Toc170125264"/>
      <w:bookmarkStart w:id="224" w:name="_Toc135718319"/>
      <w:r>
        <w:rPr>
          <w:rStyle w:val="CharSectno"/>
        </w:rPr>
        <w:t>21</w:t>
      </w:r>
      <w:r>
        <w:rPr>
          <w:snapToGrid w:val="0"/>
        </w:rPr>
        <w:t>.</w:t>
      </w:r>
      <w:r>
        <w:rPr>
          <w:snapToGrid w:val="0"/>
        </w:rPr>
        <w:tab/>
        <w:t>Officers of the Board</w:t>
      </w:r>
      <w:bookmarkEnd w:id="211"/>
      <w:bookmarkEnd w:id="212"/>
      <w:bookmarkEnd w:id="223"/>
      <w:bookmarkEnd w:id="224"/>
      <w:r>
        <w:rPr>
          <w:snapToGrid w:val="0"/>
        </w:rPr>
        <w:t xml:space="preserve"> </w:t>
      </w:r>
    </w:p>
    <w:p>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pPr>
        <w:pStyle w:val="Subsection"/>
        <w:rPr>
          <w:snapToGrid w:val="0"/>
        </w:rPr>
      </w:pPr>
      <w:r>
        <w:rPr>
          <w:snapToGrid w:val="0"/>
        </w:rPr>
        <w:tab/>
        <w:t>(4)</w:t>
      </w:r>
      <w:r>
        <w:rPr>
          <w:snapToGrid w:val="0"/>
        </w:rPr>
        <w:tab/>
        <w:t>If an officer appointed by the Board was an officer of the Public Service of the State at the time of appointment — </w:t>
      </w:r>
    </w:p>
    <w:p>
      <w:pPr>
        <w:pStyle w:val="Indenta"/>
        <w:rPr>
          <w:snapToGrid w:val="0"/>
        </w:rPr>
      </w:pPr>
      <w:r>
        <w:rPr>
          <w:snapToGrid w:val="0"/>
        </w:rPr>
        <w:tab/>
        <w:t>(a)</w:t>
      </w:r>
      <w:r>
        <w:rPr>
          <w:snapToGrid w:val="0"/>
        </w:rPr>
        <w:tab/>
        <w:t xml:space="preserve">the appointment does not affect or prejudice the application to that person of the provisions </w:t>
      </w:r>
      <w:r>
        <w:t xml:space="preserve">of </w:t>
      </w:r>
      <w:del w:id="225" w:author="svcMRProcess" w:date="2015-12-09T18:00:00Z">
        <w:r>
          <w:rPr>
            <w:snapToGrid w:val="0"/>
          </w:rPr>
          <w:delText xml:space="preserve">the </w:delText>
        </w:r>
      </w:del>
      <w:r>
        <w:t>Part</w:t>
      </w:r>
      <w:del w:id="226" w:author="svcMRProcess" w:date="2015-12-09T18:00:00Z">
        <w:r>
          <w:rPr>
            <w:snapToGrid w:val="0"/>
          </w:rPr>
          <w:delText xml:space="preserve"> </w:delText>
        </w:r>
      </w:del>
      <w:ins w:id="227" w:author="svcMRProcess" w:date="2015-12-09T18:00:00Z">
        <w:r>
          <w:t> </w:t>
        </w:r>
      </w:ins>
      <w:r>
        <w:t xml:space="preserve">3 </w:t>
      </w:r>
      <w:r>
        <w:rPr>
          <w:snapToGrid w:val="0"/>
        </w:rPr>
        <w:t xml:space="preserve">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pPr>
        <w:pStyle w:val="Footnotesection"/>
      </w:pPr>
      <w:r>
        <w:tab/>
        <w:t>[Section 21 amended by No. 32 of 1994 s.19; No. 45 of 1994 s.9; No. 46 of 1995 s.</w:t>
      </w:r>
      <w:del w:id="228" w:author="svcMRProcess" w:date="2015-12-09T18:00:00Z">
        <w:r>
          <w:delText>13</w:delText>
        </w:r>
      </w:del>
      <w:ins w:id="229" w:author="svcMRProcess" w:date="2015-12-09T18:00:00Z">
        <w:r>
          <w:t> 13; No. 16 of 2006 s. 8</w:t>
        </w:r>
      </w:ins>
      <w:r>
        <w:t xml:space="preserve">.] </w:t>
      </w:r>
    </w:p>
    <w:p>
      <w:pPr>
        <w:pStyle w:val="Heading5"/>
        <w:rPr>
          <w:del w:id="230" w:author="svcMRProcess" w:date="2015-12-09T18:00:00Z"/>
          <w:snapToGrid w:val="0"/>
        </w:rPr>
      </w:pPr>
      <w:bookmarkStart w:id="231" w:name="_Toc494852088"/>
      <w:bookmarkStart w:id="232" w:name="_Toc501513283"/>
      <w:ins w:id="233" w:author="svcMRProcess" w:date="2015-12-09T18:00:00Z">
        <w:r>
          <w:t>[</w:t>
        </w:r>
      </w:ins>
      <w:bookmarkStart w:id="234" w:name="_Toc494852087"/>
      <w:bookmarkStart w:id="235" w:name="_Toc501513282"/>
      <w:bookmarkStart w:id="236" w:name="_Toc135718320"/>
      <w:r>
        <w:rPr>
          <w:bCs/>
        </w:rPr>
        <w:t>22.</w:t>
      </w:r>
      <w:r>
        <w:tab/>
      </w:r>
      <w:del w:id="237" w:author="svcMRProcess" w:date="2015-12-09T18:00:00Z">
        <w:r>
          <w:rPr>
            <w:snapToGrid w:val="0"/>
          </w:rPr>
          <w:delText>Assistance from State</w:delText>
        </w:r>
        <w:bookmarkEnd w:id="234"/>
        <w:bookmarkEnd w:id="235"/>
        <w:bookmarkEnd w:id="236"/>
        <w:r>
          <w:rPr>
            <w:snapToGrid w:val="0"/>
          </w:rPr>
          <w:delText xml:space="preserve"> </w:delText>
        </w:r>
      </w:del>
    </w:p>
    <w:p>
      <w:pPr>
        <w:pStyle w:val="Subsection"/>
        <w:rPr>
          <w:del w:id="238" w:author="svcMRProcess" w:date="2015-12-09T18:00:00Z"/>
          <w:snapToGrid w:val="0"/>
        </w:rPr>
      </w:pPr>
      <w:del w:id="239" w:author="svcMRProcess" w:date="2015-12-09T18:00:00Z">
        <w:r>
          <w:rPr>
            <w:snapToGrid w:val="0"/>
          </w:rPr>
          <w:tab/>
        </w:r>
        <w:r>
          <w:rPr>
            <w:snapToGrid w:val="0"/>
          </w:rPr>
          <w:tab/>
          <w:delText xml:space="preserve">The Board may, on such terms and conditions as may be agreed by the Board with the Minister and the relevant employing authority within the meaning of the </w:delText>
        </w:r>
        <w:r>
          <w:rPr>
            <w:i/>
            <w:snapToGrid w:val="0"/>
          </w:rPr>
          <w:delText>Public Sector Management Act 1994</w:delText>
        </w:r>
        <w:r>
          <w:rPr>
            <w:snapToGrid w:val="0"/>
          </w:rPr>
          <w:delText>, make use, either full</w:delText>
        </w:r>
        <w:r>
          <w:rPr>
            <w:snapToGrid w:val="0"/>
          </w:rPr>
          <w:noBreakHyphen/>
          <w:delText>time or part</w:delText>
        </w:r>
        <w:r>
          <w:rPr>
            <w:snapToGrid w:val="0"/>
          </w:rPr>
          <w:noBreakHyphen/>
          <w:delText>time, of — </w:delText>
        </w:r>
      </w:del>
    </w:p>
    <w:p>
      <w:pPr>
        <w:pStyle w:val="Indenta"/>
        <w:rPr>
          <w:del w:id="240" w:author="svcMRProcess" w:date="2015-12-09T18:00:00Z"/>
          <w:snapToGrid w:val="0"/>
        </w:rPr>
      </w:pPr>
      <w:del w:id="241" w:author="svcMRProcess" w:date="2015-12-09T18:00:00Z">
        <w:r>
          <w:rPr>
            <w:snapToGrid w:val="0"/>
          </w:rPr>
          <w:tab/>
          <w:delText>(a)</w:delText>
        </w:r>
        <w:r>
          <w:rPr>
            <w:snapToGrid w:val="0"/>
          </w:rPr>
          <w:tab/>
          <w:delText>the services of any officer or employee employed in the Public Service of the State or in a State agency or instrumentality or otherwise in the service of the Crown in right of the State; and</w:delText>
        </w:r>
      </w:del>
    </w:p>
    <w:p>
      <w:pPr>
        <w:pStyle w:val="Indenta"/>
        <w:rPr>
          <w:del w:id="242" w:author="svcMRProcess" w:date="2015-12-09T18:00:00Z"/>
          <w:snapToGrid w:val="0"/>
        </w:rPr>
      </w:pPr>
      <w:del w:id="243" w:author="svcMRProcess" w:date="2015-12-09T18:00:00Z">
        <w:r>
          <w:rPr>
            <w:snapToGrid w:val="0"/>
          </w:rPr>
          <w:tab/>
          <w:delText>(b)</w:delText>
        </w:r>
        <w:r>
          <w:rPr>
            <w:snapToGrid w:val="0"/>
          </w:rPr>
          <w:tab/>
          <w:delText>any facilities, plant, machinery or equipment of a department of the Public Service of the State or a State agency or instrumentality,</w:delText>
        </w:r>
      </w:del>
    </w:p>
    <w:p>
      <w:pPr>
        <w:pStyle w:val="Subsection"/>
        <w:rPr>
          <w:del w:id="244" w:author="svcMRProcess" w:date="2015-12-09T18:00:00Z"/>
          <w:snapToGrid w:val="0"/>
        </w:rPr>
      </w:pPr>
      <w:del w:id="245" w:author="svcMRProcess" w:date="2015-12-09T18:00:00Z">
        <w:r>
          <w:rPr>
            <w:snapToGrid w:val="0"/>
          </w:rPr>
          <w:tab/>
        </w:r>
        <w:r>
          <w:rPr>
            <w:snapToGrid w:val="0"/>
          </w:rPr>
          <w:tab/>
          <w:delText>for a period ending 12 months after the coming into operation of this Act, and thereafter, at the request of the Board, for such further period or periods as the Minister may determine.</w:delText>
        </w:r>
      </w:del>
    </w:p>
    <w:p>
      <w:pPr>
        <w:pStyle w:val="Ednotesection"/>
      </w:pPr>
      <w:del w:id="246" w:author="svcMRProcess" w:date="2015-12-09T18:00:00Z">
        <w:r>
          <w:tab/>
          <w:delText>[Section 22 amended</w:delText>
        </w:r>
      </w:del>
      <w:ins w:id="247" w:author="svcMRProcess" w:date="2015-12-09T18:00:00Z">
        <w:r>
          <w:t>Repealed</w:t>
        </w:r>
      </w:ins>
      <w:r>
        <w:t xml:space="preserve"> by No. </w:t>
      </w:r>
      <w:del w:id="248" w:author="svcMRProcess" w:date="2015-12-09T18:00:00Z">
        <w:r>
          <w:delText>32</w:delText>
        </w:r>
      </w:del>
      <w:ins w:id="249" w:author="svcMRProcess" w:date="2015-12-09T18:00:00Z">
        <w:r>
          <w:t>16</w:t>
        </w:r>
      </w:ins>
      <w:r>
        <w:t xml:space="preserve"> of </w:t>
      </w:r>
      <w:del w:id="250" w:author="svcMRProcess" w:date="2015-12-09T18:00:00Z">
        <w:r>
          <w:delText>1994</w:delText>
        </w:r>
      </w:del>
      <w:ins w:id="251" w:author="svcMRProcess" w:date="2015-12-09T18:00:00Z">
        <w:r>
          <w:t>2006</w:t>
        </w:r>
      </w:ins>
      <w:r>
        <w:t xml:space="preserve"> s.</w:t>
      </w:r>
      <w:del w:id="252" w:author="svcMRProcess" w:date="2015-12-09T18:00:00Z">
        <w:r>
          <w:delText xml:space="preserve">19.] </w:delText>
        </w:r>
      </w:del>
      <w:ins w:id="253" w:author="svcMRProcess" w:date="2015-12-09T18:00:00Z">
        <w:r>
          <w:t> 9.]</w:t>
        </w:r>
      </w:ins>
    </w:p>
    <w:p>
      <w:pPr>
        <w:pStyle w:val="Heading5"/>
        <w:rPr>
          <w:snapToGrid w:val="0"/>
        </w:rPr>
      </w:pPr>
      <w:bookmarkStart w:id="254" w:name="_Toc170125265"/>
      <w:bookmarkStart w:id="255" w:name="_Toc135718321"/>
      <w:r>
        <w:rPr>
          <w:rStyle w:val="CharSectno"/>
        </w:rPr>
        <w:t>23</w:t>
      </w:r>
      <w:r>
        <w:rPr>
          <w:snapToGrid w:val="0"/>
        </w:rPr>
        <w:t>.</w:t>
      </w:r>
      <w:r>
        <w:rPr>
          <w:snapToGrid w:val="0"/>
        </w:rPr>
        <w:tab/>
        <w:t>Actuarial review</w:t>
      </w:r>
      <w:bookmarkEnd w:id="231"/>
      <w:bookmarkEnd w:id="232"/>
      <w:bookmarkEnd w:id="254"/>
      <w:bookmarkEnd w:id="255"/>
      <w:r>
        <w:rPr>
          <w:snapToGrid w:val="0"/>
        </w:rPr>
        <w:t xml:space="preserve"> </w:t>
      </w:r>
    </w:p>
    <w:p>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pPr>
        <w:pStyle w:val="Subsection"/>
        <w:rPr>
          <w:snapToGrid w:val="0"/>
        </w:rPr>
      </w:pPr>
      <w:r>
        <w:rPr>
          <w:snapToGrid w:val="0"/>
        </w:rPr>
        <w:tab/>
        <w:t>(4)</w:t>
      </w:r>
      <w:r>
        <w:rPr>
          <w:snapToGrid w:val="0"/>
        </w:rPr>
        <w:tab/>
        <w:t>The Board shall provide each employer with a copy of each report received by the Board under subsection (3).</w:t>
      </w:r>
    </w:p>
    <w:p>
      <w:pPr>
        <w:pStyle w:val="Footnotesection"/>
      </w:pPr>
      <w:r>
        <w:tab/>
        <w:t xml:space="preserve">[Section 23 amended by No. 45 of 1994 s.10.] </w:t>
      </w:r>
    </w:p>
    <w:p>
      <w:pPr>
        <w:pStyle w:val="Heading5"/>
        <w:rPr>
          <w:snapToGrid w:val="0"/>
        </w:rPr>
      </w:pPr>
      <w:bookmarkStart w:id="256" w:name="_Toc494852089"/>
      <w:bookmarkStart w:id="257" w:name="_Toc501513284"/>
      <w:bookmarkStart w:id="258" w:name="_Toc170125266"/>
      <w:bookmarkStart w:id="259" w:name="_Toc135718322"/>
      <w:r>
        <w:rPr>
          <w:rStyle w:val="CharSectno"/>
        </w:rPr>
        <w:t>24</w:t>
      </w:r>
      <w:r>
        <w:rPr>
          <w:snapToGrid w:val="0"/>
        </w:rPr>
        <w:t>.</w:t>
      </w:r>
      <w:r>
        <w:rPr>
          <w:snapToGrid w:val="0"/>
        </w:rPr>
        <w:tab/>
        <w:t>Advice to the Board</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pPr>
        <w:pStyle w:val="Heading5"/>
        <w:rPr>
          <w:snapToGrid w:val="0"/>
        </w:rPr>
      </w:pPr>
      <w:bookmarkStart w:id="260" w:name="_Toc494852090"/>
      <w:bookmarkStart w:id="261" w:name="_Toc501513285"/>
      <w:bookmarkStart w:id="262" w:name="_Toc170125267"/>
      <w:bookmarkStart w:id="263" w:name="_Toc135718323"/>
      <w:r>
        <w:rPr>
          <w:rStyle w:val="CharSectno"/>
        </w:rPr>
        <w:t>25</w:t>
      </w:r>
      <w:r>
        <w:rPr>
          <w:snapToGrid w:val="0"/>
        </w:rPr>
        <w:t>.</w:t>
      </w:r>
      <w:r>
        <w:rPr>
          <w:snapToGrid w:val="0"/>
        </w:rPr>
        <w:tab/>
        <w:t>Records</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Board shall ensure that a complete record is kept of — </w:t>
      </w:r>
    </w:p>
    <w:p>
      <w:pPr>
        <w:pStyle w:val="Indenta"/>
        <w:rPr>
          <w:snapToGrid w:val="0"/>
        </w:rPr>
      </w:pPr>
      <w:r>
        <w:rPr>
          <w:snapToGrid w:val="0"/>
        </w:rPr>
        <w:tab/>
        <w:t>(a)</w:t>
      </w:r>
      <w:r>
        <w:rPr>
          <w:snapToGrid w:val="0"/>
        </w:rPr>
        <w:tab/>
        <w:t>all the members of the Fund and all other persons becoming entitled to a benefit from the Fund;</w:t>
      </w:r>
    </w:p>
    <w:p>
      <w:pPr>
        <w:pStyle w:val="Indenta"/>
        <w:rPr>
          <w:snapToGrid w:val="0"/>
        </w:rPr>
      </w:pPr>
      <w:r>
        <w:rPr>
          <w:snapToGrid w:val="0"/>
        </w:rPr>
        <w:tab/>
        <w:t>(b)</w:t>
      </w:r>
      <w:r>
        <w:rPr>
          <w:snapToGrid w:val="0"/>
        </w:rPr>
        <w:tab/>
        <w:t>the deaths of members of the Fund; and</w:t>
      </w:r>
    </w:p>
    <w:p>
      <w:pPr>
        <w:pStyle w:val="Indenta"/>
        <w:rPr>
          <w:snapToGrid w:val="0"/>
        </w:rPr>
      </w:pPr>
      <w:r>
        <w:rPr>
          <w:snapToGrid w:val="0"/>
        </w:rPr>
        <w:tab/>
        <w:t>(c)</w:t>
      </w:r>
      <w:r>
        <w:rPr>
          <w:snapToGrid w:val="0"/>
        </w:rPr>
        <w:tab/>
        <w:t>all other things necessary for the proper administration of the Fund.</w:t>
      </w:r>
    </w:p>
    <w:p>
      <w:pPr>
        <w:pStyle w:val="Heading5"/>
        <w:rPr>
          <w:snapToGrid w:val="0"/>
        </w:rPr>
      </w:pPr>
      <w:bookmarkStart w:id="264" w:name="_Toc494852091"/>
      <w:bookmarkStart w:id="265" w:name="_Toc501513286"/>
      <w:bookmarkStart w:id="266" w:name="_Toc170125268"/>
      <w:bookmarkStart w:id="267" w:name="_Toc135718324"/>
      <w:r>
        <w:rPr>
          <w:rStyle w:val="CharSectno"/>
        </w:rPr>
        <w:t>26</w:t>
      </w:r>
      <w:r>
        <w:rPr>
          <w:snapToGrid w:val="0"/>
        </w:rPr>
        <w:t>.</w:t>
      </w:r>
      <w:r>
        <w:rPr>
          <w:snapToGrid w:val="0"/>
        </w:rPr>
        <w:tab/>
        <w:t xml:space="preserve">Application of </w:t>
      </w:r>
      <w:r>
        <w:rPr>
          <w:i/>
          <w:snapToGrid w:val="0"/>
        </w:rPr>
        <w:t>Financial Administration and Audit Act 1985</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Heading5"/>
        <w:rPr>
          <w:snapToGrid w:val="0"/>
        </w:rPr>
      </w:pPr>
      <w:bookmarkStart w:id="268" w:name="_Toc494852092"/>
      <w:bookmarkStart w:id="269" w:name="_Toc501513287"/>
      <w:bookmarkStart w:id="270" w:name="_Toc170125269"/>
      <w:bookmarkStart w:id="271" w:name="_Toc135718325"/>
      <w:r>
        <w:rPr>
          <w:rStyle w:val="CharSectno"/>
        </w:rPr>
        <w:t>27</w:t>
      </w:r>
      <w:r>
        <w:rPr>
          <w:snapToGrid w:val="0"/>
        </w:rPr>
        <w:t>.</w:t>
      </w:r>
      <w:r>
        <w:rPr>
          <w:snapToGrid w:val="0"/>
        </w:rPr>
        <w:tab/>
        <w:t>Accounts of delegates</w:t>
      </w:r>
      <w:bookmarkEnd w:id="268"/>
      <w:bookmarkEnd w:id="269"/>
      <w:bookmarkEnd w:id="270"/>
      <w:bookmarkEnd w:id="271"/>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tab/>
      </w:r>
      <w:r>
        <w:rPr>
          <w:b/>
        </w:rPr>
        <w:t>“</w:t>
      </w:r>
      <w:r>
        <w:rPr>
          <w:rStyle w:val="CharDefText"/>
        </w:rPr>
        <w:t>liabilities</w:t>
      </w:r>
      <w:r>
        <w:rPr>
          <w:b/>
        </w:rPr>
        <w:t>”</w:t>
      </w:r>
      <w:r>
        <w:t xml:space="preserve"> does not include liabilities for the payment of benefits under the Fund.</w:t>
      </w:r>
    </w:p>
    <w:p>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pPr>
        <w:pStyle w:val="Footnotesection"/>
      </w:pPr>
      <w:r>
        <w:tab/>
        <w:t xml:space="preserve">[Section 27 amended by No. 46 of 1995 s.14.] </w:t>
      </w:r>
    </w:p>
    <w:p>
      <w:pPr>
        <w:pStyle w:val="Heading2"/>
      </w:pPr>
      <w:bookmarkStart w:id="272" w:name="_Toc135715638"/>
      <w:bookmarkStart w:id="273" w:name="_Toc135716417"/>
      <w:bookmarkStart w:id="274" w:name="_Toc135717521"/>
      <w:bookmarkStart w:id="275" w:name="_Toc135718326"/>
      <w:bookmarkStart w:id="276" w:name="_Toc170125270"/>
      <w:r>
        <w:rPr>
          <w:rStyle w:val="CharPartNo"/>
        </w:rPr>
        <w:t>Part 4</w:t>
      </w:r>
      <w:r>
        <w:rPr>
          <w:rStyle w:val="CharDivNo"/>
        </w:rPr>
        <w:t> </w:t>
      </w:r>
      <w:r>
        <w:t>—</w:t>
      </w:r>
      <w:r>
        <w:rPr>
          <w:rStyle w:val="CharDivText"/>
        </w:rPr>
        <w:t> </w:t>
      </w:r>
      <w:r>
        <w:rPr>
          <w:rStyle w:val="CharPartText"/>
        </w:rPr>
        <w:t>Miscellaneous</w:t>
      </w:r>
      <w:bookmarkEnd w:id="272"/>
      <w:bookmarkEnd w:id="273"/>
      <w:bookmarkEnd w:id="274"/>
      <w:bookmarkEnd w:id="275"/>
      <w:bookmarkEnd w:id="276"/>
      <w:r>
        <w:rPr>
          <w:rStyle w:val="CharPartText"/>
        </w:rPr>
        <w:t xml:space="preserve"> </w:t>
      </w:r>
    </w:p>
    <w:p>
      <w:pPr>
        <w:pStyle w:val="Heading5"/>
        <w:rPr>
          <w:snapToGrid w:val="0"/>
        </w:rPr>
      </w:pPr>
      <w:bookmarkStart w:id="277" w:name="_Toc494852093"/>
      <w:bookmarkStart w:id="278" w:name="_Toc501513288"/>
      <w:bookmarkStart w:id="279" w:name="_Toc170125271"/>
      <w:bookmarkStart w:id="280" w:name="_Toc135718327"/>
      <w:r>
        <w:rPr>
          <w:rStyle w:val="CharSectno"/>
        </w:rPr>
        <w:t>28</w:t>
      </w:r>
      <w:r>
        <w:rPr>
          <w:snapToGrid w:val="0"/>
        </w:rPr>
        <w:t>.</w:t>
      </w:r>
      <w:r>
        <w:rPr>
          <w:snapToGrid w:val="0"/>
        </w:rPr>
        <w:tab/>
        <w:t>Employer’s powers and liabilities in respect of termination not affected</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Nothing in this Act shall affect the rights of an employer in relation to the termination of employment of a member of the Fund and the fact of being a member of the Fund shall not be taken in any respect as implying a guarantee of continued employment by an employer.</w:t>
      </w:r>
    </w:p>
    <w:p>
      <w:pPr>
        <w:pStyle w:val="Subsection"/>
        <w:rPr>
          <w:snapToGrid w:val="0"/>
        </w:rPr>
      </w:pPr>
      <w:r>
        <w:rPr>
          <w:snapToGrid w:val="0"/>
        </w:rPr>
        <w:tab/>
        <w:t>(2)</w:t>
      </w:r>
      <w:r>
        <w:rPr>
          <w:snapToGrid w:val="0"/>
        </w:rPr>
        <w:tab/>
        <w:t>Nothing in this Act and no right or expectation with respect to the accrual in the future of a benefit under this Act shall affect the quantum of damages in any action brought by a member of the Fund against an employer on account of the termination of his employment.</w:t>
      </w:r>
    </w:p>
    <w:p>
      <w:pPr>
        <w:pStyle w:val="Heading5"/>
        <w:rPr>
          <w:snapToGrid w:val="0"/>
        </w:rPr>
      </w:pPr>
      <w:bookmarkStart w:id="281" w:name="_Toc494852094"/>
      <w:bookmarkStart w:id="282" w:name="_Toc501513289"/>
      <w:bookmarkStart w:id="283" w:name="_Toc170125272"/>
      <w:bookmarkStart w:id="284" w:name="_Toc135718328"/>
      <w:r>
        <w:rPr>
          <w:rStyle w:val="CharSectno"/>
        </w:rPr>
        <w:t>29</w:t>
      </w:r>
      <w:r>
        <w:rPr>
          <w:snapToGrid w:val="0"/>
        </w:rPr>
        <w:t>.</w:t>
      </w:r>
      <w:r>
        <w:rPr>
          <w:snapToGrid w:val="0"/>
        </w:rPr>
        <w:tab/>
        <w:t>Members’ rights to compensation not to be affected</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Nothing in this Act shall affect the rights of a member of the Fund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A benefit to which a member of the Fund or any other person is entitled under this Act shall not be affected by any damages or compensation payable to or in respect of the member.</w:t>
      </w:r>
    </w:p>
    <w:p>
      <w:pPr>
        <w:pStyle w:val="Heading5"/>
        <w:rPr>
          <w:ins w:id="285" w:author="svcMRProcess" w:date="2015-12-09T18:00:00Z"/>
        </w:rPr>
      </w:pPr>
      <w:bookmarkStart w:id="286" w:name="_Toc170125273"/>
      <w:bookmarkStart w:id="287" w:name="_Toc494852095"/>
      <w:bookmarkStart w:id="288" w:name="_Toc501513290"/>
      <w:ins w:id="289" w:author="svcMRProcess" w:date="2015-12-09T18:00:00Z">
        <w:r>
          <w:rPr>
            <w:rStyle w:val="CharSectno"/>
          </w:rPr>
          <w:t>29A</w:t>
        </w:r>
        <w:r>
          <w:t>.</w:t>
        </w:r>
        <w:r>
          <w:tab/>
          <w:t>Unclaimed Money Act 1990 does not apply to unclaimed benefits</w:t>
        </w:r>
        <w:bookmarkEnd w:id="286"/>
      </w:ins>
    </w:p>
    <w:p>
      <w:pPr>
        <w:pStyle w:val="Subsection"/>
        <w:rPr>
          <w:ins w:id="290" w:author="svcMRProcess" w:date="2015-12-09T18:00:00Z"/>
        </w:rPr>
      </w:pPr>
      <w:ins w:id="291" w:author="svcMRProcess" w:date="2015-12-09T18:00:00Z">
        <w:r>
          <w:tab/>
        </w:r>
        <w:r>
          <w:tab/>
          <w:t xml:space="preserve">The </w:t>
        </w:r>
        <w:r>
          <w:rPr>
            <w:i/>
          </w:rPr>
          <w:t xml:space="preserve">Unclaimed Money Act 1990 </w:t>
        </w:r>
        <w:r>
          <w:t>does not apply in relation to unclaimed benefits in the Fund.</w:t>
        </w:r>
      </w:ins>
    </w:p>
    <w:p>
      <w:pPr>
        <w:pStyle w:val="Footnotesection"/>
        <w:rPr>
          <w:ins w:id="292" w:author="svcMRProcess" w:date="2015-12-09T18:00:00Z"/>
        </w:rPr>
      </w:pPr>
      <w:ins w:id="293" w:author="svcMRProcess" w:date="2015-12-09T18:00:00Z">
        <w:r>
          <w:tab/>
          <w:t>[Section 29A inserted by No. 16 of 2006 s. 10.]</w:t>
        </w:r>
      </w:ins>
    </w:p>
    <w:p>
      <w:pPr>
        <w:pStyle w:val="Heading5"/>
        <w:rPr>
          <w:snapToGrid w:val="0"/>
        </w:rPr>
      </w:pPr>
      <w:bookmarkStart w:id="294" w:name="_Toc170125274"/>
      <w:bookmarkStart w:id="295" w:name="_Toc135718329"/>
      <w:r>
        <w:rPr>
          <w:rStyle w:val="CharSectno"/>
        </w:rPr>
        <w:t>30</w:t>
      </w:r>
      <w:r>
        <w:rPr>
          <w:snapToGrid w:val="0"/>
        </w:rPr>
        <w:t>.</w:t>
      </w:r>
      <w:r>
        <w:rPr>
          <w:snapToGrid w:val="0"/>
        </w:rPr>
        <w:tab/>
        <w:t>General meeting of members</w:t>
      </w:r>
      <w:bookmarkEnd w:id="287"/>
      <w:bookmarkEnd w:id="288"/>
      <w:bookmarkEnd w:id="294"/>
      <w:bookmarkEnd w:id="295"/>
      <w:r>
        <w:rPr>
          <w:snapToGrid w:val="0"/>
        </w:rPr>
        <w:t xml:space="preserve"> </w:t>
      </w:r>
    </w:p>
    <w:p>
      <w:pPr>
        <w:pStyle w:val="Subsection"/>
        <w:rPr>
          <w:snapToGrid w:val="0"/>
        </w:rPr>
      </w:pPr>
      <w:r>
        <w:rPr>
          <w:snapToGrid w:val="0"/>
        </w:rPr>
        <w:tab/>
        <w:t>(1)</w:t>
      </w:r>
      <w:r>
        <w:rPr>
          <w:snapToGrid w:val="0"/>
        </w:rPr>
        <w:tab/>
        <w:t>The Board shall call an annual general meeting of the members of the Fund.</w:t>
      </w:r>
    </w:p>
    <w:p>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pPr>
        <w:pStyle w:val="Subsection"/>
        <w:rPr>
          <w:snapToGrid w:val="0"/>
        </w:rPr>
      </w:pPr>
      <w:r>
        <w:rPr>
          <w:snapToGrid w:val="0"/>
        </w:rPr>
        <w:tab/>
        <w:t>(5)</w:t>
      </w:r>
      <w:r>
        <w:rPr>
          <w:snapToGrid w:val="0"/>
        </w:rPr>
        <w:tab/>
        <w:t>A general meeting held under this section shall be conducted in accordance with the prescribed procedures.</w:t>
      </w:r>
    </w:p>
    <w:p>
      <w:pPr>
        <w:pStyle w:val="Heading5"/>
        <w:rPr>
          <w:snapToGrid w:val="0"/>
        </w:rPr>
      </w:pPr>
      <w:bookmarkStart w:id="296" w:name="_Toc494852096"/>
      <w:bookmarkStart w:id="297" w:name="_Toc501513291"/>
      <w:bookmarkStart w:id="298" w:name="_Toc170125275"/>
      <w:bookmarkStart w:id="299" w:name="_Toc135718330"/>
      <w:r>
        <w:rPr>
          <w:rStyle w:val="CharSectno"/>
        </w:rPr>
        <w:t>31</w:t>
      </w:r>
      <w:r>
        <w:rPr>
          <w:snapToGrid w:val="0"/>
        </w:rPr>
        <w:t>.</w:t>
      </w:r>
      <w:r>
        <w:rPr>
          <w:snapToGrid w:val="0"/>
        </w:rPr>
        <w:tab/>
        <w:t>Regulations</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pPr>
        <w:pStyle w:val="Indenta"/>
      </w:pPr>
      <w:r>
        <w:tab/>
        <w:t>(a)</w:t>
      </w:r>
      <w:r>
        <w:tab/>
        <w:t xml:space="preserve">providing for </w:t>
      </w:r>
      <w:del w:id="300" w:author="svcMRProcess" w:date="2015-12-09T18:00:00Z">
        <w:r>
          <w:rPr>
            <w:snapToGrid w:val="0"/>
          </w:rPr>
          <w:delText>mine workers and officers of the Board to be members</w:delText>
        </w:r>
      </w:del>
      <w:ins w:id="301" w:author="svcMRProcess" w:date="2015-12-09T18:00:00Z">
        <w:r>
          <w:t>membership</w:t>
        </w:r>
      </w:ins>
      <w:r>
        <w:t xml:space="preserve"> of the Fund, </w:t>
      </w:r>
      <w:del w:id="302" w:author="svcMRProcess" w:date="2015-12-09T18:00:00Z">
        <w:r>
          <w:rPr>
            <w:snapToGrid w:val="0"/>
          </w:rPr>
          <w:delText xml:space="preserve">and </w:delText>
        </w:r>
      </w:del>
      <w:r>
        <w:t xml:space="preserve">for </w:t>
      </w:r>
      <w:ins w:id="303" w:author="svcMRProcess" w:date="2015-12-09T18:00:00Z">
        <w:r>
          <w:t xml:space="preserve">different categories of membership and for the </w:t>
        </w:r>
      </w:ins>
      <w:r>
        <w:t>continuity and cessation of membership;</w:t>
      </w:r>
    </w:p>
    <w:p>
      <w:pPr>
        <w:pStyle w:val="Indenta"/>
        <w:rPr>
          <w:snapToGrid w:val="0"/>
        </w:rPr>
      </w:pPr>
      <w:r>
        <w:rPr>
          <w:snapToGrid w:val="0"/>
        </w:rPr>
        <w:tab/>
        <w:t>(b)</w:t>
      </w:r>
      <w:r>
        <w:rPr>
          <w:snapToGrid w:val="0"/>
        </w:rPr>
        <w:tab/>
        <w:t>as to contributions to the Fund</w:t>
      </w:r>
      <w:del w:id="304" w:author="svcMRProcess" w:date="2015-12-09T18:00:00Z">
        <w:r>
          <w:rPr>
            <w:snapToGrid w:val="0"/>
          </w:rPr>
          <w:delText xml:space="preserve"> by members and by employers</w:delText>
        </w:r>
      </w:del>
      <w:r>
        <w:rPr>
          <w:snapToGrid w:val="0"/>
        </w:rPr>
        <w:t>;</w:t>
      </w:r>
    </w:p>
    <w:p>
      <w:pPr>
        <w:pStyle w:val="Indenta"/>
        <w:rPr>
          <w:snapToGrid w:val="0"/>
        </w:rPr>
      </w:pPr>
      <w:r>
        <w:rPr>
          <w:snapToGrid w:val="0"/>
        </w:rPr>
        <w:tab/>
        <w:t>(c)</w:t>
      </w:r>
      <w:r>
        <w:rPr>
          <w:snapToGrid w:val="0"/>
        </w:rPr>
        <w:tab/>
        <w:t>as to the superannuation and related benefits to be paid from the Fund and the protection, adjustment, reduction, forfeiture and application of such benefits;</w:t>
      </w:r>
    </w:p>
    <w:p>
      <w:pPr>
        <w:pStyle w:val="Indenta"/>
        <w:rPr>
          <w:snapToGrid w:val="0"/>
        </w:rPr>
      </w:pPr>
      <w:r>
        <w:rPr>
          <w:snapToGrid w:val="0"/>
        </w:rPr>
        <w:tab/>
        <w:t>(d)</w:t>
      </w:r>
      <w:r>
        <w:rPr>
          <w:snapToGrid w:val="0"/>
        </w:rPr>
        <w:tab/>
        <w:t>as to the manner in which a body specified in Schedule 1 may cease to be an employer for the purposes of the Fund and providing for the case of the winding up, dissolution, amalgamation or transfer of the engagements of an employer;</w:t>
      </w:r>
    </w:p>
    <w:p>
      <w:pPr>
        <w:pStyle w:val="Indenta"/>
        <w:rPr>
          <w:snapToGrid w:val="0"/>
        </w:rPr>
      </w:pPr>
      <w:r>
        <w:rPr>
          <w:snapToGrid w:val="0"/>
        </w:rPr>
        <w:tab/>
        <w:t>(e)</w:t>
      </w:r>
      <w:r>
        <w:rPr>
          <w:snapToGrid w:val="0"/>
        </w:rPr>
        <w:tab/>
        <w:t>providing for the transfer of persons to or from other superannuation or like funds or schemes;</w:t>
      </w:r>
    </w:p>
    <w:p>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pPr>
        <w:pStyle w:val="Indenta"/>
        <w:rPr>
          <w:snapToGrid w:val="0"/>
        </w:rPr>
      </w:pPr>
      <w:r>
        <w:rPr>
          <w:snapToGrid w:val="0"/>
        </w:rPr>
        <w:tab/>
        <w:t>(g)</w:t>
      </w:r>
      <w:r>
        <w:rPr>
          <w:snapToGrid w:val="0"/>
        </w:rPr>
        <w:tab/>
        <w:t>as to general meetings under section 30;</w:t>
      </w:r>
    </w:p>
    <w:p>
      <w:pPr>
        <w:pStyle w:val="Indenta"/>
        <w:rPr>
          <w:ins w:id="305" w:author="svcMRProcess" w:date="2015-12-09T18:00:00Z"/>
        </w:rPr>
      </w:pPr>
      <w:ins w:id="306" w:author="svcMRProcess" w:date="2015-12-09T18:00:00Z">
        <w:r>
          <w:tab/>
          <w:t>(ga)</w:t>
        </w:r>
        <w:r>
          <w:tab/>
          <w:t>as to the election and appointment of members and alternate members of the Board;</w:t>
        </w:r>
      </w:ins>
    </w:p>
    <w:p>
      <w:pPr>
        <w:pStyle w:val="Indenta"/>
        <w:rPr>
          <w:snapToGrid w:val="0"/>
        </w:rPr>
      </w:pPr>
      <w:r>
        <w:rPr>
          <w:snapToGrid w:val="0"/>
        </w:rPr>
        <w:tab/>
        <w:t>(h)</w:t>
      </w:r>
      <w:r>
        <w:rPr>
          <w:snapToGrid w:val="0"/>
        </w:rPr>
        <w:tab/>
        <w:t>requiring the Board to furnish reports to members of the Fund and prescribing the matters to be dealt with in such reports;</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providing for any other matter necessary to achieve compliance with the SIS Act.</w:t>
      </w:r>
    </w:p>
    <w:p>
      <w:pPr>
        <w:pStyle w:val="Footnotesection"/>
      </w:pPr>
      <w:r>
        <w:tab/>
        <w:t>[Section 31 amended by No. 46 of 1995 s.</w:t>
      </w:r>
      <w:ins w:id="307" w:author="svcMRProcess" w:date="2015-12-09T18:00:00Z">
        <w:r>
          <w:t> </w:t>
        </w:r>
      </w:ins>
      <w:r>
        <w:t>15</w:t>
      </w:r>
      <w:ins w:id="308" w:author="svcMRProcess" w:date="2015-12-09T18:00:00Z">
        <w:r>
          <w:t>; No. 16 of 2006 s. 11</w:t>
        </w:r>
      </w:ins>
      <w:r>
        <w:t xml:space="preserve">.] </w:t>
      </w:r>
    </w:p>
    <w:p>
      <w:pPr>
        <w:pStyle w:val="Heading5"/>
        <w:rPr>
          <w:snapToGrid w:val="0"/>
        </w:rPr>
      </w:pPr>
      <w:bookmarkStart w:id="309" w:name="_Toc494852097"/>
      <w:bookmarkStart w:id="310" w:name="_Toc501513292"/>
      <w:bookmarkStart w:id="311" w:name="_Toc170125276"/>
      <w:bookmarkStart w:id="312" w:name="_Toc135718331"/>
      <w:r>
        <w:rPr>
          <w:rStyle w:val="CharSectno"/>
        </w:rPr>
        <w:t>32</w:t>
      </w:r>
      <w:r>
        <w:rPr>
          <w:snapToGrid w:val="0"/>
        </w:rPr>
        <w:t>.</w:t>
      </w:r>
      <w:r>
        <w:rPr>
          <w:snapToGrid w:val="0"/>
        </w:rPr>
        <w:tab/>
        <w:t>Review of Act</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Minister shall carry out a review of the operation of this Act 5 years after the commencement of this Act</w:t>
      </w:r>
      <w:ins w:id="313" w:author="svcMRProcess" w:date="2015-12-09T18:00:00Z">
        <w:r>
          <w:t xml:space="preserve"> and each 5 years thereafter</w:t>
        </w:r>
      </w:ins>
      <w:r>
        <w:rPr>
          <w:snapToGrid w:val="0"/>
        </w:rPr>
        <w:t>, and in the course of such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Footnotesection"/>
        <w:rPr>
          <w:ins w:id="314" w:author="svcMRProcess" w:date="2015-12-09T18:00:00Z"/>
        </w:rPr>
      </w:pPr>
      <w:ins w:id="315" w:author="svcMRProcess" w:date="2015-12-09T18:00:00Z">
        <w:r>
          <w:tab/>
          <w:t>[Section 32 amended by No. 16 of 2006 s. 12.]</w:t>
        </w:r>
      </w:ins>
    </w:p>
    <w:p>
      <w:pPr>
        <w:pStyle w:val="Heading2"/>
      </w:pPr>
      <w:bookmarkStart w:id="316" w:name="_Toc135715644"/>
      <w:bookmarkStart w:id="317" w:name="_Toc135716423"/>
      <w:bookmarkStart w:id="318" w:name="_Toc135717527"/>
      <w:bookmarkStart w:id="319" w:name="_Toc135718332"/>
      <w:bookmarkStart w:id="320" w:name="_Toc170125277"/>
      <w:r>
        <w:rPr>
          <w:rStyle w:val="CharPartNo"/>
        </w:rPr>
        <w:t>Part 5</w:t>
      </w:r>
      <w:r>
        <w:rPr>
          <w:rStyle w:val="CharDivNo"/>
        </w:rPr>
        <w:t> </w:t>
      </w:r>
      <w:r>
        <w:t>—</w:t>
      </w:r>
      <w:r>
        <w:rPr>
          <w:rStyle w:val="CharDivText"/>
        </w:rPr>
        <w:t> </w:t>
      </w:r>
      <w:r>
        <w:rPr>
          <w:rStyle w:val="CharPartText"/>
        </w:rPr>
        <w:t>Consequential, repeal and transitional provisions</w:t>
      </w:r>
      <w:bookmarkEnd w:id="316"/>
      <w:bookmarkEnd w:id="317"/>
      <w:bookmarkEnd w:id="318"/>
      <w:bookmarkEnd w:id="319"/>
      <w:bookmarkEnd w:id="320"/>
      <w:r>
        <w:rPr>
          <w:rStyle w:val="CharPartText"/>
        </w:rPr>
        <w:t xml:space="preserve"> </w:t>
      </w:r>
    </w:p>
    <w:p>
      <w:pPr>
        <w:pStyle w:val="Ednotesection"/>
      </w:pPr>
      <w:r>
        <w:t>[</w:t>
      </w:r>
      <w:r>
        <w:rPr>
          <w:b/>
          <w:bCs/>
        </w:rPr>
        <w:t>33.</w:t>
      </w:r>
      <w:r>
        <w:tab/>
        <w:t>Omitted under the Reprints Act 1984 s.7(4)(e).]</w:t>
      </w:r>
    </w:p>
    <w:p>
      <w:pPr>
        <w:pStyle w:val="Ednotesection"/>
      </w:pPr>
      <w:r>
        <w:t>[</w:t>
      </w:r>
      <w:r>
        <w:rPr>
          <w:b/>
          <w:bCs/>
        </w:rPr>
        <w:t>34.</w:t>
      </w:r>
      <w:r>
        <w:tab/>
        <w:t xml:space="preserve">Omitted under the Reprints Act 1984 s.7(4)(f).] </w:t>
      </w:r>
    </w:p>
    <w:p>
      <w:pPr>
        <w:pStyle w:val="Heading5"/>
        <w:rPr>
          <w:snapToGrid w:val="0"/>
        </w:rPr>
      </w:pPr>
      <w:bookmarkStart w:id="321" w:name="_Toc494852100"/>
      <w:bookmarkStart w:id="322" w:name="_Toc501513295"/>
      <w:bookmarkStart w:id="323" w:name="_Toc170125278"/>
      <w:bookmarkStart w:id="324" w:name="_Toc135718333"/>
      <w:r>
        <w:rPr>
          <w:rStyle w:val="CharSectno"/>
        </w:rPr>
        <w:t>35</w:t>
      </w:r>
      <w:r>
        <w:rPr>
          <w:snapToGrid w:val="0"/>
        </w:rPr>
        <w:t>.</w:t>
      </w:r>
      <w:r>
        <w:rPr>
          <w:snapToGrid w:val="0"/>
        </w:rPr>
        <w:tab/>
        <w:t>Transitional</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Schedule 3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25" w:name="_Toc135715646"/>
      <w:bookmarkStart w:id="326" w:name="_Toc135716425"/>
      <w:bookmarkStart w:id="327" w:name="_Toc135717529"/>
      <w:bookmarkStart w:id="328" w:name="_Toc135718334"/>
      <w:bookmarkStart w:id="329" w:name="_Toc170125279"/>
      <w:r>
        <w:rPr>
          <w:rStyle w:val="CharSchNo"/>
        </w:rPr>
        <w:t>Schedule 1</w:t>
      </w:r>
      <w:bookmarkEnd w:id="325"/>
      <w:bookmarkEnd w:id="326"/>
      <w:bookmarkEnd w:id="327"/>
      <w:bookmarkEnd w:id="328"/>
      <w:bookmarkEnd w:id="329"/>
    </w:p>
    <w:p>
      <w:pPr>
        <w:pStyle w:val="yShoulderClause"/>
        <w:rPr>
          <w:snapToGrid w:val="0"/>
        </w:rPr>
      </w:pPr>
      <w:r>
        <w:rPr>
          <w:snapToGrid w:val="0"/>
        </w:rPr>
        <w:t>[s.3]</w:t>
      </w:r>
    </w:p>
    <w:p>
      <w:pPr>
        <w:pStyle w:val="yMiscellaneousHeading"/>
        <w:rPr>
          <w:snapToGrid w:val="0"/>
          <w:sz w:val="24"/>
        </w:rPr>
      </w:pPr>
      <w:r>
        <w:rPr>
          <w:rStyle w:val="CharSchText"/>
          <w:b/>
          <w:sz w:val="24"/>
        </w:rPr>
        <w:t xml:space="preserve">Employers </w:t>
      </w:r>
    </w:p>
    <w:p>
      <w:pPr>
        <w:pStyle w:val="yNumberedItem"/>
        <w:rPr>
          <w:snapToGrid w:val="0"/>
        </w:rPr>
      </w:pPr>
      <w:r>
        <w:rPr>
          <w:snapToGrid w:val="0"/>
        </w:rPr>
        <w:tab/>
        <w:t>Griffin Coal Mining Pty Limited</w:t>
      </w:r>
    </w:p>
    <w:p>
      <w:pPr>
        <w:pStyle w:val="yNumberedItem"/>
        <w:rPr>
          <w:snapToGrid w:val="0"/>
        </w:rPr>
      </w:pPr>
      <w:r>
        <w:tab/>
        <w:t>Chamber of Commerce and Industry</w:t>
      </w:r>
    </w:p>
    <w:p>
      <w:pPr>
        <w:pStyle w:val="yNumberedItem"/>
        <w:rPr>
          <w:snapToGrid w:val="0"/>
        </w:rPr>
      </w:pPr>
      <w:r>
        <w:rPr>
          <w:snapToGrid w:val="0"/>
        </w:rPr>
        <w:tab/>
        <w:t>The Board</w:t>
      </w:r>
    </w:p>
    <w:p>
      <w:pPr>
        <w:pStyle w:val="yNumberedItem"/>
        <w:rPr>
          <w:del w:id="330" w:author="svcMRProcess" w:date="2015-12-09T18:00:00Z"/>
          <w:snapToGrid w:val="0"/>
        </w:rPr>
      </w:pPr>
      <w:del w:id="331" w:author="svcMRProcess" w:date="2015-12-09T18:00:00Z">
        <w:r>
          <w:rPr>
            <w:snapToGrid w:val="0"/>
          </w:rPr>
          <w:tab/>
          <w:delText xml:space="preserve">Western Collieries Ltd </w:delText>
        </w:r>
        <w:r>
          <w:rPr>
            <w:sz w:val="19"/>
            <w:vertAlign w:val="superscript"/>
          </w:rPr>
          <w:delText>2</w:delText>
        </w:r>
      </w:del>
    </w:p>
    <w:p>
      <w:pPr>
        <w:pStyle w:val="yNumberedItem"/>
        <w:rPr>
          <w:ins w:id="332" w:author="svcMRProcess" w:date="2015-12-09T18:00:00Z"/>
          <w:snapToGrid w:val="0"/>
        </w:rPr>
      </w:pPr>
      <w:ins w:id="333" w:author="svcMRProcess" w:date="2015-12-09T18:00:00Z">
        <w:r>
          <w:tab/>
          <w:t>Wesfarmers Premier Coal Limited</w:t>
        </w:r>
      </w:ins>
    </w:p>
    <w:p>
      <w:pPr>
        <w:pStyle w:val="yFootnotesection"/>
        <w:rPr>
          <w:del w:id="334" w:author="svcMRProcess" w:date="2015-12-09T18:00:00Z"/>
        </w:rPr>
      </w:pPr>
      <w:r>
        <w:tab/>
        <w:t xml:space="preserve">[Schedule 1 amended by No. 46 of 1995 s.16; </w:t>
      </w:r>
      <w:ins w:id="335" w:author="svcMRProcess" w:date="2015-12-09T18:00:00Z">
        <w:r>
          <w:t xml:space="preserve">No. 16 of 2006 s. 13; </w:t>
        </w:r>
      </w:ins>
      <w:r>
        <w:t>amended in Gaz</w:t>
      </w:r>
      <w:bookmarkStart w:id="336" w:name="_Toc135715647"/>
      <w:bookmarkStart w:id="337" w:name="_Toc135716426"/>
      <w:bookmarkStart w:id="338" w:name="_Toc135717530"/>
      <w:bookmarkStart w:id="339" w:name="_Toc135718335"/>
      <w:bookmarkStart w:id="340" w:name="_Toc170125280"/>
      <w:r>
        <w:t>ette 29 September 2000 p.5535.]</w:t>
      </w:r>
    </w:p>
    <w:p>
      <w:pPr>
        <w:pStyle w:val="yFootnotesection"/>
        <w:rPr>
          <w:ins w:id="341" w:author="svcMRProcess" w:date="2015-12-09T18:00:00Z"/>
        </w:rPr>
        <w:sectPr>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p>
    <w:p>
      <w:pPr>
        <w:pStyle w:val="yScheduleHeading"/>
      </w:pPr>
      <w:r>
        <w:rPr>
          <w:rStyle w:val="CharSchNo"/>
        </w:rPr>
        <w:t>Schedule 2</w:t>
      </w:r>
      <w:bookmarkEnd w:id="336"/>
      <w:bookmarkEnd w:id="337"/>
      <w:bookmarkEnd w:id="338"/>
      <w:bookmarkEnd w:id="339"/>
      <w:bookmarkEnd w:id="340"/>
    </w:p>
    <w:p>
      <w:pPr>
        <w:pStyle w:val="yShoulderClause"/>
        <w:rPr>
          <w:snapToGrid w:val="0"/>
        </w:rPr>
      </w:pPr>
      <w:r>
        <w:rPr>
          <w:snapToGrid w:val="0"/>
        </w:rPr>
        <w:t>[s.8]</w:t>
      </w:r>
    </w:p>
    <w:p>
      <w:pPr>
        <w:pStyle w:val="MiscellaneousHeading"/>
        <w:rPr>
          <w:b/>
          <w:snapToGrid w:val="0"/>
          <w:sz w:val="22"/>
        </w:rPr>
      </w:pPr>
      <w:r>
        <w:rPr>
          <w:rStyle w:val="CharSchText"/>
          <w:b/>
        </w:rPr>
        <w:t xml:space="preserve">Provisions as to Board </w:t>
      </w:r>
    </w:p>
    <w:p>
      <w:pPr>
        <w:pStyle w:val="yHeading5"/>
        <w:outlineLvl w:val="9"/>
        <w:rPr>
          <w:snapToGrid w:val="0"/>
        </w:rPr>
      </w:pPr>
      <w:bookmarkStart w:id="342" w:name="_Toc501513296"/>
      <w:bookmarkStart w:id="343" w:name="_Toc170125281"/>
      <w:bookmarkStart w:id="344" w:name="_Toc135718336"/>
      <w:r>
        <w:rPr>
          <w:rStyle w:val="CharSClsNo"/>
        </w:rPr>
        <w:t>1</w:t>
      </w:r>
      <w:r>
        <w:rPr>
          <w:snapToGrid w:val="0"/>
        </w:rPr>
        <w:t>.</w:t>
      </w:r>
      <w:r>
        <w:rPr>
          <w:snapToGrid w:val="0"/>
        </w:rPr>
        <w:tab/>
        <w:t>Interpretation</w:t>
      </w:r>
      <w:bookmarkEnd w:id="342"/>
      <w:bookmarkEnd w:id="343"/>
      <w:bookmarkEnd w:id="344"/>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elected member</w:t>
      </w:r>
      <w:r>
        <w:rPr>
          <w:b/>
        </w:rPr>
        <w:t>”</w:t>
      </w:r>
      <w:r>
        <w:t xml:space="preserve"> means a member of the Board elected by the members of the Fund and includes an alternate member so elected;</w:t>
      </w:r>
    </w:p>
    <w:p>
      <w:pPr>
        <w:pStyle w:val="yDefstart"/>
      </w:pPr>
      <w:r>
        <w:rPr>
          <w:b/>
        </w:rPr>
        <w:tab/>
        <w:t>“</w:t>
      </w:r>
      <w:r>
        <w:rPr>
          <w:rStyle w:val="CharDefText"/>
        </w:rPr>
        <w:t>appointed member</w:t>
      </w:r>
      <w:r>
        <w:rPr>
          <w:b/>
        </w:rPr>
        <w:t>”</w:t>
      </w:r>
      <w:r>
        <w:t xml:space="preserve"> means a member of the Board appointed by the employers and includes an alternate member so appointed.</w:t>
      </w:r>
    </w:p>
    <w:p>
      <w:pPr>
        <w:pStyle w:val="yHeading5"/>
        <w:outlineLvl w:val="9"/>
        <w:rPr>
          <w:snapToGrid w:val="0"/>
        </w:rPr>
      </w:pPr>
      <w:bookmarkStart w:id="345" w:name="_Toc501513297"/>
      <w:bookmarkStart w:id="346" w:name="_Toc170125282"/>
      <w:bookmarkStart w:id="347" w:name="_Toc135718337"/>
      <w:r>
        <w:rPr>
          <w:rStyle w:val="CharSClsNo"/>
        </w:rPr>
        <w:t>2</w:t>
      </w:r>
      <w:r>
        <w:rPr>
          <w:snapToGrid w:val="0"/>
        </w:rPr>
        <w:t>.</w:t>
      </w:r>
      <w:r>
        <w:rPr>
          <w:snapToGrid w:val="0"/>
        </w:rPr>
        <w:tab/>
        <w:t>Elections</w:t>
      </w:r>
      <w:bookmarkEnd w:id="345"/>
      <w:bookmarkEnd w:id="346"/>
      <w:bookmarkEnd w:id="347"/>
    </w:p>
    <w:p>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pPr>
        <w:pStyle w:val="yHeading5"/>
        <w:outlineLvl w:val="9"/>
        <w:rPr>
          <w:snapToGrid w:val="0"/>
        </w:rPr>
      </w:pPr>
      <w:bookmarkStart w:id="348" w:name="_Toc501513298"/>
      <w:bookmarkStart w:id="349" w:name="_Toc170125283"/>
      <w:bookmarkStart w:id="350" w:name="_Toc135718338"/>
      <w:r>
        <w:rPr>
          <w:rStyle w:val="CharSClsNo"/>
        </w:rPr>
        <w:t>3</w:t>
      </w:r>
      <w:r>
        <w:rPr>
          <w:snapToGrid w:val="0"/>
        </w:rPr>
        <w:t>.</w:t>
      </w:r>
      <w:r>
        <w:rPr>
          <w:snapToGrid w:val="0"/>
        </w:rPr>
        <w:tab/>
        <w:t>Appointments</w:t>
      </w:r>
      <w:bookmarkEnd w:id="348"/>
      <w:bookmarkEnd w:id="349"/>
      <w:bookmarkEnd w:id="350"/>
    </w:p>
    <w:p>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pPr>
        <w:pStyle w:val="yHeading5"/>
        <w:outlineLvl w:val="9"/>
        <w:rPr>
          <w:snapToGrid w:val="0"/>
        </w:rPr>
      </w:pPr>
      <w:bookmarkStart w:id="351" w:name="_Toc501513299"/>
      <w:bookmarkStart w:id="352" w:name="_Toc170125284"/>
      <w:bookmarkStart w:id="353" w:name="_Toc135718339"/>
      <w:r>
        <w:rPr>
          <w:rStyle w:val="CharSClsNo"/>
        </w:rPr>
        <w:t>4</w:t>
      </w:r>
      <w:r>
        <w:rPr>
          <w:snapToGrid w:val="0"/>
        </w:rPr>
        <w:t>.</w:t>
      </w:r>
      <w:r>
        <w:rPr>
          <w:snapToGrid w:val="0"/>
        </w:rPr>
        <w:tab/>
        <w:t>Terms of office</w:t>
      </w:r>
      <w:bookmarkEnd w:id="351"/>
      <w:bookmarkEnd w:id="352"/>
      <w:bookmarkEnd w:id="353"/>
    </w:p>
    <w:p>
      <w:pPr>
        <w:pStyle w:val="ySubsection"/>
        <w:rPr>
          <w:snapToGrid w:val="0"/>
        </w:rPr>
      </w:pPr>
      <w:r>
        <w:rPr>
          <w:snapToGrid w:val="0"/>
        </w:rPr>
        <w:tab/>
        <w:t>(1)</w:t>
      </w:r>
      <w:r>
        <w:rPr>
          <w:snapToGrid w:val="0"/>
        </w:rPr>
        <w:tab/>
        <w:t>Subject to this Schedule — </w:t>
      </w:r>
    </w:p>
    <w:p>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pPr>
        <w:pStyle w:val="yIndenta"/>
        <w:rPr>
          <w:snapToGrid w:val="0"/>
        </w:rPr>
      </w:pPr>
      <w:r>
        <w:rPr>
          <w:snapToGrid w:val="0"/>
        </w:rPr>
        <w:tab/>
        <w:t>(b)</w:t>
      </w:r>
      <w:r>
        <w:rPr>
          <w:snapToGrid w:val="0"/>
        </w:rPr>
        <w:tab/>
        <w:t>an elected member and an appointed member other than an alternate member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Indenta"/>
        <w:rPr>
          <w:snapToGrid w:val="0"/>
        </w:rPr>
      </w:pPr>
      <w:r>
        <w:rPr>
          <w:snapToGrid w:val="0"/>
        </w:rPr>
        <w:tab/>
        <w:t>(c)</w:t>
      </w:r>
      <w:r>
        <w:rPr>
          <w:snapToGrid w:val="0"/>
        </w:rPr>
        <w:tab/>
        <w:t>an elected member and an appointed member who is an alternate member shall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pPr>
        <w:pStyle w:val="yIndenta"/>
        <w:rPr>
          <w:snapToGrid w:val="0"/>
        </w:rPr>
      </w:pPr>
      <w:r>
        <w:rPr>
          <w:snapToGrid w:val="0"/>
        </w:rPr>
        <w:tab/>
        <w:t>(a)</w:t>
      </w:r>
      <w:r>
        <w:rPr>
          <w:snapToGrid w:val="0"/>
        </w:rPr>
        <w:tab/>
        <w:t>the first elected shall hold office for a period ending 2 years after the election;</w:t>
      </w:r>
    </w:p>
    <w:p>
      <w:pPr>
        <w:pStyle w:val="yIndenta"/>
        <w:rPr>
          <w:snapToGrid w:val="0"/>
        </w:rPr>
      </w:pPr>
      <w:r>
        <w:rPr>
          <w:snapToGrid w:val="0"/>
        </w:rPr>
        <w:tab/>
        <w:t>(b)</w:t>
      </w:r>
      <w:r>
        <w:rPr>
          <w:snapToGrid w:val="0"/>
        </w:rPr>
        <w:tab/>
        <w:t>the second elected shall hold office for a period ending one year after the election; and</w:t>
      </w:r>
    </w:p>
    <w:p>
      <w:pPr>
        <w:pStyle w:val="yIndenta"/>
        <w:rPr>
          <w:snapToGrid w:val="0"/>
        </w:rPr>
      </w:pPr>
      <w:r>
        <w:rPr>
          <w:snapToGrid w:val="0"/>
        </w:rPr>
        <w:tab/>
        <w:t>(c)</w:t>
      </w:r>
      <w:r>
        <w:rPr>
          <w:snapToGrid w:val="0"/>
        </w:rPr>
        <w:tab/>
        <w:t>the third elected shall be the elected alternate member of the Board for a period ending one year after the election.</w:t>
      </w:r>
    </w:p>
    <w:p>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pPr>
        <w:pStyle w:val="yIndenta"/>
        <w:rPr>
          <w:snapToGrid w:val="0"/>
        </w:rPr>
      </w:pPr>
      <w:r>
        <w:rPr>
          <w:snapToGrid w:val="0"/>
        </w:rPr>
        <w:tab/>
        <w:t>(a)</w:t>
      </w:r>
      <w:r>
        <w:rPr>
          <w:snapToGrid w:val="0"/>
        </w:rPr>
        <w:tab/>
        <w:t>one shall hold office for a period of 2 years after the appointment;</w:t>
      </w:r>
    </w:p>
    <w:p>
      <w:pPr>
        <w:pStyle w:val="yIndenta"/>
        <w:rPr>
          <w:snapToGrid w:val="0"/>
        </w:rPr>
      </w:pPr>
      <w:r>
        <w:rPr>
          <w:snapToGrid w:val="0"/>
        </w:rPr>
        <w:tab/>
        <w:t>(b)</w:t>
      </w:r>
      <w:r>
        <w:rPr>
          <w:snapToGrid w:val="0"/>
        </w:rPr>
        <w:tab/>
        <w:t>one shall hold office for a period of one year after the appointment; and</w:t>
      </w:r>
    </w:p>
    <w:p>
      <w:pPr>
        <w:pStyle w:val="yIndenta"/>
        <w:rPr>
          <w:snapToGrid w:val="0"/>
        </w:rPr>
      </w:pPr>
      <w:r>
        <w:rPr>
          <w:snapToGrid w:val="0"/>
        </w:rPr>
        <w:tab/>
        <w:t>(c)</w:t>
      </w:r>
      <w:r>
        <w:rPr>
          <w:snapToGrid w:val="0"/>
        </w:rPr>
        <w:tab/>
        <w:t>one shall be the appointed alternate member for a period ending one year after the appointment.</w:t>
      </w:r>
    </w:p>
    <w:p>
      <w:pPr>
        <w:pStyle w:val="yHeading5"/>
        <w:outlineLvl w:val="9"/>
        <w:rPr>
          <w:snapToGrid w:val="0"/>
        </w:rPr>
      </w:pPr>
      <w:bookmarkStart w:id="354" w:name="_Toc501513300"/>
      <w:bookmarkStart w:id="355" w:name="_Toc170125285"/>
      <w:bookmarkStart w:id="356" w:name="_Toc135718340"/>
      <w:r>
        <w:rPr>
          <w:rStyle w:val="CharSClsNo"/>
        </w:rPr>
        <w:t>5</w:t>
      </w:r>
      <w:r>
        <w:rPr>
          <w:snapToGrid w:val="0"/>
        </w:rPr>
        <w:t>.</w:t>
      </w:r>
      <w:r>
        <w:rPr>
          <w:snapToGrid w:val="0"/>
        </w:rPr>
        <w:tab/>
        <w:t>Publication</w:t>
      </w:r>
      <w:bookmarkEnd w:id="354"/>
      <w:bookmarkEnd w:id="355"/>
      <w:bookmarkEnd w:id="356"/>
    </w:p>
    <w:p>
      <w:pPr>
        <w:pStyle w:val="ySubsection"/>
        <w:rPr>
          <w:snapToGrid w:val="0"/>
        </w:rPr>
      </w:pPr>
      <w:r>
        <w:rPr>
          <w:snapToGrid w:val="0"/>
        </w:rPr>
        <w:tab/>
      </w:r>
      <w:r>
        <w:rPr>
          <w:snapToGrid w:val="0"/>
        </w:rPr>
        <w:tab/>
        <w:t>The Board shall cause notice of — </w:t>
      </w:r>
    </w:p>
    <w:p>
      <w:pPr>
        <w:pStyle w:val="yIndenta"/>
        <w:rPr>
          <w:snapToGrid w:val="0"/>
        </w:rPr>
      </w:pPr>
      <w:r>
        <w:rPr>
          <w:snapToGrid w:val="0"/>
        </w:rPr>
        <w:tab/>
        <w:t>(a)</w:t>
      </w:r>
      <w:r>
        <w:rPr>
          <w:snapToGrid w:val="0"/>
        </w:rPr>
        <w:tab/>
        <w:t>the election of elected members to the Board;</w:t>
      </w:r>
    </w:p>
    <w:p>
      <w:pPr>
        <w:pStyle w:val="yIndenta"/>
        <w:rPr>
          <w:snapToGrid w:val="0"/>
        </w:rPr>
      </w:pPr>
      <w:r>
        <w:rPr>
          <w:snapToGrid w:val="0"/>
        </w:rPr>
        <w:tab/>
        <w:t>(b)</w:t>
      </w:r>
      <w:r>
        <w:rPr>
          <w:snapToGrid w:val="0"/>
        </w:rPr>
        <w:tab/>
        <w:t>the appointment of appointed members to the Board; and</w:t>
      </w:r>
    </w:p>
    <w:p>
      <w:pPr>
        <w:pStyle w:val="yIndenta"/>
        <w:rPr>
          <w:snapToGrid w:val="0"/>
        </w:rPr>
      </w:pPr>
      <w:r>
        <w:rPr>
          <w:snapToGrid w:val="0"/>
        </w:rPr>
        <w:tab/>
        <w:t>(c)</w:t>
      </w:r>
      <w:r>
        <w:rPr>
          <w:snapToGrid w:val="0"/>
        </w:rPr>
        <w:tab/>
        <w:t>the appointment of a chairman of the Board,</w:t>
      </w:r>
    </w:p>
    <w:p>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pPr>
        <w:pStyle w:val="yHeading5"/>
        <w:outlineLvl w:val="9"/>
        <w:rPr>
          <w:snapToGrid w:val="0"/>
        </w:rPr>
      </w:pPr>
      <w:bookmarkStart w:id="357" w:name="_Toc501513301"/>
      <w:bookmarkStart w:id="358" w:name="_Toc170125286"/>
      <w:bookmarkStart w:id="359" w:name="_Toc135718341"/>
      <w:r>
        <w:rPr>
          <w:rStyle w:val="CharSClsNo"/>
        </w:rPr>
        <w:t>6</w:t>
      </w:r>
      <w:r>
        <w:rPr>
          <w:snapToGrid w:val="0"/>
        </w:rPr>
        <w:t xml:space="preserve">. </w:t>
      </w:r>
      <w:r>
        <w:rPr>
          <w:snapToGrid w:val="0"/>
        </w:rPr>
        <w:tab/>
        <w:t>How vacancies occur</w:t>
      </w:r>
      <w:bookmarkEnd w:id="357"/>
      <w:bookmarkEnd w:id="358"/>
      <w:bookmarkEnd w:id="359"/>
      <w:r>
        <w:rPr>
          <w:snapToGrid w:val="0"/>
        </w:rPr>
        <w:t xml:space="preserve"> </w:t>
      </w:r>
    </w:p>
    <w:p>
      <w:pPr>
        <w:pStyle w:val="ySubsection"/>
        <w:rPr>
          <w:snapToGrid w:val="0"/>
        </w:rPr>
      </w:pPr>
      <w:r>
        <w:rPr>
          <w:snapToGrid w:val="0"/>
        </w:rPr>
        <w:tab/>
        <w:t>(1)</w:t>
      </w:r>
      <w:r>
        <w:rPr>
          <w:snapToGrid w:val="0"/>
        </w:rPr>
        <w:tab/>
        <w:t>The office of a member of the Board becomes vacant if — </w:t>
      </w:r>
    </w:p>
    <w:p>
      <w:pPr>
        <w:pStyle w:val="yIndenta"/>
        <w:rPr>
          <w:snapToGrid w:val="0"/>
        </w:rPr>
      </w:pPr>
      <w:r>
        <w:rPr>
          <w:snapToGrid w:val="0"/>
        </w:rPr>
        <w:tab/>
        <w:t>(a)</w:t>
      </w:r>
      <w:r>
        <w:rPr>
          <w:snapToGrid w:val="0"/>
        </w:rPr>
        <w:tab/>
        <w:t>the member dies;</w:t>
      </w:r>
    </w:p>
    <w:p>
      <w:pPr>
        <w:pStyle w:val="yIndenta"/>
        <w:rPr>
          <w:snapToGrid w:val="0"/>
        </w:rPr>
      </w:pPr>
      <w:r>
        <w:rPr>
          <w:snapToGrid w:val="0"/>
        </w:rPr>
        <w:tab/>
        <w:t>(b)</w:t>
      </w:r>
      <w:r>
        <w:rPr>
          <w:snapToGrid w:val="0"/>
        </w:rPr>
        <w:tab/>
        <w:t>the member is removed from office under subclause (2);</w:t>
      </w:r>
    </w:p>
    <w:p>
      <w:pPr>
        <w:pStyle w:val="yIndenta"/>
        <w:rPr>
          <w:snapToGrid w:val="0"/>
        </w:rPr>
      </w:pPr>
      <w:r>
        <w:rPr>
          <w:snapToGrid w:val="0"/>
        </w:rPr>
        <w:tab/>
        <w:t>(c)</w:t>
      </w:r>
      <w:r>
        <w:rPr>
          <w:snapToGrid w:val="0"/>
        </w:rPr>
        <w:tab/>
        <w:t>the member — </w:t>
      </w:r>
    </w:p>
    <w:p>
      <w:pPr>
        <w:pStyle w:val="yIndenti0"/>
        <w:rPr>
          <w:snapToGrid w:val="0"/>
        </w:rPr>
      </w:pPr>
      <w:r>
        <w:rPr>
          <w:snapToGrid w:val="0"/>
        </w:rPr>
        <w:tab/>
        <w:t>(i)</w:t>
      </w:r>
      <w:r>
        <w:rPr>
          <w:snapToGrid w:val="0"/>
        </w:rPr>
        <w:tab/>
        <w:t>becomes a disqualified person within the meaning of Part 15 of the SIS Act; or</w:t>
      </w:r>
    </w:p>
    <w:p>
      <w:pPr>
        <w:pStyle w:val="yIndenti0"/>
        <w:rPr>
          <w:snapToGrid w:val="0"/>
        </w:rPr>
      </w:pPr>
      <w:r>
        <w:rPr>
          <w:snapToGrid w:val="0"/>
        </w:rPr>
        <w:tab/>
        <w:t>(ii)</w:t>
      </w:r>
      <w:r>
        <w:rPr>
          <w:snapToGrid w:val="0"/>
        </w:rPr>
        <w:tab/>
        <w:t>is suspended or removed under Part 17 of that Act;</w:t>
      </w:r>
    </w:p>
    <w:p>
      <w:pPr>
        <w:pStyle w:val="yIndenta"/>
        <w:rPr>
          <w:snapToGrid w:val="0"/>
        </w:rPr>
      </w:pPr>
      <w:r>
        <w:rPr>
          <w:snapToGrid w:val="0"/>
        </w:rPr>
        <w:tab/>
        <w:t>(d)</w:t>
      </w:r>
      <w:r>
        <w:rPr>
          <w:snapToGrid w:val="0"/>
        </w:rPr>
        <w:tab/>
        <w:t>the member resigns his or her office by notice in writing delivered to the Board;</w:t>
      </w:r>
    </w:p>
    <w:p>
      <w:pPr>
        <w:pStyle w:val="yIndenta"/>
        <w:rPr>
          <w:snapToGrid w:val="0"/>
        </w:rPr>
      </w:pPr>
      <w:r>
        <w:rPr>
          <w:snapToGrid w:val="0"/>
        </w:rPr>
        <w:tab/>
        <w:t>(e)</w:t>
      </w:r>
      <w:r>
        <w:rPr>
          <w:snapToGrid w:val="0"/>
        </w:rPr>
        <w:tab/>
        <w:t>the member’s tenure of that office expires;</w:t>
      </w:r>
    </w:p>
    <w:p>
      <w:pPr>
        <w:pStyle w:val="yIndenta"/>
        <w:rPr>
          <w:snapToGrid w:val="0"/>
        </w:rPr>
      </w:pPr>
      <w:r>
        <w:rPr>
          <w:snapToGrid w:val="0"/>
        </w:rPr>
        <w:tab/>
        <w:t>(f)</w:t>
      </w:r>
      <w:r>
        <w:rPr>
          <w:snapToGrid w:val="0"/>
        </w:rPr>
        <w:tab/>
        <w:t>the member ceases to satisfy a condition that the member was required to satisfy to be eligible for appointment;</w:t>
      </w:r>
    </w:p>
    <w:p>
      <w:pPr>
        <w:pStyle w:val="yIndenta"/>
        <w:rPr>
          <w:snapToGrid w:val="0"/>
        </w:rPr>
      </w:pPr>
      <w:r>
        <w:rPr>
          <w:snapToGrid w:val="0"/>
        </w:rPr>
        <w:tab/>
        <w:t>(g)</w:t>
      </w:r>
      <w:r>
        <w:rPr>
          <w:snapToGrid w:val="0"/>
        </w:rPr>
        <w:tab/>
        <w:t>the member is absent without leave of the Board from 4 consecutive meetings of the Board of which the member has had notice;</w:t>
      </w:r>
    </w:p>
    <w:p>
      <w:pPr>
        <w:pStyle w:val="yIndenta"/>
        <w:rPr>
          <w:snapToGrid w:val="0"/>
        </w:rPr>
      </w:pPr>
      <w:r>
        <w:rPr>
          <w:snapToGrid w:val="0"/>
        </w:rPr>
        <w:tab/>
        <w:t>(h)</w:t>
      </w:r>
      <w:r>
        <w:rPr>
          <w:snapToGrid w:val="0"/>
        </w:rPr>
        <w:tab/>
        <w:t>in the case of the chairman, the chairman ceases to be an independent director within the meaning of the SIS Act; or</w:t>
      </w:r>
    </w:p>
    <w:p>
      <w:pPr>
        <w:pStyle w:val="yIndenta"/>
        <w:rPr>
          <w:snapToGrid w:val="0"/>
        </w:rPr>
      </w:pPr>
      <w:r>
        <w:rPr>
          <w:snapToGrid w:val="0"/>
        </w:rPr>
        <w:tab/>
        <w:t>(i)</w:t>
      </w:r>
      <w:r>
        <w:rPr>
          <w:snapToGrid w:val="0"/>
        </w:rPr>
        <w:tab/>
        <w:t>in the case of an elected member, the member — </w:t>
      </w:r>
    </w:p>
    <w:p>
      <w:pPr>
        <w:pStyle w:val="yIndenti0"/>
        <w:rPr>
          <w:snapToGrid w:val="0"/>
        </w:rPr>
      </w:pPr>
      <w:r>
        <w:rPr>
          <w:snapToGrid w:val="0"/>
        </w:rPr>
        <w:tab/>
        <w:t>(i)</w:t>
      </w:r>
      <w:r>
        <w:rPr>
          <w:snapToGrid w:val="0"/>
        </w:rPr>
        <w:tab/>
        <w:t>ceases to be a member of the Fund; or</w:t>
      </w:r>
    </w:p>
    <w:p>
      <w:pPr>
        <w:pStyle w:val="yIndenti0"/>
        <w:rPr>
          <w:snapToGrid w:val="0"/>
        </w:rPr>
      </w:pPr>
      <w:r>
        <w:rPr>
          <w:snapToGrid w:val="0"/>
        </w:rPr>
        <w:tab/>
        <w:t>(ii)</w:t>
      </w:r>
      <w:r>
        <w:rPr>
          <w:snapToGrid w:val="0"/>
        </w:rPr>
        <w:tab/>
        <w:t>is removed from office under subclause (3).</w:t>
      </w:r>
    </w:p>
    <w:p>
      <w:pPr>
        <w:pStyle w:val="ySubsection"/>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pPr>
        <w:pStyle w:val="ySubsection"/>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pPr>
        <w:pStyle w:val="ySubsection"/>
      </w:pPr>
      <w:r>
        <w:rPr>
          <w:snapToGrid w:val="0"/>
        </w:rPr>
        <w:tab/>
        <w:t>(4)</w:t>
      </w:r>
      <w:r>
        <w:rPr>
          <w:snapToGrid w:val="0"/>
        </w:rPr>
        <w:tab/>
        <w:t xml:space="preserve">In this clause </w:t>
      </w:r>
      <w:del w:id="360" w:author="svcMRProcess" w:date="2015-12-09T18:00:00Z">
        <w:r>
          <w:rPr>
            <w:snapToGrid w:val="0"/>
          </w:rPr>
          <w:delText xml:space="preserve">— </w:delText>
        </w:r>
      </w:del>
      <w:ins w:id="361" w:author="svcMRProcess" w:date="2015-12-09T18:00:00Z">
        <w:r>
          <w:rPr>
            <w:b/>
          </w:rPr>
          <w:t>“</w:t>
        </w:r>
        <w:r>
          <w:rPr>
            <w:rStyle w:val="CharDefText"/>
          </w:rPr>
          <w:t>member</w:t>
        </w:r>
        <w:r>
          <w:rPr>
            <w:b/>
          </w:rPr>
          <w:t>”</w:t>
        </w:r>
        <w:r>
          <w:t xml:space="preserve"> includes an alternate member of the Board.</w:t>
        </w:r>
      </w:ins>
    </w:p>
    <w:p>
      <w:pPr>
        <w:pStyle w:val="yDefstart"/>
        <w:rPr>
          <w:del w:id="362" w:author="svcMRProcess" w:date="2015-12-09T18:00:00Z"/>
        </w:rPr>
      </w:pPr>
      <w:del w:id="363" w:author="svcMRProcess" w:date="2015-12-09T18:00:00Z">
        <w:r>
          <w:rPr>
            <w:b/>
          </w:rPr>
          <w:tab/>
          <w:delText>“</w:delText>
        </w:r>
        <w:r>
          <w:rPr>
            <w:rStyle w:val="CharDefText"/>
          </w:rPr>
          <w:delText>member</w:delText>
        </w:r>
        <w:r>
          <w:rPr>
            <w:b/>
          </w:rPr>
          <w:delText>”</w:delText>
        </w:r>
        <w:r>
          <w:delText xml:space="preserve"> includes an alternate member of the Board.</w:delText>
        </w:r>
      </w:del>
    </w:p>
    <w:p>
      <w:pPr>
        <w:pStyle w:val="yFootnotesection"/>
        <w:rPr>
          <w:ins w:id="364" w:author="svcMRProcess" w:date="2015-12-09T18:00:00Z"/>
        </w:rPr>
      </w:pPr>
      <w:ins w:id="365" w:author="svcMRProcess" w:date="2015-12-09T18:00:00Z">
        <w:r>
          <w:tab/>
          <w:t>[Clause 6 inserted by No. 46 of 1995 s. 17.]</w:t>
        </w:r>
      </w:ins>
    </w:p>
    <w:p>
      <w:pPr>
        <w:pStyle w:val="yHeading5"/>
        <w:outlineLvl w:val="9"/>
        <w:rPr>
          <w:snapToGrid w:val="0"/>
        </w:rPr>
      </w:pPr>
      <w:bookmarkStart w:id="366" w:name="_Toc501513302"/>
      <w:bookmarkStart w:id="367" w:name="_Toc170125287"/>
      <w:bookmarkStart w:id="368" w:name="_Toc135718342"/>
      <w:r>
        <w:rPr>
          <w:rStyle w:val="CharSClsNo"/>
        </w:rPr>
        <w:t>6A</w:t>
      </w:r>
      <w:r>
        <w:rPr>
          <w:snapToGrid w:val="0"/>
        </w:rPr>
        <w:t xml:space="preserve">. </w:t>
      </w:r>
      <w:r>
        <w:rPr>
          <w:snapToGrid w:val="0"/>
        </w:rPr>
        <w:tab/>
        <w:t>Vacancies to be filled within certain period</w:t>
      </w:r>
      <w:bookmarkEnd w:id="366"/>
      <w:bookmarkEnd w:id="367"/>
      <w:bookmarkEnd w:id="368"/>
      <w:r>
        <w:rPr>
          <w:snapToGrid w:val="0"/>
        </w:rPr>
        <w:t xml:space="preserve"> </w:t>
      </w:r>
    </w:p>
    <w:p>
      <w:pPr>
        <w:pStyle w:val="ySubsection"/>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pPr>
        <w:pStyle w:val="yHeading5"/>
        <w:outlineLvl w:val="9"/>
        <w:rPr>
          <w:snapToGrid w:val="0"/>
        </w:rPr>
      </w:pPr>
      <w:bookmarkStart w:id="369" w:name="_Toc501513303"/>
      <w:bookmarkStart w:id="370" w:name="_Toc170125288"/>
      <w:bookmarkStart w:id="371" w:name="_Toc135718343"/>
      <w:r>
        <w:rPr>
          <w:rStyle w:val="CharSClsNo"/>
        </w:rPr>
        <w:t>7</w:t>
      </w:r>
      <w:r>
        <w:rPr>
          <w:snapToGrid w:val="0"/>
        </w:rPr>
        <w:t xml:space="preserve">. </w:t>
      </w:r>
      <w:r>
        <w:rPr>
          <w:snapToGrid w:val="0"/>
        </w:rPr>
        <w:tab/>
        <w:t>Alternate members</w:t>
      </w:r>
      <w:bookmarkEnd w:id="369"/>
      <w:bookmarkEnd w:id="370"/>
      <w:bookmarkEnd w:id="371"/>
      <w:r>
        <w:rPr>
          <w:snapToGrid w:val="0"/>
        </w:rPr>
        <w:t xml:space="preserve"> </w:t>
      </w:r>
    </w:p>
    <w:p>
      <w:pPr>
        <w:pStyle w:val="ySubsection"/>
        <w:rPr>
          <w:snapToGrid w:val="0"/>
        </w:rPr>
      </w:pPr>
      <w:r>
        <w:rPr>
          <w:snapToGrid w:val="0"/>
        </w:rPr>
        <w:tab/>
        <w:t>(1)</w:t>
      </w:r>
      <w:r>
        <w:rPr>
          <w:snapToGrid w:val="0"/>
        </w:rPr>
        <w:tab/>
        <w:t>If an elected member is absent from a meeting of the Board the elected alternate member of the Board is entitled to attend that meeting.</w:t>
      </w:r>
    </w:p>
    <w:p>
      <w:pPr>
        <w:pStyle w:val="ySubsection"/>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pPr>
        <w:pStyle w:val="ySubsection"/>
        <w:rPr>
          <w:snapToGrid w:val="0"/>
        </w:rPr>
      </w:pPr>
      <w:r>
        <w:rPr>
          <w:snapToGrid w:val="0"/>
        </w:rPr>
        <w:tab/>
        <w:t>(3)</w:t>
      </w:r>
      <w:r>
        <w:rPr>
          <w:snapToGrid w:val="0"/>
        </w:rPr>
        <w:tab/>
        <w:t>If an appointed member is absent from a meeting of the Board the appointed alternate member of the Board is entitled to attend that meeting.</w:t>
      </w:r>
    </w:p>
    <w:p>
      <w:pPr>
        <w:pStyle w:val="ySubsection"/>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pPr>
        <w:pStyle w:val="yHeading5"/>
        <w:outlineLvl w:val="9"/>
        <w:rPr>
          <w:snapToGrid w:val="0"/>
        </w:rPr>
      </w:pPr>
      <w:bookmarkStart w:id="372" w:name="_Toc501513304"/>
      <w:bookmarkStart w:id="373" w:name="_Toc170125289"/>
      <w:bookmarkStart w:id="374" w:name="_Toc135718344"/>
      <w:r>
        <w:rPr>
          <w:rStyle w:val="CharSClsNo"/>
        </w:rPr>
        <w:t>8</w:t>
      </w:r>
      <w:r>
        <w:rPr>
          <w:snapToGrid w:val="0"/>
        </w:rPr>
        <w:t>.</w:t>
      </w:r>
      <w:r>
        <w:rPr>
          <w:snapToGrid w:val="0"/>
        </w:rPr>
        <w:tab/>
        <w:t>Meetings of the Board</w:t>
      </w:r>
      <w:bookmarkEnd w:id="372"/>
      <w:bookmarkEnd w:id="373"/>
      <w:bookmarkEnd w:id="374"/>
    </w:p>
    <w:p>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pPr>
        <w:pStyle w:val="ySubsection"/>
        <w:rPr>
          <w:snapToGrid w:val="0"/>
        </w:rPr>
      </w:pPr>
      <w:r>
        <w:rPr>
          <w:snapToGrid w:val="0"/>
        </w:rPr>
        <w:tab/>
        <w:t>(2)</w:t>
      </w:r>
      <w:r>
        <w:rPr>
          <w:snapToGrid w:val="0"/>
        </w:rPr>
        <w:tab/>
        <w:t>The Board shall hold such meetings as are necessary for the performance of its functions.</w:t>
      </w:r>
    </w:p>
    <w:p>
      <w:pPr>
        <w:pStyle w:val="ySubsection"/>
        <w:rPr>
          <w:ins w:id="375" w:author="svcMRProcess" w:date="2015-12-09T18:00:00Z"/>
        </w:rPr>
      </w:pPr>
      <w:ins w:id="376" w:author="svcMRProcess" w:date="2015-12-09T18:00:00Z">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ins>
    </w:p>
    <w:p>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pPr>
        <w:pStyle w:val="ySubsection"/>
        <w:rPr>
          <w:snapToGrid w:val="0"/>
        </w:rPr>
      </w:pPr>
      <w:r>
        <w:rPr>
          <w:snapToGrid w:val="0"/>
        </w:rPr>
        <w:tab/>
        <w:t>(6)</w:t>
      </w:r>
      <w:r>
        <w:rPr>
          <w:snapToGrid w:val="0"/>
        </w:rPr>
        <w:tab/>
        <w:t>The chairman and any other member of the Board shall not have a second or casting vote.</w:t>
      </w:r>
    </w:p>
    <w:p>
      <w:pPr>
        <w:pStyle w:val="ySubsection"/>
        <w:rPr>
          <w:snapToGrid w:val="0"/>
        </w:rPr>
      </w:pPr>
      <w:r>
        <w:rPr>
          <w:snapToGrid w:val="0"/>
        </w:rPr>
        <w:tab/>
        <w:t>(7)</w:t>
      </w:r>
      <w:r>
        <w:rPr>
          <w:snapToGrid w:val="0"/>
        </w:rPr>
        <w:tab/>
        <w:t>The Board shall cause to be kept a record of the proceedings of its meetings.</w:t>
      </w:r>
    </w:p>
    <w:p>
      <w:pPr>
        <w:pStyle w:val="ySubsection"/>
        <w:rPr>
          <w:snapToGrid w:val="0"/>
        </w:rPr>
      </w:pPr>
      <w:r>
        <w:rPr>
          <w:snapToGrid w:val="0"/>
        </w:rPr>
        <w:tab/>
        <w:t>(8)</w:t>
      </w:r>
      <w:r>
        <w:rPr>
          <w:snapToGrid w:val="0"/>
        </w:rPr>
        <w:tab/>
        <w:t>Subject to this Act, the Board may regulate its own procedure.</w:t>
      </w:r>
    </w:p>
    <w:p>
      <w:pPr>
        <w:pStyle w:val="yFootnotesection"/>
        <w:rPr>
          <w:ins w:id="377" w:author="svcMRProcess" w:date="2015-12-09T18:00:00Z"/>
        </w:rPr>
      </w:pPr>
      <w:ins w:id="378" w:author="svcMRProcess" w:date="2015-12-09T18:00:00Z">
        <w:r>
          <w:tab/>
          <w:t>[Clause 8 amended by No. 45 of 1994 s. 11; No. 16 of 2006 s. 14.]</w:t>
        </w:r>
      </w:ins>
    </w:p>
    <w:p>
      <w:pPr>
        <w:pStyle w:val="yEdnotesection"/>
      </w:pPr>
      <w:r>
        <w:t>[</w:t>
      </w:r>
      <w:r>
        <w:rPr>
          <w:b/>
        </w:rPr>
        <w:t>9.</w:t>
      </w:r>
      <w:r>
        <w:tab/>
      </w:r>
      <w:r>
        <w:tab/>
        <w:t>deleted]</w:t>
      </w:r>
    </w:p>
    <w:p>
      <w:pPr>
        <w:pStyle w:val="yHeading5"/>
        <w:outlineLvl w:val="9"/>
        <w:rPr>
          <w:snapToGrid w:val="0"/>
        </w:rPr>
      </w:pPr>
      <w:bookmarkStart w:id="379" w:name="_Toc501513305"/>
      <w:bookmarkStart w:id="380" w:name="_Toc170125290"/>
      <w:bookmarkStart w:id="381" w:name="_Toc135718345"/>
      <w:r>
        <w:rPr>
          <w:rStyle w:val="CharSClsNo"/>
        </w:rPr>
        <w:t>10</w:t>
      </w:r>
      <w:r>
        <w:rPr>
          <w:snapToGrid w:val="0"/>
        </w:rPr>
        <w:t>.</w:t>
      </w:r>
      <w:r>
        <w:rPr>
          <w:snapToGrid w:val="0"/>
        </w:rPr>
        <w:tab/>
        <w:t>Performance of functions by resolution</w:t>
      </w:r>
      <w:bookmarkEnd w:id="379"/>
      <w:bookmarkEnd w:id="380"/>
      <w:bookmarkEnd w:id="381"/>
    </w:p>
    <w:p>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pPr>
        <w:pStyle w:val="yHeading5"/>
        <w:outlineLvl w:val="9"/>
        <w:rPr>
          <w:snapToGrid w:val="0"/>
        </w:rPr>
      </w:pPr>
      <w:bookmarkStart w:id="382" w:name="_Toc501513306"/>
      <w:bookmarkStart w:id="383" w:name="_Toc170125291"/>
      <w:bookmarkStart w:id="384" w:name="_Toc135718346"/>
      <w:r>
        <w:rPr>
          <w:rStyle w:val="CharSClsNo"/>
        </w:rPr>
        <w:t>11</w:t>
      </w:r>
      <w:r>
        <w:rPr>
          <w:snapToGrid w:val="0"/>
        </w:rPr>
        <w:t>.</w:t>
      </w:r>
      <w:r>
        <w:rPr>
          <w:snapToGrid w:val="0"/>
        </w:rPr>
        <w:tab/>
        <w:t>Disclosure of interest</w:t>
      </w:r>
      <w:bookmarkEnd w:id="382"/>
      <w:bookmarkEnd w:id="383"/>
      <w:bookmarkEnd w:id="384"/>
    </w:p>
    <w:p>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pPr>
        <w:pStyle w:val="yIndenta"/>
        <w:rPr>
          <w:snapToGrid w:val="0"/>
        </w:rPr>
      </w:pPr>
      <w:r>
        <w:rPr>
          <w:snapToGrid w:val="0"/>
        </w:rPr>
        <w:tab/>
        <w:t>(b)</w:t>
      </w:r>
      <w:r>
        <w:rPr>
          <w:snapToGrid w:val="0"/>
        </w:rPr>
        <w:tab/>
        <w:t>shall not take part in any deliberation or decision of the Board with respect to that matter.</w:t>
      </w:r>
    </w:p>
    <w:p>
      <w:pPr>
        <w:pStyle w:val="yPenstart"/>
        <w:rPr>
          <w:snapToGrid w:val="0"/>
        </w:rPr>
      </w:pPr>
      <w:r>
        <w:rPr>
          <w:snapToGrid w:val="0"/>
        </w:rPr>
        <w:tab/>
        <w:t>Penalty: $2 000.</w:t>
      </w:r>
    </w:p>
    <w:p>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pPr>
        <w:pStyle w:val="yHeading5"/>
        <w:outlineLvl w:val="9"/>
        <w:rPr>
          <w:snapToGrid w:val="0"/>
        </w:rPr>
      </w:pPr>
      <w:bookmarkStart w:id="385" w:name="_Toc501513307"/>
      <w:bookmarkStart w:id="386" w:name="_Toc170125292"/>
      <w:bookmarkStart w:id="387" w:name="_Toc135718347"/>
      <w:r>
        <w:rPr>
          <w:rStyle w:val="CharSClsNo"/>
        </w:rPr>
        <w:t>12</w:t>
      </w:r>
      <w:r>
        <w:rPr>
          <w:snapToGrid w:val="0"/>
        </w:rPr>
        <w:t>.</w:t>
      </w:r>
      <w:r>
        <w:rPr>
          <w:snapToGrid w:val="0"/>
        </w:rPr>
        <w:tab/>
        <w:t>Common seal</w:t>
      </w:r>
      <w:bookmarkEnd w:id="385"/>
      <w:bookmarkEnd w:id="386"/>
      <w:bookmarkEnd w:id="387"/>
    </w:p>
    <w:p>
      <w:pPr>
        <w:pStyle w:val="ySubsection"/>
        <w:spacing w:before="140"/>
        <w:rPr>
          <w:snapToGrid w:val="0"/>
        </w:rPr>
      </w:pPr>
      <w:r>
        <w:rPr>
          <w:snapToGrid w:val="0"/>
        </w:rPr>
        <w:tab/>
        <w:t>(1)</w:t>
      </w:r>
      <w:r>
        <w:rPr>
          <w:snapToGrid w:val="0"/>
        </w:rPr>
        <w:tab/>
        <w:t>The form of the common seal of the Board shall be determined by the Board.</w:t>
      </w:r>
    </w:p>
    <w:p>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pPr>
        <w:pStyle w:val="yHeading5"/>
        <w:outlineLvl w:val="9"/>
        <w:rPr>
          <w:snapToGrid w:val="0"/>
        </w:rPr>
      </w:pPr>
      <w:bookmarkStart w:id="388" w:name="_Toc501513308"/>
      <w:bookmarkStart w:id="389" w:name="_Toc170125293"/>
      <w:bookmarkStart w:id="390" w:name="_Toc135718348"/>
      <w:r>
        <w:rPr>
          <w:rStyle w:val="CharSClsNo"/>
        </w:rPr>
        <w:t>13</w:t>
      </w:r>
      <w:r>
        <w:rPr>
          <w:snapToGrid w:val="0"/>
        </w:rPr>
        <w:t>.</w:t>
      </w:r>
      <w:r>
        <w:rPr>
          <w:snapToGrid w:val="0"/>
        </w:rPr>
        <w:tab/>
        <w:t>Allowances</w:t>
      </w:r>
      <w:bookmarkEnd w:id="388"/>
      <w:bookmarkEnd w:id="389"/>
      <w:bookmarkEnd w:id="390"/>
    </w:p>
    <w:p>
      <w:pPr>
        <w:pStyle w:val="ySubsection"/>
        <w:rPr>
          <w:snapToGrid w:val="0"/>
        </w:rPr>
      </w:pPr>
      <w:r>
        <w:rPr>
          <w:snapToGrid w:val="0"/>
        </w:rPr>
        <w:tab/>
      </w:r>
      <w:r>
        <w:rPr>
          <w:snapToGrid w:val="0"/>
        </w:rPr>
        <w:tab/>
        <w:t>There shall be paid to the members of the Board such allowances as the Minister may, on the recommendation of the Board, approve.</w:t>
      </w:r>
    </w:p>
    <w:p>
      <w:pPr>
        <w:pStyle w:val="yHeading5"/>
        <w:outlineLvl w:val="9"/>
        <w:rPr>
          <w:snapToGrid w:val="0"/>
        </w:rPr>
      </w:pPr>
      <w:bookmarkStart w:id="391" w:name="_Toc501513309"/>
      <w:bookmarkStart w:id="392" w:name="_Toc170125294"/>
      <w:bookmarkStart w:id="393" w:name="_Toc135718349"/>
      <w:r>
        <w:rPr>
          <w:rStyle w:val="CharSClsNo"/>
        </w:rPr>
        <w:t>14</w:t>
      </w:r>
      <w:r>
        <w:rPr>
          <w:snapToGrid w:val="0"/>
        </w:rPr>
        <w:t xml:space="preserve">. </w:t>
      </w:r>
      <w:r>
        <w:rPr>
          <w:snapToGrid w:val="0"/>
        </w:rPr>
        <w:tab/>
        <w:t>Protection from liability</w:t>
      </w:r>
      <w:bookmarkEnd w:id="391"/>
      <w:bookmarkEnd w:id="392"/>
      <w:bookmarkEnd w:id="393"/>
      <w:r>
        <w:rPr>
          <w:snapToGrid w:val="0"/>
        </w:rPr>
        <w:t xml:space="preserve"> </w:t>
      </w:r>
    </w:p>
    <w:p>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pPr>
        <w:pStyle w:val="yIndenta"/>
        <w:rPr>
          <w:snapToGrid w:val="0"/>
        </w:rPr>
      </w:pPr>
      <w:r>
        <w:rPr>
          <w:snapToGrid w:val="0"/>
        </w:rPr>
        <w:tab/>
        <w:t>(a)</w:t>
      </w:r>
      <w:r>
        <w:rPr>
          <w:snapToGrid w:val="0"/>
        </w:rPr>
        <w:tab/>
        <w:t>failed to act honestly; or</w:t>
      </w:r>
    </w:p>
    <w:p>
      <w:pPr>
        <w:pStyle w:val="yIndenta"/>
        <w:rPr>
          <w:snapToGrid w:val="0"/>
        </w:rPr>
      </w:pPr>
      <w:r>
        <w:rPr>
          <w:snapToGrid w:val="0"/>
        </w:rPr>
        <w:tab/>
        <w:t>(b)</w:t>
      </w:r>
      <w:r>
        <w:rPr>
          <w:snapToGrid w:val="0"/>
        </w:rPr>
        <w:tab/>
        <w:t>intentionally or recklessly failed to exercise a sufficient degree of care and diligence.</w:t>
      </w:r>
    </w:p>
    <w:p>
      <w:pPr>
        <w:pStyle w:val="yFootnotesection"/>
        <w:rPr>
          <w:del w:id="394" w:author="svcMRProcess" w:date="2015-12-09T18:00:00Z"/>
        </w:rPr>
      </w:pPr>
      <w:bookmarkStart w:id="395" w:name="_Toc135715662"/>
      <w:bookmarkStart w:id="396" w:name="_Toc135716441"/>
      <w:bookmarkStart w:id="397" w:name="_Toc135717545"/>
      <w:bookmarkStart w:id="398" w:name="_Toc135718350"/>
      <w:bookmarkStart w:id="399" w:name="_Toc170125295"/>
      <w:del w:id="400" w:author="svcMRProcess" w:date="2015-12-09T18:00:00Z">
        <w:r>
          <w:tab/>
          <w:delText xml:space="preserve">[Schedule 2 amended by No. 45 of 1994 s.11; No. 46 of 1995 s.17.] </w:delText>
        </w:r>
      </w:del>
    </w:p>
    <w:p>
      <w:pPr>
        <w:pStyle w:val="yScheduleHeading"/>
      </w:pPr>
      <w:r>
        <w:rPr>
          <w:rStyle w:val="CharSchNo"/>
        </w:rPr>
        <w:t>Schedule 3</w:t>
      </w:r>
      <w:bookmarkEnd w:id="395"/>
      <w:bookmarkEnd w:id="396"/>
      <w:bookmarkEnd w:id="397"/>
      <w:bookmarkEnd w:id="398"/>
      <w:bookmarkEnd w:id="399"/>
    </w:p>
    <w:p>
      <w:pPr>
        <w:pStyle w:val="yShoulderClause"/>
        <w:rPr>
          <w:snapToGrid w:val="0"/>
        </w:rPr>
      </w:pPr>
      <w:r>
        <w:rPr>
          <w:snapToGrid w:val="0"/>
        </w:rPr>
        <w:t>[s.35]</w:t>
      </w:r>
    </w:p>
    <w:p>
      <w:pPr>
        <w:pStyle w:val="MiscellaneousHeading"/>
        <w:rPr>
          <w:snapToGrid w:val="0"/>
          <w:sz w:val="22"/>
        </w:rPr>
      </w:pPr>
      <w:r>
        <w:rPr>
          <w:rStyle w:val="CharSchText"/>
          <w:b/>
        </w:rPr>
        <w:t xml:space="preserve">Transitional provisions </w:t>
      </w:r>
    </w:p>
    <w:p>
      <w:pPr>
        <w:pStyle w:val="yHeading5"/>
        <w:outlineLvl w:val="9"/>
        <w:rPr>
          <w:snapToGrid w:val="0"/>
        </w:rPr>
      </w:pPr>
      <w:bookmarkStart w:id="401" w:name="_Toc501513310"/>
      <w:bookmarkStart w:id="402" w:name="_Toc170125296"/>
      <w:bookmarkStart w:id="403" w:name="_Toc135718351"/>
      <w:r>
        <w:rPr>
          <w:rStyle w:val="CharSClsNo"/>
        </w:rPr>
        <w:t>1</w:t>
      </w:r>
      <w:r>
        <w:rPr>
          <w:snapToGrid w:val="0"/>
        </w:rPr>
        <w:t>.</w:t>
      </w:r>
      <w:r>
        <w:rPr>
          <w:snapToGrid w:val="0"/>
        </w:rPr>
        <w:tab/>
        <w:t>Interpretation</w:t>
      </w:r>
      <w:bookmarkEnd w:id="401"/>
      <w:bookmarkEnd w:id="402"/>
      <w:bookmarkEnd w:id="403"/>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former Act</w:t>
      </w:r>
      <w:r>
        <w:rPr>
          <w:b/>
        </w:rPr>
        <w:t>”</w:t>
      </w:r>
      <w:r>
        <w:t xml:space="preserve"> means the </w:t>
      </w:r>
      <w:r>
        <w:rPr>
          <w:i/>
        </w:rPr>
        <w:t>Coal Mine Workers (Pensions) Act 1943</w:t>
      </w:r>
      <w:del w:id="404" w:author="svcMRProcess" w:date="2015-12-09T18:00:00Z">
        <w:r>
          <w:delText>;</w:delText>
        </w:r>
      </w:del>
      <w:ins w:id="405" w:author="svcMRProcess" w:date="2015-12-09T18:00:00Z">
        <w:r>
          <w:t>.</w:t>
        </w:r>
      </w:ins>
    </w:p>
    <w:p>
      <w:pPr>
        <w:pStyle w:val="yDefstart"/>
        <w:rPr>
          <w:del w:id="406" w:author="svcMRProcess" w:date="2015-12-09T18:00:00Z"/>
        </w:rPr>
      </w:pPr>
      <w:bookmarkStart w:id="407" w:name="_Toc501513311"/>
      <w:del w:id="408" w:author="svcMRProcess" w:date="2015-12-09T18:00:00Z">
        <w:r>
          <w:rPr>
            <w:b/>
          </w:rPr>
          <w:tab/>
          <w:delText>“</w:delText>
        </w:r>
        <w:r>
          <w:rPr>
            <w:rStyle w:val="CharDefText"/>
          </w:rPr>
          <w:delText>previous fund</w:delText>
        </w:r>
        <w:r>
          <w:rPr>
            <w:b/>
          </w:rPr>
          <w:delText>”</w:delText>
        </w:r>
        <w:r>
          <w:delText xml:space="preserve"> means the Coal Mine Workers’ Pensions Fund established under the former Act;</w:delText>
        </w:r>
      </w:del>
    </w:p>
    <w:p>
      <w:pPr>
        <w:pStyle w:val="yDefstart"/>
        <w:rPr>
          <w:del w:id="409" w:author="svcMRProcess" w:date="2015-12-09T18:00:00Z"/>
        </w:rPr>
      </w:pPr>
      <w:del w:id="410" w:author="svcMRProcess" w:date="2015-12-09T18:00:00Z">
        <w:r>
          <w:rPr>
            <w:b/>
          </w:rPr>
          <w:tab/>
          <w:delText>“</w:delText>
        </w:r>
        <w:r>
          <w:rPr>
            <w:rStyle w:val="CharDefText"/>
          </w:rPr>
          <w:delText>Tribunal</w:delText>
        </w:r>
        <w:r>
          <w:rPr>
            <w:b/>
          </w:rPr>
          <w:delText>”</w:delText>
        </w:r>
        <w:r>
          <w:delText xml:space="preserve"> means the Pensions Tribunal constituted under the former Act.</w:delText>
        </w:r>
      </w:del>
    </w:p>
    <w:p>
      <w:pPr>
        <w:pStyle w:val="yHeading5"/>
        <w:outlineLvl w:val="9"/>
        <w:rPr>
          <w:del w:id="411" w:author="svcMRProcess" w:date="2015-12-09T18:00:00Z"/>
          <w:snapToGrid w:val="0"/>
        </w:rPr>
      </w:pPr>
      <w:bookmarkStart w:id="412" w:name="_Toc135718352"/>
      <w:del w:id="413" w:author="svcMRProcess" w:date="2015-12-09T18:00:00Z">
        <w:r>
          <w:rPr>
            <w:snapToGrid w:val="0"/>
          </w:rPr>
          <w:delText>2.</w:delText>
        </w:r>
        <w:r>
          <w:rPr>
            <w:snapToGrid w:val="0"/>
          </w:rPr>
          <w:tab/>
          <w:delText>Transfer of assets, liabilities and records</w:delText>
        </w:r>
        <w:bookmarkEnd w:id="412"/>
      </w:del>
    </w:p>
    <w:p>
      <w:pPr>
        <w:pStyle w:val="ySubsection"/>
        <w:rPr>
          <w:del w:id="414" w:author="svcMRProcess" w:date="2015-12-09T18:00:00Z"/>
          <w:snapToGrid w:val="0"/>
        </w:rPr>
      </w:pPr>
      <w:del w:id="415" w:author="svcMRProcess" w:date="2015-12-09T18:00:00Z">
        <w:r>
          <w:rPr>
            <w:snapToGrid w:val="0"/>
          </w:rPr>
          <w:tab/>
          <w:delText>(1)</w:delText>
        </w:r>
        <w:r>
          <w:rPr>
            <w:snapToGrid w:val="0"/>
          </w:rPr>
          <w:tab/>
          <w:delText>All moneys standing to the credit of, and all investments forming part of, the previous fund immediately before the commencement day shall, on and after that day, stand to the credit of, or form part of the Fund for the purposes of this Act, and all liabilities of the previous fund immediately before that day, including contingent liabilities, shall on and after that day be liabilities of the Fund.</w:delText>
        </w:r>
      </w:del>
    </w:p>
    <w:p>
      <w:pPr>
        <w:pStyle w:val="ySubsection"/>
        <w:rPr>
          <w:del w:id="416" w:author="svcMRProcess" w:date="2015-12-09T18:00:00Z"/>
          <w:snapToGrid w:val="0"/>
        </w:rPr>
      </w:pPr>
      <w:del w:id="417" w:author="svcMRProcess" w:date="2015-12-09T18:00:00Z">
        <w:r>
          <w:rPr>
            <w:snapToGrid w:val="0"/>
          </w:rPr>
          <w:tab/>
          <w:delText>(2)</w:delText>
        </w:r>
        <w:r>
          <w:rPr>
            <w:snapToGrid w:val="0"/>
          </w:rPr>
          <w:tab/>
          <w:delText>On the commencement day all property acquired by the Tribunal for the purposes of the former Act shall, by force of this subclause, vest in the Board.</w:delText>
        </w:r>
      </w:del>
    </w:p>
    <w:p>
      <w:pPr>
        <w:pStyle w:val="ySubsection"/>
        <w:rPr>
          <w:del w:id="418" w:author="svcMRProcess" w:date="2015-12-09T18:00:00Z"/>
          <w:snapToGrid w:val="0"/>
        </w:rPr>
      </w:pPr>
      <w:del w:id="419" w:author="svcMRProcess" w:date="2015-12-09T18:00:00Z">
        <w:r>
          <w:rPr>
            <w:snapToGrid w:val="0"/>
          </w:rPr>
          <w:tab/>
          <w:delText>(3)</w:delText>
        </w:r>
        <w:r>
          <w:rPr>
            <w:snapToGrid w:val="0"/>
          </w:rPr>
          <w:tab/>
          <w:delText>On the commencement day the Board shall take delivery of all registers, papers, documents, minutes, receipts, books of account and other records (however compiled, recorded or stored) relating to the operations of the Tribunal.</w:delText>
        </w:r>
      </w:del>
    </w:p>
    <w:p>
      <w:pPr>
        <w:pStyle w:val="ySubsection"/>
        <w:rPr>
          <w:del w:id="420" w:author="svcMRProcess" w:date="2015-12-09T18:00:00Z"/>
          <w:snapToGrid w:val="0"/>
        </w:rPr>
      </w:pPr>
      <w:del w:id="421" w:author="svcMRProcess" w:date="2015-12-09T18:00:00Z">
        <w:r>
          <w:rPr>
            <w:snapToGrid w:val="0"/>
          </w:rPr>
          <w:tab/>
          <w:delText>(4)</w:delText>
        </w:r>
        <w:r>
          <w:rPr>
            <w:snapToGrid w:val="0"/>
          </w:rPr>
          <w:tab/>
          <w:delText>Any moneys in the previous fund invested by the Tribunal before the commencement day shall be taken to have been invested in accordance with the former Act and to form part of the previous fund.</w:delText>
        </w:r>
      </w:del>
    </w:p>
    <w:p>
      <w:pPr>
        <w:pStyle w:val="ySubsection"/>
        <w:rPr>
          <w:del w:id="422" w:author="svcMRProcess" w:date="2015-12-09T18:00:00Z"/>
          <w:snapToGrid w:val="0"/>
        </w:rPr>
      </w:pPr>
      <w:del w:id="423" w:author="svcMRProcess" w:date="2015-12-09T18:00:00Z">
        <w:r>
          <w:rPr>
            <w:snapToGrid w:val="0"/>
          </w:rPr>
          <w:tab/>
          <w:delText>(5)</w:delText>
        </w:r>
        <w:r>
          <w:rPr>
            <w:snapToGrid w:val="0"/>
          </w:rPr>
          <w:tab/>
          <w:delText>Any question arising as to whether or not a provision of this clause applies to any particular asset, liability, property, register, paper, document, minute, receipt book of account or other record shall be determined by the Minister and the decision of the Minister is final.</w:delText>
        </w:r>
      </w:del>
    </w:p>
    <w:p>
      <w:pPr>
        <w:pStyle w:val="yHeading5"/>
        <w:outlineLvl w:val="9"/>
        <w:rPr>
          <w:del w:id="424" w:author="svcMRProcess" w:date="2015-12-09T18:00:00Z"/>
          <w:snapToGrid w:val="0"/>
        </w:rPr>
      </w:pPr>
      <w:bookmarkStart w:id="425" w:name="_Toc501513312"/>
      <w:bookmarkStart w:id="426" w:name="_Toc135718353"/>
      <w:del w:id="427" w:author="svcMRProcess" w:date="2015-12-09T18:00:00Z">
        <w:r>
          <w:rPr>
            <w:snapToGrid w:val="0"/>
          </w:rPr>
          <w:delText>3.</w:delText>
        </w:r>
        <w:r>
          <w:rPr>
            <w:snapToGrid w:val="0"/>
          </w:rPr>
          <w:tab/>
          <w:delText>Transfer of operations</w:delText>
        </w:r>
        <w:bookmarkEnd w:id="425"/>
        <w:bookmarkEnd w:id="426"/>
      </w:del>
    </w:p>
    <w:p>
      <w:pPr>
        <w:pStyle w:val="ySubsection"/>
        <w:rPr>
          <w:del w:id="428" w:author="svcMRProcess" w:date="2015-12-09T18:00:00Z"/>
          <w:snapToGrid w:val="0"/>
        </w:rPr>
      </w:pPr>
      <w:del w:id="429" w:author="svcMRProcess" w:date="2015-12-09T18:00:00Z">
        <w:r>
          <w:rPr>
            <w:snapToGrid w:val="0"/>
          </w:rPr>
          <w:tab/>
          <w:delText>(1)</w:delText>
        </w:r>
        <w:r>
          <w:rPr>
            <w:snapToGrid w:val="0"/>
          </w:rPr>
          <w:tab/>
          <w:delText>Any policy of insurance, agreement or instrument in force immediately before the commencement day to which the Tribunal is a party and which relates to the administration of the former Act shall, subject to this Act, continue in force for the purposes of the Fund as if — </w:delText>
        </w:r>
      </w:del>
    </w:p>
    <w:p>
      <w:pPr>
        <w:pStyle w:val="yIndenta"/>
        <w:rPr>
          <w:del w:id="430" w:author="svcMRProcess" w:date="2015-12-09T18:00:00Z"/>
          <w:snapToGrid w:val="0"/>
        </w:rPr>
      </w:pPr>
      <w:del w:id="431" w:author="svcMRProcess" w:date="2015-12-09T18:00:00Z">
        <w:r>
          <w:rPr>
            <w:snapToGrid w:val="0"/>
          </w:rPr>
          <w:tab/>
          <w:delText>(a)</w:delText>
        </w:r>
        <w:r>
          <w:rPr>
            <w:snapToGrid w:val="0"/>
          </w:rPr>
          <w:tab/>
          <w:delText>the Board were substituted for the Tribunal as a party to the policy, instrument or agreement; and</w:delText>
        </w:r>
      </w:del>
    </w:p>
    <w:p>
      <w:pPr>
        <w:pStyle w:val="yIndenta"/>
        <w:rPr>
          <w:del w:id="432" w:author="svcMRProcess" w:date="2015-12-09T18:00:00Z"/>
          <w:snapToGrid w:val="0"/>
        </w:rPr>
      </w:pPr>
      <w:del w:id="433" w:author="svcMRProcess" w:date="2015-12-09T18:00:00Z">
        <w:r>
          <w:rPr>
            <w:snapToGrid w:val="0"/>
          </w:rPr>
          <w:tab/>
          <w:delText>(b)</w:delText>
        </w:r>
        <w:r>
          <w:rPr>
            <w:snapToGrid w:val="0"/>
          </w:rPr>
          <w:tab/>
          <w:delText>any reference in the policy, instrument or agreement to the Tribunal were (unless the context otherwise requires) a reference to the Board.</w:delText>
        </w:r>
      </w:del>
    </w:p>
    <w:p>
      <w:pPr>
        <w:pStyle w:val="ySubsection"/>
        <w:rPr>
          <w:del w:id="434" w:author="svcMRProcess" w:date="2015-12-09T18:00:00Z"/>
          <w:snapToGrid w:val="0"/>
        </w:rPr>
      </w:pPr>
      <w:del w:id="435" w:author="svcMRProcess" w:date="2015-12-09T18:00:00Z">
        <w:r>
          <w:rPr>
            <w:snapToGrid w:val="0"/>
          </w:rPr>
          <w:tab/>
          <w:delText>(2)</w:delText>
        </w:r>
        <w:r>
          <w:rPr>
            <w:snapToGrid w:val="0"/>
          </w:rPr>
          <w:tab/>
          <w:delText>Where anything has been lawfully commenced by or under the authority of the Tribunal before the commencement day that thing may be carried on and completed by or under the authority of the Board.</w:delText>
        </w:r>
      </w:del>
    </w:p>
    <w:p>
      <w:pPr>
        <w:pStyle w:val="ySubsection"/>
        <w:rPr>
          <w:del w:id="436" w:author="svcMRProcess" w:date="2015-12-09T18:00:00Z"/>
          <w:snapToGrid w:val="0"/>
        </w:rPr>
      </w:pPr>
      <w:del w:id="437" w:author="svcMRProcess" w:date="2015-12-09T18:00:00Z">
        <w:r>
          <w:rPr>
            <w:snapToGrid w:val="0"/>
          </w:rPr>
          <w:tab/>
          <w:delText>(3)</w:delText>
        </w:r>
        <w:r>
          <w:rPr>
            <w:snapToGrid w:val="0"/>
          </w:rPr>
          <w:tab/>
          <w:delText>Without limiting the generality of subclause (2), any proceedings pending immediately before the commencement day to which the Tribunal is a party and which relate to the former Act may be continued after the commencement day with the Board, by force of this subclause, substituted as a party thereto in lieu of the Tribunal.</w:delText>
        </w:r>
      </w:del>
    </w:p>
    <w:p>
      <w:pPr>
        <w:pStyle w:val="ySubsection"/>
        <w:rPr>
          <w:del w:id="438" w:author="svcMRProcess" w:date="2015-12-09T18:00:00Z"/>
          <w:snapToGrid w:val="0"/>
        </w:rPr>
      </w:pPr>
      <w:del w:id="439" w:author="svcMRProcess" w:date="2015-12-09T18:00:00Z">
        <w:r>
          <w:rPr>
            <w:snapToGrid w:val="0"/>
          </w:rPr>
          <w:tab/>
          <w:delText>(4)</w:delText>
        </w:r>
        <w:r>
          <w:rPr>
            <w:snapToGrid w:val="0"/>
          </w:rPr>
          <w:tab/>
          <w:delText>Any question arising as to whether or not a provision of this clause applies to any particular policy, agreement, instrument or proceedings shall be determined by the Minister and the decision of the Minister is final.</w:delText>
        </w:r>
      </w:del>
    </w:p>
    <w:p>
      <w:pPr>
        <w:pStyle w:val="yHeading5"/>
        <w:outlineLvl w:val="9"/>
        <w:rPr>
          <w:del w:id="440" w:author="svcMRProcess" w:date="2015-12-09T18:00:00Z"/>
          <w:snapToGrid w:val="0"/>
        </w:rPr>
      </w:pPr>
      <w:bookmarkStart w:id="441" w:name="_Toc501513313"/>
      <w:bookmarkStart w:id="442" w:name="_Toc135718354"/>
      <w:del w:id="443" w:author="svcMRProcess" w:date="2015-12-09T18:00:00Z">
        <w:r>
          <w:rPr>
            <w:snapToGrid w:val="0"/>
          </w:rPr>
          <w:delText>4.</w:delText>
        </w:r>
        <w:r>
          <w:rPr>
            <w:snapToGrid w:val="0"/>
          </w:rPr>
          <w:tab/>
          <w:delText>Claims preserved</w:delText>
        </w:r>
        <w:bookmarkEnd w:id="441"/>
        <w:bookmarkEnd w:id="442"/>
      </w:del>
    </w:p>
    <w:p>
      <w:pPr>
        <w:pStyle w:val="ySubsection"/>
        <w:rPr>
          <w:del w:id="444" w:author="svcMRProcess" w:date="2015-12-09T18:00:00Z"/>
          <w:snapToGrid w:val="0"/>
        </w:rPr>
      </w:pPr>
      <w:del w:id="445" w:author="svcMRProcess" w:date="2015-12-09T18:00:00Z">
        <w:r>
          <w:rPr>
            <w:snapToGrid w:val="0"/>
          </w:rPr>
          <w:tab/>
        </w:r>
        <w:r>
          <w:rPr>
            <w:snapToGrid w:val="0"/>
          </w:rPr>
          <w:tab/>
          <w:delText>A claim for any benefits under the former Act that had not been finally dealt with immediately before the commencement date may be dealt with after the commencement day as if it were a claim for benefits from the Fund under this Act.</w:delText>
        </w:r>
      </w:del>
    </w:p>
    <w:p>
      <w:pPr>
        <w:pStyle w:val="yFootnotesection"/>
        <w:rPr>
          <w:ins w:id="446" w:author="svcMRProcess" w:date="2015-12-09T18:00:00Z"/>
        </w:rPr>
      </w:pPr>
      <w:ins w:id="447" w:author="svcMRProcess" w:date="2015-12-09T18:00:00Z">
        <w:r>
          <w:tab/>
          <w:t>[Clause 1 amended by No. 16 of 2006 s. 15(1).]</w:t>
        </w:r>
      </w:ins>
    </w:p>
    <w:p>
      <w:pPr>
        <w:pStyle w:val="yEdnotesection"/>
        <w:rPr>
          <w:ins w:id="448" w:author="svcMRProcess" w:date="2015-12-09T18:00:00Z"/>
        </w:rPr>
      </w:pPr>
      <w:bookmarkStart w:id="449" w:name="_Toc501513314"/>
      <w:bookmarkEnd w:id="407"/>
      <w:ins w:id="450" w:author="svcMRProcess" w:date="2015-12-09T18:00:00Z">
        <w:r>
          <w:t>[</w:t>
        </w:r>
        <w:r>
          <w:rPr>
            <w:b/>
            <w:bCs/>
          </w:rPr>
          <w:t>2-4.</w:t>
        </w:r>
        <w:r>
          <w:tab/>
          <w:t>Repealed by No. 16 of 2006 s. 15(2).]</w:t>
        </w:r>
      </w:ins>
    </w:p>
    <w:p>
      <w:pPr>
        <w:pStyle w:val="yHeading5"/>
        <w:outlineLvl w:val="9"/>
        <w:rPr>
          <w:snapToGrid w:val="0"/>
        </w:rPr>
      </w:pPr>
      <w:bookmarkStart w:id="451" w:name="_Toc170125297"/>
      <w:bookmarkStart w:id="452" w:name="_Toc135718355"/>
      <w:r>
        <w:rPr>
          <w:rStyle w:val="CharSClsNo"/>
        </w:rPr>
        <w:t>5</w:t>
      </w:r>
      <w:r>
        <w:rPr>
          <w:snapToGrid w:val="0"/>
        </w:rPr>
        <w:t>.</w:t>
      </w:r>
      <w:r>
        <w:rPr>
          <w:snapToGrid w:val="0"/>
        </w:rPr>
        <w:tab/>
        <w:t>Reciprocating States</w:t>
      </w:r>
      <w:bookmarkEnd w:id="449"/>
      <w:bookmarkEnd w:id="451"/>
      <w:bookmarkEnd w:id="452"/>
    </w:p>
    <w:p>
      <w:pPr>
        <w:pStyle w:val="ySubsection"/>
        <w:rPr>
          <w:snapToGrid w:val="0"/>
        </w:rPr>
      </w:pPr>
      <w:r>
        <w:rPr>
          <w:snapToGrid w:val="0"/>
        </w:rPr>
        <w:tab/>
      </w:r>
      <w:r>
        <w:rPr>
          <w:snapToGrid w:val="0"/>
        </w:rPr>
        <w:tab/>
        <w:t>Where a proclamation declaring any other State to be a reciprocating State under section 4 of the former Act was in force immediately before the commencement day, that proclamation shall continue in force and this Act shall be deemed to be modified to the extent necessary to enable the agreement entered into under section 4(2) of the former Act with such State to be carried into effect.</w:t>
      </w:r>
    </w:p>
    <w:p>
      <w:pPr>
        <w:pStyle w:val="yHeading5"/>
        <w:outlineLvl w:val="9"/>
        <w:rPr>
          <w:del w:id="453" w:author="svcMRProcess" w:date="2015-12-09T18:00:00Z"/>
          <w:snapToGrid w:val="0"/>
        </w:rPr>
      </w:pPr>
      <w:ins w:id="454" w:author="svcMRProcess" w:date="2015-12-09T18:00:00Z">
        <w:r>
          <w:t>[</w:t>
        </w:r>
      </w:ins>
      <w:bookmarkStart w:id="455" w:name="_Toc501513315"/>
      <w:bookmarkStart w:id="456" w:name="_Toc135718356"/>
      <w:r>
        <w:rPr>
          <w:bCs/>
        </w:rPr>
        <w:t>6</w:t>
      </w:r>
      <w:del w:id="457" w:author="svcMRProcess" w:date="2015-12-09T18:00:00Z">
        <w:r>
          <w:rPr>
            <w:snapToGrid w:val="0"/>
          </w:rPr>
          <w:delText>.</w:delText>
        </w:r>
        <w:r>
          <w:rPr>
            <w:snapToGrid w:val="0"/>
          </w:rPr>
          <w:tab/>
          <w:delText>Pensions</w:delText>
        </w:r>
        <w:bookmarkEnd w:id="455"/>
        <w:bookmarkEnd w:id="456"/>
      </w:del>
    </w:p>
    <w:p>
      <w:pPr>
        <w:pStyle w:val="ySubsection"/>
        <w:rPr>
          <w:del w:id="458" w:author="svcMRProcess" w:date="2015-12-09T18:00:00Z"/>
          <w:snapToGrid w:val="0"/>
        </w:rPr>
      </w:pPr>
      <w:del w:id="459" w:author="svcMRProcess" w:date="2015-12-09T18:00:00Z">
        <w:r>
          <w:rPr>
            <w:snapToGrid w:val="0"/>
          </w:rPr>
          <w:tab/>
          <w:delText>(1)</w:delText>
        </w:r>
        <w:r>
          <w:rPr>
            <w:snapToGrid w:val="0"/>
          </w:rPr>
          <w:tab/>
          <w:delText xml:space="preserve">Where immediately before the commencement day a person was paid a pension, or pension and additional payments, under section 6, 7, </w:delText>
        </w:r>
      </w:del>
      <w:ins w:id="460" w:author="svcMRProcess" w:date="2015-12-09T18:00:00Z">
        <w:r>
          <w:rPr>
            <w:b/>
            <w:bCs/>
          </w:rPr>
          <w:t>-</w:t>
        </w:r>
      </w:ins>
      <w:r>
        <w:rPr>
          <w:b/>
          <w:bCs/>
        </w:rPr>
        <w:t>8</w:t>
      </w:r>
      <w:del w:id="461" w:author="svcMRProcess" w:date="2015-12-09T18:00:00Z">
        <w:r>
          <w:rPr>
            <w:snapToGrid w:val="0"/>
          </w:rPr>
          <w:delText>, 9 or 10</w:delText>
        </w:r>
      </w:del>
      <w:ins w:id="462" w:author="svcMRProcess" w:date="2015-12-09T18:00:00Z">
        <w:r>
          <w:rPr>
            <w:b/>
            <w:bCs/>
          </w:rPr>
          <w:t>.</w:t>
        </w:r>
        <w:r>
          <w:tab/>
          <w:t>Repealed by No. 16</w:t>
        </w:r>
      </w:ins>
      <w:r>
        <w:t xml:space="preserve"> of </w:t>
      </w:r>
      <w:del w:id="463" w:author="svcMRProcess" w:date="2015-12-09T18:00:00Z">
        <w:r>
          <w:rPr>
            <w:snapToGrid w:val="0"/>
          </w:rPr>
          <w:delText>the former Act, the Board shall, subject to subclause (5), continue to pay that person that pension, or pension and additional payments, as the case may be, and such payments shall be made from the Fund.</w:delText>
        </w:r>
      </w:del>
    </w:p>
    <w:p>
      <w:pPr>
        <w:pStyle w:val="ySubsection"/>
        <w:rPr>
          <w:del w:id="464" w:author="svcMRProcess" w:date="2015-12-09T18:00:00Z"/>
          <w:snapToGrid w:val="0"/>
        </w:rPr>
      </w:pPr>
      <w:del w:id="465" w:author="svcMRProcess" w:date="2015-12-09T18:00:00Z">
        <w:r>
          <w:rPr>
            <w:snapToGrid w:val="0"/>
          </w:rPr>
          <w:tab/>
          <w:delText>(2)</w:delText>
        </w:r>
        <w:r>
          <w:rPr>
            <w:snapToGrid w:val="0"/>
          </w:rPr>
          <w:tab/>
          <w:delText>A person who receives a pension under subsection (1) shall be eligible to receive additional, or further additional, payments in the circumstances prescribed and where such payments are payable the Board shall make the payments from the Fund.</w:delText>
        </w:r>
      </w:del>
    </w:p>
    <w:p>
      <w:pPr>
        <w:pStyle w:val="ySubsection"/>
        <w:rPr>
          <w:del w:id="466" w:author="svcMRProcess" w:date="2015-12-09T18:00:00Z"/>
          <w:snapToGrid w:val="0"/>
        </w:rPr>
      </w:pPr>
      <w:del w:id="467" w:author="svcMRProcess" w:date="2015-12-09T18:00:00Z">
        <w:r>
          <w:rPr>
            <w:snapToGrid w:val="0"/>
          </w:rPr>
          <w:tab/>
          <w:delText>(3)</w:delText>
        </w:r>
        <w:r>
          <w:rPr>
            <w:snapToGrid w:val="0"/>
          </w:rPr>
          <w:tab/>
          <w:delText>A pension payable under section 6, 7 or 8 of the former Act and continued under this Act shall, subject to regulations made under subclause (5)(b), be payable to the mine worker until the death of the mine worker.</w:delText>
        </w:r>
      </w:del>
    </w:p>
    <w:p>
      <w:pPr>
        <w:pStyle w:val="ySubsection"/>
        <w:rPr>
          <w:del w:id="468" w:author="svcMRProcess" w:date="2015-12-09T18:00:00Z"/>
          <w:snapToGrid w:val="0"/>
        </w:rPr>
      </w:pPr>
      <w:del w:id="469" w:author="svcMRProcess" w:date="2015-12-09T18:00:00Z">
        <w:r>
          <w:rPr>
            <w:snapToGrid w:val="0"/>
          </w:rPr>
          <w:tab/>
          <w:delText>(4)</w:delText>
        </w:r>
        <w:r>
          <w:rPr>
            <w:snapToGrid w:val="0"/>
          </w:rPr>
          <w:tab/>
          <w:delText>Where a person, but for the repeal of the former Act, may have been eligible to be paid a pension under section 26 of the former Act, the Board may in its discretion pay that person a pension from the Fund.</w:delText>
        </w:r>
      </w:del>
    </w:p>
    <w:p>
      <w:pPr>
        <w:pStyle w:val="ySubsection"/>
        <w:rPr>
          <w:del w:id="470" w:author="svcMRProcess" w:date="2015-12-09T18:00:00Z"/>
          <w:snapToGrid w:val="0"/>
        </w:rPr>
      </w:pPr>
      <w:del w:id="471" w:author="svcMRProcess" w:date="2015-12-09T18:00:00Z">
        <w:r>
          <w:rPr>
            <w:snapToGrid w:val="0"/>
          </w:rPr>
          <w:tab/>
          <w:delText>(5)</w:delText>
        </w:r>
        <w:r>
          <w:rPr>
            <w:snapToGrid w:val="0"/>
          </w:rPr>
          <w:tab/>
          <w:delText>A pension or payment payable under this clause — </w:delText>
        </w:r>
      </w:del>
    </w:p>
    <w:p>
      <w:pPr>
        <w:pStyle w:val="yIndenta"/>
        <w:rPr>
          <w:del w:id="472" w:author="svcMRProcess" w:date="2015-12-09T18:00:00Z"/>
          <w:snapToGrid w:val="0"/>
        </w:rPr>
      </w:pPr>
      <w:del w:id="473" w:author="svcMRProcess" w:date="2015-12-09T18:00:00Z">
        <w:r>
          <w:rPr>
            <w:snapToGrid w:val="0"/>
          </w:rPr>
          <w:tab/>
          <w:delText>(a)</w:delText>
        </w:r>
        <w:r>
          <w:rPr>
            <w:snapToGrid w:val="0"/>
          </w:rPr>
          <w:tab/>
          <w:delText>shall be calculated as prescribed;</w:delText>
        </w:r>
      </w:del>
    </w:p>
    <w:p>
      <w:pPr>
        <w:pStyle w:val="yIndenta"/>
        <w:rPr>
          <w:del w:id="474" w:author="svcMRProcess" w:date="2015-12-09T18:00:00Z"/>
          <w:snapToGrid w:val="0"/>
        </w:rPr>
      </w:pPr>
      <w:del w:id="475" w:author="svcMRProcess" w:date="2015-12-09T18:00:00Z">
        <w:r>
          <w:rPr>
            <w:snapToGrid w:val="0"/>
          </w:rPr>
          <w:tab/>
          <w:delText>(b)</w:delText>
        </w:r>
        <w:r>
          <w:rPr>
            <w:snapToGrid w:val="0"/>
          </w:rPr>
          <w:tab/>
          <w:delText>shall not be payable or shall be suspended or revoked in the circumstances prescribed.</w:delText>
        </w:r>
      </w:del>
    </w:p>
    <w:p>
      <w:pPr>
        <w:pStyle w:val="yEdnotesection"/>
      </w:pPr>
      <w:del w:id="476" w:author="svcMRProcess" w:date="2015-12-09T18:00:00Z">
        <w:r>
          <w:delText>[</w:delText>
        </w:r>
        <w:r>
          <w:rPr>
            <w:b/>
            <w:bCs/>
          </w:rPr>
          <w:delText>7.</w:delText>
        </w:r>
        <w:r>
          <w:tab/>
          <w:delText>Omitted under the Reprints Act 1984</w:delText>
        </w:r>
      </w:del>
      <w:ins w:id="477" w:author="svcMRProcess" w:date="2015-12-09T18:00:00Z">
        <w:r>
          <w:t>2006</w:t>
        </w:r>
      </w:ins>
      <w:r>
        <w:t xml:space="preserve"> s.</w:t>
      </w:r>
      <w:del w:id="478" w:author="svcMRProcess" w:date="2015-12-09T18:00:00Z">
        <w:r>
          <w:delText>7(4)(e</w:delText>
        </w:r>
      </w:del>
      <w:ins w:id="479" w:author="svcMRProcess" w:date="2015-12-09T18:00:00Z">
        <w:r>
          <w:t> 15(2</w:t>
        </w:r>
      </w:ins>
      <w:r>
        <w:t>).]</w:t>
      </w:r>
    </w:p>
    <w:p>
      <w:pPr>
        <w:pStyle w:val="yHeading5"/>
        <w:outlineLvl w:val="9"/>
        <w:rPr>
          <w:del w:id="480" w:author="svcMRProcess" w:date="2015-12-09T18:00:00Z"/>
          <w:snapToGrid w:val="0"/>
        </w:rPr>
      </w:pPr>
      <w:bookmarkStart w:id="481" w:name="_Toc501513317"/>
      <w:bookmarkStart w:id="482" w:name="_Toc135718357"/>
      <w:del w:id="483" w:author="svcMRProcess" w:date="2015-12-09T18:00:00Z">
        <w:r>
          <w:rPr>
            <w:snapToGrid w:val="0"/>
          </w:rPr>
          <w:delText>8.</w:delText>
        </w:r>
        <w:r>
          <w:rPr>
            <w:snapToGrid w:val="0"/>
          </w:rPr>
          <w:tab/>
          <w:delText>Regulations</w:delText>
        </w:r>
        <w:bookmarkEnd w:id="481"/>
        <w:bookmarkEnd w:id="482"/>
      </w:del>
    </w:p>
    <w:p>
      <w:pPr>
        <w:pStyle w:val="ySubsection"/>
        <w:rPr>
          <w:del w:id="484" w:author="svcMRProcess" w:date="2015-12-09T18:00:00Z"/>
          <w:snapToGrid w:val="0"/>
        </w:rPr>
      </w:pPr>
      <w:del w:id="485" w:author="svcMRProcess" w:date="2015-12-09T18:00:00Z">
        <w:r>
          <w:rPr>
            <w:snapToGrid w:val="0"/>
          </w:rPr>
          <w:tab/>
          <w:delText>(1)</w:delText>
        </w:r>
        <w:r>
          <w:rPr>
            <w:snapToGrid w:val="0"/>
          </w:rPr>
          <w:tab/>
          <w:delText>The Governor may make regulations containing other provisions of a savings or transitional nature consequential upon the enactment of this Act.</w:delText>
        </w:r>
      </w:del>
    </w:p>
    <w:p>
      <w:pPr>
        <w:pStyle w:val="ySubsection"/>
        <w:rPr>
          <w:del w:id="486" w:author="svcMRProcess" w:date="2015-12-09T18:00:00Z"/>
          <w:snapToGrid w:val="0"/>
        </w:rPr>
      </w:pPr>
      <w:del w:id="487" w:author="svcMRProcess" w:date="2015-12-09T18:00:00Z">
        <w:r>
          <w:rPr>
            <w:snapToGrid w:val="0"/>
          </w:rPr>
          <w:tab/>
          <w:delText>(2)</w:delText>
        </w:r>
        <w:r>
          <w:rPr>
            <w:snapToGrid w:val="0"/>
          </w:rPr>
          <w:tab/>
          <w:delText xml:space="preserve">A provision made under subclause (1) may, notwithstanding section 25(3) of the </w:delText>
        </w:r>
        <w:r>
          <w:rPr>
            <w:i/>
            <w:snapToGrid w:val="0"/>
          </w:rPr>
          <w:delText>Interpretation Act 1984</w:delText>
        </w:r>
        <w:r>
          <w:rPr>
            <w:snapToGrid w:val="0"/>
          </w:rPr>
          <w:delText>, be made to take effect on the day on which this Act receives the Royal Assent or on a later date.</w:delText>
        </w:r>
      </w:del>
    </w:p>
    <w:p>
      <w:pPr>
        <w:pStyle w:val="ySubsection"/>
        <w:rPr>
          <w:del w:id="488" w:author="svcMRProcess" w:date="2015-12-09T18:00:00Z"/>
          <w:snapToGrid w:val="0"/>
        </w:rPr>
      </w:pPr>
      <w:del w:id="489" w:author="svcMRProcess" w:date="2015-12-09T18:00:00Z">
        <w:r>
          <w:rPr>
            <w:snapToGrid w:val="0"/>
          </w:rPr>
          <w:tab/>
          <w:delText>(3)</w:delText>
        </w:r>
        <w:r>
          <w:rPr>
            <w:snapToGrid w:val="0"/>
          </w:rPr>
          <w:tab/>
          <w:delText xml:space="preserve">To the extent to which a provision made under subclause (1) takes effect on and from a date that is earlier than the date of its publication in the </w:delText>
        </w:r>
        <w:r>
          <w:rPr>
            <w:i/>
            <w:snapToGrid w:val="0"/>
          </w:rPr>
          <w:delText>Gazette</w:delText>
        </w:r>
        <w:r>
          <w:rPr>
            <w:snapToGrid w:val="0"/>
          </w:rPr>
          <w:delText>, the provisions does not operate — </w:delText>
        </w:r>
      </w:del>
    </w:p>
    <w:p>
      <w:pPr>
        <w:pStyle w:val="yIndenta"/>
        <w:rPr>
          <w:del w:id="490" w:author="svcMRProcess" w:date="2015-12-09T18:00:00Z"/>
          <w:snapToGrid w:val="0"/>
        </w:rPr>
      </w:pPr>
      <w:del w:id="491" w:author="svcMRProcess" w:date="2015-12-09T18:00:00Z">
        <w:r>
          <w:rPr>
            <w:snapToGrid w:val="0"/>
          </w:rPr>
          <w:tab/>
          <w:delText>(a)</w:delText>
        </w:r>
        <w:r>
          <w:rPr>
            <w:snapToGrid w:val="0"/>
          </w:rPr>
          <w:tab/>
          <w:delText>to affect, in a manner prejudicial to any person the rights of that person existing before the date of publication; or</w:delText>
        </w:r>
      </w:del>
    </w:p>
    <w:p>
      <w:pPr>
        <w:pStyle w:val="yIndenta"/>
        <w:rPr>
          <w:del w:id="492" w:author="svcMRProcess" w:date="2015-12-09T18:00:00Z"/>
          <w:snapToGrid w:val="0"/>
        </w:rPr>
      </w:pPr>
      <w:del w:id="493" w:author="svcMRProcess" w:date="2015-12-09T18:00:00Z">
        <w:r>
          <w:rPr>
            <w:snapToGrid w:val="0"/>
          </w:rPr>
          <w:tab/>
          <w:delText>(b)</w:delText>
        </w:r>
        <w:r>
          <w:rPr>
            <w:snapToGrid w:val="0"/>
          </w:rPr>
          <w:tab/>
          <w:delText>to impose a liability on any person in respect of any thing done or omitted before the date of publication.</w:delText>
        </w:r>
      </w:del>
    </w:p>
    <w:p>
      <w:pPr>
        <w:sectPr>
          <w:headerReference w:type="even" r:id="rId26"/>
          <w:headerReference w:type="default" r:id="rId27"/>
          <w:pgSz w:w="11906" w:h="16838" w:code="9"/>
          <w:pgMar w:top="2381" w:right="2410" w:bottom="3544" w:left="2410" w:header="720" w:footer="3380" w:gutter="0"/>
          <w:cols w:space="720"/>
          <w:noEndnote/>
          <w:docGrid w:linePitch="326"/>
        </w:sectPr>
      </w:pPr>
    </w:p>
    <w:p>
      <w:pPr>
        <w:pStyle w:val="nHeading2"/>
      </w:pPr>
      <w:bookmarkStart w:id="494" w:name="_Toc135715670"/>
      <w:bookmarkStart w:id="495" w:name="_Toc135716449"/>
      <w:bookmarkStart w:id="496" w:name="_Toc135717553"/>
      <w:bookmarkStart w:id="497" w:name="_Toc135718358"/>
      <w:bookmarkStart w:id="498" w:name="_Toc170125298"/>
      <w:r>
        <w:t>Notes</w:t>
      </w:r>
      <w:bookmarkEnd w:id="494"/>
      <w:bookmarkEnd w:id="495"/>
      <w:bookmarkEnd w:id="496"/>
      <w:bookmarkEnd w:id="497"/>
      <w:bookmarkEnd w:id="498"/>
    </w:p>
    <w:p>
      <w:pPr>
        <w:pStyle w:val="nSubsection"/>
        <w:rPr>
          <w:snapToGrid w:val="0"/>
        </w:rPr>
      </w:pPr>
      <w:r>
        <w:rPr>
          <w:snapToGrid w:val="0"/>
          <w:vertAlign w:val="superscript"/>
        </w:rPr>
        <w:t>1</w:t>
      </w:r>
      <w:r>
        <w:rPr>
          <w:snapToGrid w:val="0"/>
        </w:rPr>
        <w:tab/>
        <w:t>This</w:t>
      </w:r>
      <w:del w:id="499" w:author="svcMRProcess" w:date="2015-12-09T18:00:00Z">
        <w:r>
          <w:rPr>
            <w:snapToGrid w:val="0"/>
          </w:rPr>
          <w:delText> </w:delText>
        </w:r>
      </w:del>
      <w:ins w:id="500" w:author="svcMRProcess" w:date="2015-12-09T18:00:00Z">
        <w:r>
          <w:rPr>
            <w:snapToGrid w:val="0"/>
          </w:rPr>
          <w:t xml:space="preserve"> </w:t>
        </w:r>
      </w:ins>
      <w:r>
        <w:rPr>
          <w:snapToGrid w:val="0"/>
        </w:rPr>
        <w:t xml:space="preserve">is a compilation of the </w:t>
      </w:r>
      <w:r>
        <w:rPr>
          <w:i/>
          <w:snapToGrid w:val="0"/>
        </w:rPr>
        <w:t>Coal Industry Superannuation Act 1989</w:t>
      </w:r>
      <w:r>
        <w:rPr>
          <w:snapToGrid w:val="0"/>
        </w:rPr>
        <w:t xml:space="preserve"> </w:t>
      </w:r>
      <w:r>
        <w:t xml:space="preserve">and includes </w:t>
      </w:r>
      <w:del w:id="501" w:author="svcMRProcess" w:date="2015-12-09T18:00:00Z">
        <w:r>
          <w:rPr>
            <w:snapToGrid w:val="0"/>
          </w:rPr>
          <w:delText>all</w:delText>
        </w:r>
      </w:del>
      <w:ins w:id="502" w:author="svcMRProcess" w:date="2015-12-09T18:00:00Z">
        <w:r>
          <w:t>the</w:t>
        </w:r>
      </w:ins>
      <w:r>
        <w:t xml:space="preserve"> amendments </w:t>
      </w:r>
      <w:del w:id="503" w:author="svcMRProcess" w:date="2015-12-09T18:00:00Z">
        <w:r>
          <w:rPr>
            <w:snapToGrid w:val="0"/>
          </w:rPr>
          <w:delText>effected</w:delText>
        </w:r>
      </w:del>
      <w:ins w:id="504" w:author="svcMRProcess" w:date="2015-12-09T18:00:00Z">
        <w:r>
          <w:t>made</w:t>
        </w:r>
      </w:ins>
      <w:r>
        <w:t xml:space="preserve"> by the other </w:t>
      </w:r>
      <w:del w:id="505" w:author="svcMRProcess" w:date="2015-12-09T18:00:00Z">
        <w:r>
          <w:rPr>
            <w:snapToGrid w:val="0"/>
          </w:rPr>
          <w:delText>Acts</w:delText>
        </w:r>
      </w:del>
      <w:ins w:id="506" w:author="svcMRProcess" w:date="2015-12-09T18:00:00Z">
        <w:r>
          <w:t>written laws</w:t>
        </w:r>
      </w:ins>
      <w:r>
        <w:t xml:space="preserve"> referred to in </w:t>
      </w:r>
      <w:del w:id="507" w:author="svcMRProcess" w:date="2015-12-09T18:00:00Z">
        <w:r>
          <w:rPr>
            <w:snapToGrid w:val="0"/>
          </w:rPr>
          <w:delText xml:space="preserve">Part I of </w:delText>
        </w:r>
      </w:del>
      <w:r>
        <w:t xml:space="preserve">the following </w:t>
      </w:r>
      <w:del w:id="508" w:author="svcMRProcess" w:date="2015-12-09T18:00:00Z">
        <w:r>
          <w:rPr>
            <w:snapToGrid w:val="0"/>
          </w:rPr>
          <w:delText xml:space="preserve">Table and by the Orders in Part II of the Table </w:delText>
        </w:r>
        <w:r>
          <w:rPr>
            <w:snapToGrid w:val="0"/>
            <w:vertAlign w:val="superscript"/>
          </w:rPr>
          <w:delText>1a</w:delText>
        </w:r>
      </w:del>
      <w:ins w:id="509" w:author="svcMRProcess" w:date="2015-12-09T18:00:00Z">
        <w:r>
          <w:t>table</w:t>
        </w:r>
      </w:ins>
      <w:r>
        <w:rPr>
          <w:snapToGrid w:val="0"/>
        </w:rPr>
        <w:t>.</w:t>
      </w:r>
    </w:p>
    <w:p>
      <w:pPr>
        <w:pStyle w:val="nHeading3"/>
        <w:rPr>
          <w:snapToGrid w:val="0"/>
        </w:rPr>
      </w:pPr>
      <w:bookmarkStart w:id="510" w:name="_Toc170125299"/>
      <w:bookmarkStart w:id="511" w:name="_Toc135718359"/>
      <w:r>
        <w:rPr>
          <w:snapToGrid w:val="0"/>
        </w:rPr>
        <w:t>Compilation table</w:t>
      </w:r>
      <w:bookmarkEnd w:id="510"/>
      <w:bookmarkEnd w:id="511"/>
    </w:p>
    <w:p>
      <w:pPr>
        <w:pStyle w:val="MiscellaneousHeading"/>
        <w:spacing w:after="120"/>
        <w:rPr>
          <w:del w:id="512" w:author="svcMRProcess" w:date="2015-12-09T18:00:00Z"/>
          <w:b/>
          <w:snapToGrid w:val="0"/>
        </w:rPr>
      </w:pPr>
      <w:del w:id="513" w:author="svcMRProcess" w:date="2015-12-09T18:00:00Z">
        <w:r>
          <w:rPr>
            <w:b/>
            <w:snapToGrid w:val="0"/>
          </w:rPr>
          <w:delText>Part I — Acts</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514" w:author="svcMRProcess" w:date="2015-12-09T18:00:00Z"/>
          </w:tcPr>
          <w:p>
            <w:pPr>
              <w:pStyle w:val="nTable"/>
              <w:spacing w:before="60" w:after="60"/>
              <w:rPr>
                <w:b/>
                <w:sz w:val="19"/>
              </w:rPr>
            </w:pPr>
            <w:del w:id="515" w:author="svcMRProcess" w:date="2015-12-09T18:00:00Z">
              <w:r>
                <w:rPr>
                  <w:b/>
                  <w:sz w:val="19"/>
                </w:rPr>
                <w:delText>Miscellaneous</w:delText>
              </w:r>
            </w:del>
          </w:p>
        </w:tc>
      </w:tr>
      <w:tr>
        <w:trPr>
          <w:cantSplit/>
        </w:trPr>
        <w:tc>
          <w:tcPr>
            <w:tcW w:w="2268" w:type="dxa"/>
          </w:tcPr>
          <w:p>
            <w:pPr>
              <w:pStyle w:val="nTable"/>
              <w:spacing w:after="40"/>
              <w:ind w:right="113"/>
              <w:rPr>
                <w:sz w:val="19"/>
              </w:rPr>
            </w:pPr>
            <w:r>
              <w:rPr>
                <w:i/>
                <w:sz w:val="19"/>
              </w:rPr>
              <w:t>Coal Industry Superannuation Act 1989</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w:t>
            </w:r>
            <w:del w:id="516" w:author="svcMRProcess" w:date="2015-12-09T18:00:00Z">
              <w:r>
                <w:rPr>
                  <w:sz w:val="19"/>
                </w:rPr>
                <w:delText>December</w:delText>
              </w:r>
            </w:del>
            <w:ins w:id="517" w:author="svcMRProcess" w:date="2015-12-09T18:00:00Z">
              <w:r>
                <w:rPr>
                  <w:sz w:val="19"/>
                </w:rPr>
                <w:t>Dec</w:t>
              </w:r>
            </w:ins>
            <w:r>
              <w:rPr>
                <w:sz w:val="19"/>
              </w:rPr>
              <w:t xml:space="preserve"> 1989</w:t>
            </w:r>
          </w:p>
        </w:tc>
        <w:tc>
          <w:tcPr>
            <w:tcW w:w="2551" w:type="dxa"/>
          </w:tcPr>
          <w:p>
            <w:pPr>
              <w:pStyle w:val="nTable"/>
              <w:spacing w:after="40"/>
              <w:rPr>
                <w:sz w:val="19"/>
              </w:rPr>
            </w:pPr>
            <w:del w:id="518" w:author="svcMRProcess" w:date="2015-12-09T18:00:00Z">
              <w:r>
                <w:rPr>
                  <w:sz w:val="19"/>
                </w:rPr>
                <w:delText>Proclaimed</w:delText>
              </w:r>
              <w:r>
                <w:rPr>
                  <w:sz w:val="19"/>
                </w:rPr>
                <w:br/>
              </w:r>
            </w:del>
            <w:r>
              <w:rPr>
                <w:sz w:val="19"/>
              </w:rPr>
              <w:t>1 </w:t>
            </w:r>
            <w:del w:id="519" w:author="svcMRProcess" w:date="2015-12-09T18:00:00Z">
              <w:r>
                <w:rPr>
                  <w:sz w:val="19"/>
                </w:rPr>
                <w:delText>July</w:delText>
              </w:r>
            </w:del>
            <w:ins w:id="520" w:author="svcMRProcess" w:date="2015-12-09T18:00:00Z">
              <w:r>
                <w:rPr>
                  <w:sz w:val="19"/>
                </w:rPr>
                <w:t>Jul</w:t>
              </w:r>
            </w:ins>
            <w:r>
              <w:rPr>
                <w:sz w:val="19"/>
              </w:rPr>
              <w:t xml:space="preserve"> 1990 (see </w:t>
            </w:r>
            <w:del w:id="521" w:author="svcMRProcess" w:date="2015-12-09T18:00:00Z">
              <w:r>
                <w:rPr>
                  <w:sz w:val="19"/>
                </w:rPr>
                <w:delText xml:space="preserve">section </w:delText>
              </w:r>
            </w:del>
            <w:ins w:id="522" w:author="svcMRProcess" w:date="2015-12-09T18:00:00Z">
              <w:r>
                <w:rPr>
                  <w:sz w:val="19"/>
                </w:rPr>
                <w:t>s. </w:t>
              </w:r>
            </w:ins>
            <w:r>
              <w:rPr>
                <w:sz w:val="19"/>
              </w:rPr>
              <w:t xml:space="preserve">2 and </w:t>
            </w:r>
            <w:r>
              <w:rPr>
                <w:i/>
                <w:sz w:val="19"/>
              </w:rPr>
              <w:t>Gazette</w:t>
            </w:r>
            <w:r>
              <w:rPr>
                <w:sz w:val="19"/>
              </w:rPr>
              <w:t xml:space="preserve"> 22 </w:t>
            </w:r>
            <w:del w:id="523" w:author="svcMRProcess" w:date="2015-12-09T18:00:00Z">
              <w:r>
                <w:rPr>
                  <w:sz w:val="19"/>
                </w:rPr>
                <w:delText>June</w:delText>
              </w:r>
            </w:del>
            <w:ins w:id="524" w:author="svcMRProcess" w:date="2015-12-09T18:00:00Z">
              <w:r>
                <w:rPr>
                  <w:sz w:val="19"/>
                </w:rPr>
                <w:t>Jun</w:t>
              </w:r>
            </w:ins>
            <w:r>
              <w:rPr>
                <w:sz w:val="19"/>
              </w:rPr>
              <w:t xml:space="preserve"> 1990 </w:t>
            </w:r>
            <w:del w:id="525" w:author="svcMRProcess" w:date="2015-12-09T18:00:00Z">
              <w:r>
                <w:rPr>
                  <w:sz w:val="19"/>
                </w:rPr>
                <w:br/>
              </w:r>
            </w:del>
            <w:r>
              <w:rPr>
                <w:sz w:val="19"/>
              </w:rPr>
              <w:t>p.</w:t>
            </w:r>
            <w:ins w:id="526" w:author="svcMRProcess" w:date="2015-12-09T18:00:00Z">
              <w:r>
                <w:rPr>
                  <w:sz w:val="19"/>
                </w:rPr>
                <w:t> </w:t>
              </w:r>
            </w:ins>
            <w:r>
              <w:rPr>
                <w:sz w:val="19"/>
              </w:rPr>
              <w:t>3027)</w:t>
            </w:r>
          </w:p>
        </w:tc>
        <w:tc>
          <w:tcPr>
            <w:tcW w:w="1417" w:type="dxa"/>
            <w:cellDel w:id="527" w:author="svcMRProcess" w:date="2015-12-09T18:00:00Z"/>
          </w:tcPr>
          <w:p>
            <w:pPr>
              <w:pStyle w:val="nTable"/>
              <w:spacing w:before="120"/>
              <w:rPr>
                <w:sz w:val="19"/>
              </w:rPr>
            </w:pPr>
          </w:p>
        </w:tc>
      </w:tr>
      <w:tr>
        <w:trPr>
          <w:cantSplit/>
        </w:trPr>
        <w:tc>
          <w:tcPr>
            <w:tcW w:w="2268" w:type="dxa"/>
          </w:tcPr>
          <w:p>
            <w:pPr>
              <w:pStyle w:val="nTable"/>
              <w:spacing w:after="40"/>
              <w:ind w:right="113"/>
              <w:rPr>
                <w:sz w:val="19"/>
              </w:rPr>
            </w:pPr>
            <w:r>
              <w:rPr>
                <w:i/>
                <w:sz w:val="19"/>
              </w:rPr>
              <w:t>Acts Amendment (Public Sector Management) Act 1994</w:t>
            </w:r>
            <w:del w:id="528" w:author="svcMRProcess" w:date="2015-12-09T18:00:00Z">
              <w:r>
                <w:rPr>
                  <w:sz w:val="19"/>
                </w:rPr>
                <w:delText>,</w:delText>
              </w:r>
              <w:r>
                <w:rPr>
                  <w:sz w:val="19"/>
                </w:rPr>
                <w:br/>
                <w:delText xml:space="preserve">section </w:delText>
              </w:r>
            </w:del>
            <w:ins w:id="529" w:author="svcMRProcess" w:date="2015-12-09T18:00:00Z">
              <w:r>
                <w:rPr>
                  <w:sz w:val="19"/>
                </w:rPr>
                <w:t xml:space="preserve"> s.</w:t>
              </w:r>
            </w:ins>
            <w:r>
              <w:rPr>
                <w:sz w:val="19"/>
              </w:rPr>
              <w:t>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w:t>
            </w:r>
            <w:del w:id="530" w:author="svcMRProcess" w:date="2015-12-09T18:00:00Z">
              <w:r>
                <w:rPr>
                  <w:sz w:val="19"/>
                </w:rPr>
                <w:delText>June</w:delText>
              </w:r>
            </w:del>
            <w:ins w:id="531" w:author="svcMRProcess" w:date="2015-12-09T18:00:00Z">
              <w:r>
                <w:rPr>
                  <w:sz w:val="19"/>
                </w:rPr>
                <w:t>Jun</w:t>
              </w:r>
            </w:ins>
            <w:r>
              <w:rPr>
                <w:sz w:val="19"/>
              </w:rPr>
              <w:t xml:space="preserve"> 1994</w:t>
            </w:r>
          </w:p>
        </w:tc>
        <w:tc>
          <w:tcPr>
            <w:tcW w:w="2551" w:type="dxa"/>
          </w:tcPr>
          <w:p>
            <w:pPr>
              <w:pStyle w:val="nTable"/>
              <w:spacing w:after="40"/>
              <w:rPr>
                <w:sz w:val="19"/>
              </w:rPr>
            </w:pPr>
            <w:del w:id="532" w:author="svcMRProcess" w:date="2015-12-09T18:00:00Z">
              <w:r>
                <w:rPr>
                  <w:sz w:val="19"/>
                </w:rPr>
                <w:delText>Proclaimed</w:delText>
              </w:r>
              <w:r>
                <w:rPr>
                  <w:sz w:val="19"/>
                </w:rPr>
                <w:br/>
              </w:r>
            </w:del>
            <w:r>
              <w:rPr>
                <w:sz w:val="19"/>
              </w:rPr>
              <w:t>1 </w:t>
            </w:r>
            <w:del w:id="533" w:author="svcMRProcess" w:date="2015-12-09T18:00:00Z">
              <w:r>
                <w:rPr>
                  <w:sz w:val="19"/>
                </w:rPr>
                <w:delText>October</w:delText>
              </w:r>
            </w:del>
            <w:ins w:id="534" w:author="svcMRProcess" w:date="2015-12-09T18:00:00Z">
              <w:r>
                <w:rPr>
                  <w:sz w:val="19"/>
                </w:rPr>
                <w:t>Oct</w:t>
              </w:r>
            </w:ins>
            <w:r>
              <w:rPr>
                <w:sz w:val="19"/>
              </w:rPr>
              <w:t xml:space="preserve"> 1994 </w:t>
            </w:r>
            <w:del w:id="535" w:author="svcMRProcess" w:date="2015-12-09T18:00:00Z">
              <w:r>
                <w:rPr>
                  <w:sz w:val="19"/>
                </w:rPr>
                <w:br/>
              </w:r>
            </w:del>
            <w:r>
              <w:rPr>
                <w:sz w:val="19"/>
              </w:rPr>
              <w:t xml:space="preserve">(see </w:t>
            </w:r>
            <w:del w:id="536" w:author="svcMRProcess" w:date="2015-12-09T18:00:00Z">
              <w:r>
                <w:rPr>
                  <w:sz w:val="19"/>
                </w:rPr>
                <w:delText xml:space="preserve">section </w:delText>
              </w:r>
            </w:del>
            <w:ins w:id="537" w:author="svcMRProcess" w:date="2015-12-09T18:00:00Z">
              <w:r>
                <w:rPr>
                  <w:sz w:val="19"/>
                </w:rPr>
                <w:t>s. </w:t>
              </w:r>
            </w:ins>
            <w:r>
              <w:rPr>
                <w:sz w:val="19"/>
              </w:rPr>
              <w:t xml:space="preserve">2 and </w:t>
            </w:r>
            <w:r>
              <w:rPr>
                <w:i/>
                <w:sz w:val="19"/>
              </w:rPr>
              <w:t>Gazette</w:t>
            </w:r>
            <w:r>
              <w:rPr>
                <w:sz w:val="19"/>
              </w:rPr>
              <w:t xml:space="preserve"> 30 </w:t>
            </w:r>
            <w:del w:id="538" w:author="svcMRProcess" w:date="2015-12-09T18:00:00Z">
              <w:r>
                <w:rPr>
                  <w:sz w:val="19"/>
                </w:rPr>
                <w:delText>September</w:delText>
              </w:r>
            </w:del>
            <w:ins w:id="539" w:author="svcMRProcess" w:date="2015-12-09T18:00:00Z">
              <w:r>
                <w:rPr>
                  <w:sz w:val="19"/>
                </w:rPr>
                <w:t>Sep</w:t>
              </w:r>
            </w:ins>
            <w:r>
              <w:rPr>
                <w:sz w:val="19"/>
              </w:rPr>
              <w:t xml:space="preserve"> 1994 p.</w:t>
            </w:r>
            <w:ins w:id="540" w:author="svcMRProcess" w:date="2015-12-09T18:00:00Z">
              <w:r>
                <w:rPr>
                  <w:sz w:val="19"/>
                </w:rPr>
                <w:t> </w:t>
              </w:r>
            </w:ins>
            <w:r>
              <w:rPr>
                <w:sz w:val="19"/>
              </w:rPr>
              <w:t>4948)</w:t>
            </w:r>
          </w:p>
        </w:tc>
        <w:tc>
          <w:tcPr>
            <w:tcW w:w="1417" w:type="dxa"/>
            <w:cellDel w:id="541" w:author="svcMRProcess" w:date="2015-12-09T18:00:00Z"/>
          </w:tcPr>
          <w:p>
            <w:pPr>
              <w:pStyle w:val="nTable"/>
              <w:spacing w:before="120"/>
              <w:rPr>
                <w:sz w:val="19"/>
              </w:rPr>
            </w:pPr>
          </w:p>
        </w:tc>
      </w:tr>
      <w:tr>
        <w:trPr>
          <w:cantSplit/>
        </w:trPr>
        <w:tc>
          <w:tcPr>
            <w:tcW w:w="2268" w:type="dxa"/>
          </w:tcPr>
          <w:p>
            <w:pPr>
              <w:pStyle w:val="nTable"/>
              <w:spacing w:after="40"/>
              <w:ind w:right="113"/>
              <w:rPr>
                <w:iCs/>
                <w:sz w:val="19"/>
              </w:rPr>
            </w:pPr>
            <w:r>
              <w:rPr>
                <w:i/>
                <w:sz w:val="19"/>
              </w:rPr>
              <w:t>Acts Amendment (Coal Mining Industry) Act 1994</w:t>
            </w:r>
            <w:ins w:id="542" w:author="svcMRProcess" w:date="2015-12-09T18:00:00Z">
              <w:r>
                <w:rPr>
                  <w:iCs/>
                  <w:sz w:val="19"/>
                  <w:vertAlign w:val="superscript"/>
                </w:rPr>
                <w:t> 3</w:t>
              </w:r>
            </w:ins>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w:t>
            </w:r>
            <w:del w:id="543" w:author="svcMRProcess" w:date="2015-12-09T18:00:00Z">
              <w:r>
                <w:rPr>
                  <w:sz w:val="19"/>
                </w:rPr>
                <w:delText>September</w:delText>
              </w:r>
            </w:del>
            <w:ins w:id="544" w:author="svcMRProcess" w:date="2015-12-09T18:00:00Z">
              <w:r>
                <w:rPr>
                  <w:sz w:val="19"/>
                </w:rPr>
                <w:t>Sep</w:t>
              </w:r>
            </w:ins>
            <w:r>
              <w:rPr>
                <w:sz w:val="19"/>
              </w:rPr>
              <w:t xml:space="preserve"> 1994</w:t>
            </w:r>
          </w:p>
        </w:tc>
        <w:tc>
          <w:tcPr>
            <w:tcW w:w="2551" w:type="dxa"/>
          </w:tcPr>
          <w:p>
            <w:pPr>
              <w:pStyle w:val="nTable"/>
              <w:spacing w:after="40"/>
              <w:rPr>
                <w:sz w:val="19"/>
              </w:rPr>
            </w:pPr>
            <w:del w:id="545" w:author="svcMRProcess" w:date="2015-12-09T18:00:00Z">
              <w:r>
                <w:rPr>
                  <w:sz w:val="19"/>
                </w:rPr>
                <w:delText xml:space="preserve">Parts </w:delText>
              </w:r>
            </w:del>
            <w:ins w:id="546" w:author="svcMRProcess" w:date="2015-12-09T18:00:00Z">
              <w:r>
                <w:rPr>
                  <w:sz w:val="19"/>
                </w:rPr>
                <w:t>Pt. </w:t>
              </w:r>
            </w:ins>
            <w:r>
              <w:rPr>
                <w:sz w:val="19"/>
              </w:rPr>
              <w:t>2 and 4:</w:t>
            </w:r>
            <w:r>
              <w:rPr>
                <w:sz w:val="19"/>
              </w:rPr>
              <w:br/>
            </w:r>
            <w:del w:id="547" w:author="svcMRProcess" w:date="2015-12-09T18:00:00Z">
              <w:r>
                <w:rPr>
                  <w:sz w:val="19"/>
                </w:rPr>
                <w:delText xml:space="preserve">operative </w:delText>
              </w:r>
            </w:del>
            <w:r>
              <w:rPr>
                <w:sz w:val="19"/>
              </w:rPr>
              <w:t>22 </w:t>
            </w:r>
            <w:del w:id="548" w:author="svcMRProcess" w:date="2015-12-09T18:00:00Z">
              <w:r>
                <w:rPr>
                  <w:sz w:val="19"/>
                </w:rPr>
                <w:delText xml:space="preserve">September </w:delText>
              </w:r>
            </w:del>
            <w:ins w:id="549" w:author="svcMRProcess" w:date="2015-12-09T18:00:00Z">
              <w:r>
                <w:rPr>
                  <w:sz w:val="19"/>
                </w:rPr>
                <w:t>Sep </w:t>
              </w:r>
            </w:ins>
            <w:r>
              <w:rPr>
                <w:sz w:val="19"/>
              </w:rPr>
              <w:t>1994</w:t>
            </w:r>
            <w:del w:id="550" w:author="svcMRProcess" w:date="2015-12-09T18:00:00Z">
              <w:r>
                <w:rPr>
                  <w:sz w:val="19"/>
                </w:rPr>
                <w:br/>
              </w:r>
            </w:del>
            <w:ins w:id="551" w:author="svcMRProcess" w:date="2015-12-09T18:00:00Z">
              <w:r>
                <w:rPr>
                  <w:sz w:val="19"/>
                </w:rPr>
                <w:t xml:space="preserve"> </w:t>
              </w:r>
            </w:ins>
            <w:r>
              <w:rPr>
                <w:sz w:val="19"/>
              </w:rPr>
              <w:t xml:space="preserve">(see </w:t>
            </w:r>
            <w:del w:id="552" w:author="svcMRProcess" w:date="2015-12-09T18:00:00Z">
              <w:r>
                <w:rPr>
                  <w:sz w:val="19"/>
                </w:rPr>
                <w:delText xml:space="preserve">section </w:delText>
              </w:r>
            </w:del>
            <w:ins w:id="553" w:author="svcMRProcess" w:date="2015-12-09T18:00:00Z">
              <w:r>
                <w:rPr>
                  <w:sz w:val="19"/>
                </w:rPr>
                <w:t>s. </w:t>
              </w:r>
            </w:ins>
            <w:r>
              <w:rPr>
                <w:sz w:val="19"/>
              </w:rPr>
              <w:t>2(1));</w:t>
            </w:r>
            <w:r>
              <w:rPr>
                <w:sz w:val="19"/>
              </w:rPr>
              <w:br/>
            </w:r>
            <w:del w:id="554" w:author="svcMRProcess" w:date="2015-12-09T18:00:00Z">
              <w:r>
                <w:rPr>
                  <w:sz w:val="19"/>
                </w:rPr>
                <w:delText xml:space="preserve">Part </w:delText>
              </w:r>
            </w:del>
            <w:ins w:id="555" w:author="svcMRProcess" w:date="2015-12-09T18:00:00Z">
              <w:r>
                <w:rPr>
                  <w:sz w:val="19"/>
                </w:rPr>
                <w:t>Pt. </w:t>
              </w:r>
            </w:ins>
            <w:r>
              <w:rPr>
                <w:sz w:val="19"/>
              </w:rPr>
              <w:t xml:space="preserve">3: </w:t>
            </w:r>
            <w:del w:id="556" w:author="svcMRProcess" w:date="2015-12-09T18:00:00Z">
              <w:r>
                <w:rPr>
                  <w:sz w:val="19"/>
                </w:rPr>
                <w:delText xml:space="preserve">proclaimed </w:delText>
              </w:r>
            </w:del>
            <w:r>
              <w:rPr>
                <w:sz w:val="19"/>
              </w:rPr>
              <w:t>16 </w:t>
            </w:r>
            <w:del w:id="557" w:author="svcMRProcess" w:date="2015-12-09T18:00:00Z">
              <w:r>
                <w:rPr>
                  <w:sz w:val="19"/>
                </w:rPr>
                <w:delText>November</w:delText>
              </w:r>
            </w:del>
            <w:ins w:id="558" w:author="svcMRProcess" w:date="2015-12-09T18:00:00Z">
              <w:r>
                <w:rPr>
                  <w:sz w:val="19"/>
                </w:rPr>
                <w:t>Nov</w:t>
              </w:r>
            </w:ins>
            <w:r>
              <w:rPr>
                <w:sz w:val="19"/>
              </w:rPr>
              <w:t xml:space="preserve"> 1994</w:t>
            </w:r>
            <w:del w:id="559" w:author="svcMRProcess" w:date="2015-12-09T18:00:00Z">
              <w:r>
                <w:rPr>
                  <w:sz w:val="19"/>
                </w:rPr>
                <w:br/>
              </w:r>
            </w:del>
            <w:ins w:id="560" w:author="svcMRProcess" w:date="2015-12-09T18:00:00Z">
              <w:r>
                <w:rPr>
                  <w:sz w:val="19"/>
                </w:rPr>
                <w:t xml:space="preserve"> </w:t>
              </w:r>
            </w:ins>
            <w:r>
              <w:rPr>
                <w:sz w:val="19"/>
              </w:rPr>
              <w:t xml:space="preserve">(see </w:t>
            </w:r>
            <w:del w:id="561" w:author="svcMRProcess" w:date="2015-12-09T18:00:00Z">
              <w:r>
                <w:rPr>
                  <w:sz w:val="19"/>
                </w:rPr>
                <w:delText>section</w:delText>
              </w:r>
            </w:del>
            <w:ins w:id="562" w:author="svcMRProcess" w:date="2015-12-09T18:00:00Z">
              <w:r>
                <w:rPr>
                  <w:sz w:val="19"/>
                </w:rPr>
                <w:t>s. </w:t>
              </w:r>
            </w:ins>
            <w:r>
              <w:rPr>
                <w:sz w:val="19"/>
              </w:rPr>
              <w:t xml:space="preserve"> 2(2) </w:t>
            </w:r>
            <w:del w:id="563" w:author="svcMRProcess" w:date="2015-12-09T18:00:00Z">
              <w:r>
                <w:rPr>
                  <w:sz w:val="19"/>
                </w:rPr>
                <w:br/>
              </w:r>
            </w:del>
            <w:r>
              <w:rPr>
                <w:sz w:val="19"/>
              </w:rPr>
              <w:t xml:space="preserve">and </w:t>
            </w:r>
            <w:r>
              <w:rPr>
                <w:i/>
                <w:sz w:val="19"/>
              </w:rPr>
              <w:t>Gazette</w:t>
            </w:r>
            <w:r>
              <w:rPr>
                <w:sz w:val="19"/>
              </w:rPr>
              <w:t xml:space="preserve"> 15 </w:t>
            </w:r>
            <w:del w:id="564" w:author="svcMRProcess" w:date="2015-12-09T18:00:00Z">
              <w:r>
                <w:rPr>
                  <w:sz w:val="19"/>
                </w:rPr>
                <w:delText>November</w:delText>
              </w:r>
            </w:del>
            <w:ins w:id="565" w:author="svcMRProcess" w:date="2015-12-09T18:00:00Z">
              <w:r>
                <w:rPr>
                  <w:sz w:val="19"/>
                </w:rPr>
                <w:t>Nov</w:t>
              </w:r>
            </w:ins>
            <w:r>
              <w:rPr>
                <w:sz w:val="19"/>
              </w:rPr>
              <w:t xml:space="preserve"> 1994 p.</w:t>
            </w:r>
            <w:ins w:id="566" w:author="svcMRProcess" w:date="2015-12-09T18:00:00Z">
              <w:r>
                <w:rPr>
                  <w:sz w:val="19"/>
                </w:rPr>
                <w:t> </w:t>
              </w:r>
            </w:ins>
            <w:r>
              <w:rPr>
                <w:sz w:val="19"/>
              </w:rPr>
              <w:t>5801)</w:t>
            </w:r>
          </w:p>
        </w:tc>
        <w:tc>
          <w:tcPr>
            <w:tcW w:w="1417" w:type="dxa"/>
            <w:cellDel w:id="567" w:author="svcMRProcess" w:date="2015-12-09T18:00:00Z"/>
          </w:tcPr>
          <w:p>
            <w:pPr>
              <w:pStyle w:val="nTable"/>
              <w:spacing w:before="120"/>
              <w:rPr>
                <w:sz w:val="19"/>
              </w:rPr>
            </w:pPr>
            <w:del w:id="568" w:author="svcMRProcess" w:date="2015-12-09T18:00:00Z">
              <w:r>
                <w:rPr>
                  <w:sz w:val="19"/>
                </w:rPr>
                <w:delText>Section 8: savings</w:delText>
              </w:r>
              <w:r>
                <w:rPr>
                  <w:sz w:val="19"/>
                  <w:vertAlign w:val="superscript"/>
                </w:rPr>
                <w:delText>3</w:delText>
              </w:r>
            </w:del>
          </w:p>
        </w:tc>
      </w:tr>
      <w:tr>
        <w:trPr>
          <w:cantSplit/>
        </w:trPr>
        <w:tc>
          <w:tcPr>
            <w:tcW w:w="2268" w:type="dxa"/>
          </w:tcPr>
          <w:p>
            <w:pPr>
              <w:pStyle w:val="nTable"/>
              <w:spacing w:after="40"/>
              <w:ind w:right="113"/>
              <w:rPr>
                <w:sz w:val="19"/>
              </w:rPr>
            </w:pPr>
            <w:r>
              <w:rPr>
                <w:i/>
                <w:sz w:val="19"/>
              </w:rPr>
              <w:t>Mines Safety and Inspection Act 1994</w:t>
            </w:r>
            <w:del w:id="569" w:author="svcMRProcess" w:date="2015-12-09T18:00:00Z">
              <w:r>
                <w:rPr>
                  <w:sz w:val="19"/>
                </w:rPr>
                <w:delText>,</w:delText>
              </w:r>
              <w:r>
                <w:rPr>
                  <w:sz w:val="19"/>
                </w:rPr>
                <w:br/>
                <w:delText xml:space="preserve">section </w:delText>
              </w:r>
            </w:del>
            <w:ins w:id="570" w:author="svcMRProcess" w:date="2015-12-09T18:00:00Z">
              <w:r>
                <w:rPr>
                  <w:sz w:val="19"/>
                </w:rPr>
                <w:t xml:space="preserve"> s. </w:t>
              </w:r>
            </w:ins>
            <w:r>
              <w:rPr>
                <w:sz w:val="19"/>
              </w:rPr>
              <w:t>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w:t>
            </w:r>
            <w:del w:id="571" w:author="svcMRProcess" w:date="2015-12-09T18:00:00Z">
              <w:r>
                <w:rPr>
                  <w:sz w:val="19"/>
                </w:rPr>
                <w:delText>November</w:delText>
              </w:r>
            </w:del>
            <w:ins w:id="572" w:author="svcMRProcess" w:date="2015-12-09T18:00:00Z">
              <w:r>
                <w:rPr>
                  <w:sz w:val="19"/>
                </w:rPr>
                <w:t>Nov</w:t>
              </w:r>
            </w:ins>
            <w:r>
              <w:rPr>
                <w:sz w:val="19"/>
              </w:rPr>
              <w:t xml:space="preserve"> 1994</w:t>
            </w:r>
          </w:p>
        </w:tc>
        <w:tc>
          <w:tcPr>
            <w:tcW w:w="2551" w:type="dxa"/>
          </w:tcPr>
          <w:p>
            <w:pPr>
              <w:pStyle w:val="nTable"/>
              <w:spacing w:after="40"/>
              <w:rPr>
                <w:sz w:val="19"/>
              </w:rPr>
            </w:pPr>
            <w:del w:id="573" w:author="svcMRProcess" w:date="2015-12-09T18:00:00Z">
              <w:r>
                <w:rPr>
                  <w:sz w:val="19"/>
                </w:rPr>
                <w:delText xml:space="preserve">Proclaimed </w:delText>
              </w:r>
            </w:del>
            <w:r>
              <w:rPr>
                <w:sz w:val="19"/>
              </w:rPr>
              <w:t>9 </w:t>
            </w:r>
            <w:del w:id="574" w:author="svcMRProcess" w:date="2015-12-09T18:00:00Z">
              <w:r>
                <w:rPr>
                  <w:sz w:val="19"/>
                </w:rPr>
                <w:delText>December</w:delText>
              </w:r>
            </w:del>
            <w:ins w:id="575" w:author="svcMRProcess" w:date="2015-12-09T18:00:00Z">
              <w:r>
                <w:rPr>
                  <w:sz w:val="19"/>
                </w:rPr>
                <w:t>Dec</w:t>
              </w:r>
            </w:ins>
            <w:r>
              <w:rPr>
                <w:sz w:val="19"/>
              </w:rPr>
              <w:t xml:space="preserve"> 1995 </w:t>
            </w:r>
            <w:del w:id="576" w:author="svcMRProcess" w:date="2015-12-09T18:00:00Z">
              <w:r>
                <w:rPr>
                  <w:sz w:val="19"/>
                </w:rPr>
                <w:br/>
              </w:r>
            </w:del>
            <w:r>
              <w:rPr>
                <w:sz w:val="19"/>
              </w:rPr>
              <w:t xml:space="preserve">(see </w:t>
            </w:r>
            <w:del w:id="577" w:author="svcMRProcess" w:date="2015-12-09T18:00:00Z">
              <w:r>
                <w:rPr>
                  <w:sz w:val="19"/>
                </w:rPr>
                <w:delText xml:space="preserve">section </w:delText>
              </w:r>
            </w:del>
            <w:ins w:id="578" w:author="svcMRProcess" w:date="2015-12-09T18:00:00Z">
              <w:r>
                <w:rPr>
                  <w:sz w:val="19"/>
                </w:rPr>
                <w:t>s. </w:t>
              </w:r>
            </w:ins>
            <w:r>
              <w:rPr>
                <w:sz w:val="19"/>
              </w:rPr>
              <w:t xml:space="preserve">2 and </w:t>
            </w:r>
            <w:r>
              <w:rPr>
                <w:i/>
                <w:sz w:val="19"/>
              </w:rPr>
              <w:t>Gazette</w:t>
            </w:r>
            <w:r>
              <w:rPr>
                <w:sz w:val="19"/>
              </w:rPr>
              <w:t xml:space="preserve"> 8 </w:t>
            </w:r>
            <w:del w:id="579" w:author="svcMRProcess" w:date="2015-12-09T18:00:00Z">
              <w:r>
                <w:rPr>
                  <w:sz w:val="19"/>
                </w:rPr>
                <w:delText>December</w:delText>
              </w:r>
            </w:del>
            <w:ins w:id="580" w:author="svcMRProcess" w:date="2015-12-09T18:00:00Z">
              <w:r>
                <w:rPr>
                  <w:sz w:val="19"/>
                </w:rPr>
                <w:t>Dec</w:t>
              </w:r>
            </w:ins>
            <w:r>
              <w:rPr>
                <w:sz w:val="19"/>
              </w:rPr>
              <w:t xml:space="preserve"> 1995 p.</w:t>
            </w:r>
            <w:ins w:id="581" w:author="svcMRProcess" w:date="2015-12-09T18:00:00Z">
              <w:r>
                <w:rPr>
                  <w:sz w:val="19"/>
                </w:rPr>
                <w:t> </w:t>
              </w:r>
            </w:ins>
            <w:r>
              <w:rPr>
                <w:sz w:val="19"/>
              </w:rPr>
              <w:t>5935)</w:t>
            </w:r>
          </w:p>
        </w:tc>
        <w:tc>
          <w:tcPr>
            <w:tcW w:w="1417" w:type="dxa"/>
            <w:cellDel w:id="582" w:author="svcMRProcess" w:date="2015-12-09T18:00:00Z"/>
          </w:tcPr>
          <w:p>
            <w:pPr>
              <w:pStyle w:val="nTable"/>
              <w:spacing w:before="120"/>
              <w:rPr>
                <w:sz w:val="19"/>
              </w:rPr>
            </w:pPr>
          </w:p>
        </w:tc>
      </w:tr>
      <w:tr>
        <w:trPr>
          <w:cantSplit/>
        </w:trPr>
        <w:tc>
          <w:tcPr>
            <w:tcW w:w="2268" w:type="dxa"/>
          </w:tcPr>
          <w:p>
            <w:pPr>
              <w:pStyle w:val="nTable"/>
              <w:spacing w:after="40"/>
              <w:ind w:right="113"/>
              <w:rPr>
                <w:iCs/>
                <w:sz w:val="19"/>
              </w:rPr>
            </w:pPr>
            <w:r>
              <w:rPr>
                <w:i/>
                <w:sz w:val="19"/>
              </w:rPr>
              <w:t>Coal Industry Superannuation Amendment Act 1995</w:t>
            </w:r>
            <w:ins w:id="583" w:author="svcMRProcess" w:date="2015-12-09T18:00:00Z">
              <w:r>
                <w:rPr>
                  <w:iCs/>
                  <w:sz w:val="19"/>
                  <w:vertAlign w:val="superscript"/>
                </w:rPr>
                <w:t> 4</w:t>
              </w:r>
            </w:ins>
          </w:p>
        </w:tc>
        <w:tc>
          <w:tcPr>
            <w:tcW w:w="1134" w:type="dxa"/>
          </w:tcPr>
          <w:p>
            <w:pPr>
              <w:pStyle w:val="nTable"/>
              <w:spacing w:after="40"/>
              <w:rPr>
                <w:sz w:val="19"/>
              </w:rPr>
            </w:pPr>
            <w:r>
              <w:rPr>
                <w:sz w:val="19"/>
              </w:rPr>
              <w:t>46 of 1995</w:t>
            </w:r>
          </w:p>
        </w:tc>
        <w:tc>
          <w:tcPr>
            <w:tcW w:w="1134" w:type="dxa"/>
          </w:tcPr>
          <w:p>
            <w:pPr>
              <w:pStyle w:val="nTable"/>
              <w:spacing w:after="40"/>
              <w:rPr>
                <w:sz w:val="19"/>
              </w:rPr>
            </w:pPr>
            <w:r>
              <w:rPr>
                <w:sz w:val="19"/>
              </w:rPr>
              <w:t>1 </w:t>
            </w:r>
            <w:del w:id="584" w:author="svcMRProcess" w:date="2015-12-09T18:00:00Z">
              <w:r>
                <w:rPr>
                  <w:sz w:val="19"/>
                </w:rPr>
                <w:delText>November</w:delText>
              </w:r>
            </w:del>
            <w:ins w:id="585" w:author="svcMRProcess" w:date="2015-12-09T18:00:00Z">
              <w:r>
                <w:rPr>
                  <w:sz w:val="19"/>
                </w:rPr>
                <w:t>Nov</w:t>
              </w:r>
            </w:ins>
            <w:r>
              <w:rPr>
                <w:sz w:val="19"/>
              </w:rPr>
              <w:t xml:space="preserve"> 1995</w:t>
            </w:r>
          </w:p>
        </w:tc>
        <w:tc>
          <w:tcPr>
            <w:tcW w:w="2551" w:type="dxa"/>
          </w:tcPr>
          <w:p>
            <w:pPr>
              <w:pStyle w:val="nTable"/>
              <w:spacing w:after="40"/>
              <w:rPr>
                <w:sz w:val="19"/>
              </w:rPr>
            </w:pPr>
            <w:del w:id="586" w:author="svcMRProcess" w:date="2015-12-09T18:00:00Z">
              <w:r>
                <w:rPr>
                  <w:sz w:val="19"/>
                </w:rPr>
                <w:delText xml:space="preserve">Proclaimed </w:delText>
              </w:r>
            </w:del>
            <w:r>
              <w:rPr>
                <w:sz w:val="19"/>
              </w:rPr>
              <w:t>15 May 1996 (see </w:t>
            </w:r>
            <w:del w:id="587" w:author="svcMRProcess" w:date="2015-12-09T18:00:00Z">
              <w:r>
                <w:rPr>
                  <w:sz w:val="19"/>
                </w:rPr>
                <w:delText xml:space="preserve">section </w:delText>
              </w:r>
            </w:del>
            <w:ins w:id="588" w:author="svcMRProcess" w:date="2015-12-09T18:00:00Z">
              <w:r>
                <w:rPr>
                  <w:sz w:val="19"/>
                </w:rPr>
                <w:t>s. </w:t>
              </w:r>
            </w:ins>
            <w:r>
              <w:rPr>
                <w:sz w:val="19"/>
              </w:rPr>
              <w:t xml:space="preserve">2 and </w:t>
            </w:r>
            <w:r>
              <w:rPr>
                <w:i/>
                <w:sz w:val="19"/>
              </w:rPr>
              <w:t>Gazette</w:t>
            </w:r>
            <w:r>
              <w:rPr>
                <w:sz w:val="19"/>
              </w:rPr>
              <w:t xml:space="preserve"> 14 May 1996 </w:t>
            </w:r>
            <w:del w:id="589" w:author="svcMRProcess" w:date="2015-12-09T18:00:00Z">
              <w:r>
                <w:rPr>
                  <w:sz w:val="19"/>
                </w:rPr>
                <w:br/>
              </w:r>
            </w:del>
            <w:r>
              <w:rPr>
                <w:sz w:val="19"/>
              </w:rPr>
              <w:t>p.</w:t>
            </w:r>
            <w:ins w:id="590" w:author="svcMRProcess" w:date="2015-12-09T18:00:00Z">
              <w:r>
                <w:rPr>
                  <w:sz w:val="19"/>
                </w:rPr>
                <w:t> </w:t>
              </w:r>
            </w:ins>
            <w:r>
              <w:rPr>
                <w:sz w:val="19"/>
              </w:rPr>
              <w:t>2019)</w:t>
            </w:r>
          </w:p>
        </w:tc>
        <w:tc>
          <w:tcPr>
            <w:tcW w:w="1417" w:type="dxa"/>
            <w:cellDel w:id="591" w:author="svcMRProcess" w:date="2015-12-09T18:00:00Z"/>
          </w:tcPr>
          <w:p>
            <w:pPr>
              <w:pStyle w:val="nTable"/>
              <w:spacing w:before="120"/>
              <w:rPr>
                <w:sz w:val="19"/>
              </w:rPr>
            </w:pPr>
            <w:del w:id="592" w:author="svcMRProcess" w:date="2015-12-09T18:00:00Z">
              <w:r>
                <w:rPr>
                  <w:sz w:val="19"/>
                </w:rPr>
                <w:delText>Section 8(2):</w:delText>
              </w:r>
              <w:r>
                <w:rPr>
                  <w:sz w:val="19"/>
                </w:rPr>
                <w:br/>
                <w:delText>validation</w:delText>
              </w:r>
              <w:r>
                <w:rPr>
                  <w:sz w:val="19"/>
                  <w:vertAlign w:val="superscript"/>
                </w:rPr>
                <w:delText>4</w:delText>
              </w:r>
            </w:del>
          </w:p>
        </w:tc>
      </w:tr>
      <w:tr>
        <w:trPr>
          <w:cantSplit/>
        </w:trPr>
        <w:tc>
          <w:tcPr>
            <w:tcW w:w="2268" w:type="dxa"/>
          </w:tcPr>
          <w:p>
            <w:pPr>
              <w:pStyle w:val="nTable"/>
              <w:spacing w:after="40"/>
              <w:ind w:right="113"/>
              <w:rPr>
                <w:sz w:val="19"/>
              </w:rPr>
            </w:pPr>
            <w:r>
              <w:rPr>
                <w:i/>
                <w:sz w:val="19"/>
              </w:rPr>
              <w:t>Trustees Amendment Act 1997</w:t>
            </w:r>
            <w:del w:id="593" w:author="svcMRProcess" w:date="2015-12-09T18:00:00Z">
              <w:r>
                <w:rPr>
                  <w:sz w:val="19"/>
                </w:rPr>
                <w:delText>,</w:delText>
              </w:r>
              <w:r>
                <w:rPr>
                  <w:sz w:val="19"/>
                </w:rPr>
                <w:br/>
                <w:delText xml:space="preserve">section </w:delText>
              </w:r>
            </w:del>
            <w:ins w:id="594" w:author="svcMRProcess" w:date="2015-12-09T18:00:00Z">
              <w:r>
                <w:rPr>
                  <w:sz w:val="19"/>
                </w:rPr>
                <w:t xml:space="preserve"> s. </w:t>
              </w:r>
            </w:ins>
            <w:r>
              <w:rPr>
                <w:sz w:val="19"/>
              </w:rPr>
              <w:t>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del w:id="595" w:author="svcMRProcess" w:date="2015-12-09T18:00:00Z">
              <w:r>
                <w:rPr>
                  <w:sz w:val="19"/>
                </w:rPr>
                <w:delText xml:space="preserve">Proclaimed </w:delText>
              </w:r>
            </w:del>
            <w:r>
              <w:rPr>
                <w:sz w:val="19"/>
              </w:rPr>
              <w:t>16 </w:t>
            </w:r>
            <w:del w:id="596" w:author="svcMRProcess" w:date="2015-12-09T18:00:00Z">
              <w:r>
                <w:rPr>
                  <w:sz w:val="19"/>
                </w:rPr>
                <w:delText>June</w:delText>
              </w:r>
            </w:del>
            <w:ins w:id="597" w:author="svcMRProcess" w:date="2015-12-09T18:00:00Z">
              <w:r>
                <w:rPr>
                  <w:sz w:val="19"/>
                </w:rPr>
                <w:t>Jun</w:t>
              </w:r>
            </w:ins>
            <w:r>
              <w:rPr>
                <w:sz w:val="19"/>
              </w:rPr>
              <w:t xml:space="preserve"> 1997 (see </w:t>
            </w:r>
            <w:del w:id="598" w:author="svcMRProcess" w:date="2015-12-09T18:00:00Z">
              <w:r>
                <w:rPr>
                  <w:sz w:val="19"/>
                </w:rPr>
                <w:delText>section</w:delText>
              </w:r>
            </w:del>
            <w:ins w:id="599" w:author="svcMRProcess" w:date="2015-12-09T18:00:00Z">
              <w:r>
                <w:rPr>
                  <w:sz w:val="19"/>
                </w:rPr>
                <w:t>s.</w:t>
              </w:r>
            </w:ins>
            <w:r>
              <w:rPr>
                <w:sz w:val="19"/>
              </w:rPr>
              <w:t xml:space="preserve"> 2 and </w:t>
            </w:r>
            <w:r>
              <w:rPr>
                <w:i/>
                <w:sz w:val="19"/>
              </w:rPr>
              <w:t>Gazette</w:t>
            </w:r>
            <w:r>
              <w:rPr>
                <w:sz w:val="19"/>
              </w:rPr>
              <w:t xml:space="preserve"> 10 </w:t>
            </w:r>
            <w:del w:id="600" w:author="svcMRProcess" w:date="2015-12-09T18:00:00Z">
              <w:r>
                <w:rPr>
                  <w:sz w:val="19"/>
                </w:rPr>
                <w:delText>June</w:delText>
              </w:r>
            </w:del>
            <w:ins w:id="601" w:author="svcMRProcess" w:date="2015-12-09T18:00:00Z">
              <w:r>
                <w:rPr>
                  <w:sz w:val="19"/>
                </w:rPr>
                <w:t>Jun</w:t>
              </w:r>
            </w:ins>
            <w:r>
              <w:rPr>
                <w:sz w:val="19"/>
              </w:rPr>
              <w:t xml:space="preserve"> 1997 </w:t>
            </w:r>
            <w:del w:id="602" w:author="svcMRProcess" w:date="2015-12-09T18:00:00Z">
              <w:r>
                <w:rPr>
                  <w:sz w:val="19"/>
                </w:rPr>
                <w:br/>
              </w:r>
            </w:del>
            <w:r>
              <w:rPr>
                <w:sz w:val="19"/>
              </w:rPr>
              <w:t>p.</w:t>
            </w:r>
            <w:ins w:id="603" w:author="svcMRProcess" w:date="2015-12-09T18:00:00Z">
              <w:r>
                <w:rPr>
                  <w:sz w:val="19"/>
                </w:rPr>
                <w:t> </w:t>
              </w:r>
            </w:ins>
            <w:r>
              <w:rPr>
                <w:sz w:val="19"/>
              </w:rPr>
              <w:t>2661)</w:t>
            </w:r>
          </w:p>
        </w:tc>
        <w:tc>
          <w:tcPr>
            <w:tcW w:w="1417" w:type="dxa"/>
            <w:tcBorders>
              <w:bottom w:val="single" w:sz="4" w:space="0" w:color="auto"/>
            </w:tcBorders>
            <w:cellDel w:id="604" w:author="svcMRProcess" w:date="2015-12-09T18:00:00Z"/>
          </w:tcPr>
          <w:p>
            <w:pPr>
              <w:pStyle w:val="nTable"/>
              <w:spacing w:before="120"/>
              <w:rPr>
                <w:sz w:val="19"/>
              </w:rPr>
            </w:pPr>
          </w:p>
        </w:tc>
      </w:tr>
      <w:tr>
        <w:trPr>
          <w:cantSplit/>
          <w:ins w:id="605" w:author="svcMRProcess" w:date="2015-12-09T18:00:00Z"/>
        </w:trPr>
        <w:tc>
          <w:tcPr>
            <w:tcW w:w="4535" w:type="dxa"/>
            <w:gridSpan w:val="3"/>
          </w:tcPr>
          <w:p>
            <w:pPr>
              <w:pStyle w:val="nTable"/>
              <w:spacing w:after="40"/>
              <w:rPr>
                <w:ins w:id="606" w:author="svcMRProcess" w:date="2015-12-09T18:00:00Z"/>
                <w:iCs/>
                <w:sz w:val="19"/>
              </w:rPr>
            </w:pPr>
            <w:ins w:id="607" w:author="svcMRProcess" w:date="2015-12-09T18:00:00Z">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5535-6</w:t>
              </w:r>
            </w:ins>
          </w:p>
        </w:tc>
        <w:tc>
          <w:tcPr>
            <w:tcW w:w="2551" w:type="dxa"/>
            <w:gridSpan w:val="2"/>
          </w:tcPr>
          <w:p>
            <w:pPr>
              <w:pStyle w:val="nTable"/>
              <w:spacing w:after="40"/>
              <w:rPr>
                <w:ins w:id="608" w:author="svcMRProcess" w:date="2015-12-09T18:00:00Z"/>
                <w:sz w:val="19"/>
              </w:rPr>
            </w:pPr>
            <w:ins w:id="609" w:author="svcMRProcess" w:date="2015-12-09T18:00:00Z">
              <w:r>
                <w:rPr>
                  <w:sz w:val="19"/>
                </w:rPr>
                <w:t>29 Sep 2000</w:t>
              </w:r>
            </w:ins>
          </w:p>
        </w:tc>
      </w:tr>
      <w:tr>
        <w:trPr>
          <w:cantSplit/>
          <w:ins w:id="610" w:author="svcMRProcess" w:date="2015-12-09T18:00:00Z"/>
        </w:trPr>
        <w:tc>
          <w:tcPr>
            <w:tcW w:w="2268" w:type="dxa"/>
            <w:tcBorders>
              <w:bottom w:val="single" w:sz="8" w:space="0" w:color="auto"/>
            </w:tcBorders>
          </w:tcPr>
          <w:p>
            <w:pPr>
              <w:pStyle w:val="nTable"/>
              <w:spacing w:after="40"/>
              <w:ind w:right="113"/>
              <w:rPr>
                <w:ins w:id="611" w:author="svcMRProcess" w:date="2015-12-09T18:00:00Z"/>
                <w:sz w:val="19"/>
              </w:rPr>
            </w:pPr>
            <w:ins w:id="612" w:author="svcMRProcess" w:date="2015-12-09T18:00:00Z">
              <w:r>
                <w:rPr>
                  <w:i/>
                  <w:iCs/>
                  <w:snapToGrid w:val="0"/>
                  <w:sz w:val="19"/>
                  <w:lang w:val="en-US"/>
                </w:rPr>
                <w:t>Coal Industry Superannuation Amendment Act 2006</w:t>
              </w:r>
            </w:ins>
          </w:p>
        </w:tc>
        <w:tc>
          <w:tcPr>
            <w:tcW w:w="1134" w:type="dxa"/>
            <w:tcBorders>
              <w:bottom w:val="single" w:sz="8" w:space="0" w:color="auto"/>
            </w:tcBorders>
          </w:tcPr>
          <w:p>
            <w:pPr>
              <w:pStyle w:val="nTable"/>
              <w:spacing w:after="40"/>
              <w:rPr>
                <w:ins w:id="613" w:author="svcMRProcess" w:date="2015-12-09T18:00:00Z"/>
                <w:sz w:val="19"/>
              </w:rPr>
            </w:pPr>
            <w:ins w:id="614" w:author="svcMRProcess" w:date="2015-12-09T18:00:00Z">
              <w:r>
                <w:rPr>
                  <w:sz w:val="19"/>
                </w:rPr>
                <w:t>16 of 2006</w:t>
              </w:r>
            </w:ins>
          </w:p>
        </w:tc>
        <w:tc>
          <w:tcPr>
            <w:tcW w:w="1134" w:type="dxa"/>
            <w:tcBorders>
              <w:bottom w:val="single" w:sz="8" w:space="0" w:color="auto"/>
            </w:tcBorders>
          </w:tcPr>
          <w:p>
            <w:pPr>
              <w:pStyle w:val="nTable"/>
              <w:spacing w:after="40"/>
              <w:rPr>
                <w:ins w:id="615" w:author="svcMRProcess" w:date="2015-12-09T18:00:00Z"/>
                <w:sz w:val="19"/>
              </w:rPr>
            </w:pPr>
            <w:ins w:id="616" w:author="svcMRProcess" w:date="2015-12-09T18:00:00Z">
              <w:r>
                <w:rPr>
                  <w:sz w:val="19"/>
                </w:rPr>
                <w:t>17 May 2006</w:t>
              </w:r>
            </w:ins>
          </w:p>
        </w:tc>
        <w:tc>
          <w:tcPr>
            <w:tcW w:w="2551" w:type="dxa"/>
            <w:gridSpan w:val="2"/>
            <w:tcBorders>
              <w:bottom w:val="single" w:sz="8" w:space="0" w:color="auto"/>
            </w:tcBorders>
          </w:tcPr>
          <w:p>
            <w:pPr>
              <w:pStyle w:val="nTable"/>
              <w:spacing w:after="40"/>
              <w:rPr>
                <w:ins w:id="617" w:author="svcMRProcess" w:date="2015-12-09T18:00:00Z"/>
                <w:sz w:val="19"/>
              </w:rPr>
            </w:pPr>
            <w:ins w:id="618" w:author="svcMRProcess" w:date="2015-12-09T18:00:00Z">
              <w:r>
                <w:rPr>
                  <w:sz w:val="19"/>
                </w:rPr>
                <w:t>14 Jun 2006</w:t>
              </w:r>
            </w:ins>
          </w:p>
        </w:tc>
      </w:tr>
    </w:tbl>
    <w:p>
      <w:pPr>
        <w:pStyle w:val="MiscellaneousHeading"/>
        <w:spacing w:before="240" w:after="80"/>
        <w:rPr>
          <w:del w:id="619" w:author="svcMRProcess" w:date="2015-12-09T18:00:00Z"/>
          <w:b/>
        </w:rPr>
      </w:pPr>
      <w:del w:id="620" w:author="svcMRProcess" w:date="2015-12-09T18:00:00Z">
        <w:r>
          <w:rPr>
            <w:b/>
          </w:rPr>
          <w:delText>Part II — Orders</w:delText>
        </w:r>
      </w:del>
    </w:p>
    <w:tbl>
      <w:tblPr>
        <w:tblW w:w="0" w:type="auto"/>
        <w:tblInd w:w="28" w:type="dxa"/>
        <w:tblLayout w:type="fixed"/>
        <w:tblCellMar>
          <w:left w:w="28" w:type="dxa"/>
          <w:right w:w="28" w:type="dxa"/>
        </w:tblCellMar>
        <w:tblLook w:val="0000" w:firstRow="0" w:lastRow="0" w:firstColumn="0" w:lastColumn="0" w:noHBand="0" w:noVBand="0"/>
      </w:tblPr>
      <w:tblGrid>
        <w:gridCol w:w="2127"/>
        <w:gridCol w:w="1701"/>
        <w:gridCol w:w="1842"/>
        <w:gridCol w:w="1418"/>
      </w:tblGrid>
      <w:tr>
        <w:trPr>
          <w:tblHeader/>
          <w:del w:id="621" w:author="svcMRProcess" w:date="2015-12-09T18:00:00Z"/>
        </w:trPr>
        <w:tc>
          <w:tcPr>
            <w:tcW w:w="2127" w:type="dxa"/>
            <w:tcBorders>
              <w:top w:val="single" w:sz="12" w:space="0" w:color="auto"/>
              <w:bottom w:val="single" w:sz="12" w:space="0" w:color="auto"/>
            </w:tcBorders>
          </w:tcPr>
          <w:p>
            <w:pPr>
              <w:pStyle w:val="nTable"/>
              <w:spacing w:before="100" w:after="60" w:line="190" w:lineRule="exact"/>
              <w:rPr>
                <w:del w:id="622" w:author="svcMRProcess" w:date="2015-12-09T18:00:00Z"/>
                <w:b/>
              </w:rPr>
            </w:pPr>
            <w:del w:id="623" w:author="svcMRProcess" w:date="2015-12-09T18:00:00Z">
              <w:r>
                <w:rPr>
                  <w:b/>
                </w:rPr>
                <w:delText>Order</w:delText>
              </w:r>
            </w:del>
          </w:p>
        </w:tc>
        <w:tc>
          <w:tcPr>
            <w:tcW w:w="1701" w:type="dxa"/>
            <w:tcBorders>
              <w:top w:val="single" w:sz="12" w:space="0" w:color="auto"/>
              <w:bottom w:val="single" w:sz="12" w:space="0" w:color="auto"/>
            </w:tcBorders>
          </w:tcPr>
          <w:p>
            <w:pPr>
              <w:pStyle w:val="nTable"/>
              <w:spacing w:before="100" w:after="60" w:line="190" w:lineRule="exact"/>
              <w:rPr>
                <w:del w:id="624" w:author="svcMRProcess" w:date="2015-12-09T18:00:00Z"/>
                <w:b/>
              </w:rPr>
            </w:pPr>
            <w:del w:id="625" w:author="svcMRProcess" w:date="2015-12-09T18:00:00Z">
              <w:r>
                <w:rPr>
                  <w:b/>
                </w:rPr>
                <w:delText>Gazettal</w:delText>
              </w:r>
            </w:del>
          </w:p>
        </w:tc>
        <w:tc>
          <w:tcPr>
            <w:tcW w:w="1842" w:type="dxa"/>
            <w:tcBorders>
              <w:top w:val="single" w:sz="12" w:space="0" w:color="auto"/>
              <w:bottom w:val="single" w:sz="12" w:space="0" w:color="auto"/>
            </w:tcBorders>
          </w:tcPr>
          <w:p>
            <w:pPr>
              <w:pStyle w:val="nTable"/>
              <w:spacing w:before="100" w:after="60" w:line="190" w:lineRule="exact"/>
              <w:rPr>
                <w:del w:id="626" w:author="svcMRProcess" w:date="2015-12-09T18:00:00Z"/>
                <w:b/>
              </w:rPr>
            </w:pPr>
            <w:del w:id="627" w:author="svcMRProcess" w:date="2015-12-09T18:00:00Z">
              <w:r>
                <w:rPr>
                  <w:b/>
                </w:rPr>
                <w:delText>Commencement</w:delText>
              </w:r>
            </w:del>
          </w:p>
        </w:tc>
        <w:tc>
          <w:tcPr>
            <w:tcW w:w="1418" w:type="dxa"/>
            <w:tcBorders>
              <w:top w:val="single" w:sz="12" w:space="0" w:color="auto"/>
              <w:bottom w:val="single" w:sz="12" w:space="0" w:color="auto"/>
            </w:tcBorders>
          </w:tcPr>
          <w:p>
            <w:pPr>
              <w:pStyle w:val="nTable"/>
              <w:spacing w:before="100" w:after="60" w:line="190" w:lineRule="exact"/>
              <w:rPr>
                <w:del w:id="628" w:author="svcMRProcess" w:date="2015-12-09T18:00:00Z"/>
                <w:b/>
              </w:rPr>
            </w:pPr>
            <w:del w:id="629" w:author="svcMRProcess" w:date="2015-12-09T18:00:00Z">
              <w:r>
                <w:rPr>
                  <w:b/>
                </w:rPr>
                <w:delText>Miscellaneous</w:delText>
              </w:r>
            </w:del>
          </w:p>
        </w:tc>
      </w:tr>
      <w:tr>
        <w:trPr>
          <w:del w:id="630" w:author="svcMRProcess" w:date="2015-12-09T18:00:00Z"/>
        </w:trPr>
        <w:tc>
          <w:tcPr>
            <w:tcW w:w="2127" w:type="dxa"/>
            <w:tcBorders>
              <w:bottom w:val="single" w:sz="4" w:space="0" w:color="auto"/>
            </w:tcBorders>
          </w:tcPr>
          <w:p>
            <w:pPr>
              <w:pStyle w:val="nTable"/>
              <w:spacing w:before="100" w:line="190" w:lineRule="exact"/>
              <w:rPr>
                <w:del w:id="631" w:author="svcMRProcess" w:date="2015-12-09T18:00:00Z"/>
              </w:rPr>
            </w:pPr>
            <w:del w:id="632" w:author="svcMRProcess" w:date="2015-12-09T18:00:00Z">
              <w:r>
                <w:rPr>
                  <w:i/>
                </w:rPr>
                <w:delText>Coal Industry Superannuation Act Amendment Order 2000</w:delText>
              </w:r>
            </w:del>
          </w:p>
        </w:tc>
        <w:tc>
          <w:tcPr>
            <w:tcW w:w="1701" w:type="dxa"/>
            <w:tcBorders>
              <w:bottom w:val="single" w:sz="4" w:space="0" w:color="auto"/>
            </w:tcBorders>
          </w:tcPr>
          <w:p>
            <w:pPr>
              <w:pStyle w:val="nTable"/>
              <w:spacing w:before="100" w:line="190" w:lineRule="exact"/>
              <w:rPr>
                <w:del w:id="633" w:author="svcMRProcess" w:date="2015-12-09T18:00:00Z"/>
              </w:rPr>
            </w:pPr>
            <w:del w:id="634" w:author="svcMRProcess" w:date="2015-12-09T18:00:00Z">
              <w:r>
                <w:delText>29 September 2000  pp.5535-6</w:delText>
              </w:r>
            </w:del>
          </w:p>
        </w:tc>
        <w:tc>
          <w:tcPr>
            <w:tcW w:w="1842" w:type="dxa"/>
            <w:tcBorders>
              <w:bottom w:val="single" w:sz="4" w:space="0" w:color="auto"/>
            </w:tcBorders>
          </w:tcPr>
          <w:p>
            <w:pPr>
              <w:pStyle w:val="nTable"/>
              <w:spacing w:before="100" w:line="190" w:lineRule="exact"/>
              <w:rPr>
                <w:del w:id="635" w:author="svcMRProcess" w:date="2015-12-09T18:00:00Z"/>
              </w:rPr>
            </w:pPr>
            <w:del w:id="636" w:author="svcMRProcess" w:date="2015-12-09T18:00:00Z">
              <w:r>
                <w:delText>29 September 2000</w:delText>
              </w:r>
            </w:del>
          </w:p>
        </w:tc>
        <w:tc>
          <w:tcPr>
            <w:tcW w:w="1418" w:type="dxa"/>
            <w:tcBorders>
              <w:bottom w:val="single" w:sz="4" w:space="0" w:color="auto"/>
            </w:tcBorders>
          </w:tcPr>
          <w:p>
            <w:pPr>
              <w:pStyle w:val="nTable"/>
              <w:spacing w:before="100" w:line="190" w:lineRule="exact"/>
              <w:rPr>
                <w:del w:id="637" w:author="svcMRProcess" w:date="2015-12-09T18:00:00Z"/>
              </w:rPr>
            </w:pPr>
          </w:p>
        </w:tc>
      </w:tr>
    </w:tbl>
    <w:p>
      <w:pPr>
        <w:pStyle w:val="nSubsection"/>
        <w:rPr>
          <w:del w:id="638" w:author="svcMRProcess" w:date="2015-12-09T18:00:00Z"/>
          <w:snapToGrid w:val="0"/>
        </w:rPr>
      </w:pPr>
      <w:del w:id="639" w:author="svcMRProcess" w:date="2015-12-09T18: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40" w:author="svcMRProcess" w:date="2015-12-09T18:00:00Z"/>
          <w:snapToGrid w:val="0"/>
        </w:rPr>
      </w:pPr>
      <w:bookmarkStart w:id="641" w:name="_Toc534778309"/>
      <w:bookmarkStart w:id="642" w:name="_Toc7405063"/>
      <w:bookmarkStart w:id="643" w:name="_Toc135718360"/>
      <w:del w:id="644" w:author="svcMRProcess" w:date="2015-12-09T18:00:00Z">
        <w:r>
          <w:rPr>
            <w:snapToGrid w:val="0"/>
          </w:rPr>
          <w:delText>Provisions that have not come into operation</w:delText>
        </w:r>
        <w:bookmarkEnd w:id="641"/>
        <w:bookmarkEnd w:id="642"/>
        <w:bookmarkEnd w:id="643"/>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rPr>
          <w:del w:id="645" w:author="svcMRProcess" w:date="2015-12-09T18:00:00Z"/>
        </w:trPr>
        <w:tc>
          <w:tcPr>
            <w:tcW w:w="2223" w:type="dxa"/>
          </w:tcPr>
          <w:p>
            <w:pPr>
              <w:pStyle w:val="nTable"/>
              <w:rPr>
                <w:del w:id="646" w:author="svcMRProcess" w:date="2015-12-09T18:00:00Z"/>
                <w:b/>
                <w:snapToGrid w:val="0"/>
                <w:sz w:val="19"/>
                <w:lang w:val="en-US"/>
              </w:rPr>
            </w:pPr>
            <w:del w:id="647" w:author="svcMRProcess" w:date="2015-12-09T18:00:00Z">
              <w:r>
                <w:rPr>
                  <w:b/>
                  <w:snapToGrid w:val="0"/>
                  <w:sz w:val="19"/>
                  <w:lang w:val="en-US"/>
                </w:rPr>
                <w:delText>Short title</w:delText>
              </w:r>
            </w:del>
          </w:p>
        </w:tc>
        <w:tc>
          <w:tcPr>
            <w:tcW w:w="1118" w:type="dxa"/>
          </w:tcPr>
          <w:p>
            <w:pPr>
              <w:pStyle w:val="nTable"/>
              <w:rPr>
                <w:del w:id="648" w:author="svcMRProcess" w:date="2015-12-09T18:00:00Z"/>
                <w:b/>
                <w:snapToGrid w:val="0"/>
                <w:sz w:val="19"/>
                <w:lang w:val="en-US"/>
              </w:rPr>
            </w:pPr>
            <w:del w:id="649" w:author="svcMRProcess" w:date="2015-12-09T18:00:00Z">
              <w:r>
                <w:rPr>
                  <w:b/>
                  <w:snapToGrid w:val="0"/>
                  <w:sz w:val="19"/>
                  <w:lang w:val="en-US"/>
                </w:rPr>
                <w:delText>Number and Year</w:delText>
              </w:r>
            </w:del>
          </w:p>
        </w:tc>
        <w:tc>
          <w:tcPr>
            <w:tcW w:w="1337" w:type="dxa"/>
          </w:tcPr>
          <w:p>
            <w:pPr>
              <w:pStyle w:val="nTable"/>
              <w:rPr>
                <w:del w:id="650" w:author="svcMRProcess" w:date="2015-12-09T18:00:00Z"/>
                <w:b/>
                <w:snapToGrid w:val="0"/>
                <w:sz w:val="19"/>
                <w:lang w:val="en-US"/>
              </w:rPr>
            </w:pPr>
            <w:del w:id="651" w:author="svcMRProcess" w:date="2015-12-09T18:00:00Z">
              <w:r>
                <w:rPr>
                  <w:b/>
                  <w:snapToGrid w:val="0"/>
                  <w:sz w:val="19"/>
                  <w:lang w:val="en-US"/>
                </w:rPr>
                <w:delText>Assent</w:delText>
              </w:r>
            </w:del>
          </w:p>
        </w:tc>
        <w:tc>
          <w:tcPr>
            <w:tcW w:w="2410" w:type="dxa"/>
          </w:tcPr>
          <w:p>
            <w:pPr>
              <w:pStyle w:val="nTable"/>
              <w:rPr>
                <w:del w:id="652" w:author="svcMRProcess" w:date="2015-12-09T18:00:00Z"/>
                <w:b/>
                <w:snapToGrid w:val="0"/>
                <w:sz w:val="19"/>
                <w:lang w:val="en-US"/>
              </w:rPr>
            </w:pPr>
            <w:del w:id="653" w:author="svcMRProcess" w:date="2015-12-09T18:00:00Z">
              <w:r>
                <w:rPr>
                  <w:b/>
                  <w:snapToGrid w:val="0"/>
                  <w:sz w:val="19"/>
                  <w:lang w:val="en-US"/>
                </w:rPr>
                <w:delText>Commencement</w:delText>
              </w:r>
            </w:del>
          </w:p>
        </w:tc>
      </w:tr>
      <w:tr>
        <w:trPr>
          <w:del w:id="654" w:author="svcMRProcess" w:date="2015-12-09T18:00:00Z"/>
        </w:trPr>
        <w:tc>
          <w:tcPr>
            <w:tcW w:w="2223" w:type="dxa"/>
          </w:tcPr>
          <w:p>
            <w:pPr>
              <w:pStyle w:val="nTable"/>
              <w:rPr>
                <w:del w:id="655" w:author="svcMRProcess" w:date="2015-12-09T18:00:00Z"/>
                <w:snapToGrid w:val="0"/>
                <w:sz w:val="19"/>
                <w:lang w:val="en-US"/>
              </w:rPr>
            </w:pPr>
            <w:del w:id="656" w:author="svcMRProcess" w:date="2015-12-09T18:00:00Z">
              <w:r>
                <w:rPr>
                  <w:i/>
                  <w:iCs/>
                  <w:snapToGrid w:val="0"/>
                  <w:sz w:val="19"/>
                  <w:lang w:val="en-US"/>
                </w:rPr>
                <w:delText>Coal Industry Superannuation Amendment Act 2006</w:delText>
              </w:r>
              <w:r>
                <w:rPr>
                  <w:snapToGrid w:val="0"/>
                  <w:sz w:val="19"/>
                  <w:lang w:val="en-US"/>
                </w:rPr>
                <w:delText xml:space="preserve"> s. 2</w:delText>
              </w:r>
              <w:r>
                <w:rPr>
                  <w:snapToGrid w:val="0"/>
                  <w:sz w:val="19"/>
                  <w:lang w:val="en-US"/>
                </w:rPr>
                <w:noBreakHyphen/>
                <w:delText>15 </w:delText>
              </w:r>
              <w:r>
                <w:rPr>
                  <w:snapToGrid w:val="0"/>
                  <w:sz w:val="19"/>
                  <w:vertAlign w:val="superscript"/>
                  <w:lang w:val="en-US"/>
                </w:rPr>
                <w:delText>5</w:delText>
              </w:r>
            </w:del>
          </w:p>
        </w:tc>
        <w:tc>
          <w:tcPr>
            <w:tcW w:w="1118" w:type="dxa"/>
          </w:tcPr>
          <w:p>
            <w:pPr>
              <w:pStyle w:val="nTable"/>
              <w:rPr>
                <w:del w:id="657" w:author="svcMRProcess" w:date="2015-12-09T18:00:00Z"/>
                <w:snapToGrid w:val="0"/>
                <w:sz w:val="19"/>
                <w:lang w:val="en-US"/>
              </w:rPr>
            </w:pPr>
            <w:del w:id="658" w:author="svcMRProcess" w:date="2015-12-09T18:00:00Z">
              <w:r>
                <w:rPr>
                  <w:snapToGrid w:val="0"/>
                  <w:sz w:val="19"/>
                  <w:lang w:val="en-US"/>
                </w:rPr>
                <w:delText>16 of 2006</w:delText>
              </w:r>
            </w:del>
          </w:p>
        </w:tc>
        <w:tc>
          <w:tcPr>
            <w:tcW w:w="1337" w:type="dxa"/>
          </w:tcPr>
          <w:p>
            <w:pPr>
              <w:pStyle w:val="nTable"/>
              <w:rPr>
                <w:del w:id="659" w:author="svcMRProcess" w:date="2015-12-09T18:00:00Z"/>
                <w:snapToGrid w:val="0"/>
                <w:sz w:val="19"/>
                <w:lang w:val="en-US"/>
              </w:rPr>
            </w:pPr>
            <w:del w:id="660" w:author="svcMRProcess" w:date="2015-12-09T18:00:00Z">
              <w:r>
                <w:rPr>
                  <w:snapToGrid w:val="0"/>
                  <w:sz w:val="19"/>
                  <w:lang w:val="en-US"/>
                </w:rPr>
                <w:delText>17 May 2006</w:delText>
              </w:r>
            </w:del>
          </w:p>
        </w:tc>
        <w:tc>
          <w:tcPr>
            <w:tcW w:w="2410" w:type="dxa"/>
          </w:tcPr>
          <w:p>
            <w:pPr>
              <w:pStyle w:val="nTable"/>
              <w:rPr>
                <w:del w:id="661" w:author="svcMRProcess" w:date="2015-12-09T18:00:00Z"/>
                <w:snapToGrid w:val="0"/>
                <w:sz w:val="19"/>
                <w:lang w:val="en-US"/>
              </w:rPr>
            </w:pPr>
            <w:del w:id="662" w:author="svcMRProcess" w:date="2015-12-09T18:00:00Z">
              <w:r>
                <w:rPr>
                  <w:snapToGrid w:val="0"/>
                  <w:sz w:val="19"/>
                  <w:lang w:val="en-US"/>
                </w:rPr>
                <w:delText xml:space="preserve">14 Jun 2006 </w:delText>
              </w:r>
            </w:del>
          </w:p>
        </w:tc>
      </w:tr>
    </w:tbl>
    <w:p>
      <w:pPr>
        <w:pStyle w:val="nSubsection"/>
        <w:rPr>
          <w:del w:id="663" w:author="svcMRProcess" w:date="2015-12-09T18:00:00Z"/>
          <w:snapToGrid w:val="0"/>
        </w:rPr>
      </w:pPr>
      <w:del w:id="664" w:author="svcMRProcess" w:date="2015-12-09T18:00:00Z">
        <w:r>
          <w:rPr>
            <w:snapToGrid w:val="0"/>
            <w:vertAlign w:val="superscript"/>
          </w:rPr>
          <w:delText>2</w:delText>
        </w:r>
        <w:r>
          <w:rPr>
            <w:snapToGrid w:val="0"/>
            <w:vertAlign w:val="superscript"/>
          </w:rPr>
          <w:tab/>
        </w:r>
        <w:r>
          <w:rPr>
            <w:snapToGrid w:val="0"/>
          </w:rPr>
          <w:delText>Western Collieries Ltd has changed its name. As at the date of this reprint it is called Wesfarmers Coal Ltd.</w:delText>
        </w:r>
      </w:del>
    </w:p>
    <w:p>
      <w:pPr>
        <w:pStyle w:val="nSubsection"/>
        <w:rPr>
          <w:ins w:id="665" w:author="svcMRProcess" w:date="2015-12-09T18:00:00Z"/>
          <w:snapToGrid w:val="0"/>
        </w:rPr>
      </w:pPr>
      <w:ins w:id="666" w:author="svcMRProcess" w:date="2015-12-09T18:00:00Z">
        <w:r>
          <w:rPr>
            <w:snapToGrid w:val="0"/>
            <w:vertAlign w:val="superscript"/>
          </w:rPr>
          <w:t>2</w:t>
        </w:r>
        <w:r>
          <w:rPr>
            <w:snapToGrid w:val="0"/>
          </w:rPr>
          <w:tab/>
          <w:t>Footnote no longer applicable.</w:t>
        </w:r>
      </w:ins>
    </w:p>
    <w:p>
      <w:pPr>
        <w:pStyle w:val="nSubsection"/>
        <w:rPr>
          <w:snapToGrid w:val="0"/>
        </w:rPr>
      </w:pPr>
      <w:r>
        <w:rPr>
          <w:snapToGrid w:val="0"/>
          <w:vertAlign w:val="superscript"/>
        </w:rPr>
        <w:t>3</w:t>
      </w:r>
      <w:r>
        <w:rPr>
          <w:snapToGrid w:val="0"/>
        </w:rPr>
        <w:tab/>
        <w:t xml:space="preserve">Section 8(2) of the </w:t>
      </w:r>
      <w:r>
        <w:rPr>
          <w:i/>
          <w:snapToGrid w:val="0"/>
        </w:rPr>
        <w:t>Acts Amendment (Coal Mining Industry) Act 1994</w:t>
      </w:r>
      <w:r>
        <w:rPr>
          <w:snapToGrid w:val="0"/>
        </w:rPr>
        <w:t xml:space="preserve"> (No. 45 of 1994) reads as follows — </w:t>
      </w:r>
      <w:bookmarkStart w:id="667" w:name="UpToHere"/>
      <w:bookmarkEnd w:id="667"/>
    </w:p>
    <w:p>
      <w:pPr>
        <w:pStyle w:val="MiscOpen"/>
        <w:rPr>
          <w:snapToGrid w:val="0"/>
        </w:rPr>
      </w:pPr>
      <w:r>
        <w:rPr>
          <w:snapToGrid w:val="0"/>
        </w:rPr>
        <w:t>“</w:t>
      </w:r>
    </w:p>
    <w:p>
      <w:pPr>
        <w:pStyle w:val="nzSubsection"/>
        <w:rPr>
          <w:snapToGrid w:val="0"/>
        </w:rPr>
      </w:pPr>
      <w:r>
        <w:rPr>
          <w:snapToGrid w:val="0"/>
        </w:rPr>
        <w:tab/>
        <w:t>(2)</w:t>
      </w:r>
      <w:r>
        <w:rPr>
          <w:snapToGrid w:val="0"/>
        </w:rPr>
        <w:tab/>
        <w:t>The person who at the time of the commencement of this section holds the position of secretary under section 19 of the principal Act shall, on or after that time, be deemed to have been appointed as Administration Manager.</w:t>
      </w:r>
    </w:p>
    <w:p>
      <w:pPr>
        <w:pStyle w:val="MiscClose"/>
        <w:rPr>
          <w:snapToGrid w:val="0"/>
        </w:rPr>
      </w:pPr>
      <w:r>
        <w:rPr>
          <w:snapToGrid w:val="0"/>
        </w:rPr>
        <w:t>”.</w:t>
      </w:r>
    </w:p>
    <w:p>
      <w:pPr>
        <w:pStyle w:val="nSubsection"/>
        <w:rPr>
          <w:snapToGrid w:val="0"/>
        </w:rPr>
      </w:pPr>
      <w:r>
        <w:rPr>
          <w:snapToGrid w:val="0"/>
          <w:vertAlign w:val="superscript"/>
        </w:rPr>
        <w:t>4</w:t>
      </w:r>
      <w:del w:id="668" w:author="svcMRProcess" w:date="2015-12-09T18:00:00Z">
        <w:r>
          <w:rPr>
            <w:snapToGrid w:val="0"/>
          </w:rPr>
          <w:delText xml:space="preserve"> </w:delText>
        </w:r>
      </w:del>
      <w:r>
        <w:rPr>
          <w:snapToGrid w:val="0"/>
        </w:rPr>
        <w:tab/>
        <w:t xml:space="preserve">Section 8(2) of the </w:t>
      </w:r>
      <w:r>
        <w:rPr>
          <w:i/>
          <w:snapToGrid w:val="0"/>
        </w:rPr>
        <w:t>Coal Industry Superannuation Amendment Act 1995</w:t>
      </w:r>
      <w:r>
        <w:rPr>
          <w:snapToGrid w:val="0"/>
        </w:rPr>
        <w:t xml:space="preserve"> (No. 46 of 1995) reads as follows — </w:t>
      </w:r>
    </w:p>
    <w:p>
      <w:pPr>
        <w:pStyle w:val="nSubsection"/>
        <w:ind w:left="0" w:firstLine="0"/>
        <w:rPr>
          <w:snapToGrid w:val="0"/>
        </w:rPr>
      </w:pPr>
      <w:r>
        <w:rPr>
          <w:snapToGrid w:val="0"/>
        </w:rPr>
        <w:t>“</w:t>
      </w:r>
    </w:p>
    <w:p>
      <w:pPr>
        <w:pStyle w:val="nzSubsection"/>
        <w:rPr>
          <w:snapToGrid w:val="0"/>
        </w:rPr>
      </w:pPr>
      <w:r>
        <w:rPr>
          <w:snapToGrid w:val="0"/>
        </w:rPr>
        <w:tab/>
        <w:t>(2)</w:t>
      </w:r>
      <w:r>
        <w:rPr>
          <w:snapToGrid w:val="0"/>
        </w:rPr>
        <w:tab/>
        <w:t>The amendment effected by subsection (1) does not affect the validity of the appointment of the person holding office as chairman of the Board immediately before the commencement of this section.</w:t>
      </w:r>
    </w:p>
    <w:p>
      <w:pPr>
        <w:pStyle w:val="MiscClose"/>
        <w:rPr>
          <w:snapToGrid w:val="0"/>
        </w:rPr>
      </w:pPr>
      <w:r>
        <w:rPr>
          <w:snapToGrid w:val="0"/>
        </w:rPr>
        <w:t>”.</w:t>
      </w:r>
    </w:p>
    <w:p>
      <w:pPr>
        <w:pStyle w:val="nSubsection"/>
        <w:rPr>
          <w:del w:id="669" w:author="svcMRProcess" w:date="2015-12-09T18:00:00Z"/>
          <w:snapToGrid w:val="0"/>
        </w:rPr>
      </w:pPr>
      <w:del w:id="670" w:author="svcMRProcess" w:date="2015-12-09T18:00:00Z">
        <w:r>
          <w:rPr>
            <w:snapToGrid w:val="0"/>
            <w:vertAlign w:val="superscript"/>
          </w:rPr>
          <w:delText>5</w:delText>
        </w:r>
        <w:r>
          <w:rPr>
            <w:snapToGrid w:val="0"/>
          </w:rPr>
          <w:tab/>
          <w:delText xml:space="preserve">On the date as at which this compilation was prepared, the </w:delText>
        </w:r>
        <w:r>
          <w:rPr>
            <w:i/>
            <w:iCs/>
            <w:snapToGrid w:val="0"/>
            <w:sz w:val="19"/>
            <w:lang w:val="en-US"/>
          </w:rPr>
          <w:delText>Coal Industry Superannuation Amendment Act 2006</w:delText>
        </w:r>
        <w:r>
          <w:rPr>
            <w:snapToGrid w:val="0"/>
            <w:sz w:val="19"/>
            <w:lang w:val="en-US"/>
          </w:rPr>
          <w:delText xml:space="preserve"> s. 2</w:delText>
        </w:r>
        <w:r>
          <w:rPr>
            <w:snapToGrid w:val="0"/>
            <w:sz w:val="19"/>
            <w:lang w:val="en-US"/>
          </w:rPr>
          <w:noBreakHyphen/>
          <w:delText>15</w:delText>
        </w:r>
        <w:r>
          <w:rPr>
            <w:snapToGrid w:val="0"/>
          </w:rPr>
          <w:delText xml:space="preserve"> had not come into operation.  They read as follows:</w:delText>
        </w:r>
      </w:del>
    </w:p>
    <w:p>
      <w:pPr>
        <w:pStyle w:val="MiscOpen"/>
        <w:rPr>
          <w:del w:id="671" w:author="svcMRProcess" w:date="2015-12-09T18:00:00Z"/>
          <w:snapToGrid w:val="0"/>
        </w:rPr>
      </w:pPr>
      <w:del w:id="672" w:author="svcMRProcess" w:date="2015-12-09T18:00:00Z">
        <w:r>
          <w:rPr>
            <w:snapToGrid w:val="0"/>
          </w:rPr>
          <w:delText>“</w:delText>
        </w:r>
      </w:del>
    </w:p>
    <w:p>
      <w:pPr>
        <w:pStyle w:val="nzHeading5"/>
        <w:rPr>
          <w:del w:id="673" w:author="svcMRProcess" w:date="2015-12-09T18:00:00Z"/>
          <w:snapToGrid w:val="0"/>
        </w:rPr>
      </w:pPr>
      <w:bookmarkStart w:id="674" w:name="_Toc471793483"/>
      <w:bookmarkStart w:id="675" w:name="_Toc512746196"/>
      <w:bookmarkStart w:id="676" w:name="_Toc515958177"/>
      <w:bookmarkStart w:id="677" w:name="_Toc75249508"/>
      <w:bookmarkStart w:id="678" w:name="_Toc135031560"/>
      <w:bookmarkStart w:id="679" w:name="_Toc135708185"/>
      <w:bookmarkStart w:id="680" w:name="_Toc135715415"/>
      <w:del w:id="681" w:author="svcMRProcess" w:date="2015-12-09T18:00:00Z">
        <w:r>
          <w:rPr>
            <w:rStyle w:val="CharSectno"/>
          </w:rPr>
          <w:delText>2</w:delText>
        </w:r>
        <w:r>
          <w:rPr>
            <w:snapToGrid w:val="0"/>
          </w:rPr>
          <w:delText>.</w:delText>
        </w:r>
        <w:r>
          <w:rPr>
            <w:snapToGrid w:val="0"/>
          </w:rPr>
          <w:tab/>
          <w:delText>The Act amended</w:delText>
        </w:r>
        <w:bookmarkEnd w:id="674"/>
        <w:bookmarkEnd w:id="675"/>
        <w:bookmarkEnd w:id="676"/>
        <w:bookmarkEnd w:id="677"/>
        <w:bookmarkEnd w:id="678"/>
        <w:bookmarkEnd w:id="679"/>
        <w:bookmarkEnd w:id="680"/>
      </w:del>
    </w:p>
    <w:p>
      <w:pPr>
        <w:pStyle w:val="nzSubsection"/>
        <w:rPr>
          <w:del w:id="682" w:author="svcMRProcess" w:date="2015-12-09T18:00:00Z"/>
        </w:rPr>
      </w:pPr>
      <w:del w:id="683" w:author="svcMRProcess" w:date="2015-12-09T18:00:00Z">
        <w:r>
          <w:tab/>
        </w:r>
        <w:r>
          <w:tab/>
          <w:delText xml:space="preserve">The amendments in this Act are to the </w:delText>
        </w:r>
        <w:r>
          <w:rPr>
            <w:i/>
          </w:rPr>
          <w:delText>Coal Industry Superannuation Act 1989</w:delText>
        </w:r>
        <w:r>
          <w:delText>.</w:delText>
        </w:r>
      </w:del>
    </w:p>
    <w:p>
      <w:pPr>
        <w:pStyle w:val="nzHeading5"/>
        <w:rPr>
          <w:del w:id="684" w:author="svcMRProcess" w:date="2015-12-09T18:00:00Z"/>
        </w:rPr>
      </w:pPr>
      <w:bookmarkStart w:id="685" w:name="_Toc75249509"/>
      <w:bookmarkStart w:id="686" w:name="_Toc135031561"/>
      <w:bookmarkStart w:id="687" w:name="_Toc135708186"/>
      <w:bookmarkStart w:id="688" w:name="_Toc135715416"/>
      <w:del w:id="689" w:author="svcMRProcess" w:date="2015-12-09T18:00:00Z">
        <w:r>
          <w:rPr>
            <w:rStyle w:val="CharSectno"/>
          </w:rPr>
          <w:delText>3</w:delText>
        </w:r>
        <w:r>
          <w:delText>.</w:delText>
        </w:r>
        <w:r>
          <w:tab/>
          <w:delText>Long title replaced</w:delText>
        </w:r>
        <w:bookmarkEnd w:id="685"/>
        <w:bookmarkEnd w:id="686"/>
        <w:bookmarkEnd w:id="687"/>
        <w:bookmarkEnd w:id="688"/>
      </w:del>
    </w:p>
    <w:p>
      <w:pPr>
        <w:pStyle w:val="nzSubsection"/>
        <w:rPr>
          <w:del w:id="690" w:author="svcMRProcess" w:date="2015-12-09T18:00:00Z"/>
        </w:rPr>
      </w:pPr>
      <w:del w:id="691" w:author="svcMRProcess" w:date="2015-12-09T18:00:00Z">
        <w:r>
          <w:tab/>
        </w:r>
        <w:r>
          <w:tab/>
          <w:delText>The long title is repealed and the following long title is inserted instead —</w:delText>
        </w:r>
      </w:del>
    </w:p>
    <w:p>
      <w:pPr>
        <w:pStyle w:val="MiscOpen"/>
        <w:rPr>
          <w:del w:id="692" w:author="svcMRProcess" w:date="2015-12-09T18:00:00Z"/>
        </w:rPr>
      </w:pPr>
      <w:del w:id="693" w:author="svcMRProcess" w:date="2015-12-09T18:00:00Z">
        <w:r>
          <w:delText xml:space="preserve">“    </w:delText>
        </w:r>
      </w:del>
    </w:p>
    <w:p>
      <w:pPr>
        <w:pStyle w:val="nzLongTitle"/>
        <w:rPr>
          <w:del w:id="694" w:author="svcMRProcess" w:date="2015-12-09T18:00:00Z"/>
        </w:rPr>
      </w:pPr>
      <w:del w:id="695" w:author="svcMRProcess" w:date="2015-12-09T18:00:00Z">
        <w:r>
          <w:delText>An Act relating to superannuation for persons involved in coal mining in Western Australia and for various other persons and for related purposes.</w:delText>
        </w:r>
      </w:del>
    </w:p>
    <w:p>
      <w:pPr>
        <w:pStyle w:val="MiscClose"/>
        <w:rPr>
          <w:del w:id="696" w:author="svcMRProcess" w:date="2015-12-09T18:00:00Z"/>
        </w:rPr>
      </w:pPr>
      <w:del w:id="697" w:author="svcMRProcess" w:date="2015-12-09T18:00:00Z">
        <w:r>
          <w:delText>”.</w:delText>
        </w:r>
      </w:del>
    </w:p>
    <w:p>
      <w:pPr>
        <w:pStyle w:val="nzHeading5"/>
        <w:rPr>
          <w:del w:id="698" w:author="svcMRProcess" w:date="2015-12-09T18:00:00Z"/>
        </w:rPr>
      </w:pPr>
      <w:bookmarkStart w:id="699" w:name="_Toc75249510"/>
      <w:bookmarkStart w:id="700" w:name="_Toc135031562"/>
      <w:bookmarkStart w:id="701" w:name="_Toc135708187"/>
      <w:bookmarkStart w:id="702" w:name="_Toc135715417"/>
      <w:del w:id="703" w:author="svcMRProcess" w:date="2015-12-09T18:00:00Z">
        <w:r>
          <w:rPr>
            <w:rStyle w:val="CharSectno"/>
          </w:rPr>
          <w:delText>4</w:delText>
        </w:r>
        <w:r>
          <w:delText>.</w:delText>
        </w:r>
        <w:r>
          <w:tab/>
          <w:delText>Section 5 repealed</w:delText>
        </w:r>
        <w:bookmarkEnd w:id="699"/>
        <w:bookmarkEnd w:id="700"/>
        <w:bookmarkEnd w:id="701"/>
        <w:bookmarkEnd w:id="702"/>
      </w:del>
    </w:p>
    <w:p>
      <w:pPr>
        <w:pStyle w:val="nzSubsection"/>
        <w:rPr>
          <w:del w:id="704" w:author="svcMRProcess" w:date="2015-12-09T18:00:00Z"/>
        </w:rPr>
      </w:pPr>
      <w:del w:id="705" w:author="svcMRProcess" w:date="2015-12-09T18:00:00Z">
        <w:r>
          <w:tab/>
        </w:r>
        <w:r>
          <w:tab/>
          <w:delText>Section 5 is repealed.</w:delText>
        </w:r>
      </w:del>
    </w:p>
    <w:p>
      <w:pPr>
        <w:pStyle w:val="nzHeading5"/>
        <w:rPr>
          <w:del w:id="706" w:author="svcMRProcess" w:date="2015-12-09T18:00:00Z"/>
        </w:rPr>
      </w:pPr>
      <w:bookmarkStart w:id="707" w:name="_Toc75249511"/>
      <w:bookmarkStart w:id="708" w:name="_Toc135031563"/>
      <w:bookmarkStart w:id="709" w:name="_Toc135708188"/>
      <w:bookmarkStart w:id="710" w:name="_Toc135715418"/>
      <w:del w:id="711" w:author="svcMRProcess" w:date="2015-12-09T18:00:00Z">
        <w:r>
          <w:rPr>
            <w:rStyle w:val="CharSectno"/>
          </w:rPr>
          <w:delText>5</w:delText>
        </w:r>
        <w:r>
          <w:delText>.</w:delText>
        </w:r>
        <w:r>
          <w:tab/>
          <w:delText>Section 9 amended</w:delText>
        </w:r>
        <w:bookmarkEnd w:id="707"/>
        <w:bookmarkEnd w:id="708"/>
        <w:bookmarkEnd w:id="709"/>
        <w:bookmarkEnd w:id="710"/>
      </w:del>
    </w:p>
    <w:p>
      <w:pPr>
        <w:pStyle w:val="nzSubsection"/>
        <w:rPr>
          <w:del w:id="712" w:author="svcMRProcess" w:date="2015-12-09T18:00:00Z"/>
        </w:rPr>
      </w:pPr>
      <w:del w:id="713" w:author="svcMRProcess" w:date="2015-12-09T18:00:00Z">
        <w:r>
          <w:tab/>
          <w:delText>(1)</w:delText>
        </w:r>
        <w:r>
          <w:tab/>
          <w:delText>Section 9(1) is amended by deleting “For the purposes of providing superannuation and related benefits to and in respect of mine workers and officers of the Board under this Act there shall be” and inserting instead —</w:delText>
        </w:r>
      </w:del>
    </w:p>
    <w:p>
      <w:pPr>
        <w:pStyle w:val="nzSubsection"/>
        <w:rPr>
          <w:del w:id="714" w:author="svcMRProcess" w:date="2015-12-09T18:00:00Z"/>
        </w:rPr>
      </w:pPr>
      <w:del w:id="715" w:author="svcMRProcess" w:date="2015-12-09T18:00:00Z">
        <w:r>
          <w:tab/>
        </w:r>
        <w:r>
          <w:tab/>
          <w:delText>“    There is    ”.</w:delText>
        </w:r>
      </w:del>
    </w:p>
    <w:p>
      <w:pPr>
        <w:pStyle w:val="nzSubsection"/>
        <w:rPr>
          <w:del w:id="716" w:author="svcMRProcess" w:date="2015-12-09T18:00:00Z"/>
        </w:rPr>
      </w:pPr>
      <w:del w:id="717" w:author="svcMRProcess" w:date="2015-12-09T18:00:00Z">
        <w:r>
          <w:tab/>
          <w:delText>(2)</w:delText>
        </w:r>
        <w:r>
          <w:tab/>
          <w:delText xml:space="preserve">After section 9(1) the following subsections are inserted — </w:delText>
        </w:r>
      </w:del>
    </w:p>
    <w:p>
      <w:pPr>
        <w:pStyle w:val="MiscOpen"/>
        <w:ind w:left="600"/>
        <w:rPr>
          <w:del w:id="718" w:author="svcMRProcess" w:date="2015-12-09T18:00:00Z"/>
        </w:rPr>
      </w:pPr>
      <w:del w:id="719" w:author="svcMRProcess" w:date="2015-12-09T18:00:00Z">
        <w:r>
          <w:delText xml:space="preserve">“    </w:delText>
        </w:r>
      </w:del>
    </w:p>
    <w:p>
      <w:pPr>
        <w:pStyle w:val="nzSubsection"/>
        <w:rPr>
          <w:del w:id="720" w:author="svcMRProcess" w:date="2015-12-09T18:00:00Z"/>
        </w:rPr>
      </w:pPr>
      <w:del w:id="721" w:author="svcMRProcess" w:date="2015-12-09T18:00:00Z">
        <w:r>
          <w:tab/>
          <w:delText>(1a)</w:delText>
        </w:r>
        <w:r>
          <w:tab/>
          <w:delText>The regulations may provide for people in any of the following categories to be members of the Fund —</w:delText>
        </w:r>
      </w:del>
    </w:p>
    <w:p>
      <w:pPr>
        <w:pStyle w:val="nzIndenta"/>
        <w:rPr>
          <w:del w:id="722" w:author="svcMRProcess" w:date="2015-12-09T18:00:00Z"/>
        </w:rPr>
      </w:pPr>
      <w:del w:id="723" w:author="svcMRProcess" w:date="2015-12-09T18:00:00Z">
        <w:r>
          <w:tab/>
          <w:delText>(a)</w:delText>
        </w:r>
        <w:r>
          <w:tab/>
          <w:delText xml:space="preserve">mine workers; </w:delText>
        </w:r>
      </w:del>
    </w:p>
    <w:p>
      <w:pPr>
        <w:pStyle w:val="nzIndenta"/>
        <w:rPr>
          <w:del w:id="724" w:author="svcMRProcess" w:date="2015-12-09T18:00:00Z"/>
        </w:rPr>
      </w:pPr>
      <w:del w:id="725" w:author="svcMRProcess" w:date="2015-12-09T18:00:00Z">
        <w:r>
          <w:tab/>
          <w:delText>(b)</w:delText>
        </w:r>
        <w:r>
          <w:tab/>
          <w:delText>officers of the Board; or</w:delText>
        </w:r>
      </w:del>
    </w:p>
    <w:p>
      <w:pPr>
        <w:pStyle w:val="nzIndenta"/>
        <w:rPr>
          <w:del w:id="726" w:author="svcMRProcess" w:date="2015-12-09T18:00:00Z"/>
        </w:rPr>
      </w:pPr>
      <w:del w:id="727" w:author="svcMRProcess" w:date="2015-12-09T18:00:00Z">
        <w:r>
          <w:tab/>
          <w:delText>(c)</w:delText>
        </w:r>
        <w:r>
          <w:tab/>
          <w:delText>people who are or have been the spouses or de facto partners of people referred to in paragraphs (a) or (b).</w:delText>
        </w:r>
      </w:del>
    </w:p>
    <w:p>
      <w:pPr>
        <w:pStyle w:val="nzSubsection"/>
        <w:rPr>
          <w:del w:id="728" w:author="svcMRProcess" w:date="2015-12-09T18:00:00Z"/>
        </w:rPr>
      </w:pPr>
      <w:del w:id="729" w:author="svcMRProcess" w:date="2015-12-09T18:00:00Z">
        <w:r>
          <w:tab/>
          <w:delText>(1b)</w:delText>
        </w:r>
        <w:r>
          <w:tab/>
        </w:r>
        <w:r>
          <w:rPr>
            <w:rFonts w:ascii="Times" w:hAnsi="Times"/>
            <w:spacing w:val="-4"/>
          </w:rPr>
          <w:delText xml:space="preserve">The Governor may, by order published in the </w:delText>
        </w:r>
        <w:r>
          <w:rPr>
            <w:rFonts w:ascii="Times" w:hAnsi="Times"/>
            <w:i/>
            <w:spacing w:val="-4"/>
          </w:rPr>
          <w:delText>Gazette</w:delText>
        </w:r>
        <w:r>
          <w:rPr>
            <w:rFonts w:ascii="Times" w:hAnsi="Times"/>
            <w:spacing w:val="-4"/>
          </w:rPr>
          <w:delText>, specify other categories of people who may be permitted by the regulations to be members of the Fund.</w:delText>
        </w:r>
      </w:del>
    </w:p>
    <w:p>
      <w:pPr>
        <w:pStyle w:val="nzSubsection"/>
        <w:rPr>
          <w:del w:id="730" w:author="svcMRProcess" w:date="2015-12-09T18:00:00Z"/>
        </w:rPr>
      </w:pPr>
      <w:del w:id="731" w:author="svcMRProcess" w:date="2015-12-09T18:00:00Z">
        <w:r>
          <w:tab/>
          <w:delText>(1c)</w:delText>
        </w:r>
        <w:r>
          <w:tab/>
          <w:delText>The people specified under subsection (1b) must be people —</w:delText>
        </w:r>
      </w:del>
    </w:p>
    <w:p>
      <w:pPr>
        <w:pStyle w:val="nzIndenta"/>
        <w:rPr>
          <w:del w:id="732" w:author="svcMRProcess" w:date="2015-12-09T18:00:00Z"/>
        </w:rPr>
      </w:pPr>
      <w:del w:id="733" w:author="svcMRProcess" w:date="2015-12-09T18:00:00Z">
        <w:r>
          <w:tab/>
          <w:delText>(a)</w:delText>
        </w:r>
        <w:r>
          <w:tab/>
          <w:delText>who are, or have been —</w:delText>
        </w:r>
      </w:del>
    </w:p>
    <w:p>
      <w:pPr>
        <w:pStyle w:val="nzIndenti"/>
        <w:rPr>
          <w:del w:id="734" w:author="svcMRProcess" w:date="2015-12-09T18:00:00Z"/>
        </w:rPr>
      </w:pPr>
      <w:del w:id="735" w:author="svcMRProcess" w:date="2015-12-09T18:00:00Z">
        <w:r>
          <w:tab/>
          <w:delText>(i)</w:delText>
        </w:r>
        <w:r>
          <w:tab/>
          <w:delText>involved in coal mining in Western Australia; or</w:delText>
        </w:r>
      </w:del>
    </w:p>
    <w:p>
      <w:pPr>
        <w:pStyle w:val="nzIndenti"/>
        <w:rPr>
          <w:del w:id="736" w:author="svcMRProcess" w:date="2015-12-09T18:00:00Z"/>
        </w:rPr>
      </w:pPr>
      <w:del w:id="737" w:author="svcMRProcess" w:date="2015-12-09T18:00:00Z">
        <w:r>
          <w:tab/>
          <w:delText>(ii)</w:delText>
        </w:r>
        <w:r>
          <w:tab/>
          <w:delText xml:space="preserve">closely related to a person who is or has been involved in coal mining in Western Australia; </w:delText>
        </w:r>
      </w:del>
    </w:p>
    <w:p>
      <w:pPr>
        <w:pStyle w:val="nzIndenta"/>
        <w:rPr>
          <w:del w:id="738" w:author="svcMRProcess" w:date="2015-12-09T18:00:00Z"/>
        </w:rPr>
      </w:pPr>
      <w:del w:id="739" w:author="svcMRProcess" w:date="2015-12-09T18:00:00Z">
        <w:r>
          <w:tab/>
        </w:r>
        <w:r>
          <w:tab/>
          <w:delText>and</w:delText>
        </w:r>
      </w:del>
    </w:p>
    <w:p>
      <w:pPr>
        <w:pStyle w:val="nzIndenta"/>
        <w:rPr>
          <w:del w:id="740" w:author="svcMRProcess" w:date="2015-12-09T18:00:00Z"/>
        </w:rPr>
      </w:pPr>
      <w:del w:id="741" w:author="svcMRProcess" w:date="2015-12-09T18:00:00Z">
        <w:r>
          <w:tab/>
          <w:delText>(b)</w:delText>
        </w:r>
        <w:r>
          <w:tab/>
          <w:delText>whose membership of the Fund would not prevent the Fund being a complying superannuation fund within the meaning of the SIS Act.</w:delText>
        </w:r>
      </w:del>
    </w:p>
    <w:p>
      <w:pPr>
        <w:pStyle w:val="MiscClose"/>
        <w:rPr>
          <w:del w:id="742" w:author="svcMRProcess" w:date="2015-12-09T18:00:00Z"/>
        </w:rPr>
      </w:pPr>
      <w:del w:id="743" w:author="svcMRProcess" w:date="2015-12-09T18:00:00Z">
        <w:r>
          <w:delText>”.</w:delText>
        </w:r>
      </w:del>
    </w:p>
    <w:p>
      <w:pPr>
        <w:pStyle w:val="nzSubsection"/>
        <w:rPr>
          <w:del w:id="744" w:author="svcMRProcess" w:date="2015-12-09T18:00:00Z"/>
        </w:rPr>
      </w:pPr>
      <w:del w:id="745" w:author="svcMRProcess" w:date="2015-12-09T18:00:00Z">
        <w:r>
          <w:tab/>
          <w:delText>(3)</w:delText>
        </w:r>
        <w:r>
          <w:tab/>
          <w:delText>Section 9(2)(a) is amended by deleting “by members of the Fund and by employers in respect of such members”.</w:delText>
        </w:r>
      </w:del>
    </w:p>
    <w:p>
      <w:pPr>
        <w:pStyle w:val="nzHeading5"/>
        <w:rPr>
          <w:del w:id="746" w:author="svcMRProcess" w:date="2015-12-09T18:00:00Z"/>
        </w:rPr>
      </w:pPr>
      <w:bookmarkStart w:id="747" w:name="_Toc75249512"/>
      <w:bookmarkStart w:id="748" w:name="_Toc135031564"/>
      <w:bookmarkStart w:id="749" w:name="_Toc135708189"/>
      <w:bookmarkStart w:id="750" w:name="_Toc135715419"/>
      <w:del w:id="751" w:author="svcMRProcess" w:date="2015-12-09T18:00:00Z">
        <w:r>
          <w:rPr>
            <w:rStyle w:val="CharSectno"/>
          </w:rPr>
          <w:delText>6</w:delText>
        </w:r>
        <w:r>
          <w:delText>.</w:delText>
        </w:r>
        <w:r>
          <w:tab/>
          <w:delText>Section 10 amended</w:delText>
        </w:r>
        <w:bookmarkEnd w:id="747"/>
        <w:bookmarkEnd w:id="748"/>
        <w:bookmarkEnd w:id="749"/>
        <w:bookmarkEnd w:id="750"/>
      </w:del>
    </w:p>
    <w:p>
      <w:pPr>
        <w:pStyle w:val="nzSubsection"/>
        <w:rPr>
          <w:del w:id="752" w:author="svcMRProcess" w:date="2015-12-09T18:00:00Z"/>
        </w:rPr>
      </w:pPr>
      <w:del w:id="753" w:author="svcMRProcess" w:date="2015-12-09T18:00:00Z">
        <w:r>
          <w:tab/>
          <w:delText>(1)</w:delText>
        </w:r>
        <w:r>
          <w:tab/>
          <w:delText>Section 10(1) is repealed and the following section is inserted instead —</w:delText>
        </w:r>
      </w:del>
    </w:p>
    <w:p>
      <w:pPr>
        <w:pStyle w:val="MiscOpen"/>
        <w:ind w:left="600"/>
        <w:rPr>
          <w:del w:id="754" w:author="svcMRProcess" w:date="2015-12-09T18:00:00Z"/>
        </w:rPr>
      </w:pPr>
      <w:del w:id="755" w:author="svcMRProcess" w:date="2015-12-09T18:00:00Z">
        <w:r>
          <w:delText xml:space="preserve">“    </w:delText>
        </w:r>
      </w:del>
    </w:p>
    <w:p>
      <w:pPr>
        <w:pStyle w:val="nzSubsection"/>
        <w:rPr>
          <w:del w:id="756" w:author="svcMRProcess" w:date="2015-12-09T18:00:00Z"/>
        </w:rPr>
      </w:pPr>
      <w:del w:id="757" w:author="svcMRProcess" w:date="2015-12-09T18:00:00Z">
        <w:r>
          <w:tab/>
          <w:delText>(1)</w:delText>
        </w:r>
        <w:r>
          <w:tab/>
          <w:delText>The functions of the Board are —</w:delText>
        </w:r>
      </w:del>
    </w:p>
    <w:p>
      <w:pPr>
        <w:pStyle w:val="nzIndenta"/>
        <w:rPr>
          <w:del w:id="758" w:author="svcMRProcess" w:date="2015-12-09T18:00:00Z"/>
        </w:rPr>
      </w:pPr>
      <w:del w:id="759" w:author="svcMRProcess" w:date="2015-12-09T18:00:00Z">
        <w:r>
          <w:tab/>
          <w:delText>(a)</w:delText>
        </w:r>
        <w:r>
          <w:tab/>
          <w:delText>to administer, invest and manage the Fund; and</w:delText>
        </w:r>
      </w:del>
    </w:p>
    <w:p>
      <w:pPr>
        <w:pStyle w:val="nzIndenta"/>
        <w:rPr>
          <w:del w:id="760" w:author="svcMRProcess" w:date="2015-12-09T18:00:00Z"/>
        </w:rPr>
      </w:pPr>
      <w:del w:id="761" w:author="svcMRProcess" w:date="2015-12-09T18:00:00Z">
        <w:r>
          <w:tab/>
          <w:delText>(b)</w:delText>
        </w:r>
        <w:r>
          <w:tab/>
          <w:delText>to perform any other functions conferred on the Board under any written law.</w:delText>
        </w:r>
      </w:del>
    </w:p>
    <w:p>
      <w:pPr>
        <w:pStyle w:val="MiscClose"/>
        <w:rPr>
          <w:del w:id="762" w:author="svcMRProcess" w:date="2015-12-09T18:00:00Z"/>
        </w:rPr>
      </w:pPr>
      <w:del w:id="763" w:author="svcMRProcess" w:date="2015-12-09T18:00:00Z">
        <w:r>
          <w:delText xml:space="preserve">    ”.</w:delText>
        </w:r>
      </w:del>
    </w:p>
    <w:p>
      <w:pPr>
        <w:pStyle w:val="nzSubsection"/>
        <w:rPr>
          <w:del w:id="764" w:author="svcMRProcess" w:date="2015-12-09T18:00:00Z"/>
        </w:rPr>
      </w:pPr>
      <w:del w:id="765" w:author="svcMRProcess" w:date="2015-12-09T18:00:00Z">
        <w:r>
          <w:tab/>
          <w:delText>(2)</w:delText>
        </w:r>
        <w:r>
          <w:tab/>
          <w:delText>Section 10(3) is amended as follows:</w:delText>
        </w:r>
      </w:del>
    </w:p>
    <w:p>
      <w:pPr>
        <w:pStyle w:val="nzIndenta"/>
        <w:rPr>
          <w:del w:id="766" w:author="svcMRProcess" w:date="2015-12-09T18:00:00Z"/>
        </w:rPr>
      </w:pPr>
      <w:del w:id="767" w:author="svcMRProcess" w:date="2015-12-09T18:00:00Z">
        <w:r>
          <w:tab/>
          <w:delText>(a)</w:delText>
        </w:r>
        <w:r>
          <w:tab/>
          <w:delText>at the end of paragraph (l), by deleting the full stop and inserting a semicolon instead;</w:delText>
        </w:r>
      </w:del>
    </w:p>
    <w:p>
      <w:pPr>
        <w:pStyle w:val="nzIndenta"/>
        <w:rPr>
          <w:del w:id="768" w:author="svcMRProcess" w:date="2015-12-09T18:00:00Z"/>
        </w:rPr>
      </w:pPr>
      <w:del w:id="769" w:author="svcMRProcess" w:date="2015-12-09T18:00:00Z">
        <w:r>
          <w:tab/>
          <w:delText>(b)</w:delText>
        </w:r>
        <w:r>
          <w:tab/>
          <w:delText>after paragraph (l) by inserting the following paragraphs —</w:delText>
        </w:r>
      </w:del>
    </w:p>
    <w:p>
      <w:pPr>
        <w:pStyle w:val="MiscOpen"/>
        <w:ind w:left="1340"/>
        <w:rPr>
          <w:del w:id="770" w:author="svcMRProcess" w:date="2015-12-09T18:00:00Z"/>
        </w:rPr>
      </w:pPr>
      <w:del w:id="771" w:author="svcMRProcess" w:date="2015-12-09T18:00:00Z">
        <w:r>
          <w:delText xml:space="preserve">“    </w:delText>
        </w:r>
      </w:del>
    </w:p>
    <w:p>
      <w:pPr>
        <w:pStyle w:val="nzIndenta"/>
        <w:rPr>
          <w:del w:id="772" w:author="svcMRProcess" w:date="2015-12-09T18:00:00Z"/>
        </w:rPr>
      </w:pPr>
      <w:del w:id="773" w:author="svcMRProcess" w:date="2015-12-09T18:00:00Z">
        <w:r>
          <w:tab/>
          <w:delText>(m)</w:delText>
        </w:r>
        <w:r>
          <w:tab/>
          <w:delText xml:space="preserve">promote and market the Fund; </w:delText>
        </w:r>
      </w:del>
    </w:p>
    <w:p>
      <w:pPr>
        <w:pStyle w:val="nzIndenta"/>
        <w:rPr>
          <w:del w:id="774" w:author="svcMRProcess" w:date="2015-12-09T18:00:00Z"/>
        </w:rPr>
      </w:pPr>
      <w:del w:id="775" w:author="svcMRProcess" w:date="2015-12-09T18:00:00Z">
        <w:r>
          <w:tab/>
          <w:delText>(n)</w:delText>
        </w:r>
        <w:r>
          <w:tab/>
          <w:delText>conduct research relating to the Fund.</w:delText>
        </w:r>
      </w:del>
    </w:p>
    <w:p>
      <w:pPr>
        <w:pStyle w:val="MiscClose"/>
        <w:rPr>
          <w:del w:id="776" w:author="svcMRProcess" w:date="2015-12-09T18:00:00Z"/>
        </w:rPr>
      </w:pPr>
      <w:del w:id="777" w:author="svcMRProcess" w:date="2015-12-09T18:00:00Z">
        <w:r>
          <w:delText xml:space="preserve">    ”.</w:delText>
        </w:r>
      </w:del>
    </w:p>
    <w:p>
      <w:pPr>
        <w:pStyle w:val="nzSubsection"/>
        <w:rPr>
          <w:del w:id="778" w:author="svcMRProcess" w:date="2015-12-09T18:00:00Z"/>
        </w:rPr>
      </w:pPr>
      <w:del w:id="779" w:author="svcMRProcess" w:date="2015-12-09T18:00:00Z">
        <w:r>
          <w:tab/>
          <w:delText>(3)</w:delText>
        </w:r>
        <w:r>
          <w:tab/>
          <w:delText>After section 10(4) the following subsections are inserted —</w:delText>
        </w:r>
      </w:del>
    </w:p>
    <w:p>
      <w:pPr>
        <w:pStyle w:val="MiscOpen"/>
        <w:ind w:left="600"/>
        <w:rPr>
          <w:del w:id="780" w:author="svcMRProcess" w:date="2015-12-09T18:00:00Z"/>
        </w:rPr>
      </w:pPr>
      <w:del w:id="781" w:author="svcMRProcess" w:date="2015-12-09T18:00:00Z">
        <w:r>
          <w:delText xml:space="preserve">“    </w:delText>
        </w:r>
      </w:del>
    </w:p>
    <w:p>
      <w:pPr>
        <w:pStyle w:val="nzSubsection"/>
        <w:rPr>
          <w:del w:id="782" w:author="svcMRProcess" w:date="2015-12-09T18:00:00Z"/>
        </w:rPr>
      </w:pPr>
      <w:del w:id="783" w:author="svcMRProcess" w:date="2015-12-09T18:00:00Z">
        <w:r>
          <w:tab/>
          <w:delText>(5)</w:delText>
        </w:r>
        <w:r>
          <w:tab/>
          <w:delText>The Board may recover any money owing to the Fund —</w:delText>
        </w:r>
      </w:del>
    </w:p>
    <w:p>
      <w:pPr>
        <w:pStyle w:val="nzIndenta"/>
        <w:rPr>
          <w:del w:id="784" w:author="svcMRProcess" w:date="2015-12-09T18:00:00Z"/>
        </w:rPr>
      </w:pPr>
      <w:del w:id="785" w:author="svcMRProcess" w:date="2015-12-09T18:00:00Z">
        <w:r>
          <w:tab/>
          <w:delText>(a)</w:delText>
        </w:r>
        <w:r>
          <w:tab/>
          <w:delText xml:space="preserve">in any court of competent jurisdiction as a debt due to the Board; </w:delText>
        </w:r>
      </w:del>
    </w:p>
    <w:p>
      <w:pPr>
        <w:pStyle w:val="nzIndenta"/>
        <w:rPr>
          <w:del w:id="786" w:author="svcMRProcess" w:date="2015-12-09T18:00:00Z"/>
        </w:rPr>
      </w:pPr>
      <w:del w:id="787" w:author="svcMRProcess" w:date="2015-12-09T18:00:00Z">
        <w:r>
          <w:tab/>
          <w:delText>(b)</w:delText>
        </w:r>
        <w:r>
          <w:tab/>
          <w:delText>by deducting the amount owing from any amount that is, or becomes, payable from the Fund to the debtor;</w:delText>
        </w:r>
      </w:del>
    </w:p>
    <w:p>
      <w:pPr>
        <w:pStyle w:val="nzIndenta"/>
        <w:rPr>
          <w:del w:id="788" w:author="svcMRProcess" w:date="2015-12-09T18:00:00Z"/>
        </w:rPr>
      </w:pPr>
      <w:del w:id="789" w:author="svcMRProcess" w:date="2015-12-09T18:00:00Z">
        <w:r>
          <w:tab/>
          <w:delText>(c)</w:delText>
        </w:r>
        <w:r>
          <w:tab/>
          <w:delText>if the money is owed by an employer, by entering into an arrangement for the satisfaction of the debt in such manner as the Board considers appropriate; or</w:delText>
        </w:r>
      </w:del>
    </w:p>
    <w:p>
      <w:pPr>
        <w:pStyle w:val="nzIndenta"/>
        <w:rPr>
          <w:del w:id="790" w:author="svcMRProcess" w:date="2015-12-09T18:00:00Z"/>
        </w:rPr>
      </w:pPr>
      <w:del w:id="791" w:author="svcMRProcess" w:date="2015-12-09T18:00:00Z">
        <w:r>
          <w:tab/>
          <w:delText>(d)</w:delText>
        </w:r>
        <w:r>
          <w:tab/>
          <w:delText xml:space="preserve">if the money is owed by a member of the Fund who is employed by an employer, by directing that employer to deduct the amount owing from the member’s pay and to pay it to the Board. </w:delText>
        </w:r>
      </w:del>
    </w:p>
    <w:p>
      <w:pPr>
        <w:pStyle w:val="nzSubsection"/>
        <w:rPr>
          <w:del w:id="792" w:author="svcMRProcess" w:date="2015-12-09T18:00:00Z"/>
        </w:rPr>
      </w:pPr>
      <w:del w:id="793" w:author="svcMRProcess" w:date="2015-12-09T18:00:00Z">
        <w:r>
          <w:tab/>
          <w:delText>(6)</w:delText>
        </w:r>
        <w:r>
          <w:tab/>
          <w:delText>An employer must comply with a direction given to it under subsection (5)(d).</w:delText>
        </w:r>
      </w:del>
    </w:p>
    <w:p>
      <w:pPr>
        <w:pStyle w:val="nzSubsection"/>
        <w:rPr>
          <w:del w:id="794" w:author="svcMRProcess" w:date="2015-12-09T18:00:00Z"/>
        </w:rPr>
      </w:pPr>
      <w:del w:id="795" w:author="svcMRProcess" w:date="2015-12-09T18:00:00Z">
        <w:r>
          <w:tab/>
          <w:delText>(7)</w:delText>
        </w:r>
        <w:r>
          <w:tab/>
          <w:delText xml:space="preserve">In carrying out its functions the Board must, as far as practicable — </w:delText>
        </w:r>
      </w:del>
    </w:p>
    <w:p>
      <w:pPr>
        <w:pStyle w:val="nzIndenta"/>
        <w:rPr>
          <w:del w:id="796" w:author="svcMRProcess" w:date="2015-12-09T18:00:00Z"/>
        </w:rPr>
      </w:pPr>
      <w:del w:id="797" w:author="svcMRProcess" w:date="2015-12-09T18:00:00Z">
        <w:r>
          <w:tab/>
          <w:delText>(a)</w:delText>
        </w:r>
        <w:r>
          <w:tab/>
          <w:delText>act in the best interests of members of the Fund;</w:delText>
        </w:r>
      </w:del>
    </w:p>
    <w:p>
      <w:pPr>
        <w:pStyle w:val="nzIndenta"/>
        <w:rPr>
          <w:del w:id="798" w:author="svcMRProcess" w:date="2015-12-09T18:00:00Z"/>
        </w:rPr>
      </w:pPr>
      <w:del w:id="799" w:author="svcMRProcess" w:date="2015-12-09T18:00:00Z">
        <w:r>
          <w:tab/>
          <w:delText>(b)</w:delText>
        </w:r>
        <w:r>
          <w:tab/>
          <w:delText>ensure that members of the Fund and employers are fully informed of their rights and obligations under the Act; and</w:delText>
        </w:r>
      </w:del>
    </w:p>
    <w:p>
      <w:pPr>
        <w:pStyle w:val="nzIndenta"/>
        <w:rPr>
          <w:del w:id="800" w:author="svcMRProcess" w:date="2015-12-09T18:00:00Z"/>
        </w:rPr>
      </w:pPr>
      <w:del w:id="801" w:author="svcMRProcess" w:date="2015-12-09T18:00:00Z">
        <w:r>
          <w:tab/>
          <w:delText>(c)</w:delText>
        </w:r>
        <w:r>
          <w:tab/>
          <w:delText>ensure equity between different categories of members of the Fund.</w:delText>
        </w:r>
      </w:del>
    </w:p>
    <w:p>
      <w:pPr>
        <w:pStyle w:val="MiscClose"/>
        <w:rPr>
          <w:del w:id="802" w:author="svcMRProcess" w:date="2015-12-09T18:00:00Z"/>
        </w:rPr>
      </w:pPr>
      <w:del w:id="803" w:author="svcMRProcess" w:date="2015-12-09T18:00:00Z">
        <w:r>
          <w:delText xml:space="preserve">    ”.</w:delText>
        </w:r>
      </w:del>
    </w:p>
    <w:p>
      <w:pPr>
        <w:pStyle w:val="nzHeading5"/>
        <w:rPr>
          <w:del w:id="804" w:author="svcMRProcess" w:date="2015-12-09T18:00:00Z"/>
        </w:rPr>
      </w:pPr>
      <w:bookmarkStart w:id="805" w:name="_Toc75249513"/>
      <w:bookmarkStart w:id="806" w:name="_Toc135031565"/>
      <w:bookmarkStart w:id="807" w:name="_Toc135708190"/>
      <w:bookmarkStart w:id="808" w:name="_Toc135715420"/>
      <w:del w:id="809" w:author="svcMRProcess" w:date="2015-12-09T18:00:00Z">
        <w:r>
          <w:rPr>
            <w:rStyle w:val="CharSectno"/>
          </w:rPr>
          <w:delText>7</w:delText>
        </w:r>
        <w:r>
          <w:delText>.</w:delText>
        </w:r>
        <w:r>
          <w:tab/>
          <w:delText>Section 20 replaced</w:delText>
        </w:r>
        <w:bookmarkEnd w:id="805"/>
        <w:bookmarkEnd w:id="806"/>
        <w:bookmarkEnd w:id="807"/>
        <w:bookmarkEnd w:id="808"/>
      </w:del>
    </w:p>
    <w:p>
      <w:pPr>
        <w:pStyle w:val="nzSubsection"/>
        <w:rPr>
          <w:del w:id="810" w:author="svcMRProcess" w:date="2015-12-09T18:00:00Z"/>
        </w:rPr>
      </w:pPr>
      <w:del w:id="811" w:author="svcMRProcess" w:date="2015-12-09T18:00:00Z">
        <w:r>
          <w:tab/>
        </w:r>
        <w:r>
          <w:tab/>
          <w:delText>Section 20 is repealed and the following section is inserted instead —</w:delText>
        </w:r>
      </w:del>
    </w:p>
    <w:p>
      <w:pPr>
        <w:pStyle w:val="MiscOpen"/>
        <w:keepNext w:val="0"/>
        <w:keepLines w:val="0"/>
        <w:rPr>
          <w:del w:id="812" w:author="svcMRProcess" w:date="2015-12-09T18:00:00Z"/>
        </w:rPr>
      </w:pPr>
      <w:del w:id="813" w:author="svcMRProcess" w:date="2015-12-09T18:00:00Z">
        <w:r>
          <w:delText xml:space="preserve">“    </w:delText>
        </w:r>
      </w:del>
    </w:p>
    <w:p>
      <w:pPr>
        <w:pStyle w:val="nzHeading5"/>
        <w:rPr>
          <w:del w:id="814" w:author="svcMRProcess" w:date="2015-12-09T18:00:00Z"/>
        </w:rPr>
      </w:pPr>
      <w:del w:id="815" w:author="svcMRProcess" w:date="2015-12-09T18:00:00Z">
        <w:r>
          <w:delText>20.</w:delText>
        </w:r>
        <w:r>
          <w:tab/>
          <w:delText>Appointment of actuary</w:delText>
        </w:r>
      </w:del>
    </w:p>
    <w:p>
      <w:pPr>
        <w:pStyle w:val="nzSubsection"/>
        <w:rPr>
          <w:del w:id="816" w:author="svcMRProcess" w:date="2015-12-09T18:00:00Z"/>
        </w:rPr>
      </w:pPr>
      <w:del w:id="817" w:author="svcMRProcess" w:date="2015-12-09T18:00:00Z">
        <w:r>
          <w:tab/>
        </w:r>
        <w:r>
          <w:tab/>
          <w:delText>The Board is to appoint as the actuary to the Fund a person who is a Fellow or Accredited Member of the Institute of Actuaries of Australia.</w:delText>
        </w:r>
      </w:del>
    </w:p>
    <w:p>
      <w:pPr>
        <w:pStyle w:val="MiscClose"/>
        <w:keepLines w:val="0"/>
        <w:rPr>
          <w:del w:id="818" w:author="svcMRProcess" w:date="2015-12-09T18:00:00Z"/>
          <w:b/>
          <w:i/>
        </w:rPr>
      </w:pPr>
      <w:del w:id="819" w:author="svcMRProcess" w:date="2015-12-09T18:00:00Z">
        <w:r>
          <w:delText xml:space="preserve">    ”.</w:delText>
        </w:r>
      </w:del>
    </w:p>
    <w:p>
      <w:pPr>
        <w:pStyle w:val="nzHeading5"/>
        <w:rPr>
          <w:del w:id="820" w:author="svcMRProcess" w:date="2015-12-09T18:00:00Z"/>
        </w:rPr>
      </w:pPr>
      <w:bookmarkStart w:id="821" w:name="_Toc75249514"/>
      <w:bookmarkStart w:id="822" w:name="_Toc135031566"/>
      <w:bookmarkStart w:id="823" w:name="_Toc135708191"/>
      <w:bookmarkStart w:id="824" w:name="_Toc135715421"/>
      <w:del w:id="825" w:author="svcMRProcess" w:date="2015-12-09T18:00:00Z">
        <w:r>
          <w:rPr>
            <w:rStyle w:val="CharSectno"/>
          </w:rPr>
          <w:delText>8</w:delText>
        </w:r>
        <w:r>
          <w:delText>.</w:delText>
        </w:r>
        <w:r>
          <w:tab/>
          <w:delText>Section 21 amended</w:delText>
        </w:r>
        <w:bookmarkEnd w:id="821"/>
        <w:bookmarkEnd w:id="822"/>
        <w:bookmarkEnd w:id="823"/>
        <w:bookmarkEnd w:id="824"/>
      </w:del>
    </w:p>
    <w:p>
      <w:pPr>
        <w:pStyle w:val="nzSubsection"/>
        <w:rPr>
          <w:del w:id="826" w:author="svcMRProcess" w:date="2015-12-09T18:00:00Z"/>
        </w:rPr>
      </w:pPr>
      <w:del w:id="827" w:author="svcMRProcess" w:date="2015-12-09T18:00:00Z">
        <w:r>
          <w:tab/>
        </w:r>
        <w:r>
          <w:tab/>
          <w:delText>Section 21(4)(a) is amended by deleting “of the Part 3” and inserting instead —</w:delText>
        </w:r>
      </w:del>
    </w:p>
    <w:p>
      <w:pPr>
        <w:pStyle w:val="nzSubsection"/>
        <w:rPr>
          <w:del w:id="828" w:author="svcMRProcess" w:date="2015-12-09T18:00:00Z"/>
        </w:rPr>
      </w:pPr>
      <w:del w:id="829" w:author="svcMRProcess" w:date="2015-12-09T18:00:00Z">
        <w:r>
          <w:tab/>
        </w:r>
        <w:r>
          <w:tab/>
          <w:delText>“    of Part 3    ”.</w:delText>
        </w:r>
      </w:del>
    </w:p>
    <w:p>
      <w:pPr>
        <w:pStyle w:val="nzHeading5"/>
        <w:rPr>
          <w:del w:id="830" w:author="svcMRProcess" w:date="2015-12-09T18:00:00Z"/>
        </w:rPr>
      </w:pPr>
      <w:bookmarkStart w:id="831" w:name="_Toc75249515"/>
      <w:bookmarkStart w:id="832" w:name="_Toc135031567"/>
      <w:bookmarkStart w:id="833" w:name="_Toc135708192"/>
      <w:bookmarkStart w:id="834" w:name="_Toc135715422"/>
      <w:del w:id="835" w:author="svcMRProcess" w:date="2015-12-09T18:00:00Z">
        <w:r>
          <w:rPr>
            <w:rStyle w:val="CharSectno"/>
          </w:rPr>
          <w:delText>9</w:delText>
        </w:r>
        <w:r>
          <w:delText>.</w:delText>
        </w:r>
        <w:r>
          <w:tab/>
          <w:delText>Section 22 repealed</w:delText>
        </w:r>
        <w:bookmarkEnd w:id="831"/>
        <w:bookmarkEnd w:id="832"/>
        <w:bookmarkEnd w:id="833"/>
        <w:bookmarkEnd w:id="834"/>
      </w:del>
    </w:p>
    <w:p>
      <w:pPr>
        <w:pStyle w:val="nzSubsection"/>
        <w:rPr>
          <w:del w:id="836" w:author="svcMRProcess" w:date="2015-12-09T18:00:00Z"/>
        </w:rPr>
      </w:pPr>
      <w:del w:id="837" w:author="svcMRProcess" w:date="2015-12-09T18:00:00Z">
        <w:r>
          <w:tab/>
        </w:r>
        <w:r>
          <w:tab/>
          <w:delText xml:space="preserve">Section 22 is repealed. </w:delText>
        </w:r>
      </w:del>
    </w:p>
    <w:p>
      <w:pPr>
        <w:pStyle w:val="nzHeading5"/>
        <w:rPr>
          <w:del w:id="838" w:author="svcMRProcess" w:date="2015-12-09T18:00:00Z"/>
        </w:rPr>
      </w:pPr>
      <w:bookmarkStart w:id="839" w:name="_Toc75249516"/>
      <w:bookmarkStart w:id="840" w:name="_Toc135031568"/>
      <w:bookmarkStart w:id="841" w:name="_Toc135708193"/>
      <w:bookmarkStart w:id="842" w:name="_Toc135715423"/>
      <w:del w:id="843" w:author="svcMRProcess" w:date="2015-12-09T18:00:00Z">
        <w:r>
          <w:rPr>
            <w:rStyle w:val="CharSectno"/>
          </w:rPr>
          <w:delText>10</w:delText>
        </w:r>
        <w:r>
          <w:delText>.</w:delText>
        </w:r>
        <w:r>
          <w:tab/>
          <w:delText>Section 29A inserted</w:delText>
        </w:r>
        <w:bookmarkEnd w:id="839"/>
        <w:bookmarkEnd w:id="840"/>
        <w:bookmarkEnd w:id="841"/>
        <w:bookmarkEnd w:id="842"/>
      </w:del>
    </w:p>
    <w:p>
      <w:pPr>
        <w:pStyle w:val="nzSubsection"/>
        <w:rPr>
          <w:del w:id="844" w:author="svcMRProcess" w:date="2015-12-09T18:00:00Z"/>
        </w:rPr>
      </w:pPr>
      <w:del w:id="845" w:author="svcMRProcess" w:date="2015-12-09T18:00:00Z">
        <w:r>
          <w:tab/>
        </w:r>
        <w:r>
          <w:tab/>
          <w:delText>After section 29 the following section is inserted —</w:delText>
        </w:r>
      </w:del>
    </w:p>
    <w:p>
      <w:pPr>
        <w:pStyle w:val="MiscOpen"/>
        <w:rPr>
          <w:del w:id="846" w:author="svcMRProcess" w:date="2015-12-09T18:00:00Z"/>
        </w:rPr>
      </w:pPr>
      <w:del w:id="847" w:author="svcMRProcess" w:date="2015-12-09T18:00:00Z">
        <w:r>
          <w:delText xml:space="preserve">“    </w:delText>
        </w:r>
      </w:del>
    </w:p>
    <w:p>
      <w:pPr>
        <w:pStyle w:val="nzHeading5"/>
        <w:rPr>
          <w:del w:id="848" w:author="svcMRProcess" w:date="2015-12-09T18:00:00Z"/>
        </w:rPr>
      </w:pPr>
      <w:del w:id="849" w:author="svcMRProcess" w:date="2015-12-09T18:00:00Z">
        <w:r>
          <w:delText>29A.</w:delText>
        </w:r>
        <w:r>
          <w:tab/>
          <w:delText>Unclaimed Money Act 1990 does not apply to unclaimed benefits</w:delText>
        </w:r>
      </w:del>
    </w:p>
    <w:p>
      <w:pPr>
        <w:pStyle w:val="nzSubsection"/>
        <w:rPr>
          <w:del w:id="850" w:author="svcMRProcess" w:date="2015-12-09T18:00:00Z"/>
        </w:rPr>
      </w:pPr>
      <w:del w:id="851" w:author="svcMRProcess" w:date="2015-12-09T18:00:00Z">
        <w:r>
          <w:tab/>
        </w:r>
        <w:r>
          <w:tab/>
          <w:delText xml:space="preserve">The </w:delText>
        </w:r>
        <w:r>
          <w:rPr>
            <w:i/>
          </w:rPr>
          <w:delText xml:space="preserve">Unclaimed Money Act 1990 </w:delText>
        </w:r>
        <w:r>
          <w:delText>does not apply in relation to unclaimed benefits in the Fund.</w:delText>
        </w:r>
      </w:del>
    </w:p>
    <w:p>
      <w:pPr>
        <w:pStyle w:val="MiscClose"/>
        <w:rPr>
          <w:del w:id="852" w:author="svcMRProcess" w:date="2015-12-09T18:00:00Z"/>
        </w:rPr>
      </w:pPr>
      <w:del w:id="853" w:author="svcMRProcess" w:date="2015-12-09T18:00:00Z">
        <w:r>
          <w:delText xml:space="preserve">    ”.</w:delText>
        </w:r>
      </w:del>
    </w:p>
    <w:p>
      <w:pPr>
        <w:pStyle w:val="nzHeading5"/>
        <w:rPr>
          <w:del w:id="854" w:author="svcMRProcess" w:date="2015-12-09T18:00:00Z"/>
        </w:rPr>
      </w:pPr>
      <w:bookmarkStart w:id="855" w:name="_Toc75249517"/>
      <w:bookmarkStart w:id="856" w:name="_Toc135031569"/>
      <w:bookmarkStart w:id="857" w:name="_Toc135708194"/>
      <w:bookmarkStart w:id="858" w:name="_Toc135715424"/>
      <w:del w:id="859" w:author="svcMRProcess" w:date="2015-12-09T18:00:00Z">
        <w:r>
          <w:rPr>
            <w:rStyle w:val="CharSectno"/>
          </w:rPr>
          <w:delText>11</w:delText>
        </w:r>
        <w:r>
          <w:delText>.</w:delText>
        </w:r>
        <w:r>
          <w:tab/>
          <w:delText>Section 31 amended</w:delText>
        </w:r>
        <w:bookmarkEnd w:id="855"/>
        <w:bookmarkEnd w:id="856"/>
        <w:bookmarkEnd w:id="857"/>
        <w:bookmarkEnd w:id="858"/>
      </w:del>
    </w:p>
    <w:p>
      <w:pPr>
        <w:pStyle w:val="nzSubsection"/>
        <w:rPr>
          <w:del w:id="860" w:author="svcMRProcess" w:date="2015-12-09T18:00:00Z"/>
        </w:rPr>
      </w:pPr>
      <w:del w:id="861" w:author="svcMRProcess" w:date="2015-12-09T18:00:00Z">
        <w:r>
          <w:tab/>
        </w:r>
        <w:r>
          <w:tab/>
          <w:delText>Section 31 is amended as follows:</w:delText>
        </w:r>
      </w:del>
    </w:p>
    <w:p>
      <w:pPr>
        <w:pStyle w:val="nzIndenta"/>
        <w:rPr>
          <w:del w:id="862" w:author="svcMRProcess" w:date="2015-12-09T18:00:00Z"/>
        </w:rPr>
      </w:pPr>
      <w:del w:id="863" w:author="svcMRProcess" w:date="2015-12-09T18:00:00Z">
        <w:r>
          <w:tab/>
          <w:delText>(a)</w:delText>
        </w:r>
        <w:r>
          <w:tab/>
          <w:delText>by deleting paragraph (a) and inserting the following paragraph instead —</w:delText>
        </w:r>
      </w:del>
    </w:p>
    <w:p>
      <w:pPr>
        <w:pStyle w:val="MiscOpen"/>
        <w:keepNext w:val="0"/>
        <w:keepLines w:val="0"/>
        <w:ind w:left="1340"/>
        <w:rPr>
          <w:del w:id="864" w:author="svcMRProcess" w:date="2015-12-09T18:00:00Z"/>
        </w:rPr>
      </w:pPr>
      <w:del w:id="865" w:author="svcMRProcess" w:date="2015-12-09T18:00:00Z">
        <w:r>
          <w:delText xml:space="preserve">“    </w:delText>
        </w:r>
      </w:del>
    </w:p>
    <w:p>
      <w:pPr>
        <w:pStyle w:val="nzIndenta"/>
        <w:rPr>
          <w:del w:id="866" w:author="svcMRProcess" w:date="2015-12-09T18:00:00Z"/>
        </w:rPr>
      </w:pPr>
      <w:del w:id="867" w:author="svcMRProcess" w:date="2015-12-09T18:00:00Z">
        <w:r>
          <w:tab/>
          <w:delText>(a)</w:delText>
        </w:r>
        <w:r>
          <w:tab/>
          <w:delText>providing for membership of the Fund, for different categories of membership and for the continuity and cessation of membership;</w:delText>
        </w:r>
      </w:del>
    </w:p>
    <w:p>
      <w:pPr>
        <w:pStyle w:val="MiscClose"/>
        <w:keepLines w:val="0"/>
        <w:rPr>
          <w:del w:id="868" w:author="svcMRProcess" w:date="2015-12-09T18:00:00Z"/>
        </w:rPr>
      </w:pPr>
      <w:del w:id="869" w:author="svcMRProcess" w:date="2015-12-09T18:00:00Z">
        <w:r>
          <w:delText xml:space="preserve">    ”;</w:delText>
        </w:r>
      </w:del>
    </w:p>
    <w:p>
      <w:pPr>
        <w:pStyle w:val="nzIndenta"/>
        <w:rPr>
          <w:del w:id="870" w:author="svcMRProcess" w:date="2015-12-09T18:00:00Z"/>
        </w:rPr>
      </w:pPr>
      <w:del w:id="871" w:author="svcMRProcess" w:date="2015-12-09T18:00:00Z">
        <w:r>
          <w:tab/>
          <w:delText>(b)</w:delText>
        </w:r>
        <w:r>
          <w:tab/>
          <w:delText>paragraph (b) is amended by deleting “by members and by employers”;</w:delText>
        </w:r>
      </w:del>
    </w:p>
    <w:p>
      <w:pPr>
        <w:pStyle w:val="nzIndenta"/>
        <w:rPr>
          <w:del w:id="872" w:author="svcMRProcess" w:date="2015-12-09T18:00:00Z"/>
        </w:rPr>
      </w:pPr>
      <w:del w:id="873" w:author="svcMRProcess" w:date="2015-12-09T18:00:00Z">
        <w:r>
          <w:tab/>
          <w:delText>(c)</w:delText>
        </w:r>
        <w:r>
          <w:tab/>
          <w:delText>after paragraph (g) by inserting the following paragraph —</w:delText>
        </w:r>
      </w:del>
    </w:p>
    <w:p>
      <w:pPr>
        <w:pStyle w:val="MiscOpen"/>
        <w:keepNext w:val="0"/>
        <w:keepLines w:val="0"/>
        <w:ind w:left="1340"/>
        <w:rPr>
          <w:del w:id="874" w:author="svcMRProcess" w:date="2015-12-09T18:00:00Z"/>
        </w:rPr>
      </w:pPr>
      <w:del w:id="875" w:author="svcMRProcess" w:date="2015-12-09T18:00:00Z">
        <w:r>
          <w:delText xml:space="preserve">“    </w:delText>
        </w:r>
      </w:del>
    </w:p>
    <w:p>
      <w:pPr>
        <w:pStyle w:val="nzIndenta"/>
        <w:rPr>
          <w:del w:id="876" w:author="svcMRProcess" w:date="2015-12-09T18:00:00Z"/>
        </w:rPr>
      </w:pPr>
      <w:del w:id="877" w:author="svcMRProcess" w:date="2015-12-09T18:00:00Z">
        <w:r>
          <w:tab/>
          <w:delText>(ga)</w:delText>
        </w:r>
        <w:r>
          <w:tab/>
          <w:delText>as to the election and appointment of members and alternate members of the Board;</w:delText>
        </w:r>
      </w:del>
    </w:p>
    <w:p>
      <w:pPr>
        <w:pStyle w:val="MiscClose"/>
        <w:keepLines w:val="0"/>
        <w:rPr>
          <w:del w:id="878" w:author="svcMRProcess" w:date="2015-12-09T18:00:00Z"/>
        </w:rPr>
      </w:pPr>
      <w:del w:id="879" w:author="svcMRProcess" w:date="2015-12-09T18:00:00Z">
        <w:r>
          <w:delText xml:space="preserve">    ”.</w:delText>
        </w:r>
      </w:del>
    </w:p>
    <w:p>
      <w:pPr>
        <w:pStyle w:val="nzHeading5"/>
        <w:rPr>
          <w:del w:id="880" w:author="svcMRProcess" w:date="2015-12-09T18:00:00Z"/>
        </w:rPr>
      </w:pPr>
      <w:bookmarkStart w:id="881" w:name="_Toc75249518"/>
      <w:bookmarkStart w:id="882" w:name="_Toc135031570"/>
      <w:bookmarkStart w:id="883" w:name="_Toc135708195"/>
      <w:bookmarkStart w:id="884" w:name="_Toc135715425"/>
      <w:del w:id="885" w:author="svcMRProcess" w:date="2015-12-09T18:00:00Z">
        <w:r>
          <w:rPr>
            <w:rStyle w:val="CharSectno"/>
          </w:rPr>
          <w:delText>12</w:delText>
        </w:r>
        <w:r>
          <w:delText>.</w:delText>
        </w:r>
        <w:r>
          <w:tab/>
          <w:delText>Section 32 amended</w:delText>
        </w:r>
        <w:bookmarkEnd w:id="881"/>
        <w:bookmarkEnd w:id="882"/>
        <w:bookmarkEnd w:id="883"/>
        <w:bookmarkEnd w:id="884"/>
      </w:del>
    </w:p>
    <w:p>
      <w:pPr>
        <w:pStyle w:val="nzSubsection"/>
        <w:rPr>
          <w:del w:id="886" w:author="svcMRProcess" w:date="2015-12-09T18:00:00Z"/>
        </w:rPr>
      </w:pPr>
      <w:del w:id="887" w:author="svcMRProcess" w:date="2015-12-09T18:00:00Z">
        <w:r>
          <w:tab/>
        </w:r>
        <w:r>
          <w:tab/>
          <w:delText>Section 32(1) is amended by inserting after “commencement of this Act” —</w:delText>
        </w:r>
      </w:del>
    </w:p>
    <w:p>
      <w:pPr>
        <w:pStyle w:val="nzSubsection"/>
        <w:rPr>
          <w:del w:id="888" w:author="svcMRProcess" w:date="2015-12-09T18:00:00Z"/>
          <w:b/>
          <w:i/>
        </w:rPr>
      </w:pPr>
      <w:del w:id="889" w:author="svcMRProcess" w:date="2015-12-09T18:00:00Z">
        <w:r>
          <w:tab/>
        </w:r>
        <w:r>
          <w:tab/>
          <w:delText>“    and each 5 years thereafter     ”.</w:delText>
        </w:r>
      </w:del>
    </w:p>
    <w:p>
      <w:pPr>
        <w:pStyle w:val="nzHeading5"/>
        <w:rPr>
          <w:del w:id="890" w:author="svcMRProcess" w:date="2015-12-09T18:00:00Z"/>
        </w:rPr>
      </w:pPr>
      <w:bookmarkStart w:id="891" w:name="_Toc75249519"/>
      <w:bookmarkStart w:id="892" w:name="_Toc135031571"/>
      <w:bookmarkStart w:id="893" w:name="_Toc135708196"/>
      <w:bookmarkStart w:id="894" w:name="_Toc135715426"/>
      <w:del w:id="895" w:author="svcMRProcess" w:date="2015-12-09T18:00:00Z">
        <w:r>
          <w:rPr>
            <w:rStyle w:val="CharSectno"/>
          </w:rPr>
          <w:delText>13</w:delText>
        </w:r>
        <w:r>
          <w:delText>.</w:delText>
        </w:r>
        <w:r>
          <w:tab/>
          <w:delText>Schedule 1 amended</w:delText>
        </w:r>
        <w:bookmarkEnd w:id="891"/>
        <w:bookmarkEnd w:id="892"/>
        <w:bookmarkEnd w:id="893"/>
        <w:bookmarkEnd w:id="894"/>
      </w:del>
    </w:p>
    <w:p>
      <w:pPr>
        <w:pStyle w:val="nzSubsection"/>
        <w:rPr>
          <w:del w:id="896" w:author="svcMRProcess" w:date="2015-12-09T18:00:00Z"/>
        </w:rPr>
      </w:pPr>
      <w:del w:id="897" w:author="svcMRProcess" w:date="2015-12-09T18:00:00Z">
        <w:r>
          <w:tab/>
        </w:r>
        <w:r>
          <w:tab/>
          <w:delText>Schedule 1 is amended by deleting “Western Collieries Ltd” and inserting instead —</w:delText>
        </w:r>
      </w:del>
    </w:p>
    <w:p>
      <w:pPr>
        <w:pStyle w:val="nzSubsection"/>
        <w:rPr>
          <w:del w:id="898" w:author="svcMRProcess" w:date="2015-12-09T18:00:00Z"/>
        </w:rPr>
      </w:pPr>
      <w:del w:id="899" w:author="svcMRProcess" w:date="2015-12-09T18:00:00Z">
        <w:r>
          <w:tab/>
        </w:r>
        <w:r>
          <w:tab/>
          <w:delText xml:space="preserve">“    </w:delText>
        </w:r>
        <w:r>
          <w:rPr>
            <w:sz w:val="22"/>
          </w:rPr>
          <w:delText>Wesfarmers Premier Coal Limited</w:delText>
        </w:r>
        <w:r>
          <w:delText xml:space="preserve">     ”.</w:delText>
        </w:r>
      </w:del>
    </w:p>
    <w:p>
      <w:pPr>
        <w:pStyle w:val="nzHeading5"/>
        <w:rPr>
          <w:del w:id="900" w:author="svcMRProcess" w:date="2015-12-09T18:00:00Z"/>
        </w:rPr>
      </w:pPr>
      <w:bookmarkStart w:id="901" w:name="_Toc75249520"/>
      <w:bookmarkStart w:id="902" w:name="_Toc135031572"/>
      <w:bookmarkStart w:id="903" w:name="_Toc135708197"/>
      <w:bookmarkStart w:id="904" w:name="_Toc135715427"/>
      <w:del w:id="905" w:author="svcMRProcess" w:date="2015-12-09T18:00:00Z">
        <w:r>
          <w:rPr>
            <w:rStyle w:val="CharSectno"/>
          </w:rPr>
          <w:delText>14</w:delText>
        </w:r>
        <w:r>
          <w:delText>.</w:delText>
        </w:r>
        <w:r>
          <w:tab/>
          <w:delText>Schedule 2 amended</w:delText>
        </w:r>
        <w:bookmarkEnd w:id="901"/>
        <w:bookmarkEnd w:id="902"/>
        <w:bookmarkEnd w:id="903"/>
        <w:bookmarkEnd w:id="904"/>
        <w:r>
          <w:delText xml:space="preserve"> </w:delText>
        </w:r>
      </w:del>
    </w:p>
    <w:p>
      <w:pPr>
        <w:pStyle w:val="nzSubsection"/>
        <w:rPr>
          <w:del w:id="906" w:author="svcMRProcess" w:date="2015-12-09T18:00:00Z"/>
        </w:rPr>
      </w:pPr>
      <w:del w:id="907" w:author="svcMRProcess" w:date="2015-12-09T18:00:00Z">
        <w:r>
          <w:tab/>
        </w:r>
        <w:r>
          <w:tab/>
          <w:delText>Schedule 2 is amended after clause 8(2) by inserting the following subclause —</w:delText>
        </w:r>
      </w:del>
    </w:p>
    <w:p>
      <w:pPr>
        <w:pStyle w:val="MiscOpen"/>
        <w:ind w:left="601"/>
        <w:rPr>
          <w:del w:id="908" w:author="svcMRProcess" w:date="2015-12-09T18:00:00Z"/>
        </w:rPr>
      </w:pPr>
      <w:del w:id="909" w:author="svcMRProcess" w:date="2015-12-09T18:00:00Z">
        <w:r>
          <w:delText xml:space="preserve">“    </w:delText>
        </w:r>
      </w:del>
    </w:p>
    <w:p>
      <w:pPr>
        <w:pStyle w:val="nzSubsection"/>
        <w:rPr>
          <w:del w:id="910" w:author="svcMRProcess" w:date="2015-12-09T18:00:00Z"/>
        </w:rPr>
      </w:pPr>
      <w:del w:id="911" w:author="svcMRProcess" w:date="2015-12-09T18:00:00Z">
        <w:r>
          <w:tab/>
          <w:delText>(2a)</w:delText>
        </w:r>
        <w:r>
          <w:tab/>
          <w:delText>A member of the Board may attend a meeting of the Board by telephone, audio</w:delText>
        </w:r>
        <w:r>
          <w:noBreakHyphen/>
          <w:delText>visual link</w:delText>
        </w:r>
        <w:r>
          <w:noBreakHyphen/>
          <w:delText>up or any other form of instantaneous communication provided that all Board members attending the meeting are simultaneously in contact with each other.</w:delText>
        </w:r>
      </w:del>
    </w:p>
    <w:p>
      <w:pPr>
        <w:pStyle w:val="MiscClose"/>
        <w:keepLines w:val="0"/>
        <w:rPr>
          <w:del w:id="912" w:author="svcMRProcess" w:date="2015-12-09T18:00:00Z"/>
        </w:rPr>
      </w:pPr>
      <w:del w:id="913" w:author="svcMRProcess" w:date="2015-12-09T18:00:00Z">
        <w:r>
          <w:delText xml:space="preserve">    ”.</w:delText>
        </w:r>
      </w:del>
    </w:p>
    <w:p>
      <w:pPr>
        <w:pStyle w:val="nzHeading5"/>
        <w:rPr>
          <w:del w:id="914" w:author="svcMRProcess" w:date="2015-12-09T18:00:00Z"/>
        </w:rPr>
      </w:pPr>
      <w:bookmarkStart w:id="915" w:name="_Toc75249521"/>
      <w:bookmarkStart w:id="916" w:name="_Toc135031573"/>
      <w:bookmarkStart w:id="917" w:name="_Toc135708198"/>
      <w:bookmarkStart w:id="918" w:name="_Toc135715428"/>
      <w:del w:id="919" w:author="svcMRProcess" w:date="2015-12-09T18:00:00Z">
        <w:r>
          <w:rPr>
            <w:rStyle w:val="CharSectno"/>
          </w:rPr>
          <w:delText>15</w:delText>
        </w:r>
        <w:r>
          <w:delText>.</w:delText>
        </w:r>
        <w:r>
          <w:tab/>
          <w:delText>Schedule 3 amended</w:delText>
        </w:r>
        <w:bookmarkEnd w:id="915"/>
        <w:bookmarkEnd w:id="916"/>
        <w:bookmarkEnd w:id="917"/>
        <w:bookmarkEnd w:id="918"/>
      </w:del>
    </w:p>
    <w:p>
      <w:pPr>
        <w:pStyle w:val="nzSubsection"/>
        <w:rPr>
          <w:del w:id="920" w:author="svcMRProcess" w:date="2015-12-09T18:00:00Z"/>
        </w:rPr>
      </w:pPr>
      <w:del w:id="921" w:author="svcMRProcess" w:date="2015-12-09T18:00:00Z">
        <w:r>
          <w:tab/>
          <w:delText>(1)</w:delText>
        </w:r>
        <w:r>
          <w:tab/>
          <w:delText>Schedule 3 clause 1 is amended as follows:</w:delText>
        </w:r>
      </w:del>
    </w:p>
    <w:p>
      <w:pPr>
        <w:pStyle w:val="nzIndenta"/>
        <w:rPr>
          <w:del w:id="922" w:author="svcMRProcess" w:date="2015-12-09T18:00:00Z"/>
        </w:rPr>
      </w:pPr>
      <w:del w:id="923" w:author="svcMRProcess" w:date="2015-12-09T18:00:00Z">
        <w:r>
          <w:tab/>
          <w:delText>(a)</w:delText>
        </w:r>
        <w:r>
          <w:tab/>
          <w:delText>at the end of the definition of “former Act” by deleting the semicolon and inserting a full stop instead;</w:delText>
        </w:r>
      </w:del>
    </w:p>
    <w:p>
      <w:pPr>
        <w:pStyle w:val="nzIndenta"/>
        <w:rPr>
          <w:del w:id="924" w:author="svcMRProcess" w:date="2015-12-09T18:00:00Z"/>
        </w:rPr>
      </w:pPr>
      <w:del w:id="925" w:author="svcMRProcess" w:date="2015-12-09T18:00:00Z">
        <w:r>
          <w:tab/>
          <w:delText>(b)</w:delText>
        </w:r>
        <w:r>
          <w:tab/>
          <w:delText>by deleting the definitions of “previous fund” and “Tribunal”.</w:delText>
        </w:r>
      </w:del>
    </w:p>
    <w:p>
      <w:pPr>
        <w:pStyle w:val="nzSubsection"/>
        <w:rPr>
          <w:del w:id="926" w:author="svcMRProcess" w:date="2015-12-09T18:00:00Z"/>
        </w:rPr>
      </w:pPr>
      <w:del w:id="927" w:author="svcMRProcess" w:date="2015-12-09T18:00:00Z">
        <w:r>
          <w:tab/>
          <w:delText>(2)</w:delText>
        </w:r>
        <w:r>
          <w:tab/>
          <w:delText xml:space="preserve">Schedule 3 clauses 2, 3, 4, 6, 7, and 8 are repealed. </w:delText>
        </w:r>
      </w:del>
    </w:p>
    <w:p>
      <w:pPr>
        <w:pStyle w:val="MiscClose"/>
        <w:rPr>
          <w:del w:id="928" w:author="svcMRProcess" w:date="2015-12-09T18:00:00Z"/>
          <w:snapToGrid w:val="0"/>
        </w:rPr>
      </w:pPr>
      <w:del w:id="929" w:author="svcMRProcess" w:date="2015-12-09T18:00:00Z">
        <w:r>
          <w:rPr>
            <w:snapToGrid w:val="0"/>
          </w:rPr>
          <w:delText>”.</w:delText>
        </w:r>
      </w:del>
    </w:p>
    <w:p>
      <w:pPr>
        <w:rPr>
          <w:snapToGrid w:val="0"/>
        </w:rPr>
      </w:pPr>
    </w:p>
    <w:p>
      <w:pPr>
        <w:rPr>
          <w:snapToGrid w:val="0"/>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Employers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fldSimple w:instr=" styleref CharSchText ">
            <w:r>
              <w:rPr>
                <w:noProof/>
              </w:rPr>
              <w:t>Employers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Industry Superannuation Act 1989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EC1C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15666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F838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E487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C240B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7404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B3E5E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FE0F2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FC754E"/>
    <w:lvl w:ilvl="0">
      <w:start w:val="1"/>
      <w:numFmt w:val="decimal"/>
      <w:pStyle w:val="ListNumber"/>
      <w:lvlText w:val="%1."/>
      <w:lvlJc w:val="left"/>
      <w:pPr>
        <w:tabs>
          <w:tab w:val="num" w:pos="360"/>
        </w:tabs>
        <w:ind w:left="360" w:hanging="360"/>
      </w:pPr>
    </w:lvl>
  </w:abstractNum>
  <w:abstractNum w:abstractNumId="9">
    <w:nsid w:val="FFFFFF89"/>
    <w:multiLevelType w:val="singleLevel"/>
    <w:tmpl w:val="2BF0ED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C232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DBA5A4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38"/>
    <w:docVar w:name="WAFER_20151208095338" w:val="RemoveTrackChanges"/>
    <w:docVar w:name="WAFER_20151208095338_GUID" w:val="afbfc203-5c9a-483a-bc4d-6d9e269f2c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10668</Words>
  <Characters>49184</Characters>
  <Application>Microsoft Office Word</Application>
  <DocSecurity>0</DocSecurity>
  <Lines>1366</Lines>
  <Paragraphs>767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01-b0-02 - 01-c0-04</dc:title>
  <dc:subject/>
  <dc:creator/>
  <cp:keywords/>
  <dc:description/>
  <cp:lastModifiedBy>svcMRProcess</cp:lastModifiedBy>
  <cp:revision>2</cp:revision>
  <cp:lastPrinted>2000-12-22T02:51:00Z</cp:lastPrinted>
  <dcterms:created xsi:type="dcterms:W3CDTF">2015-12-09T10:00:00Z</dcterms:created>
  <dcterms:modified xsi:type="dcterms:W3CDTF">2015-12-09T10:00:00Z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20060614</vt:lpwstr>
  </property>
  <property fmtid="{D5CDD505-2E9C-101B-9397-08002B2CF9AE}" pid="4" name="DocumentType">
    <vt:lpwstr>Act</vt:lpwstr>
  </property>
  <property fmtid="{D5CDD505-2E9C-101B-9397-08002B2CF9AE}" pid="5" name="OwlsUID">
    <vt:i4>138</vt:i4>
  </property>
  <property fmtid="{D5CDD505-2E9C-101B-9397-08002B2CF9AE}" pid="6" name="FromSuffix">
    <vt:lpwstr>01-b0-02</vt:lpwstr>
  </property>
  <property fmtid="{D5CDD505-2E9C-101B-9397-08002B2CF9AE}" pid="7" name="FromAsAtDate">
    <vt:lpwstr>17 May 2006</vt:lpwstr>
  </property>
  <property fmtid="{D5CDD505-2E9C-101B-9397-08002B2CF9AE}" pid="8" name="ToSuffix">
    <vt:lpwstr>01-c0-04</vt:lpwstr>
  </property>
  <property fmtid="{D5CDD505-2E9C-101B-9397-08002B2CF9AE}" pid="9" name="ToAsAtDate">
    <vt:lpwstr>14 Jun 2006</vt:lpwstr>
  </property>
</Properties>
</file>