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9T18:04:00Z"/>
        </w:trPr>
        <w:tc>
          <w:tcPr>
            <w:tcW w:w="2434" w:type="dxa"/>
            <w:vMerge w:val="restart"/>
          </w:tcPr>
          <w:p>
            <w:pPr>
              <w:rPr>
                <w:del w:id="1" w:author="svcMRProcess" w:date="2015-12-09T18:04:00Z"/>
              </w:rPr>
            </w:pPr>
          </w:p>
        </w:tc>
        <w:tc>
          <w:tcPr>
            <w:tcW w:w="2434" w:type="dxa"/>
            <w:vMerge w:val="restart"/>
          </w:tcPr>
          <w:p>
            <w:pPr>
              <w:jc w:val="center"/>
              <w:rPr>
                <w:del w:id="2" w:author="svcMRProcess" w:date="2015-12-09T18:04:00Z"/>
              </w:rPr>
            </w:pPr>
            <w:del w:id="3" w:author="svcMRProcess" w:date="2015-12-09T18: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9T18:04:00Z"/>
              </w:rPr>
            </w:pPr>
          </w:p>
        </w:tc>
      </w:tr>
      <w:tr>
        <w:trPr>
          <w:cantSplit/>
          <w:del w:id="5" w:author="svcMRProcess" w:date="2015-12-09T18:04:00Z"/>
        </w:trPr>
        <w:tc>
          <w:tcPr>
            <w:tcW w:w="2434" w:type="dxa"/>
            <w:vMerge/>
          </w:tcPr>
          <w:p>
            <w:pPr>
              <w:rPr>
                <w:del w:id="6" w:author="svcMRProcess" w:date="2015-12-09T18:04:00Z"/>
              </w:rPr>
            </w:pPr>
          </w:p>
        </w:tc>
        <w:tc>
          <w:tcPr>
            <w:tcW w:w="2434" w:type="dxa"/>
            <w:vMerge/>
          </w:tcPr>
          <w:p>
            <w:pPr>
              <w:jc w:val="center"/>
              <w:rPr>
                <w:del w:id="7" w:author="svcMRProcess" w:date="2015-12-09T18:04:00Z"/>
              </w:rPr>
            </w:pPr>
          </w:p>
        </w:tc>
        <w:tc>
          <w:tcPr>
            <w:tcW w:w="2434" w:type="dxa"/>
          </w:tcPr>
          <w:p>
            <w:pPr>
              <w:keepNext/>
              <w:rPr>
                <w:del w:id="8" w:author="svcMRProcess" w:date="2015-12-09T18:04:00Z"/>
                <w:b/>
                <w:sz w:val="22"/>
              </w:rPr>
            </w:pPr>
            <w:del w:id="9" w:author="svcMRProcess" w:date="2015-12-09T18:04: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NameofActReg"/>
      </w:pPr>
      <w:r>
        <w:t xml:space="preserve">Coal Industry Superannuation Act 1989 </w:t>
      </w:r>
    </w:p>
    <w:p>
      <w:pPr>
        <w:pStyle w:val="LongTitle"/>
      </w:pPr>
      <w:bookmarkStart w:id="10" w:name="_Toc135715607"/>
      <w:bookmarkStart w:id="11" w:name="_Toc135716386"/>
      <w:bookmarkStart w:id="12" w:name="_Toc135717490"/>
      <w:bookmarkStart w:id="13" w:name="_Toc135718295"/>
      <w:r>
        <w:t>A</w:t>
      </w:r>
      <w:bookmarkStart w:id="14" w:name="_GoBack"/>
      <w:bookmarkEnd w:id="14"/>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15" w:name="_Toc138666550"/>
      <w:bookmarkStart w:id="16" w:name="_Toc139699513"/>
      <w:bookmarkStart w:id="17" w:name="_Toc141493924"/>
      <w:bookmarkStart w:id="18" w:name="_Toc141679396"/>
      <w:bookmarkStart w:id="19" w:name="_Toc144178598"/>
      <w:bookmarkStart w:id="20" w:name="_Toc157837366"/>
      <w:r>
        <w:rPr>
          <w:rStyle w:val="CharPartNo"/>
        </w:rPr>
        <w:t>Part 1</w:t>
      </w:r>
      <w:r>
        <w:rPr>
          <w:rStyle w:val="CharDivNo"/>
        </w:rPr>
        <w:t> </w:t>
      </w:r>
      <w:r>
        <w:t>—</w:t>
      </w:r>
      <w:r>
        <w:rPr>
          <w:rStyle w:val="CharDivText"/>
        </w:rPr>
        <w:t> </w:t>
      </w:r>
      <w:r>
        <w:rPr>
          <w:rStyle w:val="CharPartText"/>
        </w:rPr>
        <w:t>Preliminary</w:t>
      </w:r>
      <w:bookmarkEnd w:id="10"/>
      <w:bookmarkEnd w:id="11"/>
      <w:bookmarkEnd w:id="12"/>
      <w:bookmarkEnd w:id="13"/>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494852064"/>
      <w:bookmarkStart w:id="22" w:name="_Toc501513259"/>
      <w:bookmarkStart w:id="23" w:name="_Toc157837367"/>
      <w:bookmarkStart w:id="24" w:name="_Toc144178599"/>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25" w:name="_Toc494852065"/>
      <w:bookmarkStart w:id="26" w:name="_Toc501513260"/>
      <w:bookmarkStart w:id="27" w:name="_Toc157837368"/>
      <w:bookmarkStart w:id="28" w:name="_Toc144178600"/>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29" w:name="_Toc494852066"/>
      <w:bookmarkStart w:id="30" w:name="_Toc501513261"/>
      <w:bookmarkStart w:id="31" w:name="_Toc157837369"/>
      <w:bookmarkStart w:id="32" w:name="_Toc144178601"/>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del w:id="33" w:author="svcMRProcess" w:date="2015-12-09T18:04:00Z">
        <w:r>
          <w:rPr>
            <w:b/>
          </w:rPr>
          <w:delText>“</w:delText>
        </w:r>
      </w:del>
      <w:r>
        <w:rPr>
          <w:rStyle w:val="CharDefText"/>
        </w:rPr>
        <w:t>Administration Manager</w:t>
      </w:r>
      <w:del w:id="34" w:author="svcMRProcess" w:date="2015-12-09T18:04:00Z">
        <w:r>
          <w:rPr>
            <w:b/>
          </w:rPr>
          <w:delText>”</w:delText>
        </w:r>
      </w:del>
      <w:r>
        <w:t xml:space="preserve"> means the Administration Manager appointed under section 19;</w:t>
      </w:r>
    </w:p>
    <w:p>
      <w:pPr>
        <w:pStyle w:val="Defstart"/>
        <w:spacing w:before="70"/>
      </w:pPr>
      <w:r>
        <w:rPr>
          <w:b/>
        </w:rPr>
        <w:tab/>
      </w:r>
      <w:del w:id="35" w:author="svcMRProcess" w:date="2015-12-09T18:04:00Z">
        <w:r>
          <w:rPr>
            <w:b/>
          </w:rPr>
          <w:delText>“</w:delText>
        </w:r>
      </w:del>
      <w:r>
        <w:rPr>
          <w:rStyle w:val="CharDefText"/>
        </w:rPr>
        <w:t>Board</w:t>
      </w:r>
      <w:del w:id="36" w:author="svcMRProcess" w:date="2015-12-09T18:04:00Z">
        <w:r>
          <w:rPr>
            <w:b/>
          </w:rPr>
          <w:delText>”</w:delText>
        </w:r>
      </w:del>
      <w:r>
        <w:t xml:space="preserve"> means the Coal Industry Superannuation Board established under section 7;</w:t>
      </w:r>
    </w:p>
    <w:p>
      <w:pPr>
        <w:pStyle w:val="Defstart"/>
        <w:spacing w:before="70"/>
      </w:pPr>
      <w:r>
        <w:rPr>
          <w:b/>
        </w:rPr>
        <w:tab/>
      </w:r>
      <w:del w:id="37" w:author="svcMRProcess" w:date="2015-12-09T18:04:00Z">
        <w:r>
          <w:rPr>
            <w:b/>
          </w:rPr>
          <w:delText>“</w:delText>
        </w:r>
      </w:del>
      <w:r>
        <w:rPr>
          <w:rStyle w:val="CharDefText"/>
        </w:rPr>
        <w:t>coal mine</w:t>
      </w:r>
      <w:del w:id="38" w:author="svcMRProcess" w:date="2015-12-09T18:04:00Z">
        <w:r>
          <w:rPr>
            <w:b/>
          </w:rPr>
          <w:delText>”</w:delText>
        </w:r>
      </w:del>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del w:id="39" w:author="svcMRProcess" w:date="2015-12-09T18:04:00Z">
        <w:r>
          <w:rPr>
            <w:b/>
          </w:rPr>
          <w:delText>“</w:delText>
        </w:r>
      </w:del>
      <w:r>
        <w:rPr>
          <w:rStyle w:val="CharDefText"/>
        </w:rPr>
        <w:t>Commissioner</w:t>
      </w:r>
      <w:del w:id="40" w:author="svcMRProcess" w:date="2015-12-09T18:04:00Z">
        <w:r>
          <w:rPr>
            <w:b/>
          </w:rPr>
          <w:delText>”</w:delText>
        </w:r>
      </w:del>
      <w:r>
        <w:t xml:space="preserve"> has the same meaning as in the SIS Act;</w:t>
      </w:r>
    </w:p>
    <w:p>
      <w:pPr>
        <w:pStyle w:val="Defstart"/>
        <w:spacing w:before="70"/>
      </w:pPr>
      <w:r>
        <w:rPr>
          <w:b/>
        </w:rPr>
        <w:tab/>
      </w:r>
      <w:del w:id="41" w:author="svcMRProcess" w:date="2015-12-09T18:04:00Z">
        <w:r>
          <w:rPr>
            <w:b/>
          </w:rPr>
          <w:delText>“</w:delText>
        </w:r>
      </w:del>
      <w:r>
        <w:rPr>
          <w:rStyle w:val="CharDefText"/>
        </w:rPr>
        <w:t>delegate</w:t>
      </w:r>
      <w:del w:id="42" w:author="svcMRProcess" w:date="2015-12-09T18:04:00Z">
        <w:r>
          <w:rPr>
            <w:b/>
          </w:rPr>
          <w:delText>”</w:delText>
        </w:r>
      </w:del>
      <w:r>
        <w:t xml:space="preserve"> means a person to whom any function of the Board is delegated under section 16;</w:t>
      </w:r>
    </w:p>
    <w:p>
      <w:pPr>
        <w:pStyle w:val="Defstart"/>
        <w:spacing w:before="70"/>
      </w:pPr>
      <w:r>
        <w:rPr>
          <w:b/>
        </w:rPr>
        <w:tab/>
      </w:r>
      <w:del w:id="43" w:author="svcMRProcess" w:date="2015-12-09T18:04:00Z">
        <w:r>
          <w:rPr>
            <w:b/>
          </w:rPr>
          <w:delText>“</w:delText>
        </w:r>
      </w:del>
      <w:r>
        <w:rPr>
          <w:rStyle w:val="CharDefText"/>
        </w:rPr>
        <w:t>employer</w:t>
      </w:r>
      <w:del w:id="44" w:author="svcMRProcess" w:date="2015-12-09T18:04:00Z">
        <w:r>
          <w:rPr>
            <w:b/>
          </w:rPr>
          <w:delText>”</w:delText>
        </w:r>
      </w:del>
      <w:r>
        <w:t xml:space="preserve"> means an employer mentioned in Schedule 1;</w:t>
      </w:r>
    </w:p>
    <w:p>
      <w:pPr>
        <w:pStyle w:val="Defstart"/>
        <w:spacing w:before="70"/>
      </w:pPr>
      <w:r>
        <w:rPr>
          <w:b/>
        </w:rPr>
        <w:tab/>
      </w:r>
      <w:del w:id="45" w:author="svcMRProcess" w:date="2015-12-09T18:04:00Z">
        <w:r>
          <w:rPr>
            <w:b/>
          </w:rPr>
          <w:delText>“</w:delText>
        </w:r>
      </w:del>
      <w:r>
        <w:rPr>
          <w:rStyle w:val="CharDefText"/>
        </w:rPr>
        <w:t>Fund</w:t>
      </w:r>
      <w:del w:id="46" w:author="svcMRProcess" w:date="2015-12-09T18:04:00Z">
        <w:r>
          <w:rPr>
            <w:b/>
          </w:rPr>
          <w:delText>”</w:delText>
        </w:r>
      </w:del>
      <w:r>
        <w:t xml:space="preserve"> means the Coal Industry Superannuation Fund established under section 9;</w:t>
      </w:r>
    </w:p>
    <w:p>
      <w:pPr>
        <w:pStyle w:val="Defstart"/>
        <w:spacing w:before="70"/>
      </w:pPr>
      <w:r>
        <w:rPr>
          <w:b/>
        </w:rPr>
        <w:tab/>
      </w:r>
      <w:del w:id="47" w:author="svcMRProcess" w:date="2015-12-09T18:04:00Z">
        <w:r>
          <w:rPr>
            <w:b/>
          </w:rPr>
          <w:delText>“</w:delText>
        </w:r>
      </w:del>
      <w:r>
        <w:rPr>
          <w:rStyle w:val="CharDefText"/>
        </w:rPr>
        <w:t>investment manager</w:t>
      </w:r>
      <w:del w:id="48" w:author="svcMRProcess" w:date="2015-12-09T18:04:00Z">
        <w:r>
          <w:rPr>
            <w:b/>
          </w:rPr>
          <w:delText>”</w:delText>
        </w:r>
      </w:del>
      <w:r>
        <w:t xml:space="preserve"> means an investment manager appointed under section 18;</w:t>
      </w:r>
    </w:p>
    <w:p>
      <w:pPr>
        <w:pStyle w:val="Defstart"/>
        <w:spacing w:before="70"/>
      </w:pPr>
      <w:r>
        <w:rPr>
          <w:b/>
        </w:rPr>
        <w:tab/>
      </w:r>
      <w:del w:id="49" w:author="svcMRProcess" w:date="2015-12-09T18:04:00Z">
        <w:r>
          <w:rPr>
            <w:b/>
          </w:rPr>
          <w:delText>“</w:delText>
        </w:r>
      </w:del>
      <w:r>
        <w:rPr>
          <w:rStyle w:val="CharDefText"/>
        </w:rPr>
        <w:t>mine worker</w:t>
      </w:r>
      <w:del w:id="50" w:author="svcMRProcess" w:date="2015-12-09T18:04:00Z">
        <w:r>
          <w:rPr>
            <w:b/>
          </w:rPr>
          <w:delText>”</w:delText>
        </w:r>
      </w:del>
      <w:r>
        <w:t xml:space="preserve"> means a person who is a mine worker under section 4;</w:t>
      </w:r>
    </w:p>
    <w:p>
      <w:pPr>
        <w:pStyle w:val="Defstart"/>
        <w:keepNext/>
        <w:spacing w:before="70"/>
      </w:pPr>
      <w:r>
        <w:rPr>
          <w:b/>
        </w:rPr>
        <w:tab/>
      </w:r>
      <w:del w:id="51" w:author="svcMRProcess" w:date="2015-12-09T18:04:00Z">
        <w:r>
          <w:rPr>
            <w:b/>
          </w:rPr>
          <w:delText>“</w:delText>
        </w:r>
      </w:del>
      <w:r>
        <w:rPr>
          <w:rStyle w:val="CharDefText"/>
        </w:rPr>
        <w:t>officer</w:t>
      </w:r>
      <w:del w:id="52" w:author="svcMRProcess" w:date="2015-12-09T18:04:00Z">
        <w:r>
          <w:rPr>
            <w:b/>
          </w:rPr>
          <w:delText>”</w:delText>
        </w:r>
      </w:del>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del w:id="53" w:author="svcMRProcess" w:date="2015-12-09T18:04:00Z">
        <w:r>
          <w:rPr>
            <w:b/>
          </w:rPr>
          <w:delText>“</w:delText>
        </w:r>
      </w:del>
      <w:r>
        <w:rPr>
          <w:rStyle w:val="CharDefText"/>
        </w:rPr>
        <w:t>open cut</w:t>
      </w:r>
      <w:del w:id="54" w:author="svcMRProcess" w:date="2015-12-09T18:04:00Z">
        <w:r>
          <w:rPr>
            <w:b/>
          </w:rPr>
          <w:delText>”</w:delText>
        </w:r>
      </w:del>
      <w:r>
        <w:t xml:space="preserve"> means a coal mine that is formed by an excavation in the ground and that has no overlying cover of earth;</w:t>
      </w:r>
    </w:p>
    <w:p>
      <w:pPr>
        <w:pStyle w:val="Defstart"/>
      </w:pPr>
      <w:r>
        <w:rPr>
          <w:b/>
        </w:rPr>
        <w:tab/>
      </w:r>
      <w:del w:id="55" w:author="svcMRProcess" w:date="2015-12-09T18:04:00Z">
        <w:r>
          <w:rPr>
            <w:b/>
          </w:rPr>
          <w:delText>“</w:delText>
        </w:r>
      </w:del>
      <w:r>
        <w:rPr>
          <w:rStyle w:val="CharDefText"/>
        </w:rPr>
        <w:t>property</w:t>
      </w:r>
      <w:del w:id="56" w:author="svcMRProcess" w:date="2015-12-09T18:04:00Z">
        <w:r>
          <w:rPr>
            <w:b/>
          </w:rPr>
          <w:delText>”</w:delText>
        </w:r>
      </w:del>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rPr>
          <w:b/>
        </w:rPr>
        <w:tab/>
      </w:r>
      <w:del w:id="57" w:author="svcMRProcess" w:date="2015-12-09T18:04:00Z">
        <w:r>
          <w:rPr>
            <w:b/>
          </w:rPr>
          <w:delText>“</w:delText>
        </w:r>
      </w:del>
      <w:r>
        <w:rPr>
          <w:rStyle w:val="CharDefText"/>
        </w:rPr>
        <w:t>SIS Act</w:t>
      </w:r>
      <w:del w:id="58" w:author="svcMRProcess" w:date="2015-12-09T18:04:00Z">
        <w:r>
          <w:rPr>
            <w:b/>
          </w:rPr>
          <w:delText>”</w:delText>
        </w:r>
      </w:del>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rPr>
          <w:b/>
        </w:rPr>
        <w:tab/>
      </w:r>
      <w:del w:id="59" w:author="svcMRProcess" w:date="2015-12-09T18:04:00Z">
        <w:r>
          <w:rPr>
            <w:b/>
          </w:rPr>
          <w:delText>“</w:delText>
        </w:r>
      </w:del>
      <w:r>
        <w:rPr>
          <w:rStyle w:val="CharDefText"/>
        </w:rPr>
        <w:t>the actuary</w:t>
      </w:r>
      <w:del w:id="60" w:author="svcMRProcess" w:date="2015-12-09T18:04:00Z">
        <w:r>
          <w:rPr>
            <w:b/>
          </w:rPr>
          <w:delText>”</w:delText>
        </w:r>
      </w:del>
      <w:r>
        <w:t xml:space="preserve"> means the actuary appointed under section 20.</w:t>
      </w:r>
    </w:p>
    <w:p>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w:t>
      </w:r>
    </w:p>
    <w:p>
      <w:pPr>
        <w:pStyle w:val="Heading5"/>
        <w:rPr>
          <w:snapToGrid w:val="0"/>
        </w:rPr>
      </w:pPr>
      <w:bookmarkStart w:id="61" w:name="_Toc494852067"/>
      <w:bookmarkStart w:id="62" w:name="_Toc501513262"/>
      <w:bookmarkStart w:id="63" w:name="_Toc157837370"/>
      <w:bookmarkStart w:id="64" w:name="_Toc144178602"/>
      <w:r>
        <w:rPr>
          <w:rStyle w:val="CharSectno"/>
        </w:rPr>
        <w:t>4</w:t>
      </w:r>
      <w:r>
        <w:rPr>
          <w:snapToGrid w:val="0"/>
        </w:rPr>
        <w:t>.</w:t>
      </w:r>
      <w:r>
        <w:rPr>
          <w:snapToGrid w:val="0"/>
        </w:rPr>
        <w:tab/>
        <w:t>Mine worker</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del w:id="65" w:author="svcMRProcess" w:date="2015-12-09T18:04:00Z">
        <w:r>
          <w:rPr>
            <w:b/>
            <w:snapToGrid w:val="0"/>
          </w:rPr>
          <w:delText>“</w:delText>
        </w:r>
      </w:del>
      <w:r>
        <w:rPr>
          <w:rStyle w:val="CharDefText"/>
        </w:rPr>
        <w:t>mine worker</w:t>
      </w:r>
      <w:del w:id="66" w:author="svcMRProcess" w:date="2015-12-09T18:04:00Z">
        <w:r>
          <w:rPr>
            <w:b/>
            <w:snapToGrid w:val="0"/>
          </w:rPr>
          <w:delText>”</w:delText>
        </w:r>
      </w:del>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made regular contributions to the Fund as a mine worker; and</w:t>
      </w:r>
    </w:p>
    <w:p>
      <w:pPr>
        <w:pStyle w:val="Indenta"/>
        <w:rPr>
          <w:snapToGrid w:val="0"/>
        </w:rPr>
      </w:pPr>
      <w:r>
        <w:rPr>
          <w:snapToGrid w:val="0"/>
        </w:rPr>
        <w:tab/>
        <w:t>(b)</w:t>
      </w:r>
      <w:r>
        <w:rPr>
          <w:snapToGrid w:val="0"/>
        </w:rPr>
        <w:tab/>
        <w:t>the Board has excluded that person from the definition of “mine worker”,</w:t>
      </w:r>
    </w:p>
    <w:p>
      <w:pPr>
        <w:pStyle w:val="Subsection"/>
        <w:rPr>
          <w:snapToGrid w:val="0"/>
        </w:rPr>
      </w:pPr>
      <w:r>
        <w:rPr>
          <w:snapToGrid w:val="0"/>
        </w:rPr>
        <w:tab/>
      </w:r>
      <w:r>
        <w:rPr>
          <w:snapToGrid w:val="0"/>
        </w:rPr>
        <w:tab/>
        <w:t>the Board shall — </w:t>
      </w:r>
    </w:p>
    <w:p>
      <w:pPr>
        <w:pStyle w:val="Indenta"/>
        <w:rPr>
          <w:snapToGrid w:val="0"/>
        </w:rPr>
      </w:pPr>
      <w:r>
        <w:rPr>
          <w:snapToGrid w:val="0"/>
        </w:rPr>
        <w:tab/>
        <w:t>(c)</w:t>
      </w:r>
      <w:r>
        <w:rPr>
          <w:snapToGrid w:val="0"/>
        </w:rPr>
        <w:tab/>
        <w:t>pay to that person an amount calculated as prescribed; and</w:t>
      </w:r>
    </w:p>
    <w:p>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pPr>
        <w:pStyle w:val="Subsection"/>
        <w:rPr>
          <w:snapToGrid w:val="0"/>
        </w:rPr>
      </w:pPr>
      <w:r>
        <w:rPr>
          <w:snapToGrid w:val="0"/>
        </w:rPr>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pPr>
        <w:pStyle w:val="Footnotesection"/>
      </w:pPr>
      <w:r>
        <w:tab/>
        <w:t xml:space="preserve">[Section 4 amended by No. 62 of 1994 s. 109.] </w:t>
      </w:r>
    </w:p>
    <w:p>
      <w:pPr>
        <w:pStyle w:val="Ednotesection"/>
      </w:pPr>
      <w:r>
        <w:t>[</w:t>
      </w:r>
      <w:r>
        <w:rPr>
          <w:b/>
          <w:bCs/>
        </w:rPr>
        <w:t>5.</w:t>
      </w:r>
      <w:r>
        <w:tab/>
      </w:r>
      <w:del w:id="67" w:author="svcMRProcess" w:date="2015-12-09T18:04:00Z">
        <w:r>
          <w:delText>Repealed</w:delText>
        </w:r>
      </w:del>
      <w:ins w:id="68" w:author="svcMRProcess" w:date="2015-12-09T18:04:00Z">
        <w:r>
          <w:t>Deleted</w:t>
        </w:r>
      </w:ins>
      <w:r>
        <w:t xml:space="preserve"> by No. 16 of 2006 s. 4.]</w:t>
      </w:r>
    </w:p>
    <w:p>
      <w:pPr>
        <w:pStyle w:val="Ednotepart"/>
      </w:pPr>
      <w:r>
        <w:t xml:space="preserve">[Part 2 (s. 6) </w:t>
      </w:r>
      <w:del w:id="69" w:author="svcMRProcess" w:date="2015-12-09T18:04:00Z">
        <w:r>
          <w:delText>repealed</w:delText>
        </w:r>
      </w:del>
      <w:ins w:id="70" w:author="svcMRProcess" w:date="2015-12-09T18:04:00Z">
        <w:r>
          <w:t>deleted</w:t>
        </w:r>
      </w:ins>
      <w:r>
        <w:t xml:space="preserve"> by No. 46 of 1995 s. 6.]</w:t>
      </w:r>
    </w:p>
    <w:p>
      <w:pPr>
        <w:pStyle w:val="Heading2"/>
      </w:pPr>
      <w:bookmarkStart w:id="71" w:name="_Toc135715613"/>
      <w:bookmarkStart w:id="72" w:name="_Toc135716392"/>
      <w:bookmarkStart w:id="73" w:name="_Toc135717496"/>
      <w:bookmarkStart w:id="74" w:name="_Toc135718301"/>
      <w:bookmarkStart w:id="75" w:name="_Toc138666555"/>
      <w:bookmarkStart w:id="76" w:name="_Toc139699518"/>
      <w:bookmarkStart w:id="77" w:name="_Toc141493929"/>
      <w:bookmarkStart w:id="78" w:name="_Toc141679401"/>
      <w:bookmarkStart w:id="79" w:name="_Toc144178603"/>
      <w:bookmarkStart w:id="80" w:name="_Toc157837371"/>
      <w:r>
        <w:rPr>
          <w:rStyle w:val="CharPartNo"/>
        </w:rPr>
        <w:t>Part 3</w:t>
      </w:r>
      <w:r>
        <w:rPr>
          <w:rStyle w:val="CharDivNo"/>
        </w:rPr>
        <w:t> </w:t>
      </w:r>
      <w:r>
        <w:t>—</w:t>
      </w:r>
      <w:r>
        <w:rPr>
          <w:rStyle w:val="CharDivText"/>
        </w:rPr>
        <w:t> </w:t>
      </w:r>
      <w:r>
        <w:rPr>
          <w:rStyle w:val="CharPartText"/>
        </w:rPr>
        <w:t>The Coal Industry Superannuation Board</w:t>
      </w:r>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94852069"/>
      <w:bookmarkStart w:id="82" w:name="_Toc501513264"/>
      <w:bookmarkStart w:id="83" w:name="_Toc157837372"/>
      <w:bookmarkStart w:id="84" w:name="_Toc144178604"/>
      <w:r>
        <w:rPr>
          <w:rStyle w:val="CharSectno"/>
        </w:rPr>
        <w:t>7</w:t>
      </w:r>
      <w:r>
        <w:rPr>
          <w:snapToGrid w:val="0"/>
        </w:rPr>
        <w:t>.</w:t>
      </w:r>
      <w:r>
        <w:rPr>
          <w:snapToGrid w:val="0"/>
        </w:rPr>
        <w:tab/>
        <w:t>Establishment of the Board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1994</w:t>
      </w:r>
      <w:r>
        <w:rPr>
          <w:snapToGrid w:val="0"/>
        </w:rPr>
        <w:t>.</w:t>
      </w:r>
    </w:p>
    <w:p>
      <w:pPr>
        <w:pStyle w:val="Footnotesection"/>
      </w:pPr>
      <w:r>
        <w:tab/>
        <w:t xml:space="preserve">[Section 7 amended by No. 46 of 1995 s. 7.] </w:t>
      </w:r>
    </w:p>
    <w:p>
      <w:pPr>
        <w:pStyle w:val="Heading5"/>
        <w:rPr>
          <w:snapToGrid w:val="0"/>
        </w:rPr>
      </w:pPr>
      <w:bookmarkStart w:id="85" w:name="_Toc494852070"/>
      <w:bookmarkStart w:id="86" w:name="_Toc501513265"/>
      <w:bookmarkStart w:id="87" w:name="_Toc157837373"/>
      <w:bookmarkStart w:id="88" w:name="_Toc144178605"/>
      <w:r>
        <w:rPr>
          <w:rStyle w:val="CharSectno"/>
        </w:rPr>
        <w:t>8</w:t>
      </w:r>
      <w:r>
        <w:rPr>
          <w:snapToGrid w:val="0"/>
        </w:rPr>
        <w:t>.</w:t>
      </w:r>
      <w:r>
        <w:rPr>
          <w:snapToGrid w:val="0"/>
        </w:rPr>
        <w:tab/>
        <w:t>Constitution of the Board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89" w:name="_Toc494852071"/>
      <w:bookmarkStart w:id="90" w:name="_Toc501513266"/>
      <w:bookmarkStart w:id="91" w:name="_Toc157837374"/>
      <w:bookmarkStart w:id="92" w:name="_Toc144178606"/>
      <w:r>
        <w:rPr>
          <w:rStyle w:val="CharSectno"/>
        </w:rPr>
        <w:t>9</w:t>
      </w:r>
      <w:r>
        <w:rPr>
          <w:snapToGrid w:val="0"/>
        </w:rPr>
        <w:t>.</w:t>
      </w:r>
      <w:r>
        <w:rPr>
          <w:snapToGrid w:val="0"/>
        </w:rPr>
        <w:tab/>
        <w:t>The Coal Industry Superannuation Fund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Subsection"/>
      </w:pPr>
      <w:r>
        <w:tab/>
        <w:t>(1a)</w:t>
      </w:r>
      <w:r>
        <w:tab/>
        <w:t>The regulations may provide for people in any of the following categories to be members of the Fund —</w:t>
      </w:r>
    </w:p>
    <w:p>
      <w:pPr>
        <w:pStyle w:val="Indenta"/>
      </w:pPr>
      <w:r>
        <w:tab/>
        <w:t>(a)</w:t>
      </w:r>
      <w:r>
        <w:tab/>
        <w:t xml:space="preserve">mine workers; </w:t>
      </w:r>
    </w:p>
    <w:p>
      <w:pPr>
        <w:pStyle w:val="Indenta"/>
      </w:pPr>
      <w:r>
        <w:tab/>
        <w:t>(b)</w:t>
      </w:r>
      <w:r>
        <w:tab/>
        <w:t>officers of the Board; or</w:t>
      </w:r>
    </w:p>
    <w:p>
      <w:pPr>
        <w:pStyle w:val="Indenta"/>
      </w:pPr>
      <w:r>
        <w:tab/>
        <w:t>(c)</w:t>
      </w:r>
      <w:r>
        <w:tab/>
        <w:t>people who are or have been the spouses or de facto partners of people referred to in paragraphs (a) or (b).</w:t>
      </w:r>
    </w:p>
    <w:p>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pPr>
        <w:pStyle w:val="Subsection"/>
      </w:pPr>
      <w:r>
        <w:tab/>
        <w:t>(1c)</w:t>
      </w:r>
      <w:r>
        <w:tab/>
        <w:t>The people specified under subsection (1b) must be people —</w:t>
      </w:r>
    </w:p>
    <w:p>
      <w:pPr>
        <w:pStyle w:val="Indenta"/>
      </w:pPr>
      <w:r>
        <w:tab/>
        <w:t>(a)</w:t>
      </w:r>
      <w:r>
        <w:tab/>
        <w:t>who are, or have been —</w:t>
      </w:r>
    </w:p>
    <w:p>
      <w:pPr>
        <w:pStyle w:val="Indenti"/>
      </w:pPr>
      <w:r>
        <w:tab/>
        <w:t>(i)</w:t>
      </w:r>
      <w:r>
        <w:tab/>
        <w:t>involved in coal mining in Western Australia; or</w:t>
      </w:r>
    </w:p>
    <w:p>
      <w:pPr>
        <w:pStyle w:val="Indenti"/>
      </w:pPr>
      <w:r>
        <w:tab/>
        <w:t>(ii)</w:t>
      </w:r>
      <w:r>
        <w:tab/>
        <w:t xml:space="preserve">closely related to a person who is or has been involved in coal mining in Western Australia; </w:t>
      </w:r>
    </w:p>
    <w:p>
      <w:pPr>
        <w:pStyle w:val="Indenta"/>
      </w:pPr>
      <w:r>
        <w:tab/>
      </w:r>
      <w:r>
        <w:tab/>
        <w:t>and</w:t>
      </w:r>
    </w:p>
    <w:p>
      <w:pPr>
        <w:pStyle w:val="Indenta"/>
      </w:pPr>
      <w:r>
        <w:tab/>
        <w:t>(b)</w:t>
      </w:r>
      <w:r>
        <w:tab/>
        <w:t>whose membership of the Fund would not prevent the Fund being a complying superannuation fund within the meaning of the SIS Act.</w:t>
      </w:r>
    </w:p>
    <w:p>
      <w:pPr>
        <w:pStyle w:val="Subsection"/>
        <w:keepNext/>
        <w:rPr>
          <w:snapToGrid w:val="0"/>
        </w:rPr>
      </w:pPr>
      <w:r>
        <w:rPr>
          <w:snapToGrid w:val="0"/>
        </w:rPr>
        <w:tab/>
        <w:t>(2)</w:t>
      </w:r>
      <w:r>
        <w:rPr>
          <w:snapToGrid w:val="0"/>
        </w:rPr>
        <w:tab/>
        <w:t>The Fund consists of — </w:t>
      </w:r>
    </w:p>
    <w:p>
      <w:pPr>
        <w:pStyle w:val="Indenta"/>
        <w:rPr>
          <w:snapToGrid w:val="0"/>
        </w:rPr>
      </w:pPr>
      <w:r>
        <w:rPr>
          <w:snapToGrid w:val="0"/>
        </w:rPr>
        <w:tab/>
        <w:t>(a)</w:t>
      </w:r>
      <w:r>
        <w:rPr>
          <w:snapToGrid w:val="0"/>
        </w:rPr>
        <w:tab/>
        <w:t>contributions paid in accordance with the regulations;</w:t>
      </w:r>
    </w:p>
    <w:p>
      <w:pPr>
        <w:pStyle w:val="Indenta"/>
        <w:rPr>
          <w:snapToGrid w:val="0"/>
        </w:rPr>
      </w:pPr>
      <w:r>
        <w:rPr>
          <w:snapToGrid w:val="0"/>
        </w:rPr>
        <w:tab/>
        <w:t>(b)</w:t>
      </w:r>
      <w:r>
        <w:rPr>
          <w:snapToGrid w:val="0"/>
        </w:rPr>
        <w:tab/>
        <w:t>all other property received by the Board for or in connection with the Fund;</w:t>
      </w:r>
    </w:p>
    <w:p>
      <w:pPr>
        <w:pStyle w:val="Indenta"/>
        <w:rPr>
          <w:snapToGrid w:val="0"/>
        </w:rPr>
      </w:pPr>
      <w:r>
        <w:rPr>
          <w:snapToGrid w:val="0"/>
        </w:rPr>
        <w:tab/>
        <w:t>(c)</w:t>
      </w:r>
      <w:r>
        <w:rPr>
          <w:snapToGrid w:val="0"/>
        </w:rPr>
        <w:tab/>
        <w:t>property in which the Fund is invested;</w:t>
      </w:r>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 the payment of — </w:t>
      </w:r>
    </w:p>
    <w:p>
      <w:pPr>
        <w:pStyle w:val="Indenta"/>
        <w:rPr>
          <w:snapToGrid w:val="0"/>
        </w:rPr>
      </w:pPr>
      <w:r>
        <w:rPr>
          <w:snapToGrid w:val="0"/>
        </w:rPr>
        <w:tab/>
        <w:t>(a)</w:t>
      </w:r>
      <w:r>
        <w:rPr>
          <w:snapToGrid w:val="0"/>
        </w:rPr>
        <w:tab/>
        <w:t>benefits to or in respect of members of the Fund in accordance with this Act;</w:t>
      </w:r>
    </w:p>
    <w:p>
      <w:pPr>
        <w:pStyle w:val="Indenta"/>
        <w:rPr>
          <w:snapToGrid w:val="0"/>
        </w:rPr>
      </w:pPr>
      <w:r>
        <w:rPr>
          <w:snapToGrid w:val="0"/>
        </w:rPr>
        <w:tab/>
        <w:t>(b)</w:t>
      </w:r>
      <w:r>
        <w:rPr>
          <w:snapToGrid w:val="0"/>
        </w:rPr>
        <w:tab/>
        <w:t>pensions and additional payments payable under clause 6 of Schedule 3;</w:t>
      </w:r>
    </w:p>
    <w:p>
      <w:pPr>
        <w:pStyle w:val="Indenta"/>
        <w:rPr>
          <w:snapToGrid w:val="0"/>
        </w:rPr>
      </w:pPr>
      <w:r>
        <w:rPr>
          <w:snapToGrid w:val="0"/>
        </w:rPr>
        <w:tab/>
        <w:t>(c)</w:t>
      </w:r>
      <w:r>
        <w:rPr>
          <w:snapToGrid w:val="0"/>
        </w:rPr>
        <w:tab/>
        <w:t>the costs and expenses of conducting elections under clause 2 of Schedule 2;</w:t>
      </w:r>
    </w:p>
    <w:p>
      <w:pPr>
        <w:pStyle w:val="Indenta"/>
        <w:rPr>
          <w:snapToGrid w:val="0"/>
        </w:rPr>
      </w:pPr>
      <w:r>
        <w:rPr>
          <w:snapToGrid w:val="0"/>
        </w:rPr>
        <w:tab/>
        <w:t>(d)</w:t>
      </w:r>
      <w:r>
        <w:rPr>
          <w:snapToGrid w:val="0"/>
        </w:rPr>
        <w:tab/>
        <w:t>allowances to members of the Board under clause 13 of Schedule 2; and</w:t>
      </w:r>
    </w:p>
    <w:p>
      <w:pPr>
        <w:pStyle w:val="Indenta"/>
        <w:rPr>
          <w:snapToGrid w:val="0"/>
        </w:rPr>
      </w:pPr>
      <w:r>
        <w:rPr>
          <w:snapToGrid w:val="0"/>
        </w:rPr>
        <w:tab/>
        <w:t>(e)</w:t>
      </w:r>
      <w:r>
        <w:rPr>
          <w:snapToGrid w:val="0"/>
        </w:rPr>
        <w:tab/>
        <w:t>the costs and expenses of administering the Fund and the provisions of this Act relating to the Fund.</w:t>
      </w:r>
    </w:p>
    <w:p>
      <w:pPr>
        <w:pStyle w:val="Footnotesection"/>
      </w:pPr>
      <w:r>
        <w:tab/>
        <w:t xml:space="preserve">[Section 9 amended by No. 46 of 1995 s. 9; No. 16 of 2006 s. 5.] </w:t>
      </w:r>
    </w:p>
    <w:p>
      <w:pPr>
        <w:pStyle w:val="Heading5"/>
        <w:rPr>
          <w:snapToGrid w:val="0"/>
        </w:rPr>
      </w:pPr>
      <w:bookmarkStart w:id="93" w:name="_Toc494852072"/>
      <w:bookmarkStart w:id="94" w:name="_Toc501513267"/>
      <w:bookmarkStart w:id="95" w:name="_Toc157837375"/>
      <w:bookmarkStart w:id="96" w:name="_Toc144178607"/>
      <w:r>
        <w:rPr>
          <w:rStyle w:val="CharSectno"/>
        </w:rPr>
        <w:t>10</w:t>
      </w:r>
      <w:r>
        <w:rPr>
          <w:snapToGrid w:val="0"/>
        </w:rPr>
        <w:t>.</w:t>
      </w:r>
      <w:r>
        <w:rPr>
          <w:snapToGrid w:val="0"/>
        </w:rPr>
        <w:tab/>
        <w:t>Functions and general powers of the Board</w:t>
      </w:r>
      <w:bookmarkEnd w:id="93"/>
      <w:bookmarkEnd w:id="94"/>
      <w:bookmarkEnd w:id="95"/>
      <w:bookmarkEnd w:id="96"/>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97" w:name="_Toc494852073"/>
      <w:bookmarkStart w:id="98" w:name="_Toc501513268"/>
      <w:bookmarkStart w:id="99" w:name="_Toc157837376"/>
      <w:bookmarkStart w:id="100" w:name="_Toc144178608"/>
      <w:r>
        <w:rPr>
          <w:rStyle w:val="CharSectno"/>
        </w:rPr>
        <w:t>10A</w:t>
      </w:r>
      <w:r>
        <w:rPr>
          <w:snapToGrid w:val="0"/>
        </w:rPr>
        <w:t xml:space="preserve">. </w:t>
      </w:r>
      <w:r>
        <w:rPr>
          <w:snapToGrid w:val="0"/>
        </w:rPr>
        <w:tab/>
        <w:t>Compliance with SIS Act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101" w:name="_Toc494852074"/>
      <w:bookmarkStart w:id="102" w:name="_Toc501513269"/>
      <w:bookmarkStart w:id="103" w:name="_Toc157837377"/>
      <w:bookmarkStart w:id="104" w:name="_Toc144178609"/>
      <w:r>
        <w:rPr>
          <w:rStyle w:val="CharSectno"/>
        </w:rPr>
        <w:t>10AA</w:t>
      </w:r>
      <w:r>
        <w:rPr>
          <w:snapToGrid w:val="0"/>
        </w:rPr>
        <w:t xml:space="preserve">. </w:t>
      </w:r>
      <w:r>
        <w:rPr>
          <w:snapToGrid w:val="0"/>
        </w:rPr>
        <w:tab/>
        <w:t>Consent of Board to be obtained if required under SIS Act</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Heading5"/>
        <w:rPr>
          <w:snapToGrid w:val="0"/>
        </w:rPr>
      </w:pPr>
      <w:bookmarkStart w:id="105" w:name="_Toc494852075"/>
      <w:bookmarkStart w:id="106" w:name="_Toc501513270"/>
      <w:bookmarkStart w:id="107" w:name="_Toc157837378"/>
      <w:bookmarkStart w:id="108" w:name="_Toc144178610"/>
      <w:r>
        <w:rPr>
          <w:rStyle w:val="CharSectno"/>
        </w:rPr>
        <w:t>10B</w:t>
      </w:r>
      <w:r>
        <w:rPr>
          <w:snapToGrid w:val="0"/>
        </w:rPr>
        <w:t xml:space="preserve">. </w:t>
      </w:r>
      <w:r>
        <w:rPr>
          <w:snapToGrid w:val="0"/>
        </w:rPr>
        <w:tab/>
        <w:t>Board may administer Long Service Leave Fund on behalf of Commonwealth</w:t>
      </w:r>
      <w:bookmarkEnd w:id="105"/>
      <w:r>
        <w:rPr>
          <w:snapToGrid w:val="0"/>
        </w:rPr>
        <w:t xml:space="preserve"> Corporation</w:t>
      </w:r>
      <w:bookmarkEnd w:id="106"/>
      <w:bookmarkEnd w:id="107"/>
      <w:bookmarkEnd w:id="108"/>
      <w:r>
        <w:rPr>
          <w:snapToGrid w:val="0"/>
        </w:rPr>
        <w:t xml:space="preserve"> </w:t>
      </w:r>
    </w:p>
    <w:p>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pPr>
        <w:pStyle w:val="Subsection"/>
        <w:rPr>
          <w:snapToGrid w:val="0"/>
        </w:rPr>
      </w:pPr>
      <w:r>
        <w:rPr>
          <w:snapToGrid w:val="0"/>
        </w:rPr>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pPr>
        <w:pStyle w:val="Subsection"/>
        <w:rPr>
          <w:snapToGrid w:val="0"/>
        </w:rPr>
      </w:pPr>
      <w:r>
        <w:rPr>
          <w:snapToGrid w:val="0"/>
        </w:rPr>
        <w:tab/>
        <w:t>(4)</w:t>
      </w:r>
      <w:r>
        <w:rPr>
          <w:snapToGrid w:val="0"/>
        </w:rPr>
        <w:tab/>
        <w:t>In this section — </w:t>
      </w:r>
    </w:p>
    <w:p>
      <w:pPr>
        <w:pStyle w:val="Defstart"/>
      </w:pPr>
      <w:r>
        <w:rPr>
          <w:b/>
        </w:rPr>
        <w:tab/>
      </w:r>
      <w:del w:id="109" w:author="svcMRProcess" w:date="2015-12-09T18:04:00Z">
        <w:r>
          <w:rPr>
            <w:b/>
          </w:rPr>
          <w:delText>“</w:delText>
        </w:r>
      </w:del>
      <w:r>
        <w:rPr>
          <w:rStyle w:val="CharDefText"/>
        </w:rPr>
        <w:t>Corporation</w:t>
      </w:r>
      <w:del w:id="110" w:author="svcMRProcess" w:date="2015-12-09T18:04:00Z">
        <w:r>
          <w:rPr>
            <w:b/>
          </w:rPr>
          <w:delText>”</w:delText>
        </w:r>
      </w:del>
      <w:r>
        <w:t xml:space="preserve"> means the Coal Mining Industry (Long Service Leave) Corporation, established under the </w:t>
      </w:r>
      <w:r>
        <w:rPr>
          <w:i/>
        </w:rPr>
        <w:t>Coal Mining Industry (Long Service Leave Funding) Act 1992</w:t>
      </w:r>
      <w:r>
        <w:t xml:space="preserve"> of the Commonwealth;</w:t>
      </w:r>
    </w:p>
    <w:p>
      <w:pPr>
        <w:pStyle w:val="Defstart"/>
      </w:pPr>
      <w:r>
        <w:rPr>
          <w:b/>
        </w:rPr>
        <w:tab/>
      </w:r>
      <w:del w:id="111" w:author="svcMRProcess" w:date="2015-12-09T18:04:00Z">
        <w:r>
          <w:rPr>
            <w:b/>
          </w:rPr>
          <w:delText>“</w:delText>
        </w:r>
      </w:del>
      <w:r>
        <w:rPr>
          <w:rStyle w:val="CharDefText"/>
        </w:rPr>
        <w:t>Long Service Leave Fund</w:t>
      </w:r>
      <w:del w:id="112" w:author="svcMRProcess" w:date="2015-12-09T18:04:00Z">
        <w:r>
          <w:rPr>
            <w:b/>
          </w:rPr>
          <w:delText>”</w:delText>
        </w:r>
      </w:del>
      <w:r>
        <w:t xml:space="preserve"> means the Coal Mining Industry (Long Service Leave) Fund, established under the </w:t>
      </w:r>
      <w:r>
        <w:rPr>
          <w:i/>
        </w:rPr>
        <w:t>Coal Mining Industry (Long Service Leave Funding) Act 1992</w:t>
      </w:r>
      <w:r>
        <w:t xml:space="preserve"> of the Commonwealth.</w:t>
      </w:r>
    </w:p>
    <w:p>
      <w:pPr>
        <w:pStyle w:val="Footnotesection"/>
      </w:pPr>
      <w:r>
        <w:tab/>
        <w:t xml:space="preserve">[Section 10B inserted by No. 45 of 1994 s. 19.] </w:t>
      </w:r>
    </w:p>
    <w:p>
      <w:pPr>
        <w:pStyle w:val="Heading5"/>
        <w:rPr>
          <w:snapToGrid w:val="0"/>
        </w:rPr>
      </w:pPr>
      <w:bookmarkStart w:id="113" w:name="_Toc494852076"/>
      <w:bookmarkStart w:id="114" w:name="_Toc501513271"/>
      <w:bookmarkStart w:id="115" w:name="_Toc157837379"/>
      <w:bookmarkStart w:id="116" w:name="_Toc144178611"/>
      <w:r>
        <w:rPr>
          <w:rStyle w:val="CharSectno"/>
        </w:rPr>
        <w:t>11</w:t>
      </w:r>
      <w:r>
        <w:rPr>
          <w:snapToGrid w:val="0"/>
        </w:rPr>
        <w:t>.</w:t>
      </w:r>
      <w:r>
        <w:rPr>
          <w:snapToGrid w:val="0"/>
        </w:rPr>
        <w:tab/>
        <w:t>Power to invest</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117" w:name="_Toc494852077"/>
      <w:bookmarkStart w:id="118" w:name="_Toc501513272"/>
      <w:bookmarkStart w:id="119" w:name="_Toc157837380"/>
      <w:bookmarkStart w:id="120" w:name="_Toc144178612"/>
      <w:r>
        <w:rPr>
          <w:rStyle w:val="CharSectno"/>
        </w:rPr>
        <w:t>12</w:t>
      </w:r>
      <w:r>
        <w:rPr>
          <w:snapToGrid w:val="0"/>
        </w:rPr>
        <w:t>.</w:t>
      </w:r>
      <w:r>
        <w:rPr>
          <w:snapToGrid w:val="0"/>
        </w:rPr>
        <w:tab/>
        <w:t>Investment policy</w:t>
      </w:r>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121" w:name="_Toc494852078"/>
      <w:bookmarkStart w:id="122" w:name="_Toc501513273"/>
      <w:bookmarkStart w:id="123" w:name="_Toc157837381"/>
      <w:bookmarkStart w:id="124" w:name="_Toc144178613"/>
      <w:r>
        <w:rPr>
          <w:rStyle w:val="CharSectno"/>
        </w:rPr>
        <w:t>13</w:t>
      </w:r>
      <w:r>
        <w:rPr>
          <w:snapToGrid w:val="0"/>
        </w:rPr>
        <w:t>.</w:t>
      </w:r>
      <w:r>
        <w:rPr>
          <w:snapToGrid w:val="0"/>
        </w:rPr>
        <w:tab/>
        <w:t>Power to insure</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del w:id="125" w:author="svcMRProcess" w:date="2015-12-09T18:04:00Z">
        <w:r>
          <w:rPr>
            <w:b/>
          </w:rPr>
          <w:delText>“</w:delText>
        </w:r>
      </w:del>
      <w:r>
        <w:rPr>
          <w:rStyle w:val="CharDefText"/>
        </w:rPr>
        <w:t>effect</w:t>
      </w:r>
      <w:del w:id="126" w:author="svcMRProcess" w:date="2015-12-09T18:04:00Z">
        <w:r>
          <w:rPr>
            <w:b/>
          </w:rPr>
          <w:delText>”</w:delText>
        </w:r>
      </w:del>
      <w:r>
        <w:t xml:space="preserve"> includes acquire or take by assignment.</w:t>
      </w:r>
    </w:p>
    <w:p>
      <w:pPr>
        <w:pStyle w:val="Heading5"/>
        <w:spacing w:before="200"/>
        <w:rPr>
          <w:snapToGrid w:val="0"/>
        </w:rPr>
      </w:pPr>
      <w:bookmarkStart w:id="127" w:name="_Toc494852079"/>
      <w:bookmarkStart w:id="128" w:name="_Toc501513274"/>
      <w:bookmarkStart w:id="129" w:name="_Toc157837382"/>
      <w:bookmarkStart w:id="130" w:name="_Toc144178614"/>
      <w:r>
        <w:rPr>
          <w:rStyle w:val="CharSectno"/>
        </w:rPr>
        <w:t>14</w:t>
      </w:r>
      <w:r>
        <w:rPr>
          <w:snapToGrid w:val="0"/>
        </w:rPr>
        <w:t>.</w:t>
      </w:r>
      <w:r>
        <w:rPr>
          <w:snapToGrid w:val="0"/>
        </w:rPr>
        <w:tab/>
        <w:t>Board to have powers of trustee</w:t>
      </w:r>
      <w:bookmarkEnd w:id="127"/>
      <w:bookmarkEnd w:id="128"/>
      <w:bookmarkEnd w:id="129"/>
      <w:bookmarkEnd w:id="130"/>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131" w:name="_Toc494852080"/>
      <w:bookmarkStart w:id="132" w:name="_Toc501513275"/>
      <w:bookmarkStart w:id="133" w:name="_Toc157837383"/>
      <w:bookmarkStart w:id="134" w:name="_Toc144178615"/>
      <w:r>
        <w:rPr>
          <w:rStyle w:val="CharSectno"/>
        </w:rPr>
        <w:t>15</w:t>
      </w:r>
      <w:r>
        <w:rPr>
          <w:snapToGrid w:val="0"/>
        </w:rPr>
        <w:t>.</w:t>
      </w:r>
      <w:r>
        <w:rPr>
          <w:snapToGrid w:val="0"/>
        </w:rPr>
        <w:tab/>
        <w:t>Discretionary exercise of powers</w:t>
      </w:r>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135" w:name="_Toc494852081"/>
      <w:bookmarkStart w:id="136" w:name="_Toc501513276"/>
      <w:bookmarkStart w:id="137" w:name="_Toc157837384"/>
      <w:bookmarkStart w:id="138" w:name="_Toc144178616"/>
      <w:r>
        <w:rPr>
          <w:rStyle w:val="CharSectno"/>
        </w:rPr>
        <w:t>16</w:t>
      </w:r>
      <w:r>
        <w:rPr>
          <w:snapToGrid w:val="0"/>
        </w:rPr>
        <w:t>.</w:t>
      </w:r>
      <w:r>
        <w:rPr>
          <w:snapToGrid w:val="0"/>
        </w:rPr>
        <w:tab/>
        <w:t>Delegation</w:t>
      </w:r>
      <w:bookmarkEnd w:id="135"/>
      <w:bookmarkEnd w:id="136"/>
      <w:bookmarkEnd w:id="137"/>
      <w:bookmarkEnd w:id="138"/>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139" w:name="_Toc494852082"/>
      <w:bookmarkStart w:id="140" w:name="_Toc501513277"/>
      <w:bookmarkStart w:id="141" w:name="_Toc157837385"/>
      <w:bookmarkStart w:id="142" w:name="_Toc144178617"/>
      <w:r>
        <w:rPr>
          <w:rStyle w:val="CharSectno"/>
        </w:rPr>
        <w:t>17</w:t>
      </w:r>
      <w:r>
        <w:rPr>
          <w:snapToGrid w:val="0"/>
        </w:rPr>
        <w:t>.</w:t>
      </w:r>
      <w:r>
        <w:rPr>
          <w:snapToGrid w:val="0"/>
        </w:rPr>
        <w:tab/>
        <w:t>Power to make determinations</w:t>
      </w:r>
      <w:bookmarkEnd w:id="139"/>
      <w:bookmarkEnd w:id="140"/>
      <w:bookmarkEnd w:id="141"/>
      <w:bookmarkEnd w:id="142"/>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143" w:name="_Toc494852083"/>
      <w:bookmarkStart w:id="144" w:name="_Toc501513278"/>
      <w:bookmarkStart w:id="145" w:name="_Toc157837386"/>
      <w:bookmarkStart w:id="146" w:name="_Toc144178618"/>
      <w:r>
        <w:rPr>
          <w:rStyle w:val="CharSectno"/>
        </w:rPr>
        <w:t>18</w:t>
      </w:r>
      <w:r>
        <w:rPr>
          <w:snapToGrid w:val="0"/>
        </w:rPr>
        <w:t>.</w:t>
      </w:r>
      <w:r>
        <w:rPr>
          <w:snapToGrid w:val="0"/>
        </w:rPr>
        <w:tab/>
        <w:t>Appointment of investment managers</w:t>
      </w:r>
      <w:bookmarkEnd w:id="143"/>
      <w:bookmarkEnd w:id="144"/>
      <w:bookmarkEnd w:id="145"/>
      <w:bookmarkEnd w:id="146"/>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147" w:name="_Toc494852084"/>
      <w:bookmarkStart w:id="148" w:name="_Toc501513279"/>
      <w:bookmarkStart w:id="149" w:name="_Toc157837387"/>
      <w:bookmarkStart w:id="150" w:name="_Toc144178619"/>
      <w:r>
        <w:rPr>
          <w:rStyle w:val="CharSectno"/>
        </w:rPr>
        <w:t>19</w:t>
      </w:r>
      <w:r>
        <w:rPr>
          <w:snapToGrid w:val="0"/>
        </w:rPr>
        <w:t>.</w:t>
      </w:r>
      <w:r>
        <w:rPr>
          <w:snapToGrid w:val="0"/>
        </w:rPr>
        <w:tab/>
        <w:t>Appointment of Administration Manager</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151" w:name="_Toc157837388"/>
      <w:bookmarkStart w:id="152" w:name="_Toc144178620"/>
      <w:bookmarkStart w:id="153" w:name="_Toc494852086"/>
      <w:bookmarkStart w:id="154" w:name="_Toc501513281"/>
      <w:r>
        <w:rPr>
          <w:rStyle w:val="CharSectno"/>
        </w:rPr>
        <w:t>20</w:t>
      </w:r>
      <w:r>
        <w:t>.</w:t>
      </w:r>
      <w:r>
        <w:tab/>
        <w:t>Appointment of actuary</w:t>
      </w:r>
      <w:bookmarkEnd w:id="151"/>
      <w:bookmarkEnd w:id="152"/>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155" w:name="_Toc157837389"/>
      <w:bookmarkStart w:id="156" w:name="_Toc144178621"/>
      <w:r>
        <w:rPr>
          <w:rStyle w:val="CharSectno"/>
        </w:rPr>
        <w:t>21</w:t>
      </w:r>
      <w:r>
        <w:rPr>
          <w:snapToGrid w:val="0"/>
        </w:rPr>
        <w:t>.</w:t>
      </w:r>
      <w:r>
        <w:rPr>
          <w:snapToGrid w:val="0"/>
        </w:rPr>
        <w:tab/>
        <w:t>Officers of the Board</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bookmarkStart w:id="157" w:name="_Toc494852088"/>
      <w:bookmarkStart w:id="158" w:name="_Toc501513283"/>
      <w:r>
        <w:t>[</w:t>
      </w:r>
      <w:r>
        <w:rPr>
          <w:b/>
          <w:bCs/>
        </w:rPr>
        <w:t>22.</w:t>
      </w:r>
      <w:r>
        <w:tab/>
      </w:r>
      <w:del w:id="159" w:author="svcMRProcess" w:date="2015-12-09T18:04:00Z">
        <w:r>
          <w:delText>Repealed</w:delText>
        </w:r>
      </w:del>
      <w:ins w:id="160" w:author="svcMRProcess" w:date="2015-12-09T18:04:00Z">
        <w:r>
          <w:t>Deleted</w:t>
        </w:r>
      </w:ins>
      <w:r>
        <w:t xml:space="preserve"> by No. 16 of 2006 s. 9.]</w:t>
      </w:r>
    </w:p>
    <w:p>
      <w:pPr>
        <w:pStyle w:val="Heading5"/>
        <w:rPr>
          <w:snapToGrid w:val="0"/>
        </w:rPr>
      </w:pPr>
      <w:bookmarkStart w:id="161" w:name="_Toc157837390"/>
      <w:bookmarkStart w:id="162" w:name="_Toc144178622"/>
      <w:r>
        <w:rPr>
          <w:rStyle w:val="CharSectno"/>
        </w:rPr>
        <w:t>23</w:t>
      </w:r>
      <w:r>
        <w:rPr>
          <w:snapToGrid w:val="0"/>
        </w:rPr>
        <w:t>.</w:t>
      </w:r>
      <w:r>
        <w:rPr>
          <w:snapToGrid w:val="0"/>
        </w:rPr>
        <w:tab/>
        <w:t>Actuarial review</w:t>
      </w:r>
      <w:bookmarkEnd w:id="157"/>
      <w:bookmarkEnd w:id="158"/>
      <w:bookmarkEnd w:id="161"/>
      <w:bookmarkEnd w:id="162"/>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163" w:name="_Toc494852089"/>
      <w:bookmarkStart w:id="164" w:name="_Toc501513284"/>
      <w:bookmarkStart w:id="165" w:name="_Toc157837391"/>
      <w:bookmarkStart w:id="166" w:name="_Toc144178623"/>
      <w:r>
        <w:rPr>
          <w:rStyle w:val="CharSectno"/>
        </w:rPr>
        <w:t>24</w:t>
      </w:r>
      <w:r>
        <w:rPr>
          <w:snapToGrid w:val="0"/>
        </w:rPr>
        <w:t>.</w:t>
      </w:r>
      <w:r>
        <w:rPr>
          <w:snapToGrid w:val="0"/>
        </w:rPr>
        <w:tab/>
        <w:t>Advice to the Board</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167" w:name="_Toc494852090"/>
      <w:bookmarkStart w:id="168" w:name="_Toc501513285"/>
      <w:bookmarkStart w:id="169" w:name="_Toc157837392"/>
      <w:bookmarkStart w:id="170" w:name="_Toc144178624"/>
      <w:r>
        <w:rPr>
          <w:rStyle w:val="CharSectno"/>
        </w:rPr>
        <w:t>25</w:t>
      </w:r>
      <w:r>
        <w:rPr>
          <w:snapToGrid w:val="0"/>
        </w:rPr>
        <w:t>.</w:t>
      </w:r>
      <w:r>
        <w:rPr>
          <w:snapToGrid w:val="0"/>
        </w:rPr>
        <w:tab/>
        <w:t>Records</w:t>
      </w:r>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171" w:name="_Toc494852091"/>
      <w:bookmarkStart w:id="172" w:name="_Toc501513286"/>
      <w:bookmarkStart w:id="173" w:name="_Toc144178625"/>
      <w:bookmarkStart w:id="174" w:name="_Toc157837393"/>
      <w:r>
        <w:rPr>
          <w:rStyle w:val="CharSectno"/>
        </w:rPr>
        <w:t>26</w:t>
      </w:r>
      <w:r>
        <w:rPr>
          <w:snapToGrid w:val="0"/>
        </w:rPr>
        <w:t>.</w:t>
      </w:r>
      <w:r>
        <w:rPr>
          <w:snapToGrid w:val="0"/>
        </w:rPr>
        <w:tab/>
        <w:t xml:space="preserve">Application of </w:t>
      </w:r>
      <w:bookmarkEnd w:id="171"/>
      <w:bookmarkEnd w:id="172"/>
      <w:r>
        <w:rPr>
          <w:i/>
          <w:iCs/>
        </w:rPr>
        <w:t xml:space="preserve">Financial </w:t>
      </w:r>
      <w:del w:id="175" w:author="svcMRProcess" w:date="2015-12-09T18:04:00Z">
        <w:r>
          <w:rPr>
            <w:i/>
            <w:snapToGrid w:val="0"/>
          </w:rPr>
          <w:delText>Administration and Audit Act 1985</w:delText>
        </w:r>
        <w:bookmarkEnd w:id="173"/>
        <w:r>
          <w:rPr>
            <w:snapToGrid w:val="0"/>
          </w:rPr>
          <w:delText xml:space="preserve"> </w:delText>
        </w:r>
      </w:del>
      <w:ins w:id="176" w:author="svcMRProcess" w:date="2015-12-09T18:04:00Z">
        <w:r>
          <w:rPr>
            <w:i/>
            <w:iCs/>
          </w:rPr>
          <w:t>Management Act 2006</w:t>
        </w:r>
        <w:r>
          <w:t xml:space="preserve"> and </w:t>
        </w:r>
        <w:r>
          <w:rPr>
            <w:i/>
            <w:iCs/>
          </w:rPr>
          <w:t>Auditor General Act 2006</w:t>
        </w:r>
      </w:ins>
      <w:bookmarkEnd w:id="174"/>
    </w:p>
    <w:p>
      <w:pPr>
        <w:pStyle w:val="Subsection"/>
        <w:rPr>
          <w:snapToGrid w:val="0"/>
        </w:rPr>
      </w:pPr>
      <w:r>
        <w:rPr>
          <w:snapToGrid w:val="0"/>
        </w:rPr>
        <w:tab/>
      </w:r>
      <w:r>
        <w:rPr>
          <w:snapToGrid w:val="0"/>
        </w:rPr>
        <w:tab/>
        <w:t xml:space="preserve">The provisions of the </w:t>
      </w:r>
      <w:r>
        <w:rPr>
          <w:i/>
          <w:iCs/>
        </w:rPr>
        <w:t xml:space="preserve">Financial </w:t>
      </w:r>
      <w:del w:id="177" w:author="svcMRProcess" w:date="2015-12-09T18:04:00Z">
        <w:r>
          <w:rPr>
            <w:i/>
            <w:snapToGrid w:val="0"/>
          </w:rPr>
          <w:delText>Administration</w:delText>
        </w:r>
      </w:del>
      <w:ins w:id="178" w:author="svcMRProcess" w:date="2015-12-09T18:04:00Z">
        <w:r>
          <w:rPr>
            <w:i/>
            <w:iCs/>
          </w:rPr>
          <w:t>Management Act 2006</w:t>
        </w:r>
      </w:ins>
      <w:r>
        <w:t xml:space="preserve"> and </w:t>
      </w:r>
      <w:del w:id="179" w:author="svcMRProcess" w:date="2015-12-09T18:04:00Z">
        <w:r>
          <w:rPr>
            <w:i/>
            <w:snapToGrid w:val="0"/>
          </w:rPr>
          <w:delText>Audit</w:delText>
        </w:r>
      </w:del>
      <w:ins w:id="180" w:author="svcMRProcess" w:date="2015-12-09T18:04:00Z">
        <w:r>
          <w:t xml:space="preserve">the </w:t>
        </w:r>
        <w:r>
          <w:rPr>
            <w:i/>
            <w:iCs/>
          </w:rPr>
          <w:t>Auditor General</w:t>
        </w:r>
      </w:ins>
      <w:r>
        <w:rPr>
          <w:i/>
          <w:iCs/>
        </w:rPr>
        <w:t xml:space="preserve"> Act </w:t>
      </w:r>
      <w:del w:id="181" w:author="svcMRProcess" w:date="2015-12-09T18:04:00Z">
        <w:r>
          <w:rPr>
            <w:i/>
            <w:snapToGrid w:val="0"/>
          </w:rPr>
          <w:delText>1985</w:delText>
        </w:r>
      </w:del>
      <w:ins w:id="182" w:author="svcMRProcess" w:date="2015-12-09T18:04:00Z">
        <w:r>
          <w:rPr>
            <w:i/>
            <w:iCs/>
          </w:rPr>
          <w:t>2006</w:t>
        </w:r>
      </w:ins>
      <w:r>
        <w:rPr>
          <w:i/>
          <w:iCs/>
        </w:rPr>
        <w:t xml:space="preserve"> </w:t>
      </w:r>
      <w:r>
        <w:rPr>
          <w:snapToGrid w:val="0"/>
        </w:rPr>
        <w:t>regulating the financial administration, audit and reporting of statutory authorities apply to and in respect of the Board and its operations.</w:t>
      </w:r>
    </w:p>
    <w:p>
      <w:pPr>
        <w:pStyle w:val="Footnotesection"/>
        <w:rPr>
          <w:ins w:id="183" w:author="svcMRProcess" w:date="2015-12-09T18:04:00Z"/>
        </w:rPr>
      </w:pPr>
      <w:ins w:id="184" w:author="svcMRProcess" w:date="2015-12-09T18:04:00Z">
        <w:r>
          <w:tab/>
          <w:t>[Section 26 amended by No. 77 of 2006 s. 17.]</w:t>
        </w:r>
      </w:ins>
    </w:p>
    <w:p>
      <w:pPr>
        <w:pStyle w:val="Heading5"/>
        <w:rPr>
          <w:snapToGrid w:val="0"/>
        </w:rPr>
      </w:pPr>
      <w:bookmarkStart w:id="185" w:name="_Toc494852092"/>
      <w:bookmarkStart w:id="186" w:name="_Toc501513287"/>
      <w:bookmarkStart w:id="187" w:name="_Toc157837394"/>
      <w:bookmarkStart w:id="188" w:name="_Toc144178626"/>
      <w:r>
        <w:rPr>
          <w:rStyle w:val="CharSectno"/>
        </w:rPr>
        <w:t>27</w:t>
      </w:r>
      <w:r>
        <w:rPr>
          <w:snapToGrid w:val="0"/>
        </w:rPr>
        <w:t>.</w:t>
      </w:r>
      <w:r>
        <w:rPr>
          <w:snapToGrid w:val="0"/>
        </w:rPr>
        <w:tab/>
        <w:t>Accounts of delegates</w:t>
      </w:r>
      <w:bookmarkEnd w:id="185"/>
      <w:bookmarkEnd w:id="186"/>
      <w:bookmarkEnd w:id="187"/>
      <w:bookmarkEnd w:id="188"/>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del w:id="189" w:author="svcMRProcess" w:date="2015-12-09T18:04:00Z">
        <w:r>
          <w:rPr>
            <w:b/>
          </w:rPr>
          <w:delText>“</w:delText>
        </w:r>
      </w:del>
      <w:r>
        <w:rPr>
          <w:rStyle w:val="CharDefText"/>
        </w:rPr>
        <w:t>liabilities</w:t>
      </w:r>
      <w:del w:id="190" w:author="svcMRProcess" w:date="2015-12-09T18:04:00Z">
        <w:r>
          <w:rPr>
            <w:b/>
          </w:rPr>
          <w:delText>”</w:delText>
        </w:r>
      </w:del>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2"/>
      </w:pPr>
      <w:bookmarkStart w:id="191" w:name="_Toc135715638"/>
      <w:bookmarkStart w:id="192" w:name="_Toc135716417"/>
      <w:bookmarkStart w:id="193" w:name="_Toc135717521"/>
      <w:bookmarkStart w:id="194" w:name="_Toc135718326"/>
      <w:bookmarkStart w:id="195" w:name="_Toc138666579"/>
      <w:bookmarkStart w:id="196" w:name="_Toc139699542"/>
      <w:bookmarkStart w:id="197" w:name="_Toc141493953"/>
      <w:bookmarkStart w:id="198" w:name="_Toc141679425"/>
      <w:bookmarkStart w:id="199" w:name="_Toc144178627"/>
      <w:bookmarkStart w:id="200" w:name="_Toc157837395"/>
      <w:r>
        <w:rPr>
          <w:rStyle w:val="CharPartNo"/>
        </w:rPr>
        <w:t>Part 4</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94852093"/>
      <w:bookmarkStart w:id="202" w:name="_Toc501513288"/>
      <w:bookmarkStart w:id="203" w:name="_Toc157837396"/>
      <w:bookmarkStart w:id="204" w:name="_Toc144178628"/>
      <w:r>
        <w:rPr>
          <w:rStyle w:val="CharSectno"/>
        </w:rPr>
        <w:t>28</w:t>
      </w:r>
      <w:r>
        <w:rPr>
          <w:snapToGrid w:val="0"/>
        </w:rPr>
        <w:t>.</w:t>
      </w:r>
      <w:r>
        <w:rPr>
          <w:snapToGrid w:val="0"/>
        </w:rPr>
        <w:tab/>
        <w:t>Employer’s powers and liabilities in respect of termination not affected</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pPr>
        <w:pStyle w:val="Heading5"/>
        <w:rPr>
          <w:snapToGrid w:val="0"/>
        </w:rPr>
      </w:pPr>
      <w:bookmarkStart w:id="205" w:name="_Toc494852094"/>
      <w:bookmarkStart w:id="206" w:name="_Toc501513289"/>
      <w:bookmarkStart w:id="207" w:name="_Toc157837397"/>
      <w:bookmarkStart w:id="208" w:name="_Toc144178629"/>
      <w:r>
        <w:rPr>
          <w:rStyle w:val="CharSectno"/>
        </w:rPr>
        <w:t>29</w:t>
      </w:r>
      <w:r>
        <w:rPr>
          <w:snapToGrid w:val="0"/>
        </w:rPr>
        <w:t>.</w:t>
      </w:r>
      <w:r>
        <w:rPr>
          <w:snapToGrid w:val="0"/>
        </w:rPr>
        <w:tab/>
        <w:t>Members’ rights to compensation not to be affected</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pPr>
        <w:pStyle w:val="Heading5"/>
      </w:pPr>
      <w:bookmarkStart w:id="209" w:name="_Toc157837398"/>
      <w:bookmarkStart w:id="210" w:name="_Toc144178630"/>
      <w:bookmarkStart w:id="211" w:name="_Toc494852095"/>
      <w:bookmarkStart w:id="212" w:name="_Toc501513290"/>
      <w:r>
        <w:rPr>
          <w:rStyle w:val="CharSectno"/>
        </w:rPr>
        <w:t>29A</w:t>
      </w:r>
      <w:r>
        <w:t>.</w:t>
      </w:r>
      <w:r>
        <w:tab/>
      </w:r>
      <w:r>
        <w:rPr>
          <w:i/>
          <w:iCs/>
        </w:rPr>
        <w:t>Unclaimed Money Act 1990</w:t>
      </w:r>
      <w:r>
        <w:t xml:space="preserve"> does not apply to unclaimed benefits</w:t>
      </w:r>
      <w:bookmarkEnd w:id="209"/>
      <w:bookmarkEnd w:id="210"/>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213" w:name="_Toc157837399"/>
      <w:bookmarkStart w:id="214" w:name="_Toc144178631"/>
      <w:r>
        <w:rPr>
          <w:rStyle w:val="CharSectno"/>
        </w:rPr>
        <w:t>30</w:t>
      </w:r>
      <w:r>
        <w:rPr>
          <w:snapToGrid w:val="0"/>
        </w:rPr>
        <w:t>.</w:t>
      </w:r>
      <w:r>
        <w:rPr>
          <w:snapToGrid w:val="0"/>
        </w:rPr>
        <w:tab/>
        <w:t>General meeting of members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215" w:name="_Toc494852096"/>
      <w:bookmarkStart w:id="216" w:name="_Toc501513291"/>
      <w:bookmarkStart w:id="217" w:name="_Toc157837400"/>
      <w:bookmarkStart w:id="218" w:name="_Toc144178632"/>
      <w:r>
        <w:rPr>
          <w:rStyle w:val="CharSectno"/>
        </w:rPr>
        <w:t>31</w:t>
      </w:r>
      <w:r>
        <w:rPr>
          <w:snapToGrid w:val="0"/>
        </w:rPr>
        <w:t>.</w:t>
      </w:r>
      <w:r>
        <w:rPr>
          <w:snapToGrid w:val="0"/>
        </w:rPr>
        <w:tab/>
        <w:t>Regulations</w:t>
      </w:r>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pPr>
        <w:pStyle w:val="Indenta"/>
      </w:pPr>
      <w:r>
        <w:tab/>
        <w:t>(a)</w:t>
      </w:r>
      <w:r>
        <w:tab/>
        <w:t>providing for membership of the Fund, for different categories of membership and for the continuity and cessation of membership;</w:t>
      </w:r>
    </w:p>
    <w:p>
      <w:pPr>
        <w:pStyle w:val="Indenta"/>
        <w:rPr>
          <w:snapToGrid w:val="0"/>
        </w:rPr>
      </w:pPr>
      <w:r>
        <w:rPr>
          <w:snapToGrid w:val="0"/>
        </w:rPr>
        <w:tab/>
        <w:t>(b)</w:t>
      </w:r>
      <w:r>
        <w:rPr>
          <w:snapToGrid w:val="0"/>
        </w:rPr>
        <w:tab/>
        <w:t>as to contributions to the Fund;</w:t>
      </w:r>
    </w:p>
    <w:p>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pPr>
        <w:pStyle w:val="Indenta"/>
        <w:rPr>
          <w:snapToGrid w:val="0"/>
        </w:rPr>
      </w:pPr>
      <w:r>
        <w:rPr>
          <w:snapToGrid w:val="0"/>
        </w:rPr>
        <w:tab/>
        <w:t>(e)</w:t>
      </w:r>
      <w:r>
        <w:rPr>
          <w:snapToGrid w:val="0"/>
        </w:rPr>
        <w:tab/>
        <w:t>providing for the transfer of persons to or from other superannuation or like funds or schemes;</w:t>
      </w:r>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providing for any other matter necessary to achieve compliance with the SIS Act.</w:t>
      </w:r>
    </w:p>
    <w:p>
      <w:pPr>
        <w:pStyle w:val="Footnotesection"/>
      </w:pPr>
      <w:r>
        <w:tab/>
        <w:t xml:space="preserve">[Section 31 amended by No. 46 of 1995 s. 15; No. 16 of 2006 s. 11.] </w:t>
      </w:r>
    </w:p>
    <w:p>
      <w:pPr>
        <w:pStyle w:val="Heading5"/>
        <w:rPr>
          <w:snapToGrid w:val="0"/>
        </w:rPr>
      </w:pPr>
      <w:bookmarkStart w:id="219" w:name="_Toc494852097"/>
      <w:bookmarkStart w:id="220" w:name="_Toc501513292"/>
      <w:bookmarkStart w:id="221" w:name="_Toc157837401"/>
      <w:bookmarkStart w:id="222" w:name="_Toc144178633"/>
      <w:r>
        <w:rPr>
          <w:rStyle w:val="CharSectno"/>
        </w:rPr>
        <w:t>32</w:t>
      </w:r>
      <w:r>
        <w:rPr>
          <w:snapToGrid w:val="0"/>
        </w:rPr>
        <w:t>.</w:t>
      </w:r>
      <w:r>
        <w:rPr>
          <w:snapToGrid w:val="0"/>
        </w:rPr>
        <w:tab/>
        <w:t>Review of Act</w:t>
      </w:r>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w:t>
      </w:r>
    </w:p>
    <w:p>
      <w:pPr>
        <w:pStyle w:val="Heading2"/>
      </w:pPr>
      <w:bookmarkStart w:id="223" w:name="_Toc135715644"/>
      <w:bookmarkStart w:id="224" w:name="_Toc135716423"/>
      <w:bookmarkStart w:id="225" w:name="_Toc135717527"/>
      <w:bookmarkStart w:id="226" w:name="_Toc135718332"/>
      <w:bookmarkStart w:id="227" w:name="_Toc138666586"/>
      <w:bookmarkStart w:id="228" w:name="_Toc139699549"/>
      <w:bookmarkStart w:id="229" w:name="_Toc141493960"/>
      <w:bookmarkStart w:id="230" w:name="_Toc141679432"/>
      <w:bookmarkStart w:id="231" w:name="_Toc144178634"/>
      <w:bookmarkStart w:id="232" w:name="_Toc157837402"/>
      <w:r>
        <w:rPr>
          <w:rStyle w:val="CharPartNo"/>
        </w:rPr>
        <w:t>Part 5</w:t>
      </w:r>
      <w:r>
        <w:rPr>
          <w:rStyle w:val="CharDivNo"/>
        </w:rPr>
        <w:t> </w:t>
      </w:r>
      <w:r>
        <w:t>—</w:t>
      </w:r>
      <w:r>
        <w:rPr>
          <w:rStyle w:val="CharDivText"/>
        </w:rPr>
        <w:t> </w:t>
      </w:r>
      <w:r>
        <w:rPr>
          <w:rStyle w:val="CharPartText"/>
        </w:rPr>
        <w:t>Consequential, repeal and transitional provisions</w:t>
      </w:r>
      <w:bookmarkEnd w:id="223"/>
      <w:bookmarkEnd w:id="224"/>
      <w:bookmarkEnd w:id="225"/>
      <w:bookmarkEnd w:id="226"/>
      <w:bookmarkEnd w:id="227"/>
      <w:bookmarkEnd w:id="228"/>
      <w:bookmarkEnd w:id="229"/>
      <w:bookmarkEnd w:id="230"/>
      <w:bookmarkEnd w:id="231"/>
      <w:bookmarkEnd w:id="232"/>
      <w:r>
        <w:rPr>
          <w:rStyle w:val="CharPartText"/>
        </w:rPr>
        <w:t xml:space="preserve"> </w:t>
      </w:r>
    </w:p>
    <w:p>
      <w:pPr>
        <w:pStyle w:val="Ednotesection"/>
      </w:pPr>
      <w:r>
        <w:t>[</w:t>
      </w:r>
      <w:r>
        <w:rPr>
          <w:b/>
          <w:bCs/>
        </w:rPr>
        <w:t>33.</w:t>
      </w:r>
      <w:r>
        <w:tab/>
        <w:t>Omitted under the Reprints Act 1984 s. 7(4)(e).]</w:t>
      </w:r>
    </w:p>
    <w:p>
      <w:pPr>
        <w:pStyle w:val="Ednotesection"/>
      </w:pPr>
      <w:r>
        <w:t>[</w:t>
      </w:r>
      <w:r>
        <w:rPr>
          <w:b/>
          <w:bCs/>
        </w:rPr>
        <w:t>34.</w:t>
      </w:r>
      <w:r>
        <w:tab/>
        <w:t xml:space="preserve">Omitted under the Reprints Act 1984 s. 7(4)(f).] </w:t>
      </w:r>
    </w:p>
    <w:p>
      <w:pPr>
        <w:pStyle w:val="Heading5"/>
        <w:rPr>
          <w:snapToGrid w:val="0"/>
        </w:rPr>
      </w:pPr>
      <w:bookmarkStart w:id="233" w:name="_Toc494852100"/>
      <w:bookmarkStart w:id="234" w:name="_Toc501513295"/>
      <w:bookmarkStart w:id="235" w:name="_Toc157837403"/>
      <w:bookmarkStart w:id="236" w:name="_Toc144178635"/>
      <w:r>
        <w:rPr>
          <w:rStyle w:val="CharSectno"/>
        </w:rPr>
        <w:t>35</w:t>
      </w:r>
      <w:r>
        <w:rPr>
          <w:snapToGrid w:val="0"/>
        </w:rPr>
        <w:t>.</w:t>
      </w:r>
      <w:r>
        <w:rPr>
          <w:snapToGrid w:val="0"/>
        </w:rPr>
        <w:tab/>
        <w:t>Transitional</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Schedule 3 has effect.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37" w:name="_Toc135715646"/>
      <w:bookmarkStart w:id="238" w:name="_Toc135716425"/>
      <w:bookmarkStart w:id="239" w:name="_Toc135717529"/>
      <w:bookmarkStart w:id="240" w:name="_Toc135718334"/>
      <w:bookmarkStart w:id="241" w:name="_Toc138666588"/>
      <w:bookmarkStart w:id="242" w:name="_Toc139699551"/>
      <w:bookmarkStart w:id="243" w:name="_Toc141493962"/>
      <w:bookmarkStart w:id="244" w:name="_Toc141679434"/>
      <w:bookmarkStart w:id="245" w:name="_Toc144178636"/>
      <w:bookmarkStart w:id="246" w:name="_Toc157837404"/>
      <w:r>
        <w:rPr>
          <w:rStyle w:val="CharSchNo"/>
        </w:rPr>
        <w:t>Schedule 1</w:t>
      </w:r>
      <w:bookmarkEnd w:id="237"/>
      <w:bookmarkEnd w:id="238"/>
      <w:bookmarkEnd w:id="239"/>
      <w:bookmarkEnd w:id="240"/>
      <w:bookmarkEnd w:id="241"/>
      <w:bookmarkEnd w:id="242"/>
      <w:bookmarkEnd w:id="243"/>
      <w:bookmarkEnd w:id="244"/>
      <w:bookmarkEnd w:id="245"/>
      <w:bookmarkEnd w:id="246"/>
    </w:p>
    <w:p>
      <w:pPr>
        <w:pStyle w:val="yShoulderClause"/>
        <w:rPr>
          <w:snapToGrid w:val="0"/>
        </w:rPr>
      </w:pPr>
      <w:r>
        <w:rPr>
          <w:snapToGrid w:val="0"/>
        </w:rPr>
        <w:t>[s. 3]</w:t>
      </w:r>
    </w:p>
    <w:p>
      <w:pPr>
        <w:pStyle w:val="yHeading2"/>
      </w:pPr>
      <w:bookmarkStart w:id="247" w:name="_Toc144178637"/>
      <w:bookmarkStart w:id="248" w:name="_Toc157837405"/>
      <w:r>
        <w:rPr>
          <w:rStyle w:val="CharSchText"/>
        </w:rPr>
        <w:t>Employers</w:t>
      </w:r>
      <w:bookmarkEnd w:id="247"/>
      <w:bookmarkEnd w:id="248"/>
    </w:p>
    <w:p>
      <w:pPr>
        <w:pStyle w:val="yNumberedItem"/>
        <w:rPr>
          <w:snapToGrid w:val="0"/>
        </w:rPr>
      </w:pPr>
      <w:r>
        <w:rPr>
          <w:snapToGrid w:val="0"/>
        </w:rPr>
        <w:tab/>
        <w:t>Griffin Coal Mining Pty Limited</w:t>
      </w:r>
    </w:p>
    <w:p>
      <w:pPr>
        <w:pStyle w:val="yNumberedItem"/>
        <w:rPr>
          <w:snapToGrid w:val="0"/>
        </w:rPr>
      </w:pPr>
      <w:r>
        <w:tab/>
        <w:t>Chamber of Commerce and Industry</w:t>
      </w:r>
    </w:p>
    <w:p>
      <w:pPr>
        <w:pStyle w:val="yNumberedItem"/>
        <w:rPr>
          <w:snapToGrid w:val="0"/>
        </w:rPr>
      </w:pPr>
      <w:r>
        <w:rPr>
          <w:snapToGrid w:val="0"/>
        </w:rPr>
        <w:tab/>
        <w:t>The Board</w:t>
      </w:r>
    </w:p>
    <w:p>
      <w:pPr>
        <w:pStyle w:val="yNumberedItem"/>
        <w:rPr>
          <w:snapToGrid w:val="0"/>
        </w:rPr>
      </w:pPr>
      <w:r>
        <w:tab/>
        <w:t>Wesfarmers Premier Coal Limited</w:t>
      </w:r>
    </w:p>
    <w:p>
      <w:pPr>
        <w:pStyle w:val="yFootnotesection"/>
      </w:pPr>
      <w:r>
        <w:tab/>
        <w:t>[Schedule 1 amended by No. 46 of 1995 s. 16; No. 16 of 2006 s. 13; amended in Gazette 29 Sep 2000 p. 5535.]</w:t>
      </w:r>
    </w:p>
    <w:p>
      <w:pPr>
        <w:sectPr>
          <w:headerReference w:type="even" r:id="rId22"/>
          <w:headerReference w:type="default" r:id="rId23"/>
          <w:headerReference w:type="first" r:id="rId24"/>
          <w:pgSz w:w="11906" w:h="16838" w:code="9"/>
          <w:pgMar w:top="2381" w:right="2410" w:bottom="3544" w:left="2410" w:header="720" w:footer="3380" w:gutter="0"/>
          <w:cols w:space="720"/>
          <w:noEndnote/>
          <w:docGrid w:linePitch="326"/>
        </w:sectPr>
      </w:pPr>
      <w:bookmarkStart w:id="249" w:name="_Toc135715647"/>
      <w:bookmarkStart w:id="250" w:name="_Toc135716426"/>
      <w:bookmarkStart w:id="251" w:name="_Toc135717530"/>
      <w:bookmarkStart w:id="252" w:name="_Toc135718335"/>
    </w:p>
    <w:p>
      <w:pPr>
        <w:pStyle w:val="yScheduleHeading"/>
      </w:pPr>
      <w:bookmarkStart w:id="253" w:name="_Toc138666589"/>
      <w:bookmarkStart w:id="254" w:name="_Toc139699552"/>
      <w:bookmarkStart w:id="255" w:name="_Toc141493963"/>
      <w:bookmarkStart w:id="256" w:name="_Toc141679435"/>
      <w:bookmarkStart w:id="257" w:name="_Toc144178638"/>
      <w:bookmarkStart w:id="258" w:name="_Toc157837406"/>
      <w:r>
        <w:rPr>
          <w:rStyle w:val="CharSchNo"/>
        </w:rPr>
        <w:t>Schedule 2</w:t>
      </w:r>
      <w:bookmarkEnd w:id="249"/>
      <w:bookmarkEnd w:id="250"/>
      <w:bookmarkEnd w:id="251"/>
      <w:bookmarkEnd w:id="252"/>
      <w:bookmarkEnd w:id="253"/>
      <w:bookmarkEnd w:id="254"/>
      <w:bookmarkEnd w:id="255"/>
      <w:bookmarkEnd w:id="256"/>
      <w:bookmarkEnd w:id="257"/>
      <w:bookmarkEnd w:id="258"/>
    </w:p>
    <w:p>
      <w:pPr>
        <w:pStyle w:val="yShoulderClause"/>
        <w:rPr>
          <w:snapToGrid w:val="0"/>
        </w:rPr>
      </w:pPr>
      <w:r>
        <w:rPr>
          <w:snapToGrid w:val="0"/>
        </w:rPr>
        <w:t>[s. 8]</w:t>
      </w:r>
    </w:p>
    <w:p>
      <w:pPr>
        <w:pStyle w:val="yHeading2"/>
      </w:pPr>
      <w:bookmarkStart w:id="259" w:name="_Toc141493964"/>
      <w:bookmarkStart w:id="260" w:name="_Toc141679436"/>
      <w:bookmarkStart w:id="261" w:name="_Toc144178639"/>
      <w:bookmarkStart w:id="262" w:name="_Toc157837407"/>
      <w:r>
        <w:rPr>
          <w:rStyle w:val="CharSchText"/>
        </w:rPr>
        <w:t>Provisions as to Board</w:t>
      </w:r>
      <w:bookmarkEnd w:id="259"/>
      <w:bookmarkEnd w:id="260"/>
      <w:bookmarkEnd w:id="261"/>
      <w:bookmarkEnd w:id="262"/>
    </w:p>
    <w:p>
      <w:pPr>
        <w:pStyle w:val="yHeading5"/>
        <w:outlineLvl w:val="9"/>
        <w:rPr>
          <w:snapToGrid w:val="0"/>
        </w:rPr>
      </w:pPr>
      <w:bookmarkStart w:id="263" w:name="_Toc501513296"/>
      <w:bookmarkStart w:id="264" w:name="_Toc157837408"/>
      <w:bookmarkStart w:id="265" w:name="_Toc144178640"/>
      <w:r>
        <w:rPr>
          <w:rStyle w:val="CharSClsNo"/>
        </w:rPr>
        <w:t>1</w:t>
      </w:r>
      <w:r>
        <w:rPr>
          <w:snapToGrid w:val="0"/>
        </w:rPr>
        <w:t>.</w:t>
      </w:r>
      <w:r>
        <w:rPr>
          <w:snapToGrid w:val="0"/>
        </w:rPr>
        <w:tab/>
        <w:t>Interpretation</w:t>
      </w:r>
      <w:bookmarkEnd w:id="263"/>
      <w:bookmarkEnd w:id="264"/>
      <w:bookmarkEnd w:id="265"/>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del w:id="266" w:author="svcMRProcess" w:date="2015-12-09T18:04:00Z">
        <w:r>
          <w:rPr>
            <w:b/>
          </w:rPr>
          <w:delText>“</w:delText>
        </w:r>
      </w:del>
      <w:r>
        <w:rPr>
          <w:rStyle w:val="CharDefText"/>
        </w:rPr>
        <w:t>appointed member</w:t>
      </w:r>
      <w:del w:id="267" w:author="svcMRProcess" w:date="2015-12-09T18:04:00Z">
        <w:r>
          <w:rPr>
            <w:b/>
          </w:rPr>
          <w:delText>”</w:delText>
        </w:r>
      </w:del>
      <w:r>
        <w:t xml:space="preserve"> means a member of the Board appointed by the employers and includes an alternate member so appointed;</w:t>
      </w:r>
    </w:p>
    <w:p>
      <w:pPr>
        <w:pStyle w:val="yDefstart"/>
      </w:pPr>
      <w:r>
        <w:rPr>
          <w:b/>
        </w:rPr>
        <w:tab/>
      </w:r>
      <w:del w:id="268" w:author="svcMRProcess" w:date="2015-12-09T18:04:00Z">
        <w:r>
          <w:rPr>
            <w:b/>
          </w:rPr>
          <w:delText>“</w:delText>
        </w:r>
      </w:del>
      <w:r>
        <w:rPr>
          <w:rStyle w:val="CharDefText"/>
        </w:rPr>
        <w:t>elected member</w:t>
      </w:r>
      <w:del w:id="269" w:author="svcMRProcess" w:date="2015-12-09T18:04:00Z">
        <w:r>
          <w:rPr>
            <w:b/>
          </w:rPr>
          <w:delText>”</w:delText>
        </w:r>
      </w:del>
      <w:r>
        <w:t xml:space="preserve"> means a member of the Board elected by the members of the Fund and includes an alternate member so elected.</w:t>
      </w:r>
    </w:p>
    <w:p>
      <w:pPr>
        <w:pStyle w:val="yHeading5"/>
        <w:outlineLvl w:val="9"/>
        <w:rPr>
          <w:snapToGrid w:val="0"/>
        </w:rPr>
      </w:pPr>
      <w:bookmarkStart w:id="270" w:name="_Toc501513297"/>
      <w:bookmarkStart w:id="271" w:name="_Toc157837409"/>
      <w:bookmarkStart w:id="272" w:name="_Toc144178641"/>
      <w:r>
        <w:rPr>
          <w:rStyle w:val="CharSClsNo"/>
        </w:rPr>
        <w:t>2</w:t>
      </w:r>
      <w:r>
        <w:rPr>
          <w:snapToGrid w:val="0"/>
        </w:rPr>
        <w:t>.</w:t>
      </w:r>
      <w:r>
        <w:rPr>
          <w:snapToGrid w:val="0"/>
        </w:rPr>
        <w:tab/>
        <w:t>Elections</w:t>
      </w:r>
      <w:bookmarkEnd w:id="270"/>
      <w:bookmarkEnd w:id="271"/>
      <w:bookmarkEnd w:id="272"/>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273" w:name="_Toc501513298"/>
      <w:bookmarkStart w:id="274" w:name="_Toc157837410"/>
      <w:bookmarkStart w:id="275" w:name="_Toc144178642"/>
      <w:r>
        <w:rPr>
          <w:rStyle w:val="CharSClsNo"/>
        </w:rPr>
        <w:t>3</w:t>
      </w:r>
      <w:r>
        <w:rPr>
          <w:snapToGrid w:val="0"/>
        </w:rPr>
        <w:t>.</w:t>
      </w:r>
      <w:r>
        <w:rPr>
          <w:snapToGrid w:val="0"/>
        </w:rPr>
        <w:tab/>
        <w:t>Appointments</w:t>
      </w:r>
      <w:bookmarkEnd w:id="273"/>
      <w:bookmarkEnd w:id="274"/>
      <w:bookmarkEnd w:id="275"/>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276" w:name="_Toc501513299"/>
      <w:bookmarkStart w:id="277" w:name="_Toc157837411"/>
      <w:bookmarkStart w:id="278" w:name="_Toc144178643"/>
      <w:r>
        <w:rPr>
          <w:rStyle w:val="CharSClsNo"/>
        </w:rPr>
        <w:t>4</w:t>
      </w:r>
      <w:r>
        <w:rPr>
          <w:snapToGrid w:val="0"/>
        </w:rPr>
        <w:t>.</w:t>
      </w:r>
      <w:r>
        <w:rPr>
          <w:snapToGrid w:val="0"/>
        </w:rPr>
        <w:tab/>
        <w:t>Terms of office</w:t>
      </w:r>
      <w:bookmarkEnd w:id="276"/>
      <w:bookmarkEnd w:id="277"/>
      <w:bookmarkEnd w:id="278"/>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279" w:name="_Toc501513300"/>
      <w:bookmarkStart w:id="280" w:name="_Toc157837412"/>
      <w:bookmarkStart w:id="281" w:name="_Toc144178644"/>
      <w:r>
        <w:rPr>
          <w:rStyle w:val="CharSClsNo"/>
        </w:rPr>
        <w:t>5</w:t>
      </w:r>
      <w:r>
        <w:rPr>
          <w:snapToGrid w:val="0"/>
        </w:rPr>
        <w:t>.</w:t>
      </w:r>
      <w:r>
        <w:rPr>
          <w:snapToGrid w:val="0"/>
        </w:rPr>
        <w:tab/>
        <w:t>Publication</w:t>
      </w:r>
      <w:bookmarkEnd w:id="279"/>
      <w:bookmarkEnd w:id="280"/>
      <w:bookmarkEnd w:id="281"/>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282" w:name="_Toc501513301"/>
      <w:bookmarkStart w:id="283" w:name="_Toc157837413"/>
      <w:bookmarkStart w:id="284" w:name="_Toc144178645"/>
      <w:r>
        <w:rPr>
          <w:rStyle w:val="CharSClsNo"/>
        </w:rPr>
        <w:t>6</w:t>
      </w:r>
      <w:r>
        <w:rPr>
          <w:snapToGrid w:val="0"/>
        </w:rPr>
        <w:t xml:space="preserve">. </w:t>
      </w:r>
      <w:r>
        <w:rPr>
          <w:snapToGrid w:val="0"/>
        </w:rPr>
        <w:tab/>
        <w:t>How vacancies occur</w:t>
      </w:r>
      <w:bookmarkEnd w:id="282"/>
      <w:bookmarkEnd w:id="283"/>
      <w:bookmarkEnd w:id="284"/>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del w:id="285" w:author="svcMRProcess" w:date="2015-12-09T18:04:00Z">
        <w:r>
          <w:rPr>
            <w:b/>
          </w:rPr>
          <w:delText>“</w:delText>
        </w:r>
      </w:del>
      <w:r>
        <w:rPr>
          <w:rStyle w:val="CharDefText"/>
        </w:rPr>
        <w:t>member</w:t>
      </w:r>
      <w:del w:id="286" w:author="svcMRProcess" w:date="2015-12-09T18:04:00Z">
        <w:r>
          <w:rPr>
            <w:b/>
          </w:rPr>
          <w:delText>”</w:delText>
        </w:r>
      </w:del>
      <w:r>
        <w:t xml:space="preserve"> includes an alternate member of the Board.</w:t>
      </w:r>
    </w:p>
    <w:p>
      <w:pPr>
        <w:pStyle w:val="yFootnotesection"/>
      </w:pPr>
      <w:r>
        <w:tab/>
        <w:t>[Clause 6 inserted by No. 46 of 1995 s. 17.]</w:t>
      </w:r>
    </w:p>
    <w:p>
      <w:pPr>
        <w:pStyle w:val="yHeading5"/>
        <w:outlineLvl w:val="9"/>
        <w:rPr>
          <w:snapToGrid w:val="0"/>
        </w:rPr>
      </w:pPr>
      <w:bookmarkStart w:id="287" w:name="_Toc501513302"/>
      <w:bookmarkStart w:id="288" w:name="_Toc157837414"/>
      <w:bookmarkStart w:id="289" w:name="_Toc144178646"/>
      <w:r>
        <w:rPr>
          <w:rStyle w:val="CharSClsNo"/>
        </w:rPr>
        <w:t>6A</w:t>
      </w:r>
      <w:r>
        <w:rPr>
          <w:snapToGrid w:val="0"/>
        </w:rPr>
        <w:t xml:space="preserve">. </w:t>
      </w:r>
      <w:r>
        <w:rPr>
          <w:snapToGrid w:val="0"/>
        </w:rPr>
        <w:tab/>
        <w:t>Vacancies to be filled within certain period</w:t>
      </w:r>
      <w:bookmarkEnd w:id="287"/>
      <w:bookmarkEnd w:id="288"/>
      <w:bookmarkEnd w:id="289"/>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bookmarkStart w:id="290" w:name="_Toc501513303"/>
      <w:r>
        <w:tab/>
        <w:t>[Clause 6A inserted by No. 46 of 1995 s. 17.]</w:t>
      </w:r>
    </w:p>
    <w:p>
      <w:pPr>
        <w:pStyle w:val="yHeading5"/>
        <w:outlineLvl w:val="9"/>
        <w:rPr>
          <w:snapToGrid w:val="0"/>
        </w:rPr>
      </w:pPr>
      <w:bookmarkStart w:id="291" w:name="_Toc157837415"/>
      <w:bookmarkStart w:id="292" w:name="_Toc144178647"/>
      <w:r>
        <w:rPr>
          <w:rStyle w:val="CharSClsNo"/>
        </w:rPr>
        <w:t>7</w:t>
      </w:r>
      <w:r>
        <w:rPr>
          <w:snapToGrid w:val="0"/>
        </w:rPr>
        <w:t xml:space="preserve">. </w:t>
      </w:r>
      <w:r>
        <w:rPr>
          <w:snapToGrid w:val="0"/>
        </w:rPr>
        <w:tab/>
        <w:t>Alternate members</w:t>
      </w:r>
      <w:bookmarkEnd w:id="290"/>
      <w:bookmarkEnd w:id="291"/>
      <w:bookmarkEnd w:id="292"/>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293" w:name="_Toc501513304"/>
      <w:bookmarkStart w:id="294" w:name="_Toc157837416"/>
      <w:bookmarkStart w:id="295" w:name="_Toc144178648"/>
      <w:r>
        <w:rPr>
          <w:rStyle w:val="CharSClsNo"/>
        </w:rPr>
        <w:t>8</w:t>
      </w:r>
      <w:r>
        <w:rPr>
          <w:snapToGrid w:val="0"/>
        </w:rPr>
        <w:t>.</w:t>
      </w:r>
      <w:r>
        <w:rPr>
          <w:snapToGrid w:val="0"/>
        </w:rPr>
        <w:tab/>
        <w:t>Meetings of the Board</w:t>
      </w:r>
      <w:bookmarkEnd w:id="293"/>
      <w:bookmarkEnd w:id="294"/>
      <w:bookmarkEnd w:id="295"/>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r>
      <w:del w:id="296" w:author="svcMRProcess" w:date="2015-12-09T18:04:00Z">
        <w:r>
          <w:delText>Repealed</w:delText>
        </w:r>
      </w:del>
      <w:ins w:id="297" w:author="svcMRProcess" w:date="2015-12-09T18:04:00Z">
        <w:r>
          <w:t>Deleted</w:t>
        </w:r>
      </w:ins>
      <w:r>
        <w:t xml:space="preserve"> by No. 46 of 1995 s. 17.]</w:t>
      </w:r>
    </w:p>
    <w:p>
      <w:pPr>
        <w:pStyle w:val="yHeading5"/>
        <w:outlineLvl w:val="9"/>
        <w:rPr>
          <w:snapToGrid w:val="0"/>
        </w:rPr>
      </w:pPr>
      <w:bookmarkStart w:id="298" w:name="_Toc501513305"/>
      <w:bookmarkStart w:id="299" w:name="_Toc157837417"/>
      <w:bookmarkStart w:id="300" w:name="_Toc144178649"/>
      <w:r>
        <w:rPr>
          <w:rStyle w:val="CharSClsNo"/>
        </w:rPr>
        <w:t>10</w:t>
      </w:r>
      <w:r>
        <w:rPr>
          <w:snapToGrid w:val="0"/>
        </w:rPr>
        <w:t>.</w:t>
      </w:r>
      <w:r>
        <w:rPr>
          <w:snapToGrid w:val="0"/>
        </w:rPr>
        <w:tab/>
        <w:t>Performance of functions by resolution</w:t>
      </w:r>
      <w:bookmarkEnd w:id="298"/>
      <w:bookmarkEnd w:id="299"/>
      <w:bookmarkEnd w:id="300"/>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301" w:name="_Toc501513306"/>
      <w:bookmarkStart w:id="302" w:name="_Toc157837418"/>
      <w:bookmarkStart w:id="303" w:name="_Toc144178650"/>
      <w:r>
        <w:rPr>
          <w:rStyle w:val="CharSClsNo"/>
        </w:rPr>
        <w:t>11</w:t>
      </w:r>
      <w:r>
        <w:rPr>
          <w:snapToGrid w:val="0"/>
        </w:rPr>
        <w:t>.</w:t>
      </w:r>
      <w:r>
        <w:rPr>
          <w:snapToGrid w:val="0"/>
        </w:rPr>
        <w:tab/>
        <w:t>Disclosure of interest</w:t>
      </w:r>
      <w:bookmarkEnd w:id="301"/>
      <w:bookmarkEnd w:id="302"/>
      <w:bookmarkEnd w:id="303"/>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304" w:name="_Toc501513307"/>
      <w:bookmarkStart w:id="305" w:name="_Toc157837419"/>
      <w:bookmarkStart w:id="306" w:name="_Toc144178651"/>
      <w:r>
        <w:rPr>
          <w:rStyle w:val="CharSClsNo"/>
        </w:rPr>
        <w:t>12</w:t>
      </w:r>
      <w:r>
        <w:rPr>
          <w:snapToGrid w:val="0"/>
        </w:rPr>
        <w:t>.</w:t>
      </w:r>
      <w:r>
        <w:rPr>
          <w:snapToGrid w:val="0"/>
        </w:rPr>
        <w:tab/>
        <w:t>Common seal</w:t>
      </w:r>
      <w:bookmarkEnd w:id="304"/>
      <w:bookmarkEnd w:id="305"/>
      <w:bookmarkEnd w:id="306"/>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307" w:name="_Toc501513308"/>
      <w:bookmarkStart w:id="308" w:name="_Toc157837420"/>
      <w:bookmarkStart w:id="309" w:name="_Toc144178652"/>
      <w:r>
        <w:rPr>
          <w:rStyle w:val="CharSClsNo"/>
        </w:rPr>
        <w:t>13</w:t>
      </w:r>
      <w:r>
        <w:rPr>
          <w:snapToGrid w:val="0"/>
        </w:rPr>
        <w:t>.</w:t>
      </w:r>
      <w:r>
        <w:rPr>
          <w:snapToGrid w:val="0"/>
        </w:rPr>
        <w:tab/>
        <w:t>Allowances</w:t>
      </w:r>
      <w:bookmarkEnd w:id="307"/>
      <w:bookmarkEnd w:id="308"/>
      <w:bookmarkEnd w:id="309"/>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310" w:name="_Toc501513309"/>
      <w:bookmarkStart w:id="311" w:name="_Toc157837421"/>
      <w:bookmarkStart w:id="312" w:name="_Toc144178653"/>
      <w:r>
        <w:rPr>
          <w:rStyle w:val="CharSClsNo"/>
        </w:rPr>
        <w:t>14</w:t>
      </w:r>
      <w:r>
        <w:rPr>
          <w:snapToGrid w:val="0"/>
        </w:rPr>
        <w:t xml:space="preserve">. </w:t>
      </w:r>
      <w:r>
        <w:rPr>
          <w:snapToGrid w:val="0"/>
        </w:rPr>
        <w:tab/>
        <w:t>Protection from liability</w:t>
      </w:r>
      <w:bookmarkEnd w:id="310"/>
      <w:bookmarkEnd w:id="311"/>
      <w:bookmarkEnd w:id="312"/>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bookmarkStart w:id="313" w:name="_Toc135715662"/>
      <w:bookmarkStart w:id="314" w:name="_Toc135716441"/>
      <w:bookmarkStart w:id="315" w:name="_Toc135717545"/>
      <w:bookmarkStart w:id="316" w:name="_Toc135718350"/>
      <w:bookmarkStart w:id="317" w:name="_Toc138666604"/>
      <w:bookmarkStart w:id="318" w:name="_Toc139699567"/>
      <w:r>
        <w:tab/>
        <w:t>[Clause 14 inserted by No. 46 of 1995 s. 17.]</w:t>
      </w:r>
    </w:p>
    <w:p>
      <w:pPr>
        <w:pStyle w:val="yScheduleHeading"/>
      </w:pPr>
      <w:bookmarkStart w:id="319" w:name="_Toc141493979"/>
      <w:bookmarkStart w:id="320" w:name="_Toc141679451"/>
      <w:bookmarkStart w:id="321" w:name="_Toc144178654"/>
      <w:bookmarkStart w:id="322" w:name="_Toc157837422"/>
      <w:r>
        <w:rPr>
          <w:rStyle w:val="CharSchNo"/>
        </w:rPr>
        <w:t>Schedule 3</w:t>
      </w:r>
      <w:bookmarkEnd w:id="313"/>
      <w:bookmarkEnd w:id="314"/>
      <w:bookmarkEnd w:id="315"/>
      <w:bookmarkEnd w:id="316"/>
      <w:bookmarkEnd w:id="317"/>
      <w:bookmarkEnd w:id="318"/>
      <w:bookmarkEnd w:id="319"/>
      <w:bookmarkEnd w:id="320"/>
      <w:bookmarkEnd w:id="321"/>
      <w:bookmarkEnd w:id="322"/>
    </w:p>
    <w:p>
      <w:pPr>
        <w:pStyle w:val="yShoulderClause"/>
        <w:rPr>
          <w:snapToGrid w:val="0"/>
        </w:rPr>
      </w:pPr>
      <w:r>
        <w:rPr>
          <w:snapToGrid w:val="0"/>
        </w:rPr>
        <w:t>[s. 35]</w:t>
      </w:r>
    </w:p>
    <w:p>
      <w:pPr>
        <w:pStyle w:val="yHeading2"/>
      </w:pPr>
      <w:bookmarkStart w:id="323" w:name="_Toc141493980"/>
      <w:bookmarkStart w:id="324" w:name="_Toc141679452"/>
      <w:bookmarkStart w:id="325" w:name="_Toc144178655"/>
      <w:bookmarkStart w:id="326" w:name="_Toc157837423"/>
      <w:r>
        <w:rPr>
          <w:rStyle w:val="CharSchText"/>
        </w:rPr>
        <w:t>Transitional provisions</w:t>
      </w:r>
      <w:bookmarkEnd w:id="323"/>
      <w:bookmarkEnd w:id="324"/>
      <w:bookmarkEnd w:id="325"/>
      <w:bookmarkEnd w:id="326"/>
    </w:p>
    <w:p>
      <w:pPr>
        <w:pStyle w:val="yHeading5"/>
        <w:outlineLvl w:val="9"/>
        <w:rPr>
          <w:snapToGrid w:val="0"/>
        </w:rPr>
      </w:pPr>
      <w:bookmarkStart w:id="327" w:name="_Toc501513310"/>
      <w:bookmarkStart w:id="328" w:name="_Toc157837424"/>
      <w:bookmarkStart w:id="329" w:name="_Toc144178656"/>
      <w:r>
        <w:rPr>
          <w:rStyle w:val="CharSClsNo"/>
        </w:rPr>
        <w:t>1</w:t>
      </w:r>
      <w:r>
        <w:rPr>
          <w:snapToGrid w:val="0"/>
        </w:rPr>
        <w:t>.</w:t>
      </w:r>
      <w:r>
        <w:rPr>
          <w:snapToGrid w:val="0"/>
        </w:rPr>
        <w:tab/>
        <w:t>Interpretation</w:t>
      </w:r>
      <w:bookmarkEnd w:id="327"/>
      <w:bookmarkEnd w:id="328"/>
      <w:bookmarkEnd w:id="329"/>
    </w:p>
    <w:p>
      <w:pPr>
        <w:pStyle w:val="ySubsection"/>
        <w:rPr>
          <w:snapToGrid w:val="0"/>
        </w:rPr>
      </w:pPr>
      <w:r>
        <w:rPr>
          <w:snapToGrid w:val="0"/>
        </w:rPr>
        <w:tab/>
      </w:r>
      <w:r>
        <w:rPr>
          <w:snapToGrid w:val="0"/>
        </w:rPr>
        <w:tab/>
        <w:t>In this Schedule unless the contrary intention appears — </w:t>
      </w:r>
    </w:p>
    <w:p>
      <w:pPr>
        <w:pStyle w:val="yDefstart"/>
      </w:pPr>
      <w:r>
        <w:rPr>
          <w:b/>
        </w:rPr>
        <w:tab/>
      </w:r>
      <w:del w:id="330" w:author="svcMRProcess" w:date="2015-12-09T18:04:00Z">
        <w:r>
          <w:rPr>
            <w:b/>
          </w:rPr>
          <w:delText>“</w:delText>
        </w:r>
      </w:del>
      <w:r>
        <w:rPr>
          <w:rStyle w:val="CharDefText"/>
        </w:rPr>
        <w:t>commencement day</w:t>
      </w:r>
      <w:del w:id="331" w:author="svcMRProcess" w:date="2015-12-09T18:04:00Z">
        <w:r>
          <w:rPr>
            <w:b/>
          </w:rPr>
          <w:delText>”</w:delText>
        </w:r>
      </w:del>
      <w:r>
        <w:t xml:space="preserve"> means the day on which this Act comes into operation;</w:t>
      </w:r>
    </w:p>
    <w:p>
      <w:pPr>
        <w:pStyle w:val="yDefstart"/>
      </w:pPr>
      <w:r>
        <w:rPr>
          <w:b/>
        </w:rPr>
        <w:tab/>
      </w:r>
      <w:del w:id="332" w:author="svcMRProcess" w:date="2015-12-09T18:04:00Z">
        <w:r>
          <w:rPr>
            <w:b/>
          </w:rPr>
          <w:delText>“</w:delText>
        </w:r>
      </w:del>
      <w:r>
        <w:rPr>
          <w:rStyle w:val="CharDefText"/>
        </w:rPr>
        <w:t>former Act</w:t>
      </w:r>
      <w:del w:id="333" w:author="svcMRProcess" w:date="2015-12-09T18:04:00Z">
        <w:r>
          <w:rPr>
            <w:b/>
          </w:rPr>
          <w:delText>”</w:delText>
        </w:r>
      </w:del>
      <w:r>
        <w:t xml:space="preserve"> means the </w:t>
      </w:r>
      <w:r>
        <w:rPr>
          <w:i/>
        </w:rPr>
        <w:t>Coal Mine Workers (Pensions) Act 1943</w:t>
      </w:r>
      <w:r>
        <w:t>.</w:t>
      </w:r>
    </w:p>
    <w:p>
      <w:pPr>
        <w:pStyle w:val="yFootnotesection"/>
      </w:pPr>
      <w:bookmarkStart w:id="334" w:name="_Toc501513311"/>
      <w:r>
        <w:tab/>
        <w:t>[Clause 1 amended by No. 16 of 2006 s. 15(1).]</w:t>
      </w:r>
    </w:p>
    <w:p>
      <w:pPr>
        <w:pStyle w:val="yEdnotesection"/>
      </w:pPr>
      <w:bookmarkStart w:id="335" w:name="_Toc501513314"/>
      <w:bookmarkEnd w:id="334"/>
      <w:r>
        <w:t>[</w:t>
      </w:r>
      <w:r>
        <w:rPr>
          <w:b/>
          <w:bCs/>
        </w:rPr>
        <w:t>2</w:t>
      </w:r>
      <w:r>
        <w:rPr>
          <w:b/>
          <w:bCs/>
        </w:rPr>
        <w:noBreakHyphen/>
        <w:t>4.</w:t>
      </w:r>
      <w:r>
        <w:tab/>
      </w:r>
      <w:del w:id="336" w:author="svcMRProcess" w:date="2015-12-09T18:04:00Z">
        <w:r>
          <w:delText>Repealed</w:delText>
        </w:r>
      </w:del>
      <w:ins w:id="337" w:author="svcMRProcess" w:date="2015-12-09T18:04:00Z">
        <w:r>
          <w:t>Deleted</w:t>
        </w:r>
      </w:ins>
      <w:r>
        <w:t xml:space="preserve"> by No. 16 of 2006 s. 15(2).]</w:t>
      </w:r>
    </w:p>
    <w:p>
      <w:pPr>
        <w:pStyle w:val="yHeading5"/>
        <w:outlineLvl w:val="9"/>
        <w:rPr>
          <w:snapToGrid w:val="0"/>
        </w:rPr>
      </w:pPr>
      <w:bookmarkStart w:id="338" w:name="_Toc157837425"/>
      <w:bookmarkStart w:id="339" w:name="_Toc144178657"/>
      <w:r>
        <w:rPr>
          <w:rStyle w:val="CharSClsNo"/>
        </w:rPr>
        <w:t>5</w:t>
      </w:r>
      <w:r>
        <w:rPr>
          <w:snapToGrid w:val="0"/>
        </w:rPr>
        <w:t>.</w:t>
      </w:r>
      <w:r>
        <w:rPr>
          <w:snapToGrid w:val="0"/>
        </w:rPr>
        <w:tab/>
        <w:t>Reciprocating States</w:t>
      </w:r>
      <w:bookmarkEnd w:id="335"/>
      <w:bookmarkEnd w:id="338"/>
      <w:bookmarkEnd w:id="339"/>
    </w:p>
    <w:p>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pPr>
        <w:pStyle w:val="yEdnotesection"/>
      </w:pPr>
      <w:r>
        <w:t>[</w:t>
      </w:r>
      <w:r>
        <w:rPr>
          <w:b/>
          <w:bCs/>
        </w:rPr>
        <w:t>6</w:t>
      </w:r>
      <w:r>
        <w:rPr>
          <w:b/>
          <w:bCs/>
        </w:rPr>
        <w:noBreakHyphen/>
        <w:t>8.</w:t>
      </w:r>
      <w:r>
        <w:tab/>
      </w:r>
      <w:del w:id="340" w:author="svcMRProcess" w:date="2015-12-09T18:04:00Z">
        <w:r>
          <w:delText>Repealed</w:delText>
        </w:r>
      </w:del>
      <w:ins w:id="341" w:author="svcMRProcess" w:date="2015-12-09T18:04:00Z">
        <w:r>
          <w:t>Deleted</w:t>
        </w:r>
      </w:ins>
      <w:r>
        <w:t xml:space="preserve"> by No. 16 of 2006 s. 15(2).]</w:t>
      </w:r>
    </w:p>
    <w:p>
      <w:pPr>
        <w:sectPr>
          <w:headerReference w:type="even" r:id="rId25"/>
          <w:headerReference w:type="default" r:id="rId26"/>
          <w:pgSz w:w="11906" w:h="16838" w:code="9"/>
          <w:pgMar w:top="2381" w:right="2410" w:bottom="3544" w:left="2410" w:header="720" w:footer="3380" w:gutter="0"/>
          <w:cols w:space="720"/>
          <w:noEndnote/>
          <w:docGrid w:linePitch="326"/>
        </w:sectPr>
      </w:pPr>
    </w:p>
    <w:p>
      <w:pPr>
        <w:pStyle w:val="nHeading2"/>
      </w:pPr>
      <w:bookmarkStart w:id="342" w:name="_Toc135715670"/>
      <w:bookmarkStart w:id="343" w:name="_Toc135716449"/>
      <w:bookmarkStart w:id="344" w:name="_Toc135717553"/>
      <w:bookmarkStart w:id="345" w:name="_Toc135718358"/>
      <w:bookmarkStart w:id="346" w:name="_Toc138666607"/>
      <w:bookmarkStart w:id="347" w:name="_Toc139699570"/>
      <w:bookmarkStart w:id="348" w:name="_Toc141493983"/>
      <w:bookmarkStart w:id="349" w:name="_Toc141679455"/>
      <w:bookmarkStart w:id="350" w:name="_Toc144178658"/>
      <w:bookmarkStart w:id="351" w:name="_Toc157837426"/>
      <w:r>
        <w:t>Notes</w:t>
      </w:r>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w:t>
      </w:r>
      <w:del w:id="352" w:author="svcMRProcess" w:date="2015-12-09T18:04:00Z">
        <w:r>
          <w:rPr>
            <w:snapToGrid w:val="0"/>
          </w:rPr>
          <w:delText xml:space="preserve">reprint </w:delText>
        </w:r>
      </w:del>
      <w:r>
        <w:rPr>
          <w:snapToGrid w:val="0"/>
        </w:rPr>
        <w:t xml:space="preserve">is a compilation </w:t>
      </w:r>
      <w:del w:id="353" w:author="svcMRProcess" w:date="2015-12-09T18:04:00Z">
        <w:r>
          <w:rPr>
            <w:snapToGrid w:val="0"/>
          </w:rPr>
          <w:delText xml:space="preserve">as at 4 August 2006 </w:delText>
        </w:r>
      </w:del>
      <w:r>
        <w:rPr>
          <w:snapToGrid w:val="0"/>
        </w:rPr>
        <w:t xml:space="preserve">of the </w:t>
      </w:r>
      <w:r>
        <w:rPr>
          <w:i/>
          <w:noProof/>
          <w:snapToGrid w:val="0"/>
        </w:rPr>
        <w:t>Coal Industry Superannuation Act</w:t>
      </w:r>
      <w:del w:id="354" w:author="svcMRProcess" w:date="2015-12-09T18:04:00Z">
        <w:r>
          <w:rPr>
            <w:i/>
            <w:noProof/>
            <w:snapToGrid w:val="0"/>
          </w:rPr>
          <w:delText xml:space="preserve"> </w:delText>
        </w:r>
      </w:del>
      <w:ins w:id="355" w:author="svcMRProcess" w:date="2015-12-09T18:04:00Z">
        <w:r>
          <w:rPr>
            <w:i/>
            <w:noProof/>
            <w:snapToGrid w:val="0"/>
          </w:rPr>
          <w:t>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6" w:name="_Toc157837427"/>
      <w:bookmarkStart w:id="357" w:name="_Toc144178659"/>
      <w:r>
        <w:rPr>
          <w:snapToGrid w:val="0"/>
        </w:rPr>
        <w:t>Compilation table</w:t>
      </w:r>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Coal Industry Superannuation Act 1989</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1" w:type="dxa"/>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68" w:type="dxa"/>
          </w:tcPr>
          <w:p>
            <w:pPr>
              <w:pStyle w:val="nTable"/>
              <w:spacing w:after="40"/>
              <w:ind w:right="113"/>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4" w:type="dxa"/>
          </w:tcPr>
          <w:p>
            <w:pPr>
              <w:pStyle w:val="nTable"/>
              <w:spacing w:after="40"/>
              <w:rPr>
                <w:sz w:val="19"/>
              </w:rPr>
            </w:pPr>
            <w:r>
              <w:rPr>
                <w:sz w:val="19"/>
              </w:rPr>
              <w:t>46 of 1995</w:t>
            </w:r>
          </w:p>
        </w:tc>
        <w:tc>
          <w:tcPr>
            <w:tcW w:w="1134" w:type="dxa"/>
          </w:tcPr>
          <w:p>
            <w:pPr>
              <w:pStyle w:val="nTable"/>
              <w:spacing w:after="40"/>
              <w:rPr>
                <w:sz w:val="19"/>
              </w:rPr>
            </w:pPr>
            <w:r>
              <w:rPr>
                <w:sz w:val="19"/>
              </w:rPr>
              <w:t>1 Nov 1995</w:t>
            </w:r>
          </w:p>
        </w:tc>
        <w:tc>
          <w:tcPr>
            <w:tcW w:w="2551" w:type="dxa"/>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36"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51" w:type="dxa"/>
          </w:tcPr>
          <w:p>
            <w:pPr>
              <w:pStyle w:val="nTable"/>
              <w:spacing w:after="40"/>
              <w:rPr>
                <w:sz w:val="19"/>
              </w:rPr>
            </w:pPr>
            <w:r>
              <w:rPr>
                <w:sz w:val="19"/>
              </w:rPr>
              <w:t>29 Sep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68" w:type="dxa"/>
          </w:tcPr>
          <w:p>
            <w:pPr>
              <w:pStyle w:val="nTable"/>
              <w:spacing w:after="40"/>
              <w:ind w:right="113"/>
              <w:rPr>
                <w:sz w:val="19"/>
              </w:rPr>
            </w:pPr>
            <w:r>
              <w:rPr>
                <w:i/>
                <w:iCs/>
                <w:snapToGrid w:val="0"/>
                <w:sz w:val="19"/>
                <w:lang w:val="en-US"/>
              </w:rPr>
              <w:t>Coal Industry Superannuation Amendment Act 2006</w:t>
            </w:r>
          </w:p>
        </w:tc>
        <w:tc>
          <w:tcPr>
            <w:tcW w:w="1134" w:type="dxa"/>
          </w:tcPr>
          <w:p>
            <w:pPr>
              <w:pStyle w:val="nTable"/>
              <w:spacing w:after="40"/>
              <w:rPr>
                <w:sz w:val="19"/>
              </w:rPr>
            </w:pPr>
            <w:r>
              <w:rPr>
                <w:sz w:val="19"/>
              </w:rPr>
              <w:t>16 of 2006</w:t>
            </w:r>
          </w:p>
        </w:tc>
        <w:tc>
          <w:tcPr>
            <w:tcW w:w="1134" w:type="dxa"/>
          </w:tcPr>
          <w:p>
            <w:pPr>
              <w:pStyle w:val="nTable"/>
              <w:spacing w:after="40"/>
              <w:rPr>
                <w:sz w:val="19"/>
              </w:rPr>
            </w:pPr>
            <w:r>
              <w:rPr>
                <w:sz w:val="19"/>
              </w:rPr>
              <w:t>17 May 2006</w:t>
            </w:r>
          </w:p>
        </w:tc>
        <w:tc>
          <w:tcPr>
            <w:tcW w:w="2551" w:type="dxa"/>
          </w:tcPr>
          <w:p>
            <w:pPr>
              <w:pStyle w:val="nTable"/>
              <w:spacing w:after="40"/>
              <w:rPr>
                <w:sz w:val="19"/>
              </w:rPr>
            </w:pPr>
            <w:r>
              <w:rPr>
                <w:sz w:val="19"/>
              </w:rPr>
              <w:t>14 Jun 2006</w:t>
            </w:r>
          </w:p>
        </w:tc>
      </w:tr>
      <w:tr>
        <w:trPr>
          <w:cantSplit/>
        </w:trPr>
        <w:tc>
          <w:tcPr>
            <w:tcW w:w="7087" w:type="dxa"/>
            <w:gridSpan w:val="4"/>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ins w:id="358" w:author="svcMRProcess" w:date="2015-12-09T18:04:00Z"/>
        </w:trPr>
        <w:tc>
          <w:tcPr>
            <w:tcW w:w="2268" w:type="dxa"/>
            <w:tcBorders>
              <w:bottom w:val="single" w:sz="4" w:space="0" w:color="auto"/>
            </w:tcBorders>
          </w:tcPr>
          <w:p>
            <w:pPr>
              <w:pStyle w:val="nTable"/>
              <w:spacing w:after="40"/>
              <w:ind w:right="113"/>
              <w:rPr>
                <w:ins w:id="359" w:author="svcMRProcess" w:date="2015-12-09T18:04:00Z"/>
                <w:sz w:val="19"/>
              </w:rPr>
            </w:pPr>
            <w:ins w:id="360" w:author="svcMRProcess" w:date="2015-12-09T18:04: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361" w:author="svcMRProcess" w:date="2015-12-09T18:04:00Z"/>
                <w:sz w:val="19"/>
              </w:rPr>
            </w:pPr>
            <w:ins w:id="362" w:author="svcMRProcess" w:date="2015-12-09T18:04:00Z">
              <w:r>
                <w:rPr>
                  <w:snapToGrid w:val="0"/>
                  <w:sz w:val="19"/>
                  <w:lang w:val="en-US"/>
                </w:rPr>
                <w:t xml:space="preserve">77 of 2006 </w:t>
              </w:r>
            </w:ins>
          </w:p>
        </w:tc>
        <w:tc>
          <w:tcPr>
            <w:tcW w:w="1134" w:type="dxa"/>
            <w:tcBorders>
              <w:bottom w:val="single" w:sz="4" w:space="0" w:color="auto"/>
            </w:tcBorders>
          </w:tcPr>
          <w:p>
            <w:pPr>
              <w:pStyle w:val="nTable"/>
              <w:spacing w:after="40"/>
              <w:rPr>
                <w:ins w:id="363" w:author="svcMRProcess" w:date="2015-12-09T18:04:00Z"/>
                <w:sz w:val="19"/>
              </w:rPr>
            </w:pPr>
            <w:ins w:id="364" w:author="svcMRProcess" w:date="2015-12-09T18:04:00Z">
              <w:r>
                <w:rPr>
                  <w:snapToGrid w:val="0"/>
                  <w:sz w:val="19"/>
                  <w:lang w:val="en-US"/>
                </w:rPr>
                <w:t>21 Dec 2006</w:t>
              </w:r>
            </w:ins>
          </w:p>
        </w:tc>
        <w:tc>
          <w:tcPr>
            <w:tcW w:w="2551" w:type="dxa"/>
            <w:tcBorders>
              <w:bottom w:val="single" w:sz="4" w:space="0" w:color="auto"/>
            </w:tcBorders>
          </w:tcPr>
          <w:p>
            <w:pPr>
              <w:pStyle w:val="nTable"/>
              <w:spacing w:after="40"/>
              <w:rPr>
                <w:ins w:id="365" w:author="svcMRProcess" w:date="2015-12-09T18:04:00Z"/>
                <w:sz w:val="19"/>
              </w:rPr>
            </w:pPr>
            <w:ins w:id="366" w:author="svcMRProcess" w:date="2015-12-09T18:0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rPr>
          <w:ins w:id="367" w:author="svcMRProcess" w:date="2015-12-09T18:04: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68" w:name="UpToHere"/>
      <w:bookmarkEnd w:id="368"/>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49"/>
    <w:docVar w:name="WAFER_20151208095349" w:val="RemoveTrackChanges"/>
    <w:docVar w:name="WAFER_20151208095349_GUID" w:val="5575700d-2069-4078-87be-30c92ac87e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7817</Words>
  <Characters>35726</Characters>
  <Application>Microsoft Office Word</Application>
  <DocSecurity>0</DocSecurity>
  <Lines>992</Lines>
  <Paragraphs>558</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42985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02-a0-03 - 02-b0-08</dc:title>
  <dc:subject/>
  <dc:creator/>
  <cp:keywords/>
  <dc:description/>
  <cp:lastModifiedBy>svcMRProcess</cp:lastModifiedBy>
  <cp:revision>2</cp:revision>
  <cp:lastPrinted>2006-07-26T06:43:00Z</cp:lastPrinted>
  <dcterms:created xsi:type="dcterms:W3CDTF">2015-12-09T10:04:00Z</dcterms:created>
  <dcterms:modified xsi:type="dcterms:W3CDTF">2015-12-09T10:04:00Z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138</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02-a0-03</vt:lpwstr>
  </property>
  <property fmtid="{D5CDD505-2E9C-101B-9397-08002B2CF9AE}" pid="9" name="FromAsAtDate">
    <vt:lpwstr>04 Aug 2006</vt:lpwstr>
  </property>
  <property fmtid="{D5CDD505-2E9C-101B-9397-08002B2CF9AE}" pid="10" name="ToSuffix">
    <vt:lpwstr>02-b0-08</vt:lpwstr>
  </property>
  <property fmtid="{D5CDD505-2E9C-101B-9397-08002B2CF9AE}" pid="11" name="ToAsAtDate">
    <vt:lpwstr>01 Feb 2007</vt:lpwstr>
  </property>
</Properties>
</file>