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pPr>
        <w:pStyle w:val="WA"/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1981200</wp:posOffset>
            </wp:positionH>
            <wp:positionV relativeFrom="paragraph">
              <wp:posOffset>-517525</wp:posOffset>
            </wp:positionV>
            <wp:extent cx="631190" cy="505460"/>
            <wp:effectExtent l="0" t="0" r="0" b="8890"/>
            <wp:wrapNone/>
            <wp:docPr id="27" name="Picture 27" descr="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rest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90" cy="50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Western Australia</w:t>
      </w:r>
    </w:p>
    <w:p>
      <w:pPr>
        <w:pStyle w:val="NameofActRegPage1"/>
        <w:spacing w:before="3760" w:after="1600"/>
        <w:outlineLvl w:val="0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Health (School Dental Therapists) Regulations 1974</w:t>
      </w:r>
      <w:r>
        <w:fldChar w:fldCharType="end"/>
      </w:r>
    </w:p>
    <w:p>
      <w:pPr>
        <w:spacing w:after="800"/>
        <w:jc w:val="center"/>
      </w:pPr>
      <w:r>
        <w:t>Compare between:</w:t>
      </w:r>
    </w:p>
    <w:p>
      <w:pPr>
        <w:jc w:val="center"/>
      </w:pPr>
      <w:r>
        <w:t>[</w:t>
      </w:r>
      <w:r>
        <w:fldChar w:fldCharType="begin"/>
      </w:r>
      <w:r>
        <w:instrText xml:space="preserve"> DocProperty FromAsAtDate</w:instrText>
      </w:r>
      <w:r>
        <w:fldChar w:fldCharType="separate"/>
      </w:r>
      <w:r>
        <w:t>07 Dec 2004</w:t>
      </w:r>
      <w:r>
        <w:fldChar w:fldCharType="end"/>
      </w:r>
      <w:r>
        <w:t xml:space="preserve">, </w:t>
      </w:r>
      <w:r>
        <w:fldChar w:fldCharType="begin"/>
      </w:r>
      <w:r>
        <w:instrText xml:space="preserve"> DocProperty FromSuffix </w:instrText>
      </w:r>
      <w:r>
        <w:fldChar w:fldCharType="separate"/>
      </w:r>
      <w:r>
        <w:t>01-b0-02</w:t>
      </w:r>
      <w:r>
        <w:fldChar w:fldCharType="end"/>
      </w:r>
      <w:r>
        <w:t>] and [</w:t>
      </w:r>
      <w:r>
        <w:fldChar w:fldCharType="begin"/>
      </w:r>
      <w:r>
        <w:instrText xml:space="preserve"> DocProperty ToAsAtDate</w:instrText>
      </w:r>
      <w:r>
        <w:fldChar w:fldCharType="separate"/>
      </w:r>
      <w:r>
        <w:t>15 Dec 2006</w:t>
      </w:r>
      <w:r>
        <w:fldChar w:fldCharType="end"/>
      </w:r>
      <w:r>
        <w:t xml:space="preserve">, </w:t>
      </w:r>
      <w:r>
        <w:fldChar w:fldCharType="begin"/>
      </w:r>
      <w:r>
        <w:instrText xml:space="preserve"> DocProperty ToSuffix</w:instrText>
      </w:r>
      <w:r>
        <w:fldChar w:fldCharType="separate"/>
      </w:r>
      <w:r>
        <w:t>01-c0-08</w:t>
      </w:r>
      <w:r>
        <w:fldChar w:fldCharType="end"/>
      </w:r>
      <w:r>
        <w:t>]</w:t>
      </w:r>
    </w:p>
    <w:p>
      <w:pPr>
        <w:jc w:val="center"/>
      </w:pPr>
      <w:r>
        <w:rPr>
          <w:rStyle w:val="CharPartNo"/>
        </w:rPr>
        <w:t xml:space="preserve"> </w:t>
      </w:r>
      <w:r>
        <w:rPr>
          <w:rStyle w:val="CharPartText"/>
        </w:rPr>
        <w:t xml:space="preserve"> </w:t>
      </w:r>
      <w:r>
        <w:rPr>
          <w:rStyle w:val="CharDivNo"/>
        </w:rPr>
        <w:t xml:space="preserve"> </w:t>
      </w:r>
      <w:r>
        <w:rPr>
          <w:rStyle w:val="CharDivText"/>
        </w:rPr>
        <w:t xml:space="preserve"> </w:t>
      </w:r>
      <w:r>
        <w:rPr>
          <w:rStyle w:val="CharSchNo"/>
        </w:rPr>
        <w:t xml:space="preserve"> </w:t>
      </w:r>
      <w:r>
        <w:rPr>
          <w:rStyle w:val="CharSchText"/>
        </w:rPr>
        <w:t xml:space="preserve"> </w:t>
      </w:r>
      <w:r>
        <w:rPr>
          <w:rStyle w:val="CharSDivNo"/>
        </w:rPr>
        <w:t xml:space="preserve"> </w:t>
      </w:r>
      <w:r>
        <w:rPr>
          <w:rStyle w:val="CharSDivText"/>
        </w:rPr>
        <w:t xml:space="preserve"> </w:t>
      </w:r>
      <w:r>
        <w:t xml:space="preserve"> </w:t>
      </w:r>
    </w:p>
    <w:p/>
    <w:p>
      <w:pPr>
        <w:rPr>
          <w:b/>
        </w:rPr>
        <w:sectPr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2376" w:right="2405" w:bottom="3542" w:left="2405" w:header="706" w:footer="3380" w:gutter="0"/>
          <w:pgNumType w:fmt="lowerRoman" w:start="1"/>
          <w:cols w:space="720"/>
        </w:sectPr>
      </w:pPr>
    </w:p>
    <w:p>
      <w:pPr>
        <w:pStyle w:val="WA"/>
      </w:pPr>
      <w:r>
        <w:lastRenderedPageBreak/>
        <w:t>Western Australia</w:t>
      </w:r>
    </w:p>
    <w:p>
      <w:pPr>
        <w:pStyle w:val="PrincipalActReg"/>
        <w:rPr>
          <w:snapToGrid w:val="0"/>
        </w:rPr>
      </w:pPr>
      <w:r>
        <w:rPr>
          <w:snapToGrid w:val="0"/>
        </w:rPr>
        <w:t>Health Act 1911</w:t>
      </w:r>
    </w:p>
    <w:p>
      <w:pPr>
        <w:pStyle w:val="NameofActReg"/>
        <w:spacing w:before="400" w:after="520"/>
      </w:pPr>
      <w:r>
        <w:t xml:space="preserve">Health (School Dental Therapists) Regulations 1974 </w:t>
      </w:r>
    </w:p>
    <w:p>
      <w:pPr>
        <w:pStyle w:val="Heading5"/>
      </w:pPr>
      <w:bookmarkStart w:id="0" w:name="_Toc380143521"/>
      <w:bookmarkStart w:id="1" w:name="_Toc434305273"/>
      <w:bookmarkStart w:id="2" w:name="_Toc90195128"/>
      <w:r>
        <w:rPr>
          <w:rStyle w:val="CharSectno"/>
        </w:rPr>
        <w:t>1</w:t>
      </w:r>
      <w:bookmarkStart w:id="3" w:name="_GoBack"/>
      <w:bookmarkEnd w:id="3"/>
      <w:r>
        <w:t>.</w:t>
      </w:r>
      <w:r>
        <w:tab/>
        <w:t>Citation</w:t>
      </w:r>
      <w:bookmarkEnd w:id="0"/>
      <w:bookmarkEnd w:id="1"/>
      <w:bookmarkEnd w:id="2"/>
    </w:p>
    <w:p>
      <w:pPr>
        <w:pStyle w:val="Subsection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  <w:t xml:space="preserve">These regulations may be cited as the </w:t>
      </w:r>
      <w:r>
        <w:rPr>
          <w:i/>
          <w:snapToGrid w:val="0"/>
        </w:rPr>
        <w:t>Health (School Dental Therapists) Regulations 1974</w:t>
      </w:r>
      <w:r>
        <w:rPr>
          <w:snapToGrid w:val="0"/>
          <w:vertAlign w:val="superscript"/>
        </w:rPr>
        <w:t> 1</w:t>
      </w:r>
      <w:r>
        <w:rPr>
          <w:snapToGrid w:val="0"/>
        </w:rPr>
        <w:t>.</w:t>
      </w:r>
    </w:p>
    <w:p>
      <w:pPr>
        <w:pStyle w:val="Footnotesection"/>
      </w:pPr>
      <w:r>
        <w:tab/>
        <w:t xml:space="preserve">[Regulation 1 amended in Gazette 5 Dec 1986 p. 4465.] </w:t>
      </w:r>
    </w:p>
    <w:p>
      <w:pPr>
        <w:pStyle w:val="Ednotesection"/>
      </w:pPr>
      <w:r>
        <w:t>[</w:t>
      </w:r>
      <w:r>
        <w:rPr>
          <w:b/>
        </w:rPr>
        <w:t>2-4.</w:t>
      </w:r>
      <w:r>
        <w:tab/>
      </w:r>
      <w:r>
        <w:tab/>
      </w:r>
      <w:del w:id="4" w:author="Master Repository Process" w:date="2021-08-28T13:25:00Z">
        <w:r>
          <w:delText>Repealed</w:delText>
        </w:r>
      </w:del>
      <w:ins w:id="5" w:author="Master Repository Process" w:date="2021-08-28T13:25:00Z">
        <w:r>
          <w:t>Deleted</w:t>
        </w:r>
      </w:ins>
      <w:r>
        <w:t xml:space="preserve"> in Gazette 31 Dec 1996 p. 7433.] </w:t>
      </w:r>
    </w:p>
    <w:p>
      <w:pPr>
        <w:pStyle w:val="Heading5"/>
      </w:pPr>
      <w:bookmarkStart w:id="6" w:name="_Toc380143522"/>
      <w:bookmarkStart w:id="7" w:name="_Toc434305274"/>
      <w:bookmarkStart w:id="8" w:name="_Toc90195129"/>
      <w:r>
        <w:rPr>
          <w:rStyle w:val="CharSectno"/>
        </w:rPr>
        <w:t>5</w:t>
      </w:r>
      <w:r>
        <w:t>.</w:t>
      </w:r>
      <w:r>
        <w:tab/>
        <w:t>Medical history and consent to be obtained before treatment</w:t>
      </w:r>
      <w:bookmarkEnd w:id="6"/>
      <w:bookmarkEnd w:id="7"/>
      <w:bookmarkEnd w:id="8"/>
    </w:p>
    <w:p>
      <w:pPr>
        <w:pStyle w:val="Subsection"/>
        <w:rPr>
          <w:snapToGrid w:val="0"/>
        </w:rPr>
      </w:pPr>
      <w:r>
        <w:rPr>
          <w:snapToGrid w:val="0"/>
        </w:rPr>
        <w:tab/>
        <w:t>(1)</w:t>
      </w:r>
      <w:r>
        <w:rPr>
          <w:snapToGrid w:val="0"/>
        </w:rPr>
        <w:tab/>
        <w:t>A school dental therapist shall not commence treatment for any child unless — </w:t>
      </w:r>
    </w:p>
    <w:p>
      <w:pPr>
        <w:pStyle w:val="Indenta"/>
        <w:rPr>
          <w:snapToGrid w:val="0"/>
        </w:rPr>
      </w:pPr>
      <w:r>
        <w:rPr>
          <w:snapToGrid w:val="0"/>
        </w:rPr>
        <w:tab/>
        <w:t>(a)</w:t>
      </w:r>
      <w:r>
        <w:rPr>
          <w:snapToGrid w:val="0"/>
        </w:rPr>
        <w:tab/>
        <w:t>in the case of initial treatment — </w:t>
      </w:r>
    </w:p>
    <w:p>
      <w:pPr>
        <w:pStyle w:val="Indenti"/>
        <w:rPr>
          <w:snapToGrid w:val="0"/>
        </w:rPr>
      </w:pPr>
      <w:r>
        <w:rPr>
          <w:snapToGrid w:val="0"/>
        </w:rPr>
        <w:tab/>
        <w:t>(i)</w:t>
      </w:r>
      <w:r>
        <w:rPr>
          <w:snapToGrid w:val="0"/>
        </w:rPr>
        <w:tab/>
        <w:t>a medical history of the child and a consent for treatment is obtained from a parent or guardian of the child; and</w:t>
      </w:r>
    </w:p>
    <w:p>
      <w:pPr>
        <w:pStyle w:val="Indenti"/>
        <w:rPr>
          <w:snapToGrid w:val="0"/>
        </w:rPr>
      </w:pPr>
      <w:r>
        <w:rPr>
          <w:snapToGrid w:val="0"/>
        </w:rPr>
        <w:tab/>
        <w:t>(ii)</w:t>
      </w:r>
      <w:r>
        <w:rPr>
          <w:snapToGrid w:val="0"/>
        </w:rPr>
        <w:tab/>
        <w:t xml:space="preserve">the supervising dental officer, having read the medical history and the consent for treatment, has prescribed the necessary treatment; </w:t>
      </w:r>
    </w:p>
    <w:p>
      <w:pPr>
        <w:pStyle w:val="Indenta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  <w:t>or</w:t>
      </w:r>
    </w:p>
    <w:p>
      <w:pPr>
        <w:pStyle w:val="Indenta"/>
        <w:rPr>
          <w:snapToGrid w:val="0"/>
        </w:rPr>
      </w:pPr>
      <w:r>
        <w:rPr>
          <w:snapToGrid w:val="0"/>
        </w:rPr>
        <w:tab/>
        <w:t>(b)</w:t>
      </w:r>
      <w:r>
        <w:rPr>
          <w:snapToGrid w:val="0"/>
        </w:rPr>
        <w:tab/>
        <w:t>in the case of subsequent treatment — </w:t>
      </w:r>
    </w:p>
    <w:p>
      <w:pPr>
        <w:pStyle w:val="Indenti"/>
        <w:rPr>
          <w:snapToGrid w:val="0"/>
        </w:rPr>
      </w:pPr>
      <w:r>
        <w:rPr>
          <w:snapToGrid w:val="0"/>
        </w:rPr>
        <w:tab/>
        <w:t>(i)</w:t>
      </w:r>
      <w:r>
        <w:rPr>
          <w:snapToGrid w:val="0"/>
        </w:rPr>
        <w:tab/>
        <w:t>an updated medical history of the child showing no change in the child’s health status is obtained from a parent or guardian of the child; and</w:t>
      </w:r>
    </w:p>
    <w:p>
      <w:pPr>
        <w:pStyle w:val="Indenti"/>
        <w:rPr>
          <w:snapToGrid w:val="0"/>
        </w:rPr>
      </w:pPr>
      <w:r>
        <w:rPr>
          <w:snapToGrid w:val="0"/>
        </w:rPr>
        <w:tab/>
        <w:t>(ii)</w:t>
      </w:r>
      <w:r>
        <w:rPr>
          <w:snapToGrid w:val="0"/>
        </w:rPr>
        <w:tab/>
        <w:t>a supervising dental officer has examined the child within the preceding 4 years.</w:t>
      </w:r>
    </w:p>
    <w:p>
      <w:pPr>
        <w:pStyle w:val="Subsection"/>
      </w:pPr>
      <w:r>
        <w:tab/>
        <w:t>(2)</w:t>
      </w:r>
      <w:r>
        <w:tab/>
        <w:t xml:space="preserve">The medical history, the consent for treatment and the updated medical history referred to in subregulation (1)  — </w:t>
      </w:r>
    </w:p>
    <w:p>
      <w:pPr>
        <w:pStyle w:val="Indenta"/>
      </w:pPr>
      <w:r>
        <w:tab/>
        <w:t>(a)</w:t>
      </w:r>
      <w:r>
        <w:tab/>
        <w:t xml:space="preserve">shall be in a form approved by the </w:t>
      </w:r>
      <w:del w:id="9" w:author="Master Repository Process" w:date="2021-08-28T13:25:00Z">
        <w:r>
          <w:delText>Commissioner of Health</w:delText>
        </w:r>
      </w:del>
      <w:ins w:id="10" w:author="Master Repository Process" w:date="2021-08-28T13:25:00Z">
        <w:r>
          <w:t>CEO</w:t>
        </w:r>
      </w:ins>
      <w:r>
        <w:t xml:space="preserve">; and </w:t>
      </w:r>
    </w:p>
    <w:p>
      <w:pPr>
        <w:pStyle w:val="Indenta"/>
      </w:pPr>
      <w:r>
        <w:tab/>
        <w:t>(b)</w:t>
      </w:r>
      <w:r>
        <w:tab/>
        <w:t>may be obtained from a person who has responsibility for the day to day care of the child and with whom the child is living if it is not reasonably practicable to obtain it from a parent or guardian.</w:t>
      </w:r>
    </w:p>
    <w:p>
      <w:pPr>
        <w:pStyle w:val="Subsection"/>
        <w:rPr>
          <w:snapToGrid w:val="0"/>
        </w:rPr>
      </w:pPr>
      <w:r>
        <w:rPr>
          <w:snapToGrid w:val="0"/>
        </w:rPr>
        <w:tab/>
        <w:t>(3)</w:t>
      </w:r>
      <w:r>
        <w:rPr>
          <w:snapToGrid w:val="0"/>
        </w:rPr>
        <w:tab/>
        <w:t>A school dental therapist who contravenes subregulation (1) commits an offence and is liable to — </w:t>
      </w:r>
    </w:p>
    <w:p>
      <w:pPr>
        <w:pStyle w:val="Indenta"/>
        <w:rPr>
          <w:snapToGrid w:val="0"/>
        </w:rPr>
      </w:pPr>
      <w:r>
        <w:rPr>
          <w:snapToGrid w:val="0"/>
        </w:rPr>
        <w:tab/>
        <w:t>(a)</w:t>
      </w:r>
      <w:r>
        <w:rPr>
          <w:snapToGrid w:val="0"/>
        </w:rPr>
        <w:tab/>
        <w:t>a penalty which is not more than $1 000 and not less than — </w:t>
      </w:r>
    </w:p>
    <w:p>
      <w:pPr>
        <w:pStyle w:val="Indenti"/>
        <w:rPr>
          <w:snapToGrid w:val="0"/>
        </w:rPr>
      </w:pPr>
      <w:r>
        <w:rPr>
          <w:snapToGrid w:val="0"/>
        </w:rPr>
        <w:tab/>
        <w:t>(i)</w:t>
      </w:r>
      <w:r>
        <w:rPr>
          <w:snapToGrid w:val="0"/>
        </w:rPr>
        <w:tab/>
        <w:t>in the case of a first offence, $100;</w:t>
      </w:r>
    </w:p>
    <w:p>
      <w:pPr>
        <w:pStyle w:val="Indenti"/>
        <w:rPr>
          <w:snapToGrid w:val="0"/>
        </w:rPr>
      </w:pPr>
      <w:r>
        <w:rPr>
          <w:snapToGrid w:val="0"/>
        </w:rPr>
        <w:tab/>
        <w:t>(ii)</w:t>
      </w:r>
      <w:r>
        <w:rPr>
          <w:snapToGrid w:val="0"/>
        </w:rPr>
        <w:tab/>
        <w:t>in the case of a second offence, $200; and</w:t>
      </w:r>
    </w:p>
    <w:p>
      <w:pPr>
        <w:pStyle w:val="Indenti"/>
        <w:rPr>
          <w:snapToGrid w:val="0"/>
        </w:rPr>
      </w:pPr>
      <w:r>
        <w:rPr>
          <w:snapToGrid w:val="0"/>
        </w:rPr>
        <w:tab/>
        <w:t>(iii)</w:t>
      </w:r>
      <w:r>
        <w:rPr>
          <w:snapToGrid w:val="0"/>
        </w:rPr>
        <w:tab/>
        <w:t xml:space="preserve">in the case of a third or subsequent offence, $500; </w:t>
      </w:r>
    </w:p>
    <w:p>
      <w:pPr>
        <w:pStyle w:val="Indenta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  <w:t>and</w:t>
      </w:r>
    </w:p>
    <w:p>
      <w:pPr>
        <w:pStyle w:val="Indenta"/>
        <w:rPr>
          <w:snapToGrid w:val="0"/>
        </w:rPr>
      </w:pPr>
      <w:r>
        <w:rPr>
          <w:snapToGrid w:val="0"/>
        </w:rPr>
        <w:tab/>
        <w:t>(b)</w:t>
      </w:r>
      <w:r>
        <w:rPr>
          <w:snapToGrid w:val="0"/>
        </w:rPr>
        <w:tab/>
        <w:t>if that offence is a continuing offence, a daily penalty which is not more than $100 and not less than $50.</w:t>
      </w:r>
    </w:p>
    <w:p>
      <w:pPr>
        <w:pStyle w:val="Footnotesection"/>
      </w:pPr>
      <w:r>
        <w:tab/>
        <w:t>[Regulation 5 inserted in Gazette 5 Dec 1986 p. 4465; amended in Gazette 23 Dec 1988 p. 4973; 7 Dec 2004 p. 5783</w:t>
      </w:r>
      <w:ins w:id="11" w:author="Master Repository Process" w:date="2021-08-28T13:25:00Z">
        <w:r>
          <w:t>; 15 Dec 2006 p. 5624</w:t>
        </w:r>
      </w:ins>
      <w:r>
        <w:t xml:space="preserve">.] </w:t>
      </w:r>
    </w:p>
    <w:p>
      <w:pPr>
        <w:pStyle w:val="Ednotesection"/>
      </w:pPr>
      <w:r>
        <w:t>[</w:t>
      </w:r>
      <w:r>
        <w:rPr>
          <w:b/>
        </w:rPr>
        <w:t>6.</w:t>
      </w:r>
      <w:r>
        <w:t xml:space="preserve"> </w:t>
      </w:r>
      <w:r>
        <w:tab/>
      </w:r>
      <w:r>
        <w:tab/>
      </w:r>
      <w:del w:id="12" w:author="Master Repository Process" w:date="2021-08-28T13:25:00Z">
        <w:r>
          <w:delText>Repealed</w:delText>
        </w:r>
      </w:del>
      <w:ins w:id="13" w:author="Master Repository Process" w:date="2021-08-28T13:25:00Z">
        <w:r>
          <w:t>Deleted</w:t>
        </w:r>
      </w:ins>
      <w:r>
        <w:t xml:space="preserve"> in Gazette 31 Dec 1996 p. 7433.] </w:t>
      </w:r>
    </w:p>
    <w:p>
      <w:pPr>
        <w:pStyle w:val="Ednotesection"/>
        <w:spacing w:before="400"/>
        <w:ind w:left="890" w:firstLine="0"/>
      </w:pPr>
      <w:r>
        <w:t xml:space="preserve">[Schedule </w:t>
      </w:r>
      <w:del w:id="14" w:author="Master Repository Process" w:date="2021-08-28T13:25:00Z">
        <w:r>
          <w:delText>repealed</w:delText>
        </w:r>
      </w:del>
      <w:ins w:id="15" w:author="Master Repository Process" w:date="2021-08-28T13:25:00Z">
        <w:r>
          <w:t>deleted</w:t>
        </w:r>
      </w:ins>
      <w:r>
        <w:t xml:space="preserve"> in Gazette 31 Dec 1996 p. 7433.]</w:t>
      </w:r>
    </w:p>
    <w:p>
      <w:pPr>
        <w:rPr>
          <w:rStyle w:val="CharDivText"/>
        </w:rPr>
        <w:sectPr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1906" w:h="16838" w:code="9"/>
          <w:pgMar w:top="2376" w:right="2405" w:bottom="3542" w:left="2405" w:header="706" w:footer="3380" w:gutter="0"/>
          <w:pgNumType w:start="1"/>
          <w:cols w:space="720"/>
          <w:noEndnote/>
          <w:titlePg/>
          <w:docGrid w:linePitch="326"/>
        </w:sectPr>
      </w:pPr>
    </w:p>
    <w:p>
      <w:pPr>
        <w:pStyle w:val="nHeading2"/>
      </w:pPr>
      <w:bookmarkStart w:id="16" w:name="_Toc378750912"/>
      <w:bookmarkStart w:id="17" w:name="_Toc380143523"/>
      <w:bookmarkStart w:id="18" w:name="_Toc90181186"/>
      <w:bookmarkStart w:id="19" w:name="_Toc90195103"/>
      <w:bookmarkStart w:id="20" w:name="_Toc90195130"/>
      <w:r>
        <w:t>Notes</w:t>
      </w:r>
      <w:bookmarkEnd w:id="16"/>
      <w:bookmarkEnd w:id="17"/>
      <w:bookmarkEnd w:id="18"/>
      <w:bookmarkEnd w:id="19"/>
      <w:bookmarkEnd w:id="20"/>
    </w:p>
    <w:p>
      <w:pPr>
        <w:pStyle w:val="nSubsection"/>
        <w:rPr>
          <w:snapToGrid w:val="0"/>
        </w:rPr>
      </w:pPr>
      <w:r>
        <w:rPr>
          <w:snapToGrid w:val="0"/>
          <w:vertAlign w:val="superscript"/>
        </w:rPr>
        <w:t>1</w:t>
      </w:r>
      <w:r>
        <w:rPr>
          <w:snapToGrid w:val="0"/>
        </w:rPr>
        <w:tab/>
        <w:t xml:space="preserve">This is a compilation of the </w:t>
      </w:r>
      <w:r>
        <w:rPr>
          <w:i/>
          <w:noProof/>
          <w:snapToGrid w:val="0"/>
        </w:rPr>
        <w:t>Health (School Dental Therapists) Regulations 1974</w:t>
      </w:r>
      <w:r>
        <w:rPr>
          <w:snapToGrid w:val="0"/>
        </w:rPr>
        <w:t xml:space="preserve"> and includes the amendments made by the other written laws referred to in the following table.  The table also contains information about any reprint.</w:t>
      </w:r>
    </w:p>
    <w:p>
      <w:pPr>
        <w:pStyle w:val="nHeading3"/>
      </w:pPr>
      <w:bookmarkStart w:id="21" w:name="_Toc380143524"/>
      <w:bookmarkStart w:id="22" w:name="_Toc90195131"/>
      <w:r>
        <w:t>Compilation table</w:t>
      </w:r>
      <w:bookmarkEnd w:id="21"/>
      <w:bookmarkEnd w:id="22"/>
    </w:p>
    <w:tbl>
      <w:tblPr>
        <w:tblW w:w="0" w:type="auto"/>
        <w:tblInd w:w="28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118"/>
        <w:gridCol w:w="1276"/>
        <w:gridCol w:w="2693"/>
      </w:tblGrid>
      <w:tr>
        <w:trPr>
          <w:tblHeader/>
        </w:trPr>
        <w:tc>
          <w:tcPr>
            <w:tcW w:w="3118" w:type="dxa"/>
            <w:tcBorders>
              <w:top w:val="single" w:sz="8" w:space="0" w:color="auto"/>
              <w:bottom w:val="single" w:sz="8" w:space="0" w:color="auto"/>
            </w:tcBorders>
          </w:tcPr>
          <w:p>
            <w:pPr>
              <w:pStyle w:val="nTable"/>
              <w:spacing w:after="40"/>
              <w:rPr>
                <w:b/>
                <w:sz w:val="19"/>
              </w:rPr>
            </w:pPr>
            <w:r>
              <w:rPr>
                <w:b/>
                <w:sz w:val="19"/>
              </w:rPr>
              <w:t>Citation</w:t>
            </w:r>
          </w:p>
        </w:tc>
        <w:tc>
          <w:tcPr>
            <w:tcW w:w="1276" w:type="dxa"/>
            <w:tcBorders>
              <w:top w:val="single" w:sz="8" w:space="0" w:color="auto"/>
              <w:bottom w:val="single" w:sz="8" w:space="0" w:color="auto"/>
            </w:tcBorders>
          </w:tcPr>
          <w:p>
            <w:pPr>
              <w:pStyle w:val="nTable"/>
              <w:spacing w:after="40"/>
              <w:rPr>
                <w:b/>
                <w:sz w:val="19"/>
              </w:rPr>
            </w:pPr>
            <w:r>
              <w:rPr>
                <w:b/>
                <w:sz w:val="19"/>
              </w:rPr>
              <w:t>Gazettal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8" w:space="0" w:color="auto"/>
            </w:tcBorders>
          </w:tcPr>
          <w:p>
            <w:pPr>
              <w:pStyle w:val="nTable"/>
              <w:spacing w:after="40"/>
              <w:rPr>
                <w:b/>
                <w:sz w:val="19"/>
              </w:rPr>
            </w:pPr>
            <w:r>
              <w:rPr>
                <w:b/>
                <w:sz w:val="19"/>
              </w:rPr>
              <w:t>Commencement</w:t>
            </w:r>
          </w:p>
        </w:tc>
      </w:tr>
      <w:tr>
        <w:tc>
          <w:tcPr>
            <w:tcW w:w="3118" w:type="dxa"/>
          </w:tcPr>
          <w:p>
            <w:pPr>
              <w:pStyle w:val="nTable"/>
              <w:spacing w:before="80"/>
              <w:rPr>
                <w:sz w:val="19"/>
                <w:vertAlign w:val="superscript"/>
              </w:rPr>
            </w:pPr>
            <w:r>
              <w:rPr>
                <w:i/>
                <w:sz w:val="19"/>
              </w:rPr>
              <w:t>Health Act (School Dental Therapists) Regulations 1974 </w:t>
            </w:r>
            <w:r>
              <w:rPr>
                <w:sz w:val="19"/>
                <w:vertAlign w:val="superscript"/>
              </w:rPr>
              <w:t>2</w:t>
            </w:r>
          </w:p>
        </w:tc>
        <w:tc>
          <w:tcPr>
            <w:tcW w:w="1276" w:type="dxa"/>
          </w:tcPr>
          <w:p>
            <w:pPr>
              <w:pStyle w:val="nTable"/>
              <w:spacing w:before="80"/>
              <w:rPr>
                <w:sz w:val="19"/>
              </w:rPr>
            </w:pPr>
            <w:r>
              <w:rPr>
                <w:sz w:val="19"/>
              </w:rPr>
              <w:t>22 Mar 1974 p. 933</w:t>
            </w:r>
            <w:r>
              <w:rPr>
                <w:sz w:val="19"/>
              </w:rPr>
              <w:noBreakHyphen/>
              <w:t>5</w:t>
            </w:r>
          </w:p>
        </w:tc>
        <w:tc>
          <w:tcPr>
            <w:tcW w:w="2693" w:type="dxa"/>
          </w:tcPr>
          <w:p>
            <w:pPr>
              <w:pStyle w:val="nTable"/>
              <w:spacing w:before="80"/>
              <w:rPr>
                <w:sz w:val="19"/>
              </w:rPr>
            </w:pPr>
            <w:r>
              <w:rPr>
                <w:sz w:val="19"/>
              </w:rPr>
              <w:t>22 Mar 1974</w:t>
            </w:r>
          </w:p>
        </w:tc>
      </w:tr>
      <w:tr>
        <w:tc>
          <w:tcPr>
            <w:tcW w:w="3118" w:type="dxa"/>
          </w:tcPr>
          <w:p>
            <w:pPr>
              <w:pStyle w:val="nTable"/>
              <w:spacing w:before="80"/>
              <w:rPr>
                <w:i/>
                <w:sz w:val="19"/>
              </w:rPr>
            </w:pPr>
            <w:r>
              <w:rPr>
                <w:i/>
                <w:sz w:val="19"/>
              </w:rPr>
              <w:t>Health Legislation Amendment Regulations 1984</w:t>
            </w:r>
          </w:p>
        </w:tc>
        <w:tc>
          <w:tcPr>
            <w:tcW w:w="1276" w:type="dxa"/>
          </w:tcPr>
          <w:p>
            <w:pPr>
              <w:pStyle w:val="nTable"/>
              <w:spacing w:before="80"/>
              <w:rPr>
                <w:sz w:val="19"/>
              </w:rPr>
            </w:pPr>
            <w:r>
              <w:rPr>
                <w:sz w:val="19"/>
              </w:rPr>
              <w:t>29 Jun 1984 p. 1780</w:t>
            </w:r>
            <w:r>
              <w:rPr>
                <w:sz w:val="19"/>
              </w:rPr>
              <w:noBreakHyphen/>
              <w:t>4</w:t>
            </w:r>
          </w:p>
        </w:tc>
        <w:tc>
          <w:tcPr>
            <w:tcW w:w="2693" w:type="dxa"/>
          </w:tcPr>
          <w:p>
            <w:pPr>
              <w:pStyle w:val="nTable"/>
              <w:spacing w:before="80"/>
              <w:rPr>
                <w:sz w:val="19"/>
              </w:rPr>
            </w:pPr>
            <w:r>
              <w:rPr>
                <w:sz w:val="19"/>
              </w:rPr>
              <w:t>1 Jul 1984 (see r. 2)</w:t>
            </w:r>
          </w:p>
        </w:tc>
      </w:tr>
      <w:tr>
        <w:tc>
          <w:tcPr>
            <w:tcW w:w="3118" w:type="dxa"/>
          </w:tcPr>
          <w:p>
            <w:pPr>
              <w:pStyle w:val="nTable"/>
              <w:spacing w:before="80"/>
              <w:rPr>
                <w:sz w:val="19"/>
              </w:rPr>
            </w:pPr>
            <w:r>
              <w:rPr>
                <w:i/>
                <w:sz w:val="19"/>
              </w:rPr>
              <w:t>Health (School Dental Therapists) Amendment Regulations 1986</w:t>
            </w:r>
          </w:p>
        </w:tc>
        <w:tc>
          <w:tcPr>
            <w:tcW w:w="1276" w:type="dxa"/>
          </w:tcPr>
          <w:p>
            <w:pPr>
              <w:pStyle w:val="nTable"/>
              <w:spacing w:before="80"/>
              <w:rPr>
                <w:sz w:val="19"/>
              </w:rPr>
            </w:pPr>
            <w:r>
              <w:rPr>
                <w:sz w:val="19"/>
              </w:rPr>
              <w:t>5 Dec 1986 p. 4465</w:t>
            </w:r>
          </w:p>
        </w:tc>
        <w:tc>
          <w:tcPr>
            <w:tcW w:w="2693" w:type="dxa"/>
          </w:tcPr>
          <w:p>
            <w:pPr>
              <w:pStyle w:val="nTable"/>
              <w:spacing w:before="80"/>
              <w:rPr>
                <w:sz w:val="19"/>
              </w:rPr>
            </w:pPr>
            <w:r>
              <w:rPr>
                <w:sz w:val="19"/>
              </w:rPr>
              <w:t>5 Dec 1986</w:t>
            </w:r>
          </w:p>
        </w:tc>
      </w:tr>
      <w:tr>
        <w:tc>
          <w:tcPr>
            <w:tcW w:w="3118" w:type="dxa"/>
          </w:tcPr>
          <w:p>
            <w:pPr>
              <w:pStyle w:val="nTable"/>
              <w:spacing w:before="80"/>
              <w:rPr>
                <w:sz w:val="19"/>
              </w:rPr>
            </w:pPr>
            <w:r>
              <w:rPr>
                <w:i/>
                <w:sz w:val="19"/>
              </w:rPr>
              <w:t>Health (Offences and Penalties) Amendment Regulations (No. 2) 1988</w:t>
            </w:r>
            <w:r>
              <w:rPr>
                <w:sz w:val="19"/>
              </w:rPr>
              <w:t xml:space="preserve"> Pt. 10</w:t>
            </w:r>
          </w:p>
        </w:tc>
        <w:tc>
          <w:tcPr>
            <w:tcW w:w="1276" w:type="dxa"/>
          </w:tcPr>
          <w:p>
            <w:pPr>
              <w:pStyle w:val="nTable"/>
              <w:spacing w:before="80"/>
              <w:rPr>
                <w:sz w:val="19"/>
              </w:rPr>
            </w:pPr>
            <w:r>
              <w:rPr>
                <w:sz w:val="19"/>
              </w:rPr>
              <w:t>23 Dec 1988 p. 4970</w:t>
            </w:r>
            <w:r>
              <w:rPr>
                <w:sz w:val="19"/>
              </w:rPr>
              <w:noBreakHyphen/>
              <w:t>5</w:t>
            </w:r>
          </w:p>
        </w:tc>
        <w:tc>
          <w:tcPr>
            <w:tcW w:w="2693" w:type="dxa"/>
          </w:tcPr>
          <w:p>
            <w:pPr>
              <w:pStyle w:val="nTable"/>
              <w:spacing w:before="80"/>
              <w:rPr>
                <w:sz w:val="19"/>
              </w:rPr>
            </w:pPr>
            <w:r>
              <w:rPr>
                <w:sz w:val="19"/>
              </w:rPr>
              <w:t>23 Dec 1988</w:t>
            </w:r>
          </w:p>
        </w:tc>
      </w:tr>
      <w:tr>
        <w:tc>
          <w:tcPr>
            <w:tcW w:w="3118" w:type="dxa"/>
          </w:tcPr>
          <w:p>
            <w:pPr>
              <w:pStyle w:val="nTable"/>
              <w:spacing w:before="80"/>
              <w:rPr>
                <w:sz w:val="19"/>
              </w:rPr>
            </w:pPr>
            <w:r>
              <w:rPr>
                <w:i/>
                <w:sz w:val="19"/>
              </w:rPr>
              <w:t>Health (School Dental Therapists) Amendment Regulations 1996</w:t>
            </w:r>
          </w:p>
        </w:tc>
        <w:tc>
          <w:tcPr>
            <w:tcW w:w="1276" w:type="dxa"/>
          </w:tcPr>
          <w:p>
            <w:pPr>
              <w:pStyle w:val="nTable"/>
              <w:spacing w:before="80"/>
              <w:rPr>
                <w:sz w:val="19"/>
              </w:rPr>
            </w:pPr>
            <w:r>
              <w:rPr>
                <w:sz w:val="19"/>
              </w:rPr>
              <w:t>31 Dec 1996 p. 7433</w:t>
            </w:r>
          </w:p>
        </w:tc>
        <w:tc>
          <w:tcPr>
            <w:tcW w:w="2693" w:type="dxa"/>
          </w:tcPr>
          <w:p>
            <w:pPr>
              <w:pStyle w:val="nTable"/>
              <w:spacing w:before="80"/>
              <w:rPr>
                <w:sz w:val="19"/>
              </w:rPr>
            </w:pPr>
            <w:r>
              <w:rPr>
                <w:sz w:val="19"/>
              </w:rPr>
              <w:t xml:space="preserve">1 Jan 1997 (see r. 2 and </w:t>
            </w:r>
            <w:r>
              <w:rPr>
                <w:i/>
                <w:sz w:val="19"/>
              </w:rPr>
              <w:t>Gazette</w:t>
            </w:r>
            <w:r>
              <w:rPr>
                <w:sz w:val="19"/>
              </w:rPr>
              <w:t xml:space="preserve"> 31 Dec 1996 p. 7427)</w:t>
            </w:r>
          </w:p>
        </w:tc>
      </w:tr>
      <w:tr>
        <w:trPr>
          <w:cantSplit/>
        </w:trPr>
        <w:tc>
          <w:tcPr>
            <w:tcW w:w="7087" w:type="dxa"/>
            <w:gridSpan w:val="3"/>
          </w:tcPr>
          <w:p>
            <w:pPr>
              <w:pStyle w:val="nTable"/>
              <w:spacing w:before="80"/>
              <w:rPr>
                <w:b/>
                <w:sz w:val="19"/>
              </w:rPr>
            </w:pPr>
            <w:r>
              <w:rPr>
                <w:b/>
                <w:sz w:val="19"/>
              </w:rPr>
              <w:t xml:space="preserve">Reprint of the </w:t>
            </w:r>
            <w:r>
              <w:rPr>
                <w:b/>
                <w:i/>
                <w:sz w:val="19"/>
              </w:rPr>
              <w:t>Health (School Dental Therapists) Regulations 1974 at at 15 Nov 2002</w:t>
            </w:r>
            <w:r>
              <w:rPr>
                <w:b/>
                <w:sz w:val="19"/>
              </w:rPr>
              <w:br/>
            </w:r>
            <w:r>
              <w:rPr>
                <w:sz w:val="19"/>
              </w:rPr>
              <w:t>(includes amendments listed above)</w:t>
            </w:r>
          </w:p>
        </w:tc>
      </w:tr>
      <w:tr>
        <w:tc>
          <w:tcPr>
            <w:tcW w:w="3118" w:type="dxa"/>
          </w:tcPr>
          <w:p>
            <w:pPr>
              <w:pStyle w:val="nTable"/>
              <w:spacing w:before="80"/>
              <w:rPr>
                <w:sz w:val="19"/>
              </w:rPr>
            </w:pPr>
            <w:r>
              <w:rPr>
                <w:i/>
                <w:sz w:val="19"/>
              </w:rPr>
              <w:t>Health (School Dental Therapists) Amendment Regulations 2004</w:t>
            </w:r>
          </w:p>
        </w:tc>
        <w:tc>
          <w:tcPr>
            <w:tcW w:w="1276" w:type="dxa"/>
          </w:tcPr>
          <w:p>
            <w:pPr>
              <w:pStyle w:val="nTable"/>
              <w:spacing w:before="80"/>
              <w:rPr>
                <w:sz w:val="19"/>
              </w:rPr>
            </w:pPr>
            <w:r>
              <w:rPr>
                <w:sz w:val="19"/>
              </w:rPr>
              <w:t>7 Dec 2004 p. 5783</w:t>
            </w:r>
          </w:p>
        </w:tc>
        <w:tc>
          <w:tcPr>
            <w:tcW w:w="2693" w:type="dxa"/>
          </w:tcPr>
          <w:p>
            <w:pPr>
              <w:pStyle w:val="nTable"/>
              <w:spacing w:before="80"/>
              <w:rPr>
                <w:sz w:val="19"/>
              </w:rPr>
            </w:pPr>
            <w:r>
              <w:rPr>
                <w:sz w:val="19"/>
              </w:rPr>
              <w:t>7 Dec 2004</w:t>
            </w:r>
          </w:p>
        </w:tc>
      </w:tr>
      <w:tr>
        <w:trPr>
          <w:ins w:id="23" w:author="Master Repository Process" w:date="2021-08-28T13:25:00Z"/>
        </w:trPr>
        <w:tc>
          <w:tcPr>
            <w:tcW w:w="3118" w:type="dxa"/>
            <w:tcBorders>
              <w:bottom w:val="single" w:sz="4" w:space="0" w:color="auto"/>
            </w:tcBorders>
          </w:tcPr>
          <w:p>
            <w:pPr>
              <w:pStyle w:val="nTable"/>
              <w:spacing w:before="80"/>
              <w:rPr>
                <w:ins w:id="24" w:author="Master Repository Process" w:date="2021-08-28T13:25:00Z"/>
                <w:i/>
                <w:sz w:val="19"/>
              </w:rPr>
            </w:pPr>
            <w:ins w:id="25" w:author="Master Repository Process" w:date="2021-08-28T13:25:00Z">
              <w:r>
                <w:rPr>
                  <w:i/>
                  <w:sz w:val="19"/>
                </w:rPr>
                <w:t>Health (School Dental Therapists) Amendment Regulations 2006</w:t>
              </w:r>
            </w:ins>
          </w:p>
        </w:tc>
        <w:tc>
          <w:tcPr>
            <w:tcW w:w="1276" w:type="dxa"/>
            <w:tcBorders>
              <w:bottom w:val="single" w:sz="4" w:space="0" w:color="auto"/>
            </w:tcBorders>
          </w:tcPr>
          <w:p>
            <w:pPr>
              <w:pStyle w:val="nTable"/>
              <w:spacing w:before="80"/>
              <w:rPr>
                <w:ins w:id="26" w:author="Master Repository Process" w:date="2021-08-28T13:25:00Z"/>
                <w:sz w:val="19"/>
              </w:rPr>
            </w:pPr>
            <w:ins w:id="27" w:author="Master Repository Process" w:date="2021-08-28T13:25:00Z">
              <w:r>
                <w:rPr>
                  <w:sz w:val="19"/>
                </w:rPr>
                <w:t>15 Dec 2006 p. 5623-4</w:t>
              </w:r>
            </w:ins>
          </w:p>
        </w:tc>
        <w:tc>
          <w:tcPr>
            <w:tcW w:w="2693" w:type="dxa"/>
            <w:tcBorders>
              <w:bottom w:val="single" w:sz="4" w:space="0" w:color="auto"/>
            </w:tcBorders>
          </w:tcPr>
          <w:p>
            <w:pPr>
              <w:pStyle w:val="nTable"/>
              <w:spacing w:before="80"/>
              <w:rPr>
                <w:ins w:id="28" w:author="Master Repository Process" w:date="2021-08-28T13:25:00Z"/>
                <w:sz w:val="19"/>
              </w:rPr>
            </w:pPr>
            <w:ins w:id="29" w:author="Master Repository Process" w:date="2021-08-28T13:25:00Z">
              <w:r>
                <w:rPr>
                  <w:sz w:val="19"/>
                </w:rPr>
                <w:t>15 Dec 2006</w:t>
              </w:r>
            </w:ins>
          </w:p>
        </w:tc>
      </w:tr>
    </w:tbl>
    <w:p>
      <w:pPr>
        <w:pStyle w:val="nSubsection"/>
      </w:pPr>
      <w:r>
        <w:rPr>
          <w:vertAlign w:val="superscript"/>
        </w:rPr>
        <w:t>2</w:t>
      </w:r>
      <w:r>
        <w:rPr>
          <w:vertAlign w:val="superscript"/>
        </w:rPr>
        <w:tab/>
      </w:r>
      <w:r>
        <w:t xml:space="preserve">Now known as the </w:t>
      </w:r>
      <w:r>
        <w:rPr>
          <w:i/>
        </w:rPr>
        <w:t>Health (School Dental Therapists) Regulations</w:t>
      </w:r>
      <w:del w:id="30" w:author="Master Repository Process" w:date="2021-08-28T13:25:00Z">
        <w:r>
          <w:rPr>
            <w:i/>
          </w:rPr>
          <w:delText xml:space="preserve"> </w:delText>
        </w:r>
      </w:del>
      <w:ins w:id="31" w:author="Master Repository Process" w:date="2021-08-28T13:25:00Z">
        <w:r>
          <w:rPr>
            <w:i/>
          </w:rPr>
          <w:t> </w:t>
        </w:r>
      </w:ins>
      <w:r>
        <w:rPr>
          <w:i/>
        </w:rPr>
        <w:t>1974</w:t>
      </w:r>
      <w:r>
        <w:t>; citation changed (see note under r. 1).</w:t>
      </w:r>
    </w:p>
    <w:p>
      <w:pPr>
        <w:pStyle w:val="nSubsection"/>
        <w:ind w:left="0" w:firstLine="0"/>
      </w:pPr>
    </w:p>
    <w:p>
      <w:pPr>
        <w:pStyle w:val="nSubsection"/>
        <w:ind w:left="0" w:firstLine="0"/>
        <w:rPr>
          <w:i/>
        </w:rPr>
        <w:sectPr>
          <w:headerReference w:type="even" r:id="rId20"/>
          <w:headerReference w:type="default" r:id="rId21"/>
          <w:headerReference w:type="first" r:id="rId22"/>
          <w:pgSz w:w="11906" w:h="16838" w:code="9"/>
          <w:pgMar w:top="2376" w:right="2404" w:bottom="3544" w:left="2404" w:header="720" w:footer="3380" w:gutter="0"/>
          <w:cols w:space="720"/>
          <w:noEndnote/>
          <w:docGrid w:linePitch="326"/>
        </w:sectPr>
      </w:pPr>
    </w:p>
    <w:p/>
    <w:sectPr>
      <w:headerReference w:type="even" r:id="rId23"/>
      <w:headerReference w:type="default" r:id="rId24"/>
      <w:type w:val="continuous"/>
      <w:pgSz w:w="11906" w:h="16838" w:code="9"/>
      <w:pgMar w:top="2381" w:right="2410" w:bottom="2977" w:left="2410" w:header="720" w:footer="3380" w:gutter="0"/>
      <w:paperSrc w:first="15" w:other="15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NewCenturySchlbk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right" w:pos="7080"/>
      </w:tabs>
      <w:rPr>
        <w:sz w:val="20"/>
      </w:rPr>
    </w:pPr>
    <w:r>
      <w:rPr>
        <w:sz w:val="20"/>
      </w:rPr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1</w:t>
    </w:r>
    <w:r>
      <w:rPr>
        <w:sz w:val="20"/>
      </w:rPr>
      <w:fldChar w:fldCharType="end"/>
    </w:r>
    <w:r>
      <w:rPr>
        <w:sz w:val="20"/>
      </w:rPr>
      <w:tab/>
      <w:t xml:space="preserve">Compare </w:t>
    </w:r>
    <w:r>
      <w:rPr>
        <w:sz w:val="20"/>
      </w:rPr>
      <w:fldChar w:fldCharType="begin"/>
    </w:r>
    <w:r>
      <w:rPr>
        <w:sz w:val="20"/>
      </w:rPr>
      <w:instrText xml:space="preserve"> DOCPROPERTY "FromAsAtDate" </w:instrText>
    </w:r>
    <w:r>
      <w:rPr>
        <w:sz w:val="20"/>
      </w:rPr>
      <w:fldChar w:fldCharType="separate"/>
    </w:r>
    <w:r>
      <w:rPr>
        <w:sz w:val="20"/>
      </w:rPr>
      <w:t>07 Dec 2004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"FromSuffix" </w:instrText>
    </w:r>
    <w:r>
      <w:rPr>
        <w:sz w:val="20"/>
      </w:rPr>
      <w:fldChar w:fldCharType="separate"/>
    </w:r>
    <w:r>
      <w:rPr>
        <w:sz w:val="20"/>
      </w:rPr>
      <w:t>01-b0-02</w:t>
    </w:r>
    <w:r>
      <w:rPr>
        <w:sz w:val="20"/>
      </w:rPr>
      <w:fldChar w:fldCharType="end"/>
    </w:r>
    <w:r>
      <w:rPr>
        <w:sz w:val="20"/>
      </w:rPr>
      <w:t xml:space="preserve">] / </w:t>
    </w:r>
    <w:r>
      <w:rPr>
        <w:sz w:val="20"/>
      </w:rPr>
      <w:fldChar w:fldCharType="begin"/>
    </w:r>
    <w:r>
      <w:rPr>
        <w:sz w:val="20"/>
      </w:rPr>
      <w:instrText xml:space="preserve"> DOCPROPERTY "ToAsAtDate" </w:instrText>
    </w:r>
    <w:r>
      <w:rPr>
        <w:sz w:val="20"/>
      </w:rPr>
      <w:fldChar w:fldCharType="separate"/>
    </w:r>
    <w:r>
      <w:rPr>
        <w:sz w:val="20"/>
      </w:rPr>
      <w:t>15 Dec 2006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"ToSuffix" </w:instrText>
    </w:r>
    <w:r>
      <w:rPr>
        <w:sz w:val="20"/>
      </w:rPr>
      <w:fldChar w:fldCharType="separate"/>
    </w:r>
    <w:r>
      <w:rPr>
        <w:sz w:val="20"/>
      </w:rPr>
      <w:t>01-c0-08</w:t>
    </w:r>
    <w:r>
      <w:rPr>
        <w:sz w:val="20"/>
      </w:rPr>
      <w:fldChar w:fldCharType="end"/>
    </w:r>
    <w:r>
      <w:rPr>
        <w:sz w:val="20"/>
      </w:rPr>
      <w:t>]</w:t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right" w:pos="7080"/>
      </w:tabs>
      <w:rPr>
        <w:sz w:val="20"/>
      </w:rPr>
    </w:pPr>
    <w:r>
      <w:rPr>
        <w:sz w:val="20"/>
      </w:rPr>
      <w:t xml:space="preserve">Compare </w:t>
    </w:r>
    <w:r>
      <w:rPr>
        <w:sz w:val="20"/>
      </w:rPr>
      <w:fldChar w:fldCharType="begin"/>
    </w:r>
    <w:r>
      <w:rPr>
        <w:sz w:val="20"/>
      </w:rPr>
      <w:instrText xml:space="preserve"> DOCPROPERTY "FromAsAtDate" </w:instrText>
    </w:r>
    <w:r>
      <w:rPr>
        <w:sz w:val="20"/>
      </w:rPr>
      <w:fldChar w:fldCharType="separate"/>
    </w:r>
    <w:r>
      <w:rPr>
        <w:sz w:val="20"/>
      </w:rPr>
      <w:t>07 Dec 2004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"FromSuffix" </w:instrText>
    </w:r>
    <w:r>
      <w:rPr>
        <w:sz w:val="20"/>
      </w:rPr>
      <w:fldChar w:fldCharType="separate"/>
    </w:r>
    <w:r>
      <w:rPr>
        <w:sz w:val="20"/>
      </w:rPr>
      <w:t>01-b0-02</w:t>
    </w:r>
    <w:r>
      <w:rPr>
        <w:sz w:val="20"/>
      </w:rPr>
      <w:fldChar w:fldCharType="end"/>
    </w:r>
    <w:r>
      <w:rPr>
        <w:sz w:val="20"/>
      </w:rPr>
      <w:t xml:space="preserve">] / </w:t>
    </w:r>
    <w:r>
      <w:rPr>
        <w:sz w:val="20"/>
      </w:rPr>
      <w:fldChar w:fldCharType="begin"/>
    </w:r>
    <w:r>
      <w:rPr>
        <w:sz w:val="20"/>
      </w:rPr>
      <w:instrText xml:space="preserve"> DOCPROPERTY "ToAsAtDate" </w:instrText>
    </w:r>
    <w:r>
      <w:rPr>
        <w:sz w:val="20"/>
      </w:rPr>
      <w:fldChar w:fldCharType="separate"/>
    </w:r>
    <w:r>
      <w:rPr>
        <w:sz w:val="20"/>
      </w:rPr>
      <w:t>15 Dec 2006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"ToSuffix" </w:instrText>
    </w:r>
    <w:r>
      <w:rPr>
        <w:sz w:val="20"/>
      </w:rPr>
      <w:fldChar w:fldCharType="separate"/>
    </w:r>
    <w:r>
      <w:rPr>
        <w:sz w:val="20"/>
      </w:rPr>
      <w:t>01-c0-08</w:t>
    </w:r>
    <w:r>
      <w:rPr>
        <w:sz w:val="20"/>
      </w:rPr>
      <w:fldChar w:fldCharType="end"/>
    </w:r>
    <w:r>
      <w:rPr>
        <w:sz w:val="20"/>
      </w:rPr>
      <w:t>]</w:t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1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right" w:pos="7080"/>
      </w:tabs>
      <w:rPr>
        <w:sz w:val="20"/>
      </w:rPr>
    </w:pPr>
    <w:r>
      <w:rPr>
        <w:sz w:val="20"/>
      </w:rPr>
      <w:t xml:space="preserve">Compare </w:t>
    </w:r>
    <w:r>
      <w:rPr>
        <w:sz w:val="20"/>
      </w:rPr>
      <w:fldChar w:fldCharType="begin"/>
    </w:r>
    <w:r>
      <w:rPr>
        <w:sz w:val="20"/>
      </w:rPr>
      <w:instrText xml:space="preserve"> DOCPROPERTY "FromAsAtDate" </w:instrText>
    </w:r>
    <w:r>
      <w:rPr>
        <w:sz w:val="20"/>
      </w:rPr>
      <w:fldChar w:fldCharType="separate"/>
    </w:r>
    <w:r>
      <w:rPr>
        <w:sz w:val="20"/>
      </w:rPr>
      <w:t>07 Dec 2004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"FromSuffix" </w:instrText>
    </w:r>
    <w:r>
      <w:rPr>
        <w:sz w:val="20"/>
      </w:rPr>
      <w:fldChar w:fldCharType="separate"/>
    </w:r>
    <w:r>
      <w:rPr>
        <w:sz w:val="20"/>
      </w:rPr>
      <w:t>01-b0-02</w:t>
    </w:r>
    <w:r>
      <w:rPr>
        <w:sz w:val="20"/>
      </w:rPr>
      <w:fldChar w:fldCharType="end"/>
    </w:r>
    <w:r>
      <w:rPr>
        <w:sz w:val="20"/>
      </w:rPr>
      <w:t xml:space="preserve">] / </w:t>
    </w:r>
    <w:r>
      <w:rPr>
        <w:sz w:val="20"/>
      </w:rPr>
      <w:fldChar w:fldCharType="begin"/>
    </w:r>
    <w:r>
      <w:rPr>
        <w:sz w:val="20"/>
      </w:rPr>
      <w:instrText xml:space="preserve"> DOCPROPERTY "ToAsAtDate" </w:instrText>
    </w:r>
    <w:r>
      <w:rPr>
        <w:sz w:val="20"/>
      </w:rPr>
      <w:fldChar w:fldCharType="separate"/>
    </w:r>
    <w:r>
      <w:rPr>
        <w:sz w:val="20"/>
      </w:rPr>
      <w:t>15 Dec 2006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"ToSuffix" </w:instrText>
    </w:r>
    <w:r>
      <w:rPr>
        <w:sz w:val="20"/>
      </w:rPr>
      <w:fldChar w:fldCharType="separate"/>
    </w:r>
    <w:r>
      <w:rPr>
        <w:sz w:val="20"/>
      </w:rPr>
      <w:t>01-c0-08</w:t>
    </w:r>
    <w:r>
      <w:rPr>
        <w:sz w:val="20"/>
      </w:rPr>
      <w:fldChar w:fldCharType="end"/>
    </w:r>
    <w:r>
      <w:rPr>
        <w:sz w:val="20"/>
      </w:rPr>
      <w:t>]</w:t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1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partodd"/>
      <w:ind w:left="0" w:firstLine="0"/>
      <w:rPr>
        <w:i/>
      </w:rPr>
    </w:pPr>
    <w:r>
      <w:rPr>
        <w:i/>
      </w:rPr>
      <w:fldChar w:fldCharType="begin"/>
    </w:r>
    <w:r>
      <w:rPr>
        <w:i/>
      </w:rPr>
      <w:instrText xml:space="preserve"> Styleref "Name of Act/Reg" </w:instrText>
    </w:r>
    <w:r>
      <w:rPr>
        <w:i/>
      </w:rPr>
      <w:fldChar w:fldCharType="separate"/>
    </w:r>
    <w:r>
      <w:rPr>
        <w:i/>
        <w:noProof/>
      </w:rPr>
      <w:t>Health (School Dental Therapists) Regulations 1974</w:t>
    </w:r>
    <w:r>
      <w:rPr>
        <w:i/>
      </w:rPr>
      <w:fldChar w:fldCharType="end"/>
    </w:r>
  </w:p>
  <w:p>
    <w:pPr>
      <w:pStyle w:val="headerpartodd"/>
      <w:ind w:left="0" w:firstLine="0"/>
      <w:rPr>
        <w:b w:val="0"/>
        <w:i/>
      </w:rPr>
    </w:pPr>
  </w:p>
  <w:p>
    <w:pPr>
      <w:pStyle w:val="headerpart"/>
    </w:pPr>
  </w:p>
  <w:p>
    <w:pPr>
      <w:pStyle w:val="headerpart"/>
    </w:pPr>
  </w:p>
  <w:p>
    <w:pPr>
      <w:pBdr>
        <w:bottom w:val="single" w:sz="6" w:space="1" w:color="auto"/>
      </w:pBdr>
      <w:rPr>
        <w:b/>
      </w:rPr>
    </w:pPr>
  </w:p>
  <w:p/>
  <w:p/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partodd"/>
      <w:ind w:left="0" w:firstLine="0"/>
      <w:jc w:val="right"/>
      <w:rPr>
        <w:i/>
      </w:rPr>
    </w:pPr>
    <w:r>
      <w:rPr>
        <w:i/>
      </w:rPr>
      <w:fldChar w:fldCharType="begin"/>
    </w:r>
    <w:r>
      <w:rPr>
        <w:i/>
      </w:rPr>
      <w:instrText xml:space="preserve"> Styleref "Name of Act/Reg" </w:instrText>
    </w:r>
    <w:r>
      <w:rPr>
        <w:i/>
      </w:rPr>
      <w:fldChar w:fldCharType="separate"/>
    </w:r>
    <w:r>
      <w:rPr>
        <w:i/>
        <w:noProof/>
      </w:rPr>
      <w:t>Health (School Dental Therapists) Regulations 1974</w:t>
    </w:r>
    <w:r>
      <w:rPr>
        <w:i/>
      </w:rPr>
      <w:fldChar w:fldCharType="end"/>
    </w:r>
  </w:p>
  <w:p>
    <w:pPr>
      <w:pStyle w:val="headerpartodd"/>
      <w:ind w:left="0" w:firstLine="0"/>
      <w:jc w:val="right"/>
      <w:rPr>
        <w:b w:val="0"/>
        <w:i/>
      </w:rPr>
    </w:pPr>
  </w:p>
  <w:p>
    <w:pPr>
      <w:pStyle w:val="headerpart"/>
      <w:jc w:val="right"/>
    </w:pPr>
  </w:p>
  <w:p>
    <w:pPr>
      <w:pStyle w:val="headerpart"/>
      <w:jc w:val="right"/>
    </w:pPr>
  </w:p>
  <w:p>
    <w:pPr>
      <w:pBdr>
        <w:bottom w:val="single" w:sz="6" w:space="1" w:color="auto"/>
      </w:pBdr>
      <w:jc w:val="right"/>
      <w:rPr>
        <w:b/>
      </w:rPr>
    </w:pPr>
  </w:p>
  <w:p/>
  <w:p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305"/>
      <w:gridCol w:w="6007"/>
    </w:tblGrid>
    <w:tr>
      <w:trPr>
        <w:cantSplit/>
      </w:trPr>
      <w:tc>
        <w:tcPr>
          <w:tcW w:w="7312" w:type="dxa"/>
          <w:gridSpan w:val="2"/>
        </w:tcPr>
        <w:p>
          <w:pPr>
            <w:pStyle w:val="HeaderActNameLeft"/>
          </w:pPr>
          <w:fldSimple w:instr=" Styleref &quot;Name of Act/Reg&quot; ">
            <w:r>
              <w:rPr>
                <w:noProof/>
              </w:rPr>
              <w:t>Health (School Dental Therapists) Regulations 1974</w:t>
            </w:r>
          </w:fldSimple>
        </w:p>
      </w:tc>
    </w:tr>
    <w:tr>
      <w:tc>
        <w:tcPr>
          <w:tcW w:w="1305" w:type="dxa"/>
        </w:tcPr>
        <w:p>
          <w:pPr>
            <w:pStyle w:val="HeaderNumberLeft"/>
          </w:pPr>
          <w:r>
            <w:fldChar w:fldCharType="begin"/>
          </w:r>
          <w:r>
            <w:instrText xml:space="preserve"> styleref CharPartNo </w:instrText>
          </w:r>
          <w:r>
            <w:fldChar w:fldCharType="end"/>
          </w:r>
        </w:p>
      </w:tc>
      <w:tc>
        <w:tcPr>
          <w:tcW w:w="6007" w:type="dxa"/>
        </w:tcPr>
        <w:p>
          <w:pPr>
            <w:pStyle w:val="HeaderTextLeft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</w:tr>
    <w:tr>
      <w:tc>
        <w:tcPr>
          <w:tcW w:w="1305" w:type="dxa"/>
        </w:tcPr>
        <w:p>
          <w:pPr>
            <w:pStyle w:val="HeaderNumberLeft"/>
          </w:pPr>
          <w:r>
            <w:fldChar w:fldCharType="begin"/>
          </w:r>
          <w:r>
            <w:instrText xml:space="preserve"> styleref CharDivNo </w:instrText>
          </w:r>
          <w:r>
            <w:fldChar w:fldCharType="end"/>
          </w:r>
        </w:p>
      </w:tc>
      <w:tc>
        <w:tcPr>
          <w:tcW w:w="6007" w:type="dxa"/>
        </w:tcPr>
        <w:p>
          <w:pPr>
            <w:pStyle w:val="HeaderTextLeft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</w:tr>
    <w:tr>
      <w:trPr>
        <w:cantSplit/>
      </w:trPr>
      <w:tc>
        <w:tcPr>
          <w:tcW w:w="7312" w:type="dxa"/>
          <w:gridSpan w:val="2"/>
        </w:tcPr>
        <w:p>
          <w:pPr>
            <w:pStyle w:val="HeaderSectionLeft"/>
          </w:pPr>
          <w:r>
            <w:t xml:space="preserve">r. </w:t>
          </w:r>
          <w:fldSimple w:instr=" styleref CharSectno ">
            <w:r>
              <w:rPr>
                <w:noProof/>
              </w:rPr>
              <w:t>1</w:t>
            </w:r>
          </w:fldSimple>
        </w:p>
      </w:tc>
    </w:tr>
  </w:tbl>
  <w:p>
    <w:pPr>
      <w:pStyle w:val="HeaderNumberLeft"/>
      <w:pBdr>
        <w:top w:val="single" w:sz="4" w:space="1" w:color="auto"/>
      </w:pBdr>
      <w:spacing w:before="0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985"/>
      <w:gridCol w:w="1327"/>
    </w:tblGrid>
    <w:tr>
      <w:trPr>
        <w:cantSplit/>
      </w:trPr>
      <w:tc>
        <w:tcPr>
          <w:tcW w:w="7312" w:type="dxa"/>
          <w:gridSpan w:val="2"/>
        </w:tcPr>
        <w:p>
          <w:pPr>
            <w:pStyle w:val="HeaderActNameRight"/>
          </w:pPr>
          <w:fldSimple w:instr=" Styleref &quot;Name of Act/Reg&quot; ">
            <w:r>
              <w:rPr>
                <w:noProof/>
              </w:rPr>
              <w:t>Health (School Dental Therapists) Regulations 1974</w:t>
            </w:r>
          </w:fldSimple>
        </w:p>
      </w:tc>
    </w:tr>
    <w:tr>
      <w:tc>
        <w:tcPr>
          <w:tcW w:w="5985" w:type="dxa"/>
        </w:tcPr>
        <w:p>
          <w:pPr>
            <w:pStyle w:val="HeaderTextRight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  <w:tc>
        <w:tcPr>
          <w:tcW w:w="1327" w:type="dxa"/>
        </w:tcPr>
        <w:p>
          <w:pPr>
            <w:pStyle w:val="HeaderNumberRight"/>
          </w:pPr>
          <w:r>
            <w:fldChar w:fldCharType="begin"/>
          </w:r>
          <w:r>
            <w:instrText xml:space="preserve"> styleref CharPartNo </w:instrText>
          </w:r>
          <w:r>
            <w:fldChar w:fldCharType="end"/>
          </w:r>
        </w:p>
      </w:tc>
    </w:tr>
    <w:tr>
      <w:tc>
        <w:tcPr>
          <w:tcW w:w="5985" w:type="dxa"/>
        </w:tcPr>
        <w:p>
          <w:pPr>
            <w:pStyle w:val="HeaderTextRight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  <w:tc>
        <w:tcPr>
          <w:tcW w:w="1327" w:type="dxa"/>
        </w:tcPr>
        <w:p>
          <w:pPr>
            <w:pStyle w:val="HeaderNumberRight"/>
          </w:pPr>
          <w:r>
            <w:fldChar w:fldCharType="begin"/>
          </w:r>
          <w:r>
            <w:instrText xml:space="preserve"> styleref CharDivNo </w:instrText>
          </w:r>
          <w:r>
            <w:fldChar w:fldCharType="end"/>
          </w:r>
        </w:p>
      </w:tc>
    </w:tr>
    <w:tr>
      <w:trPr>
        <w:cantSplit/>
      </w:trPr>
      <w:tc>
        <w:tcPr>
          <w:tcW w:w="7312" w:type="dxa"/>
          <w:gridSpan w:val="2"/>
        </w:tcPr>
        <w:p>
          <w:pPr>
            <w:pStyle w:val="HeaderSectionRight"/>
          </w:pPr>
          <w:r>
            <w:t xml:space="preserve">s. </w:t>
          </w:r>
          <w:fldSimple w:instr=" styleref CharSectno ">
            <w:r>
              <w:rPr>
                <w:noProof/>
              </w:rPr>
              <w:t>1</w:t>
            </w:r>
          </w:fldSimple>
        </w:p>
      </w:tc>
    </w:tr>
  </w:tbl>
  <w:p>
    <w:pPr>
      <w:pStyle w:val="Header"/>
      <w:pBdr>
        <w:top w:val="single" w:sz="4" w:space="1" w:color="auto"/>
      </w:pBd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64"/>
    </w:tblGrid>
    <w:tr>
      <w:trPr>
        <w:cantSplit/>
      </w:trPr>
      <w:tc>
        <w:tcPr>
          <w:tcW w:w="7312" w:type="dxa"/>
          <w:gridSpan w:val="2"/>
        </w:tcPr>
        <w:p>
          <w:pPr>
            <w:pStyle w:val="HeaderActNameLeft"/>
          </w:pPr>
          <w:fldSimple w:instr=" Styleref &quot;Name of Act/Reg&quot; ">
            <w:r>
              <w:rPr>
                <w:noProof/>
              </w:rPr>
              <w:t>Health (School Dental Therapists) Regulations 1974</w:t>
            </w:r>
          </w:fldSimple>
        </w:p>
      </w:tc>
    </w:tr>
    <w:tr>
      <w:tc>
        <w:tcPr>
          <w:tcW w:w="1548" w:type="dxa"/>
        </w:tcPr>
        <w:p>
          <w:pPr>
            <w:pStyle w:val="HeaderNumberLeft"/>
          </w:pPr>
        </w:p>
      </w:tc>
      <w:tc>
        <w:tcPr>
          <w:tcW w:w="5764" w:type="dxa"/>
        </w:tcPr>
        <w:p>
          <w:pPr>
            <w:pStyle w:val="HeaderTextLeft"/>
          </w:pPr>
        </w:p>
      </w:tc>
    </w:tr>
    <w:tr>
      <w:tc>
        <w:tcPr>
          <w:tcW w:w="1548" w:type="dxa"/>
        </w:tcPr>
        <w:p>
          <w:pPr>
            <w:pStyle w:val="HeaderNumberLeft"/>
          </w:pPr>
        </w:p>
      </w:tc>
      <w:tc>
        <w:tcPr>
          <w:tcW w:w="5764" w:type="dxa"/>
        </w:tcPr>
        <w:p>
          <w:pPr>
            <w:pStyle w:val="HeaderTextLeft"/>
          </w:pPr>
        </w:p>
      </w:tc>
    </w:tr>
    <w:tr>
      <w:trPr>
        <w:cantSplit/>
      </w:trPr>
      <w:tc>
        <w:tcPr>
          <w:tcW w:w="7312" w:type="dxa"/>
          <w:gridSpan w:val="2"/>
        </w:tcPr>
        <w:p>
          <w:pPr>
            <w:pStyle w:val="HeaderSectionLeft"/>
          </w:pPr>
        </w:p>
      </w:tc>
    </w:tr>
  </w:tbl>
  <w:p>
    <w:pPr>
      <w:pStyle w:val="Header"/>
      <w:pBdr>
        <w:top w:val="single" w:sz="4" w:space="1" w:color="auto"/>
      </w:pBd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60"/>
      <w:gridCol w:w="1552"/>
    </w:tblGrid>
    <w:tr>
      <w:trPr>
        <w:cantSplit/>
      </w:trPr>
      <w:tc>
        <w:tcPr>
          <w:tcW w:w="7312" w:type="dxa"/>
          <w:gridSpan w:val="2"/>
        </w:tcPr>
        <w:p>
          <w:pPr>
            <w:pStyle w:val="HeaderActNameRight"/>
          </w:pPr>
          <w:fldSimple w:instr=" Styleref &quot;Name of Act/Reg&quot; ">
            <w:r>
              <w:rPr>
                <w:noProof/>
              </w:rPr>
              <w:t>Health (School Dental Therapists) Regulations 1974</w:t>
            </w:r>
          </w:fldSimple>
        </w:p>
      </w:tc>
    </w:tr>
    <w:tr>
      <w:tc>
        <w:tcPr>
          <w:tcW w:w="5760" w:type="dxa"/>
        </w:tcPr>
        <w:p>
          <w:pPr>
            <w:pStyle w:val="HeaderTextRight"/>
          </w:pPr>
        </w:p>
      </w:tc>
      <w:tc>
        <w:tcPr>
          <w:tcW w:w="1552" w:type="dxa"/>
        </w:tcPr>
        <w:p>
          <w:pPr>
            <w:pStyle w:val="HeaderNumberRight"/>
          </w:pPr>
        </w:p>
      </w:tc>
    </w:tr>
    <w:tr>
      <w:tc>
        <w:tcPr>
          <w:tcW w:w="5760" w:type="dxa"/>
        </w:tcPr>
        <w:p>
          <w:pPr>
            <w:pStyle w:val="HeaderTextRight"/>
          </w:pPr>
        </w:p>
      </w:tc>
      <w:tc>
        <w:tcPr>
          <w:tcW w:w="1552" w:type="dxa"/>
        </w:tcPr>
        <w:p>
          <w:pPr>
            <w:pStyle w:val="HeaderNumberRight"/>
          </w:pPr>
        </w:p>
      </w:tc>
    </w:tr>
    <w:tr>
      <w:trPr>
        <w:cantSplit/>
      </w:trPr>
      <w:tc>
        <w:tcPr>
          <w:tcW w:w="7312" w:type="dxa"/>
          <w:gridSpan w:val="2"/>
        </w:tcPr>
        <w:p>
          <w:pPr>
            <w:pStyle w:val="HeaderSectionRight"/>
          </w:pPr>
        </w:p>
      </w:tc>
    </w:tr>
  </w:tbl>
  <w:p>
    <w:pPr>
      <w:pStyle w:val="Header"/>
      <w:pBdr>
        <w:top w:val="single" w:sz="4" w:space="1" w:color="auto"/>
      </w:pBd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7228C284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F44E582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DAB6F41E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4F7EF306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D8EA4354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B04210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43CB138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E8E9506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3B6662E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344315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5CF074B"/>
    <w:multiLevelType w:val="multilevel"/>
    <w:tmpl w:val="C374C9FA"/>
    <w:name w:val="ScheduleNumbers"/>
    <w:lvl w:ilvl="0">
      <w:start w:val="1"/>
      <w:numFmt w:val="decimal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(%2)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upperLetter"/>
      <w:suff w:val="nothing"/>
      <w:lvlText w:val="(%6)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1" w15:restartNumberingAfterBreak="0">
    <w:nsid w:val="066210FD"/>
    <w:multiLevelType w:val="multilevel"/>
    <w:tmpl w:val="B008D350"/>
    <w:name w:val="PartNumbers"/>
    <w:lvl w:ilvl="0">
      <w:start w:val="1"/>
      <w:numFmt w:val="decimal"/>
      <w:lvlRestart w:val="0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2" w15:restartNumberingAfterBreak="0">
    <w:nsid w:val="0F3C3412"/>
    <w:multiLevelType w:val="multilevel"/>
    <w:tmpl w:val="4968A1EE"/>
    <w:name w:val="mainnumbers"/>
    <w:lvl w:ilvl="0">
      <w:start w:val="1"/>
      <w:numFmt w:val="none"/>
      <w:lvlText w:val="%1Chapter  - 1"/>
      <w:lvlJc w:val="left"/>
      <w:pPr>
        <w:tabs>
          <w:tab w:val="num" w:pos="1440"/>
        </w:tabs>
        <w:ind w:left="360" w:hanging="360"/>
      </w:pPr>
    </w:lvl>
    <w:lvl w:ilvl="1">
      <w:start w:val="1"/>
      <w:numFmt w:val="decimal"/>
      <w:lvlText w:val="Part - %2"/>
      <w:lvlJc w:val="left"/>
      <w:pPr>
        <w:tabs>
          <w:tab w:val="num" w:pos="1440"/>
        </w:tabs>
        <w:ind w:left="720" w:hanging="360"/>
      </w:pPr>
    </w:lvl>
    <w:lvl w:ilvl="2">
      <w:start w:val="1"/>
      <w:numFmt w:val="decimal"/>
      <w:lvlText w:val="Division - %3"/>
      <w:lvlJc w:val="left"/>
      <w:pPr>
        <w:tabs>
          <w:tab w:val="num" w:pos="1800"/>
        </w:tabs>
        <w:ind w:left="1080" w:hanging="360"/>
      </w:pPr>
    </w:lvl>
    <w:lvl w:ilvl="3">
      <w:start w:val="1"/>
      <w:numFmt w:val="decimal"/>
      <w:lvlText w:val="Subdivision - %4"/>
      <w:lvlJc w:val="left"/>
      <w:pPr>
        <w:tabs>
          <w:tab w:val="num" w:pos="2520"/>
        </w:tabs>
        <w:ind w:left="1440" w:hanging="360"/>
      </w:pPr>
    </w:lvl>
    <w:lvl w:ilvl="4">
      <w:start w:val="1"/>
      <w:numFmt w:val="none"/>
      <w:suff w:val="space"/>
      <w:lvlText w:val=""/>
      <w:lvlJc w:val="left"/>
      <w:pPr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138B63E2"/>
    <w:multiLevelType w:val="multilevel"/>
    <w:tmpl w:val="3B4E73C2"/>
    <w:name w:val="SectionNumbers"/>
    <w:lvl w:ilvl="0">
      <w:start w:val="1"/>
      <w:numFmt w:val="decimal"/>
      <w:lvlRestart w:val="0"/>
      <w:suff w:val="nothing"/>
      <w:lvlText w:val="%1"/>
      <w:lvlJc w:val="righ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(%2)"/>
      <w:lvlJc w:val="righ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upperLetter"/>
      <w:suff w:val="nothing"/>
      <w:lvlText w:val="(%6)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4" w15:restartNumberingAfterBreak="0">
    <w:nsid w:val="21A614E3"/>
    <w:multiLevelType w:val="multilevel"/>
    <w:tmpl w:val="2ABEFE78"/>
    <w:name w:val="SchedulePenaltyNumbers"/>
    <w:lvl w:ilvl="0">
      <w:start w:val="1"/>
      <w:numFmt w:val="none"/>
      <w:lvlRestart w:val="0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5" w15:restartNumberingAfterBreak="0">
    <w:nsid w:val="22FF52EB"/>
    <w:multiLevelType w:val="multilevel"/>
    <w:tmpl w:val="BDF05236"/>
    <w:name w:val="DefinitionNumbers"/>
    <w:lvl w:ilvl="0">
      <w:start w:val="1"/>
      <w:numFmt w:val="none"/>
      <w:lvlRestart w:val="0"/>
      <w:pStyle w:val="DefinitionNumbers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6" w15:restartNumberingAfterBreak="0">
    <w:nsid w:val="29E57463"/>
    <w:multiLevelType w:val="multilevel"/>
    <w:tmpl w:val="8B7471A8"/>
    <w:name w:val="defs"/>
    <w:lvl w:ilvl="0">
      <w:start w:val="1"/>
      <w:numFmt w:val="decimal"/>
      <w:lvlText w:val="%1"/>
      <w:lvlJc w:val="right"/>
      <w:pPr>
        <w:tabs>
          <w:tab w:val="num" w:pos="1224"/>
        </w:tabs>
        <w:ind w:left="1224" w:hanging="288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2CE7501A"/>
    <w:multiLevelType w:val="multilevel"/>
    <w:tmpl w:val="011E435C"/>
    <w:name w:val="defs2"/>
    <w:lvl w:ilvl="0">
      <w:start w:val="1"/>
      <w:numFmt w:val="decimal"/>
      <w:lvlText w:val="%1"/>
      <w:lvlJc w:val="right"/>
      <w:pPr>
        <w:tabs>
          <w:tab w:val="num" w:pos="1224"/>
        </w:tabs>
        <w:ind w:left="1224" w:hanging="288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30BF5862"/>
    <w:multiLevelType w:val="multilevel"/>
    <w:tmpl w:val="811EB9CC"/>
    <w:name w:val="headings"/>
    <w:lvl w:ilvl="0">
      <w:start w:val="1"/>
      <w:numFmt w:val="none"/>
      <w:lvlText w:val="%1Chapter  - "/>
      <w:lvlJc w:val="left"/>
      <w:pPr>
        <w:tabs>
          <w:tab w:val="num" w:pos="1080"/>
        </w:tabs>
        <w:ind w:left="360" w:hanging="360"/>
      </w:pPr>
    </w:lvl>
    <w:lvl w:ilvl="1">
      <w:start w:val="1"/>
      <w:numFmt w:val="none"/>
      <w:lvlText w:val="Part - "/>
      <w:lvlJc w:val="left"/>
      <w:pPr>
        <w:tabs>
          <w:tab w:val="num" w:pos="1080"/>
        </w:tabs>
        <w:ind w:left="720" w:hanging="360"/>
      </w:pPr>
    </w:lvl>
    <w:lvl w:ilvl="2">
      <w:start w:val="1"/>
      <w:numFmt w:val="none"/>
      <w:lvlText w:val="Division  - "/>
      <w:lvlJc w:val="left"/>
      <w:pPr>
        <w:tabs>
          <w:tab w:val="num" w:pos="1800"/>
        </w:tabs>
        <w:ind w:left="1080" w:hanging="360"/>
      </w:pPr>
    </w:lvl>
    <w:lvl w:ilvl="3">
      <w:start w:val="1"/>
      <w:numFmt w:val="none"/>
      <w:lvlText w:val="Subdivision - "/>
      <w:lvlJc w:val="left"/>
      <w:pPr>
        <w:tabs>
          <w:tab w:val="num" w:pos="2520"/>
        </w:tabs>
        <w:ind w:left="1440" w:hanging="360"/>
      </w:pPr>
    </w:lvl>
    <w:lvl w:ilvl="4">
      <w:start w:val="1"/>
      <w:numFmt w:val="none"/>
      <w:suff w:val="space"/>
      <w:lvlText w:val=""/>
      <w:lvlJc w:val="left"/>
      <w:pPr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3C2808C0"/>
    <w:multiLevelType w:val="singleLevel"/>
    <w:tmpl w:val="D6924774"/>
    <w:lvl w:ilvl="0">
      <w:start w:val="1"/>
      <w:numFmt w:val="bullet"/>
      <w:pStyle w:val="NotesPerm2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20" w15:restartNumberingAfterBreak="0">
    <w:nsid w:val="4A985E84"/>
    <w:multiLevelType w:val="multilevel"/>
    <w:tmpl w:val="B17C9440"/>
    <w:name w:val="heading"/>
    <w:lvl w:ilvl="0">
      <w:start w:val="1"/>
      <w:numFmt w:val="decimal"/>
      <w:suff w:val="space"/>
      <w:lvlText w:val="Chapter %1 — "/>
      <w:lvlJc w:val="left"/>
      <w:pPr>
        <w:ind w:left="0" w:firstLine="0"/>
      </w:pPr>
    </w:lvl>
    <w:lvl w:ilvl="1">
      <w:start w:val="1"/>
      <w:numFmt w:val="decimal"/>
      <w:suff w:val="space"/>
      <w:lvlText w:val="Part %2 — "/>
      <w:lvlJc w:val="left"/>
      <w:pPr>
        <w:ind w:left="0" w:firstLine="0"/>
      </w:pPr>
    </w:lvl>
    <w:lvl w:ilvl="2">
      <w:start w:val="1"/>
      <w:numFmt w:val="decimal"/>
      <w:suff w:val="space"/>
      <w:lvlText w:val="Division %3 — "/>
      <w:lvlJc w:val="left"/>
      <w:pPr>
        <w:ind w:left="0" w:firstLine="0"/>
      </w:pPr>
    </w:lvl>
    <w:lvl w:ilvl="3">
      <w:start w:val="1"/>
      <w:numFmt w:val="decimal"/>
      <w:suff w:val="space"/>
      <w:lvlText w:val="Subdivision %4 — "/>
      <w:lvlJc w:val="left"/>
      <w:pPr>
        <w:ind w:left="0" w:firstLine="0"/>
      </w:pPr>
    </w:lvl>
    <w:lvl w:ilvl="4">
      <w:start w:val="1"/>
      <w:numFmt w:val="decimal"/>
      <w:lvlRestart w:val="0"/>
      <w:suff w:val="space"/>
      <w:lvlText w:val="%5. "/>
      <w:lvlJc w:val="left"/>
      <w:pPr>
        <w:ind w:left="893" w:hanging="893"/>
      </w:pPr>
    </w:lvl>
    <w:lvl w:ilvl="5">
      <w:start w:val="1"/>
      <w:numFmt w:val="decimal"/>
      <w:suff w:val="nothing"/>
      <w:lvlText w:val="(%6)"/>
      <w:lvlJc w:val="right"/>
      <w:pPr>
        <w:ind w:left="0" w:firstLine="72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1" w15:restartNumberingAfterBreak="0">
    <w:nsid w:val="4D9106A5"/>
    <w:multiLevelType w:val="singleLevel"/>
    <w:tmpl w:val="43F8DBCA"/>
    <w:name w:val="headings1"/>
    <w:lvl w:ilvl="0">
      <w:start w:val="1"/>
      <w:numFmt w:val="lowerRoman"/>
      <w:lvlText w:val="(%1)"/>
      <w:lvlJc w:val="right"/>
      <w:pPr>
        <w:tabs>
          <w:tab w:val="num" w:pos="2376"/>
        </w:tabs>
        <w:ind w:left="2376" w:hanging="288"/>
      </w:pPr>
    </w:lvl>
  </w:abstractNum>
  <w:abstractNum w:abstractNumId="22" w15:restartNumberingAfterBreak="0">
    <w:nsid w:val="5F092D33"/>
    <w:multiLevelType w:val="singleLevel"/>
    <w:tmpl w:val="118EBDB0"/>
    <w:name w:val="headings12"/>
    <w:lvl w:ilvl="0">
      <w:start w:val="1"/>
      <w:numFmt w:val="lowerLetter"/>
      <w:lvlText w:val="(%1)"/>
      <w:lvlJc w:val="right"/>
      <w:pPr>
        <w:tabs>
          <w:tab w:val="num" w:pos="2664"/>
        </w:tabs>
        <w:ind w:left="2664" w:hanging="288"/>
      </w:pPr>
    </w:lvl>
  </w:abstractNum>
  <w:abstractNum w:abstractNumId="23" w15:restartNumberingAfterBreak="0">
    <w:nsid w:val="6FDE73CC"/>
    <w:multiLevelType w:val="multilevel"/>
    <w:tmpl w:val="E1B8D9A4"/>
    <w:name w:val="PenaltyNumbers"/>
    <w:lvl w:ilvl="0">
      <w:start w:val="1"/>
      <w:numFmt w:val="none"/>
      <w:lvlRestart w:val="0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4" w15:restartNumberingAfterBreak="0">
    <w:nsid w:val="7A0F6C54"/>
    <w:multiLevelType w:val="multilevel"/>
    <w:tmpl w:val="A434F540"/>
    <w:name w:val="ScheduleDefinitionNumbers"/>
    <w:lvl w:ilvl="0">
      <w:start w:val="1"/>
      <w:numFmt w:val="none"/>
      <w:lvlRestart w:val="0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5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9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Master Repository Process">
    <w15:presenceInfo w15:providerId="AD" w15:userId="S-1-5-21-446834752-3266806679-4089291514-131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hideSpellingErrors/>
  <w:revisionView w:formatting="0"/>
  <w:defaultTabStop w:val="720"/>
  <w:doNotHyphenateCaps/>
  <w:evenAndOddHeaders/>
  <w:drawingGridHorizontalSpacing w:val="120"/>
  <w:drawingGridVerticalSpacing w:val="163"/>
  <w:displayHorizontalDrawingGridEvery w:val="0"/>
  <w:displayVerticalDrawingGridEvery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WAFER" w:val="20140214120005"/>
    <w:docVar w:name="WAFER_20140129090217" w:val="RemoveTocBookmarks,RemoveUnusedBookmarks,RemoveLanguageTags,UsedStyles,ResetPageSize,UpdateArrangement"/>
    <w:docVar w:name="WAFER_20140129090217_GUID" w:val="da44ed69-0505-444c-90bf-3d6d2ea06b69"/>
    <w:docVar w:name="WAFER_20140129090222" w:val="RemoveTocBookmarks,RunningHeaders"/>
    <w:docVar w:name="WAFER_20140129090222_GUID" w:val="bd6a514f-6109-483a-8758-2ac186cca885"/>
    <w:docVar w:name="WAFER_20140214120005" w:val="ResetStyles"/>
    <w:docVar w:name="WAFER_20140214120005_GUID" w:val="f5836b39-6d8d-4467-bb26-6c3fd2985d12"/>
  </w:docVar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30E43F8E-7B49-47C9-B42F-FF28158B8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zyDefitem">
    <w:name w:val="zyDefitem"/>
    <w:basedOn w:val="zDefitem"/>
    <w:pPr>
      <w:spacing w:line="240" w:lineRule="auto"/>
    </w:pPr>
    <w:rPr>
      <w:sz w:val="22"/>
    </w:rPr>
  </w:style>
  <w:style w:type="paragraph" w:customStyle="1" w:styleId="zDefitem">
    <w:name w:val="zDefitem"/>
    <w:basedOn w:val="Normal"/>
    <w:pPr>
      <w:tabs>
        <w:tab w:val="right" w:pos="3459"/>
        <w:tab w:val="left" w:pos="3771"/>
      </w:tabs>
      <w:spacing w:before="80" w:line="260" w:lineRule="atLeast"/>
      <w:ind w:left="3686" w:right="284" w:hanging="851"/>
    </w:pPr>
  </w:style>
  <w:style w:type="paragraph" w:customStyle="1" w:styleId="Defitem">
    <w:name w:val="Defitem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</w:rPr>
  </w:style>
  <w:style w:type="paragraph" w:customStyle="1" w:styleId="ShortT">
    <w:name w:val="ShortT"/>
    <w:basedOn w:val="Normal"/>
    <w:next w:val="Normal"/>
    <w:pPr>
      <w:spacing w:before="800"/>
      <w:jc w:val="center"/>
    </w:pPr>
    <w:rPr>
      <w:b/>
      <w:snapToGrid w:val="0"/>
      <w:sz w:val="38"/>
    </w:rPr>
  </w:style>
  <w:style w:type="paragraph" w:customStyle="1" w:styleId="Defpara">
    <w:name w:val="Defpara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napToGrid w:val="0"/>
      <w:sz w:val="24"/>
    </w:rPr>
  </w:style>
  <w:style w:type="paragraph" w:styleId="Footer">
    <w:name w:val="footer"/>
    <w:basedOn w:val="Normal"/>
    <w:link w:val="FooterChar"/>
    <w:pPr>
      <w:tabs>
        <w:tab w:val="center" w:pos="4153"/>
        <w:tab w:val="right" w:pos="8306"/>
      </w:tabs>
      <w:spacing w:line="260" w:lineRule="atLeast"/>
    </w:pPr>
    <w:rPr>
      <w:rFonts w:ascii="Arial" w:hAnsi="Arial"/>
    </w:rPr>
  </w:style>
  <w:style w:type="paragraph" w:customStyle="1" w:styleId="Ednotesection">
    <w:name w:val="Ednote(section)"/>
    <w:pPr>
      <w:tabs>
        <w:tab w:val="left" w:pos="893"/>
      </w:tabs>
      <w:spacing w:before="220" w:line="260" w:lineRule="atLeast"/>
      <w:ind w:left="893" w:hanging="893"/>
    </w:pPr>
    <w:rPr>
      <w:i/>
      <w:snapToGrid w:val="0"/>
      <w:sz w:val="24"/>
    </w:rPr>
  </w:style>
  <w:style w:type="character" w:styleId="LineNumber">
    <w:name w:val="line number"/>
    <w:basedOn w:val="DefaultParagraphFont"/>
    <w:semiHidden/>
    <w:rPr>
      <w:rFonts w:ascii="Times" w:hAnsi="Times"/>
      <w:sz w:val="18"/>
    </w:rPr>
  </w:style>
  <w:style w:type="character" w:styleId="PageNumber">
    <w:name w:val="page number"/>
    <w:basedOn w:val="DefaultParagraphFont"/>
    <w:semiHidden/>
    <w:rPr>
      <w:sz w:val="20"/>
    </w:r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rFonts w:ascii="Times" w:hAnsi="Times"/>
      <w:sz w:val="24"/>
    </w:rPr>
  </w:style>
  <w:style w:type="character" w:styleId="Strong">
    <w:name w:val="Strong"/>
    <w:basedOn w:val="DefaultParagraphFont"/>
    <w:qFormat/>
    <w:rPr>
      <w:b/>
      <w:sz w:val="24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</w:rPr>
  </w:style>
  <w:style w:type="paragraph" w:customStyle="1" w:styleId="Tablea">
    <w:name w:val="Table(a)"/>
    <w:aliases w:val="ta"/>
    <w:basedOn w:val="Normal"/>
    <w:pPr>
      <w:ind w:left="284" w:hanging="284"/>
    </w:pPr>
    <w:rPr>
      <w:rFonts w:ascii="NewCenturySchlbk" w:hAnsi="NewCenturySchlbk"/>
    </w:rPr>
  </w:style>
  <w:style w:type="paragraph" w:customStyle="1" w:styleId="Tablei">
    <w:name w:val="Table(i)"/>
    <w:aliases w:val="taa"/>
    <w:basedOn w:val="Normal"/>
    <w:pPr>
      <w:tabs>
        <w:tab w:val="left" w:pos="-6544"/>
        <w:tab w:val="right" w:pos="-6261"/>
        <w:tab w:val="left" w:pos="969"/>
      </w:tabs>
      <w:spacing w:line="240" w:lineRule="exact"/>
      <w:ind w:left="828" w:hanging="284"/>
    </w:pPr>
    <w:rPr>
      <w:rFonts w:ascii="NewCenturySchlbk" w:hAnsi="NewCenturySchlbk"/>
    </w:r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styleId="TOC2">
    <w:name w:val="toc 2"/>
    <w:next w:val="Normal"/>
    <w:uiPriority w:val="39"/>
    <w:pPr>
      <w:keepNext/>
      <w:spacing w:before="120" w:after="60"/>
      <w:ind w:left="1985" w:right="1134" w:hanging="567"/>
    </w:pPr>
    <w:rPr>
      <w:b/>
      <w:noProof/>
      <w:sz w:val="28"/>
    </w:rPr>
  </w:style>
  <w:style w:type="paragraph" w:styleId="TOC4">
    <w:name w:val="toc 4"/>
    <w:next w:val="Normal"/>
    <w:semiHidden/>
    <w:pPr>
      <w:keepNext/>
      <w:spacing w:before="60" w:after="20"/>
      <w:ind w:left="1985" w:right="1134" w:hanging="567"/>
    </w:pPr>
    <w:rPr>
      <w:b/>
      <w:noProof/>
      <w:sz w:val="22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</w:rPr>
  </w:style>
  <w:style w:type="paragraph" w:styleId="TOC6">
    <w:name w:val="toc 6"/>
    <w:next w:val="Normal"/>
    <w:semiHidden/>
    <w:pPr>
      <w:keepNext/>
      <w:spacing w:before="60" w:after="20"/>
      <w:ind w:left="1985" w:right="1134" w:hanging="567"/>
    </w:pPr>
    <w:rPr>
      <w:b/>
      <w:noProof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</w:rPr>
  </w:style>
  <w:style w:type="paragraph" w:styleId="TOC8">
    <w:name w:val="toc 8"/>
    <w:next w:val="Normal"/>
    <w:uiPriority w:val="39"/>
    <w:pPr>
      <w:tabs>
        <w:tab w:val="left" w:pos="1418"/>
        <w:tab w:val="right" w:pos="6804"/>
      </w:tabs>
      <w:ind w:left="1418" w:right="1134" w:hanging="851"/>
    </w:pPr>
    <w:rPr>
      <w:noProof/>
      <w:sz w:val="22"/>
    </w:rPr>
  </w:style>
  <w:style w:type="paragraph" w:styleId="TOC9">
    <w:name w:val="toc 9"/>
    <w:next w:val="Normal"/>
    <w:semiHidden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</w:rPr>
  </w:style>
  <w:style w:type="paragraph" w:customStyle="1" w:styleId="Defstart">
    <w:name w:val="Defstart"/>
    <w:pPr>
      <w:tabs>
        <w:tab w:val="left" w:pos="879"/>
      </w:tabs>
      <w:spacing w:before="80" w:line="260" w:lineRule="atLeast"/>
      <w:ind w:left="879" w:hanging="879"/>
    </w:pPr>
    <w:rPr>
      <w:snapToGrid w:val="0"/>
      <w:sz w:val="24"/>
    </w:rPr>
  </w:style>
  <w:style w:type="paragraph" w:customStyle="1" w:styleId="Defsubpara">
    <w:name w:val="Defsubpara"/>
    <w:pPr>
      <w:keepLines/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BodyText">
    <w:name w:val="Body Text"/>
    <w:basedOn w:val="Normal"/>
    <w:semiHidden/>
    <w:pPr>
      <w:spacing w:after="120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character" w:styleId="Hyperlink">
    <w:name w:val="Hyperlink"/>
    <w:basedOn w:val="DefaultParagraphFont"/>
    <w:semiHidden/>
    <w:rPr>
      <w:color w:val="0000FF"/>
      <w:sz w:val="24"/>
      <w:u w:val="single"/>
    </w:rPr>
  </w:style>
  <w:style w:type="character" w:styleId="FollowedHyperlink">
    <w:name w:val="FollowedHyperlink"/>
    <w:basedOn w:val="DefaultParagraphFont"/>
    <w:semiHidden/>
    <w:rPr>
      <w:color w:val="800080"/>
      <w:sz w:val="24"/>
      <w:u w:val="single"/>
    </w:rPr>
  </w:style>
  <w:style w:type="paragraph" w:customStyle="1" w:styleId="Mainnumbers">
    <w:name w:val="Mainnumbers"/>
    <w:basedOn w:val="Normal"/>
    <w:pPr>
      <w:tabs>
        <w:tab w:val="num" w:pos="1440"/>
      </w:tabs>
      <w:ind w:left="360" w:hanging="360"/>
    </w:pPr>
  </w:style>
  <w:style w:type="paragraph" w:customStyle="1" w:styleId="SectionNumbers">
    <w:name w:val="SectionNumbers"/>
    <w:basedOn w:val="Normal"/>
    <w:pPr>
      <w:tabs>
        <w:tab w:val="num" w:pos="0"/>
        <w:tab w:val="right" w:pos="1152"/>
      </w:tabs>
      <w:spacing w:line="260" w:lineRule="atLeast"/>
    </w:pPr>
  </w:style>
  <w:style w:type="paragraph" w:customStyle="1" w:styleId="DefinitionNumbers">
    <w:name w:val="DefinitionNumbers"/>
    <w:basedOn w:val="Normal"/>
    <w:pPr>
      <w:numPr>
        <w:numId w:val="1"/>
      </w:numPr>
    </w:p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</w:rPr>
  </w:style>
  <w:style w:type="paragraph" w:customStyle="1" w:styleId="Enactment">
    <w:name w:val="Enactment"/>
    <w:pPr>
      <w:spacing w:before="800"/>
    </w:pPr>
    <w:rPr>
      <w:sz w:val="24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</w:rPr>
  </w:style>
  <w:style w:type="paragraph" w:styleId="FootnoteText">
    <w:name w:val="footnote text"/>
    <w:basedOn w:val="Normal"/>
    <w:semiHidden/>
  </w:style>
  <w:style w:type="paragraph" w:customStyle="1" w:styleId="LongTitle">
    <w:name w:val="Long Title"/>
    <w:rPr>
      <w:b/>
      <w:sz w:val="24"/>
    </w:rPr>
  </w:style>
  <w:style w:type="paragraph" w:styleId="Signature">
    <w:name w:val="Signature"/>
    <w:basedOn w:val="Normal"/>
    <w:semiHidden/>
    <w:pPr>
      <w:ind w:left="4252"/>
    </w:pPr>
  </w:style>
  <w:style w:type="paragraph" w:styleId="List">
    <w:name w:val="List"/>
    <w:basedOn w:val="Normal"/>
    <w:semiHidden/>
    <w:pPr>
      <w:ind w:left="283" w:hanging="283"/>
    </w:p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</w:rPr>
  </w:style>
  <w:style w:type="character" w:customStyle="1" w:styleId="CharChapNo">
    <w:name w:val="CharChapNo"/>
    <w:rPr>
      <w:noProof w:val="0"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80" w:line="260" w:lineRule="atLeast"/>
      <w:ind w:left="2330" w:hanging="2330"/>
    </w:pPr>
    <w:rPr>
      <w:i/>
      <w:sz w:val="24"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</w:rPr>
  </w:style>
  <w:style w:type="paragraph" w:customStyle="1" w:styleId="Footnoteheading">
    <w:name w:val="Footnote(heading)"/>
    <w:pPr>
      <w:tabs>
        <w:tab w:val="left" w:pos="879"/>
      </w:tabs>
      <w:spacing w:before="120" w:line="260" w:lineRule="atLeast"/>
      <w:ind w:left="879" w:hanging="879"/>
    </w:pPr>
    <w:rPr>
      <w:i/>
      <w:sz w:val="24"/>
    </w:rPr>
  </w:style>
  <w:style w:type="character" w:customStyle="1" w:styleId="CharChapText">
    <w:name w:val="CharChapText"/>
    <w:rPr>
      <w:noProof w:val="0"/>
    </w:rPr>
  </w:style>
  <w:style w:type="character" w:customStyle="1" w:styleId="CharDivNo">
    <w:name w:val="CharDivNo"/>
    <w:rPr>
      <w:noProof w:val="0"/>
    </w:rPr>
  </w:style>
  <w:style w:type="character" w:customStyle="1" w:styleId="CharDivText">
    <w:name w:val="CharDivText"/>
    <w:rPr>
      <w:noProof w:val="0"/>
    </w:rPr>
  </w:style>
  <w:style w:type="character" w:customStyle="1" w:styleId="CharPartNo">
    <w:name w:val="CharPartNo"/>
    <w:rPr>
      <w:noProof w:val="0"/>
    </w:rPr>
  </w:style>
  <w:style w:type="character" w:customStyle="1" w:styleId="CharPartText">
    <w:name w:val="CharPartText"/>
    <w:rPr>
      <w:noProof w:val="0"/>
    </w:rPr>
  </w:style>
  <w:style w:type="character" w:customStyle="1" w:styleId="CharSectno">
    <w:name w:val="CharSectno"/>
    <w:rPr>
      <w:noProof w:val="0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character" w:customStyle="1" w:styleId="CharSchNo">
    <w:name w:val="CharSchNo"/>
    <w:rPr>
      <w:noProof w:val="0"/>
    </w:rPr>
  </w:style>
  <w:style w:type="paragraph" w:customStyle="1" w:styleId="headerpart">
    <w:name w:val="header.part"/>
    <w:basedOn w:val="Normal"/>
    <w:pPr>
      <w:keepNext/>
      <w:spacing w:line="260" w:lineRule="atLeast"/>
    </w:pPr>
    <w:rPr>
      <w:rFonts w:ascii="Arial" w:hAnsi="Arial"/>
      <w:b/>
    </w:rPr>
  </w:style>
  <w:style w:type="paragraph" w:customStyle="1" w:styleId="headerpartodd">
    <w:name w:val="header.part.odd"/>
    <w:basedOn w:val="headerpart"/>
    <w:pPr>
      <w:ind w:left="5387" w:hanging="1134"/>
    </w:p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80" w:line="260" w:lineRule="atLeast"/>
      <w:ind w:left="3050" w:hanging="3050"/>
    </w:pPr>
    <w:rPr>
      <w:i/>
      <w:sz w:val="24"/>
    </w:r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80" w:line="260" w:lineRule="atLeast"/>
      <w:ind w:left="3771" w:hanging="3771"/>
    </w:pPr>
    <w:rPr>
      <w:i/>
      <w:sz w:val="24"/>
    </w:rPr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552" w:right="284" w:hanging="2183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yDefpara">
    <w:name w:val="yDefpara"/>
    <w:basedOn w:val="Defpara"/>
    <w:pPr>
      <w:spacing w:line="240" w:lineRule="auto"/>
    </w:pPr>
    <w:rPr>
      <w:sz w:val="22"/>
    </w:rPr>
  </w:style>
  <w:style w:type="paragraph" w:customStyle="1" w:styleId="yDefstart">
    <w:name w:val="yDefstart"/>
    <w:basedOn w:val="Defstart"/>
    <w:pPr>
      <w:spacing w:line="240" w:lineRule="auto"/>
    </w:pPr>
    <w:rPr>
      <w:sz w:val="22"/>
    </w:rPr>
  </w:style>
  <w:style w:type="paragraph" w:customStyle="1" w:styleId="yDefsubpara">
    <w:name w:val="yDefsubpara"/>
    <w:basedOn w:val="Defsubpara"/>
    <w:pPr>
      <w:spacing w:line="240" w:lineRule="auto"/>
    </w:pPr>
    <w:rPr>
      <w:sz w:val="22"/>
    </w:rPr>
  </w:style>
  <w:style w:type="paragraph" w:customStyle="1" w:styleId="yDefitem">
    <w:name w:val="yDefitem"/>
    <w:basedOn w:val="Defitem"/>
    <w:pPr>
      <w:spacing w:line="240" w:lineRule="auto"/>
    </w:pPr>
    <w:rPr>
      <w:sz w:val="22"/>
    </w:rPr>
  </w:style>
  <w:style w:type="paragraph" w:customStyle="1" w:styleId="zDefstart">
    <w:name w:val="zDefstart"/>
    <w:basedOn w:val="Normal"/>
    <w:pPr>
      <w:tabs>
        <w:tab w:val="left" w:pos="312"/>
      </w:tabs>
      <w:spacing w:before="80" w:line="260" w:lineRule="atLeast"/>
      <w:ind w:left="1446" w:right="284" w:hanging="312"/>
    </w:pPr>
    <w:rPr>
      <w:snapToGrid w:val="0"/>
    </w:rPr>
  </w:style>
  <w:style w:type="paragraph" w:customStyle="1" w:styleId="zDefpara">
    <w:name w:val="zDefpara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  <w:rPr>
      <w:snapToGrid w:val="0"/>
    </w:rPr>
  </w:style>
  <w:style w:type="paragraph" w:customStyle="1" w:styleId="zDefsubpara">
    <w:name w:val="zDefsubpara"/>
    <w:basedOn w:val="Normal"/>
    <w:pPr>
      <w:keepLines/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zyDefpara">
    <w:name w:val="zyDefpara"/>
    <w:basedOn w:val="zDefpara"/>
    <w:pPr>
      <w:spacing w:line="240" w:lineRule="auto"/>
    </w:pPr>
    <w:rPr>
      <w:sz w:val="22"/>
    </w:rPr>
  </w:style>
  <w:style w:type="paragraph" w:customStyle="1" w:styleId="zyDefstart">
    <w:name w:val="zyDefstart"/>
    <w:basedOn w:val="zDefstart"/>
    <w:pPr>
      <w:spacing w:line="240" w:lineRule="auto"/>
    </w:pPr>
    <w:rPr>
      <w:sz w:val="22"/>
    </w:rPr>
  </w:style>
  <w:style w:type="paragraph" w:customStyle="1" w:styleId="zyDefsubpara">
    <w:name w:val="zyDefsubpara"/>
    <w:basedOn w:val="zDefsubpara"/>
    <w:pPr>
      <w:spacing w:line="240" w:lineRule="auto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BlockText">
    <w:name w:val="Block Text"/>
    <w:basedOn w:val="Normal"/>
    <w:semiHidden/>
    <w:pPr>
      <w:spacing w:after="120"/>
      <w:ind w:left="1440" w:right="1440"/>
    </w:pPr>
  </w:style>
  <w:style w:type="paragraph" w:styleId="BodyText2">
    <w:name w:val="Body Text 2"/>
    <w:basedOn w:val="Normal"/>
    <w:semiHidden/>
    <w:pPr>
      <w:spacing w:after="120" w:line="480" w:lineRule="auto"/>
    </w:pPr>
  </w:style>
  <w:style w:type="paragraph" w:styleId="BodyText3">
    <w:name w:val="Body Text 3"/>
    <w:basedOn w:val="Normal"/>
    <w:semiHidden/>
    <w:pPr>
      <w:spacing w:after="120"/>
    </w:pPr>
    <w:rPr>
      <w:sz w:val="18"/>
    </w:rPr>
  </w:style>
  <w:style w:type="paragraph" w:styleId="BodyTextFirstIndent">
    <w:name w:val="Body Text First Indent"/>
    <w:basedOn w:val="BodyText"/>
    <w:semiHidden/>
    <w:pPr>
      <w:ind w:firstLine="210"/>
    </w:pPr>
  </w:style>
  <w:style w:type="paragraph" w:styleId="BodyTextIndent">
    <w:name w:val="Body Text Indent"/>
    <w:basedOn w:val="Normal"/>
    <w:semiHidden/>
    <w:pPr>
      <w:spacing w:after="120"/>
      <w:ind w:left="283"/>
    </w:pPr>
  </w:style>
  <w:style w:type="paragraph" w:styleId="BodyTextFirstIndent2">
    <w:name w:val="Body Text First Indent 2"/>
    <w:basedOn w:val="BodyTextIndent"/>
    <w:semiHidden/>
    <w:pPr>
      <w:ind w:firstLine="210"/>
    </w:pPr>
  </w:style>
  <w:style w:type="paragraph" w:styleId="BodyTextIndent2">
    <w:name w:val="Body Text Indent 2"/>
    <w:basedOn w:val="Normal"/>
    <w:semiHidden/>
    <w:pPr>
      <w:spacing w:after="120" w:line="480" w:lineRule="auto"/>
      <w:ind w:left="283"/>
    </w:pPr>
  </w:style>
  <w:style w:type="paragraph" w:styleId="BodyTextIndent3">
    <w:name w:val="Body Text Indent 3"/>
    <w:basedOn w:val="Normal"/>
    <w:semiHidden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styleId="Closing">
    <w:name w:val="Closing"/>
    <w:basedOn w:val="Normal"/>
    <w:semiHidden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  <w:semiHidden/>
  </w:style>
  <w:style w:type="character" w:styleId="Emphasis">
    <w:name w:val="Emphasis"/>
    <w:basedOn w:val="DefaultParagraphFont"/>
    <w:qFormat/>
    <w:rPr>
      <w:i/>
      <w:sz w:val="24"/>
    </w:rPr>
  </w:style>
  <w:style w:type="paragraph" w:styleId="EndnoteText">
    <w:name w:val="endnote text"/>
    <w:basedOn w:val="Normal"/>
    <w:semiHidden/>
  </w:style>
  <w:style w:type="paragraph" w:styleId="EnvelopeAddress">
    <w:name w:val="envelope address"/>
    <w:basedOn w:val="Normal"/>
    <w:semiHidden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semiHidden/>
    <w:rPr>
      <w:rFonts w:ascii="Arial" w:hAnsi="Arial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paragraph" w:styleId="List2">
    <w:name w:val="List 2"/>
    <w:basedOn w:val="Normal"/>
    <w:semiHidden/>
    <w:pPr>
      <w:ind w:left="566" w:hanging="283"/>
    </w:pPr>
  </w:style>
  <w:style w:type="paragraph" w:styleId="List3">
    <w:name w:val="List 3"/>
    <w:basedOn w:val="Normal"/>
    <w:semiHidden/>
    <w:pPr>
      <w:ind w:left="849" w:hanging="283"/>
    </w:pPr>
  </w:style>
  <w:style w:type="paragraph" w:styleId="List4">
    <w:name w:val="List 4"/>
    <w:basedOn w:val="Normal"/>
    <w:semiHidden/>
    <w:pPr>
      <w:ind w:left="1132" w:hanging="283"/>
    </w:pPr>
  </w:style>
  <w:style w:type="paragraph" w:styleId="List5">
    <w:name w:val="List 5"/>
    <w:basedOn w:val="Normal"/>
    <w:semiHidden/>
    <w:pPr>
      <w:ind w:left="1415" w:hanging="283"/>
    </w:pPr>
  </w:style>
  <w:style w:type="paragraph" w:styleId="ListBullet">
    <w:name w:val="List Bullet"/>
    <w:basedOn w:val="Normal"/>
    <w:autoRedefine/>
    <w:semiHidden/>
    <w:pPr>
      <w:numPr>
        <w:numId w:val="2"/>
      </w:numPr>
    </w:pPr>
  </w:style>
  <w:style w:type="paragraph" w:styleId="ListBullet2">
    <w:name w:val="List Bullet 2"/>
    <w:basedOn w:val="Normal"/>
    <w:autoRedefine/>
    <w:semiHidden/>
    <w:pPr>
      <w:numPr>
        <w:numId w:val="3"/>
      </w:numPr>
    </w:pPr>
  </w:style>
  <w:style w:type="paragraph" w:styleId="ListBullet3">
    <w:name w:val="List Bullet 3"/>
    <w:basedOn w:val="Normal"/>
    <w:autoRedefine/>
    <w:semiHidden/>
    <w:pPr>
      <w:numPr>
        <w:numId w:val="4"/>
      </w:numPr>
    </w:pPr>
  </w:style>
  <w:style w:type="paragraph" w:styleId="ListBullet4">
    <w:name w:val="List Bullet 4"/>
    <w:basedOn w:val="Normal"/>
    <w:autoRedefine/>
    <w:semiHidden/>
    <w:pPr>
      <w:numPr>
        <w:numId w:val="5"/>
      </w:numPr>
    </w:pPr>
  </w:style>
  <w:style w:type="paragraph" w:styleId="ListBullet5">
    <w:name w:val="List Bullet 5"/>
    <w:basedOn w:val="Normal"/>
    <w:autoRedefine/>
    <w:semiHidden/>
    <w:pPr>
      <w:numPr>
        <w:numId w:val="6"/>
      </w:numPr>
    </w:pPr>
  </w:style>
  <w:style w:type="paragraph" w:styleId="ListContinue">
    <w:name w:val="List Continue"/>
    <w:basedOn w:val="Normal"/>
    <w:semiHidden/>
    <w:pPr>
      <w:spacing w:after="120"/>
      <w:ind w:left="283"/>
    </w:pPr>
  </w:style>
  <w:style w:type="paragraph" w:styleId="ListContinue2">
    <w:name w:val="List Continue 2"/>
    <w:basedOn w:val="Normal"/>
    <w:semiHidden/>
    <w:pPr>
      <w:spacing w:after="120"/>
      <w:ind w:left="566"/>
    </w:pPr>
  </w:style>
  <w:style w:type="paragraph" w:styleId="ListContinue3">
    <w:name w:val="List Continue 3"/>
    <w:basedOn w:val="Normal"/>
    <w:semiHidden/>
    <w:pPr>
      <w:spacing w:after="120"/>
      <w:ind w:left="849"/>
    </w:pPr>
  </w:style>
  <w:style w:type="paragraph" w:styleId="ListContinue4">
    <w:name w:val="List Continue 4"/>
    <w:basedOn w:val="Normal"/>
    <w:semiHidden/>
    <w:pPr>
      <w:spacing w:after="120"/>
      <w:ind w:left="1132"/>
    </w:pPr>
  </w:style>
  <w:style w:type="paragraph" w:styleId="ListContinue5">
    <w:name w:val="List Continue 5"/>
    <w:basedOn w:val="Normal"/>
    <w:semiHidden/>
    <w:pPr>
      <w:spacing w:after="120"/>
      <w:ind w:left="1415"/>
    </w:pPr>
  </w:style>
  <w:style w:type="paragraph" w:styleId="ListNumber">
    <w:name w:val="List Number"/>
    <w:basedOn w:val="Normal"/>
    <w:semiHidden/>
    <w:pPr>
      <w:numPr>
        <w:numId w:val="7"/>
      </w:numPr>
    </w:pPr>
  </w:style>
  <w:style w:type="paragraph" w:styleId="ListNumber2">
    <w:name w:val="List Number 2"/>
    <w:basedOn w:val="Normal"/>
    <w:semiHidden/>
    <w:pPr>
      <w:numPr>
        <w:numId w:val="8"/>
      </w:numPr>
    </w:pPr>
  </w:style>
  <w:style w:type="paragraph" w:styleId="ListNumber3">
    <w:name w:val="List Number 3"/>
    <w:basedOn w:val="Normal"/>
    <w:semiHidden/>
    <w:pPr>
      <w:numPr>
        <w:numId w:val="9"/>
      </w:numPr>
    </w:pPr>
  </w:style>
  <w:style w:type="paragraph" w:styleId="ListNumber4">
    <w:name w:val="List Number 4"/>
    <w:basedOn w:val="Normal"/>
    <w:semiHidden/>
    <w:pPr>
      <w:numPr>
        <w:numId w:val="10"/>
      </w:numPr>
    </w:pPr>
  </w:style>
  <w:style w:type="paragraph" w:styleId="ListNumber5">
    <w:name w:val="List Number 5"/>
    <w:basedOn w:val="Normal"/>
    <w:semiHidden/>
    <w:pPr>
      <w:numPr>
        <w:numId w:val="11"/>
      </w:numPr>
    </w:pPr>
  </w:style>
  <w:style w:type="paragraph" w:styleId="MessageHeader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styleId="NormalIndent">
    <w:name w:val="Normal Indent"/>
    <w:basedOn w:val="Normal"/>
    <w:semiHidden/>
    <w:pPr>
      <w:ind w:left="720"/>
    </w:pPr>
  </w:style>
  <w:style w:type="paragraph" w:styleId="NoteHeading">
    <w:name w:val="Note Heading"/>
    <w:basedOn w:val="Normal"/>
    <w:next w:val="Normal"/>
    <w:semiHidden/>
  </w:style>
  <w:style w:type="paragraph" w:styleId="Salutation">
    <w:name w:val="Salutation"/>
    <w:basedOn w:val="Normal"/>
    <w:next w:val="Normal"/>
    <w:semiHidden/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customStyle="1" w:styleId="WA">
    <w:name w:val="WA"/>
    <w:pPr>
      <w:spacing w:after="720"/>
      <w:jc w:val="center"/>
    </w:pPr>
    <w:rPr>
      <w:sz w:val="24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</w:pPr>
    <w:rPr>
      <w:sz w:val="22"/>
    </w:rPr>
  </w:style>
  <w:style w:type="paragraph" w:customStyle="1" w:styleId="yEdnotepara">
    <w:name w:val="yEdnote(para)"/>
    <w:basedOn w:val="Ednotepara"/>
    <w:pPr>
      <w:spacing w:before="80" w:line="240" w:lineRule="auto"/>
      <w:ind w:left="1610" w:hanging="1610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</w:pPr>
    <w:rPr>
      <w:sz w:val="22"/>
    </w:rPr>
  </w:style>
  <w:style w:type="paragraph" w:customStyle="1" w:styleId="yEdnoteitem">
    <w:name w:val="yEdnote(item)"/>
    <w:basedOn w:val="Ednoteitem"/>
    <w:pPr>
      <w:spacing w:line="240" w:lineRule="auto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</w:pPr>
    <w:rPr>
      <w:sz w:val="22"/>
    </w:rPr>
  </w:style>
  <w:style w:type="paragraph" w:customStyle="1" w:styleId="Ednotedefpara">
    <w:name w:val="Ednote(defpara)"/>
    <w:basedOn w:val="Ednotepara"/>
    <w:pPr>
      <w:tabs>
        <w:tab w:val="clear" w:pos="1325"/>
        <w:tab w:val="right" w:pos="1613"/>
        <w:tab w:val="left" w:pos="1901"/>
      </w:tabs>
    </w:pPr>
  </w:style>
  <w:style w:type="paragraph" w:customStyle="1" w:styleId="Ednotedefitem">
    <w:name w:val="Ednote(defitem)"/>
    <w:basedOn w:val="Ednoteitem"/>
    <w:pPr>
      <w:tabs>
        <w:tab w:val="clear" w:pos="2765"/>
        <w:tab w:val="clear" w:pos="3053"/>
        <w:tab w:val="right" w:pos="2808"/>
        <w:tab w:val="left" w:pos="3096"/>
      </w:tabs>
    </w:pPr>
  </w:style>
  <w:style w:type="paragraph" w:customStyle="1" w:styleId="Ednotedefsubpara">
    <w:name w:val="Ednote(defsubpara)"/>
    <w:basedOn w:val="Ednotesubpara"/>
    <w:pPr>
      <w:tabs>
        <w:tab w:val="right" w:pos="2333"/>
        <w:tab w:val="left" w:pos="2621"/>
      </w:tabs>
    </w:pPr>
  </w:style>
  <w:style w:type="paragraph" w:customStyle="1" w:styleId="Ednotepenpara">
    <w:name w:val="Ednote(penpara)"/>
    <w:basedOn w:val="Ednotepara"/>
  </w:style>
  <w:style w:type="paragraph" w:customStyle="1" w:styleId="Ednotepenitem">
    <w:name w:val="Ednote(penitem)"/>
    <w:basedOn w:val="Ednoteitem"/>
  </w:style>
  <w:style w:type="paragraph" w:customStyle="1" w:styleId="Ednotepensubpara">
    <w:name w:val="Ednote(pensubpara)"/>
    <w:basedOn w:val="Ednotesubpara"/>
  </w:style>
  <w:style w:type="paragraph" w:customStyle="1" w:styleId="Arrangement">
    <w:name w:val="Arrangement"/>
    <w:pPr>
      <w:spacing w:after="480"/>
      <w:ind w:left="2304" w:right="2304"/>
      <w:jc w:val="center"/>
    </w:pPr>
    <w:rPr>
      <w:b/>
      <w:sz w:val="28"/>
    </w:rPr>
  </w:style>
  <w:style w:type="paragraph" w:customStyle="1" w:styleId="nDefpara">
    <w:name w:val="nDefpara"/>
    <w:basedOn w:val="Defpara"/>
    <w:pPr>
      <w:spacing w:before="40" w:line="240" w:lineRule="auto"/>
    </w:pPr>
    <w:rPr>
      <w:sz w:val="20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nDefstart">
    <w:name w:val="nDefstart"/>
    <w:basedOn w:val="Defstart"/>
    <w:pPr>
      <w:spacing w:before="40" w:line="240" w:lineRule="auto"/>
    </w:pPr>
    <w:rPr>
      <w:sz w:val="20"/>
    </w:rPr>
  </w:style>
  <w:style w:type="paragraph" w:customStyle="1" w:styleId="nDefsubpara">
    <w:name w:val="nDefsubpara"/>
    <w:basedOn w:val="Defsubpara"/>
    <w:pPr>
      <w:spacing w:before="40" w:line="240" w:lineRule="auto"/>
    </w:pPr>
    <w:rPr>
      <w:sz w:val="20"/>
    </w:rPr>
  </w:style>
  <w:style w:type="paragraph" w:customStyle="1" w:styleId="nEdnoteitem">
    <w:name w:val="nEdnote(item)"/>
    <w:basedOn w:val="Ednoteitem"/>
    <w:pPr>
      <w:spacing w:before="60" w:line="240" w:lineRule="auto"/>
    </w:pPr>
    <w:rPr>
      <w:sz w:val="20"/>
    </w:rPr>
  </w:style>
  <w:style w:type="paragraph" w:customStyle="1" w:styleId="nEdnotepara">
    <w:name w:val="nEdnote(para)"/>
    <w:basedOn w:val="Ednotepara"/>
    <w:pPr>
      <w:spacing w:before="60" w:line="240" w:lineRule="auto"/>
      <w:ind w:left="1610" w:hanging="1610"/>
    </w:pPr>
    <w:rPr>
      <w:sz w:val="20"/>
    </w:rPr>
  </w:style>
  <w:style w:type="paragraph" w:customStyle="1" w:styleId="nEdnotesection">
    <w:name w:val="nEdnote(section)"/>
    <w:basedOn w:val="Ednotesection"/>
    <w:pPr>
      <w:spacing w:before="100" w:line="240" w:lineRule="auto"/>
      <w:ind w:left="890" w:hanging="890"/>
    </w:pPr>
    <w:rPr>
      <w:sz w:val="20"/>
    </w:rPr>
  </w:style>
  <w:style w:type="paragraph" w:customStyle="1" w:styleId="nEdnotesubpara">
    <w:name w:val="nEdnote(subpara)"/>
    <w:basedOn w:val="Ednotesubpara"/>
    <w:pPr>
      <w:spacing w:line="240" w:lineRule="auto"/>
    </w:pPr>
    <w:rPr>
      <w:sz w:val="20"/>
    </w:rPr>
  </w:style>
  <w:style w:type="paragraph" w:customStyle="1" w:styleId="nHeading2">
    <w:name w:val="nHeading 2"/>
    <w:basedOn w:val="Heading2"/>
    <w:pPr>
      <w:pageBreakBefore w:val="0"/>
      <w:spacing w:line="240" w:lineRule="auto"/>
    </w:pPr>
    <w:rPr>
      <w:sz w:val="26"/>
    </w:rPr>
  </w:style>
  <w:style w:type="paragraph" w:customStyle="1" w:styleId="nHeading3">
    <w:name w:val="nHeading 3"/>
    <w:basedOn w:val="Heading3"/>
    <w:pPr>
      <w:spacing w:after="120" w:line="240" w:lineRule="auto"/>
      <w:outlineLvl w:val="3"/>
    </w:pPr>
    <w:rPr>
      <w:sz w:val="24"/>
    </w:rPr>
  </w:style>
  <w:style w:type="paragraph" w:customStyle="1" w:styleId="nHeading4">
    <w:name w:val="nHeading 4"/>
    <w:basedOn w:val="Heading4"/>
    <w:pPr>
      <w:spacing w:before="120"/>
      <w:outlineLvl w:val="9"/>
    </w:pPr>
    <w:rPr>
      <w:sz w:val="20"/>
    </w:rPr>
  </w:style>
  <w:style w:type="paragraph" w:customStyle="1" w:styleId="nHeading5">
    <w:name w:val="nHeading 5"/>
    <w:basedOn w:val="Heading5"/>
    <w:pPr>
      <w:spacing w:before="100" w:line="240" w:lineRule="auto"/>
      <w:outlineLvl w:val="9"/>
    </w:pPr>
    <w:rPr>
      <w:sz w:val="20"/>
    </w:rPr>
  </w:style>
  <w:style w:type="paragraph" w:customStyle="1" w:styleId="nIndenta">
    <w:name w:val="nIndent(a)"/>
    <w:basedOn w:val="Indenta"/>
    <w:pPr>
      <w:spacing w:before="40" w:line="240" w:lineRule="auto"/>
    </w:pPr>
    <w:rPr>
      <w:sz w:val="20"/>
    </w:rPr>
  </w:style>
  <w:style w:type="paragraph" w:customStyle="1" w:styleId="nIndentA0">
    <w:name w:val="nIndent(A)"/>
    <w:basedOn w:val="IndentA0"/>
    <w:pPr>
      <w:spacing w:before="40" w:line="240" w:lineRule="auto"/>
    </w:pPr>
    <w:rPr>
      <w:sz w:val="20"/>
    </w:rPr>
  </w:style>
  <w:style w:type="paragraph" w:customStyle="1" w:styleId="nIndenti">
    <w:name w:val="nIndent(i)"/>
    <w:basedOn w:val="Indenti"/>
    <w:pPr>
      <w:spacing w:before="40" w:line="240" w:lineRule="auto"/>
    </w:pPr>
    <w:rPr>
      <w:sz w:val="20"/>
    </w:rPr>
  </w:style>
  <w:style w:type="paragraph" w:customStyle="1" w:styleId="nIndentI0">
    <w:name w:val="nIndent(I)"/>
    <w:basedOn w:val="IndentI0"/>
    <w:pPr>
      <w:spacing w:before="40" w:line="240" w:lineRule="auto"/>
    </w:pPr>
    <w:rPr>
      <w:sz w:val="20"/>
    </w:rPr>
  </w:style>
  <w:style w:type="paragraph" w:customStyle="1" w:styleId="nPenpara">
    <w:name w:val="nPenpara"/>
    <w:basedOn w:val="Penpara"/>
    <w:pPr>
      <w:spacing w:before="40" w:line="240" w:lineRule="auto"/>
    </w:pPr>
    <w:rPr>
      <w:sz w:val="20"/>
    </w:rPr>
  </w:style>
  <w:style w:type="paragraph" w:customStyle="1" w:styleId="nPenstart">
    <w:name w:val="nPenstart"/>
    <w:basedOn w:val="Penstart"/>
    <w:pPr>
      <w:spacing w:before="40" w:line="240" w:lineRule="auto"/>
    </w:pPr>
    <w:rPr>
      <w:sz w:val="20"/>
    </w:rPr>
  </w:style>
  <w:style w:type="paragraph" w:customStyle="1" w:styleId="nzDefpara">
    <w:name w:val="nzDefpara"/>
    <w:basedOn w:val="zDefpara"/>
    <w:pPr>
      <w:spacing w:before="40" w:line="240" w:lineRule="auto"/>
    </w:pPr>
    <w:rPr>
      <w:sz w:val="20"/>
    </w:rPr>
  </w:style>
  <w:style w:type="paragraph" w:customStyle="1" w:styleId="nzDefstart">
    <w:name w:val="nzDefstart"/>
    <w:basedOn w:val="zDefstart"/>
    <w:pPr>
      <w:spacing w:before="40" w:line="240" w:lineRule="auto"/>
    </w:pPr>
    <w:rPr>
      <w:sz w:val="20"/>
    </w:rPr>
  </w:style>
  <w:style w:type="paragraph" w:customStyle="1" w:styleId="nzDefsubpara">
    <w:name w:val="nzDefsubpara"/>
    <w:basedOn w:val="zDefsubpara"/>
    <w:pPr>
      <w:spacing w:before="40" w:line="240" w:lineRule="auto"/>
    </w:pPr>
    <w:rPr>
      <w:sz w:val="20"/>
    </w:rPr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</w:rPr>
  </w:style>
  <w:style w:type="paragraph" w:customStyle="1" w:styleId="Ednotesubsection">
    <w:name w:val="Ednote(subsection)"/>
    <w:basedOn w:val="Ednotesection"/>
    <w:pPr>
      <w:tabs>
        <w:tab w:val="clear" w:pos="893"/>
        <w:tab w:val="right" w:pos="595"/>
        <w:tab w:val="left" w:pos="879"/>
      </w:tabs>
      <w:spacing w:before="160"/>
      <w:ind w:left="890" w:hanging="890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</w:rPr>
  </w:style>
  <w:style w:type="paragraph" w:customStyle="1" w:styleId="nzHeading2">
    <w:name w:val="nzHeading 2"/>
    <w:basedOn w:val="zHeading2"/>
    <w:pPr>
      <w:spacing w:before="120" w:line="240" w:lineRule="auto"/>
    </w:pPr>
    <w:rPr>
      <w:sz w:val="26"/>
    </w:rPr>
  </w:style>
  <w:style w:type="paragraph" w:customStyle="1" w:styleId="nzHeading3">
    <w:name w:val="nzHeading 3"/>
    <w:basedOn w:val="zHeading3"/>
    <w:pPr>
      <w:spacing w:before="120" w:line="240" w:lineRule="auto"/>
    </w:pPr>
    <w:rPr>
      <w:sz w:val="22"/>
    </w:rPr>
  </w:style>
  <w:style w:type="paragraph" w:customStyle="1" w:styleId="nzHeading4">
    <w:name w:val="nzHeading 4"/>
    <w:basedOn w:val="zHeading4"/>
    <w:pPr>
      <w:spacing w:before="120"/>
    </w:pPr>
    <w:rPr>
      <w:sz w:val="20"/>
    </w:rPr>
  </w:style>
  <w:style w:type="paragraph" w:customStyle="1" w:styleId="nzHeading5">
    <w:name w:val="nzHeading 5"/>
    <w:basedOn w:val="zHeading5"/>
    <w:pPr>
      <w:spacing w:before="100" w:line="240" w:lineRule="auto"/>
    </w:pPr>
    <w:rPr>
      <w:sz w:val="20"/>
    </w:rPr>
  </w:style>
  <w:style w:type="paragraph" w:customStyle="1" w:styleId="nzIndenta">
    <w:name w:val="nzIndent(a)"/>
    <w:basedOn w:val="zIndenta"/>
    <w:pPr>
      <w:spacing w:before="40" w:line="240" w:lineRule="auto"/>
    </w:pPr>
    <w:rPr>
      <w:sz w:val="20"/>
    </w:rPr>
  </w:style>
  <w:style w:type="paragraph" w:customStyle="1" w:styleId="nzIndentA0">
    <w:name w:val="nzIndent(A)"/>
    <w:basedOn w:val="zIndentA0"/>
    <w:pPr>
      <w:spacing w:before="40" w:line="240" w:lineRule="auto"/>
    </w:pPr>
    <w:rPr>
      <w:sz w:val="20"/>
    </w:rPr>
  </w:style>
  <w:style w:type="paragraph" w:customStyle="1" w:styleId="nzIndenti">
    <w:name w:val="nzIndent(i)"/>
    <w:basedOn w:val="zIndenti"/>
    <w:pPr>
      <w:spacing w:before="40" w:line="240" w:lineRule="auto"/>
    </w:pPr>
    <w:rPr>
      <w:sz w:val="20"/>
    </w:rPr>
  </w:style>
  <w:style w:type="paragraph" w:customStyle="1" w:styleId="nzIndentI0">
    <w:name w:val="nzIndent(I)"/>
    <w:basedOn w:val="zIndentI0"/>
    <w:pPr>
      <w:spacing w:before="40" w:line="240" w:lineRule="auto"/>
    </w:pPr>
    <w:rPr>
      <w:sz w:val="20"/>
    </w:rPr>
  </w:style>
  <w:style w:type="paragraph" w:customStyle="1" w:styleId="nzPenpara">
    <w:name w:val="nzPenpara"/>
    <w:basedOn w:val="zPenpara"/>
    <w:pPr>
      <w:spacing w:before="40" w:line="240" w:lineRule="auto"/>
    </w:pPr>
    <w:rPr>
      <w:sz w:val="20"/>
    </w:rPr>
  </w:style>
  <w:style w:type="paragraph" w:customStyle="1" w:styleId="nzPenstart">
    <w:name w:val="nzPenstart"/>
    <w:basedOn w:val="zPenstart"/>
    <w:pPr>
      <w:spacing w:before="40" w:line="240" w:lineRule="auto"/>
    </w:pPr>
    <w:rPr>
      <w:sz w:val="20"/>
    </w:rPr>
  </w:style>
  <w:style w:type="paragraph" w:customStyle="1" w:styleId="nzSubsection">
    <w:name w:val="nzSubsection"/>
    <w:basedOn w:val="zSubsection"/>
    <w:pPr>
      <w:spacing w:before="80" w:line="240" w:lineRule="auto"/>
    </w:pPr>
    <w:rPr>
      <w:sz w:val="20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character" w:customStyle="1" w:styleId="CharProduced">
    <w:name w:val="CharProduced"/>
    <w:rPr>
      <w:noProof w:val="0"/>
      <w:spacing w:val="-3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</w:rPr>
  </w:style>
  <w:style w:type="paragraph" w:customStyle="1" w:styleId="HeaderActNameLeft">
    <w:name w:val="Header.ActName.Left"/>
    <w:rPr>
      <w:rFonts w:ascii="Arial" w:hAnsi="Arial"/>
      <w:b/>
      <w:i/>
    </w:rPr>
  </w:style>
  <w:style w:type="paragraph" w:customStyle="1" w:styleId="HeaderActNameRight">
    <w:name w:val="Header.ActName.Right"/>
    <w:pPr>
      <w:jc w:val="right"/>
    </w:pPr>
    <w:rPr>
      <w:rFonts w:ascii="Arial" w:hAnsi="Arial"/>
      <w:b/>
      <w:i/>
    </w:rPr>
  </w:style>
  <w:style w:type="paragraph" w:customStyle="1" w:styleId="HeaderNumberLeft">
    <w:name w:val="Header.Number.Left"/>
    <w:pPr>
      <w:spacing w:before="40"/>
    </w:pPr>
    <w:rPr>
      <w:rFonts w:ascii="Arial" w:hAnsi="Arial"/>
      <w:b/>
    </w:rPr>
  </w:style>
  <w:style w:type="paragraph" w:customStyle="1" w:styleId="HeaderNumberRight">
    <w:name w:val="Header.Number.Right"/>
    <w:pPr>
      <w:spacing w:before="40"/>
      <w:jc w:val="right"/>
    </w:pPr>
    <w:rPr>
      <w:rFonts w:ascii="Arial" w:hAnsi="Arial"/>
      <w:b/>
    </w:rPr>
  </w:style>
  <w:style w:type="paragraph" w:customStyle="1" w:styleId="HeaderTextLeft">
    <w:name w:val="Header.Text.Left"/>
    <w:pPr>
      <w:spacing w:before="40"/>
    </w:pPr>
    <w:rPr>
      <w:rFonts w:ascii="Arial" w:hAnsi="Arial"/>
    </w:rPr>
  </w:style>
  <w:style w:type="paragraph" w:customStyle="1" w:styleId="HeaderTextRight">
    <w:name w:val="Header.Text.Right"/>
    <w:pPr>
      <w:spacing w:before="40"/>
      <w:jc w:val="right"/>
    </w:pPr>
    <w:rPr>
      <w:rFonts w:ascii="Arial" w:hAnsi="Arial"/>
    </w:rPr>
  </w:style>
  <w:style w:type="paragraph" w:customStyle="1" w:styleId="HeaderSectionLeft">
    <w:name w:val="Header.Section.Left"/>
    <w:pPr>
      <w:spacing w:before="120"/>
    </w:pPr>
    <w:rPr>
      <w:rFonts w:ascii="Arial" w:hAnsi="Arial"/>
      <w:b/>
    </w:rPr>
  </w:style>
  <w:style w:type="paragraph" w:customStyle="1" w:styleId="HeaderSectionRight">
    <w:name w:val="Header.Section.Right"/>
    <w:pPr>
      <w:spacing w:before="120"/>
      <w:jc w:val="right"/>
    </w:pPr>
    <w:rPr>
      <w:rFonts w:ascii="Arial" w:hAnsi="Arial"/>
      <w:b/>
    </w:rPr>
  </w:style>
  <w:style w:type="paragraph" w:customStyle="1" w:styleId="FooterPageLeft">
    <w:name w:val="Footer.Page.Left"/>
    <w:pPr>
      <w:pBdr>
        <w:top w:val="single" w:sz="4" w:space="1" w:color="auto"/>
      </w:pBdr>
    </w:pPr>
    <w:rPr>
      <w:rFonts w:ascii="Arial" w:hAnsi="Arial"/>
    </w:rPr>
  </w:style>
  <w:style w:type="paragraph" w:customStyle="1" w:styleId="FooterPageRight">
    <w:name w:val="Footer.Page.Right"/>
    <w:pPr>
      <w:pBdr>
        <w:top w:val="single" w:sz="4" w:space="1" w:color="auto"/>
      </w:pBdr>
      <w:jc w:val="right"/>
    </w:pPr>
    <w:rPr>
      <w:rFonts w:ascii="Arial" w:hAnsi="Arial"/>
    </w:rPr>
  </w:style>
  <w:style w:type="character" w:customStyle="1" w:styleId="CharPageNo">
    <w:name w:val="CharPageNo"/>
    <w:rPr>
      <w:noProof w:val="0"/>
      <w:sz w:val="20"/>
    </w:rPr>
  </w:style>
  <w:style w:type="paragraph" w:customStyle="1" w:styleId="Repealed">
    <w:name w:val="Repealed"/>
    <w:basedOn w:val="Heading5"/>
    <w:rPr>
      <w:b w:val="0"/>
      <w:i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nTable">
    <w:name w:val="nTable"/>
    <w:basedOn w:val="Table"/>
    <w:pPr>
      <w:spacing w:before="40" w:line="240" w:lineRule="auto"/>
    </w:pPr>
    <w:rPr>
      <w:sz w:val="18"/>
    </w:rPr>
  </w:style>
  <w:style w:type="paragraph" w:customStyle="1" w:styleId="nzTable">
    <w:name w:val="nzTable"/>
    <w:basedOn w:val="Normal"/>
    <w:rPr>
      <w:sz w:val="20"/>
    </w:r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PrincipalActReg">
    <w:name w:val="PrincipalAct_Reg"/>
    <w:pPr>
      <w:spacing w:after="480"/>
      <w:jc w:val="center"/>
    </w:pPr>
    <w:rPr>
      <w:sz w:val="24"/>
    </w:rPr>
  </w:style>
  <w:style w:type="paragraph" w:customStyle="1" w:styleId="CentredBaseLine">
    <w:name w:val="CentredBaseLine"/>
    <w:pPr>
      <w:suppressLineNumbers/>
      <w:spacing w:before="240"/>
    </w:pPr>
  </w:style>
  <w:style w:type="paragraph" w:customStyle="1" w:styleId="MadeBy">
    <w:name w:val="MadeBy"/>
    <w:pPr>
      <w:spacing w:before="600"/>
    </w:pPr>
    <w:rPr>
      <w:sz w:val="24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nSubsection">
    <w:name w:val="nSubsection"/>
    <w:basedOn w:val="Subsection"/>
    <w:pPr>
      <w:tabs>
        <w:tab w:val="clear" w:pos="595"/>
        <w:tab w:val="clear" w:pos="879"/>
        <w:tab w:val="left" w:pos="454"/>
      </w:tabs>
      <w:spacing w:before="80" w:line="240" w:lineRule="auto"/>
      <w:ind w:left="454" w:hanging="454"/>
    </w:pPr>
    <w:rPr>
      <w:sz w:val="20"/>
    </w:rPr>
  </w:style>
  <w:style w:type="paragraph" w:customStyle="1" w:styleId="Equation">
    <w:name w:val="Equation"/>
    <w:rPr>
      <w:noProof/>
      <w:sz w:val="24"/>
    </w:rPr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Graphics">
    <w:name w:val="Graphics"/>
    <w:basedOn w:val="Equation"/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paragraph" w:styleId="Header">
    <w:name w:val="header"/>
    <w:basedOn w:val="Normal"/>
    <w:next w:val="Heading5"/>
    <w:semiHidden/>
    <w:pPr>
      <w:tabs>
        <w:tab w:val="center" w:pos="4153"/>
        <w:tab w:val="right" w:pos="8306"/>
      </w:tabs>
      <w:spacing w:line="260" w:lineRule="atLeast"/>
    </w:pPr>
    <w:rPr>
      <w:rFonts w:ascii="NewCenturySchlbk" w:hAnsi="NewCenturySchlbk"/>
    </w:rPr>
  </w:style>
  <w:style w:type="paragraph" w:customStyle="1" w:styleId="ByCommand">
    <w:name w:val="ByCommand"/>
    <w:basedOn w:val="Normal"/>
    <w:pPr>
      <w:tabs>
        <w:tab w:val="left" w:pos="4536"/>
      </w:tabs>
      <w:spacing w:before="240"/>
    </w:pPr>
  </w:style>
  <w:style w:type="paragraph" w:customStyle="1" w:styleId="yHeading6">
    <w:name w:val="yHeading 6"/>
    <w:basedOn w:val="Heading6"/>
    <w:rPr>
      <w:sz w:val="22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</w:style>
  <w:style w:type="paragraph" w:customStyle="1" w:styleId="DraftNo">
    <w:name w:val="DraftNo"/>
    <w:basedOn w:val="WA"/>
    <w:pPr>
      <w:spacing w:before="120" w:after="120"/>
    </w:pPr>
  </w:style>
  <w:style w:type="paragraph" w:customStyle="1" w:styleId="NotesPerm">
    <w:name w:val="NotesPerm"/>
    <w:basedOn w:val="Normal"/>
    <w:pPr>
      <w:tabs>
        <w:tab w:val="left" w:pos="879"/>
      </w:tabs>
      <w:spacing w:before="160"/>
      <w:ind w:left="879" w:hanging="879"/>
    </w:pPr>
    <w:rPr>
      <w:rFonts w:ascii="Arial" w:hAnsi="Arial"/>
      <w:sz w:val="18"/>
    </w:rPr>
  </w:style>
  <w:style w:type="character" w:customStyle="1" w:styleId="CharDefText">
    <w:name w:val="CharDefText"/>
    <w:basedOn w:val="DefaultParagraphFont"/>
    <w:rPr>
      <w:b/>
      <w:i/>
    </w:rPr>
  </w:style>
  <w:style w:type="character" w:customStyle="1" w:styleId="CharSchText">
    <w:name w:val="CharSchText"/>
    <w:rPr>
      <w:noProof w:val="0"/>
    </w:r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nzMiscellaneousHeading">
    <w:name w:val="nzMiscellaneous Heading"/>
    <w:basedOn w:val="zMiscellaneousHeading"/>
    <w:pPr>
      <w:spacing w:before="80" w:line="240" w:lineRule="auto"/>
    </w:pPr>
    <w:rPr>
      <w:sz w:val="20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Tablet">
    <w:name w:val="zTable t"/>
    <w:basedOn w:val="Table"/>
  </w:style>
  <w:style w:type="paragraph" w:customStyle="1" w:styleId="nzMiscellaneousBody">
    <w:name w:val="nzMiscellaneous Body"/>
    <w:basedOn w:val="zMiscellaneousBody"/>
    <w:pPr>
      <w:spacing w:before="80" w:line="240" w:lineRule="auto"/>
    </w:pPr>
    <w:rPr>
      <w:sz w:val="20"/>
    </w:rPr>
  </w:style>
  <w:style w:type="paragraph" w:customStyle="1" w:styleId="NotesPerm2">
    <w:name w:val="NotesPerm(2)"/>
    <w:basedOn w:val="NotesPerm"/>
    <w:pPr>
      <w:numPr>
        <w:numId w:val="12"/>
      </w:numPr>
      <w:tabs>
        <w:tab w:val="clear" w:pos="879"/>
      </w:tabs>
    </w:p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paragraph" w:customStyle="1" w:styleId="yNumberedItem">
    <w:name w:val="yNumberedItem"/>
    <w:basedOn w:val="yHeading5"/>
    <w:pPr>
      <w:keepNext w:val="0"/>
      <w:keepLines w:val="0"/>
      <w:spacing w:before="120"/>
      <w:outlineLvl w:val="9"/>
    </w:pPr>
    <w:rPr>
      <w:b w:val="0"/>
    </w:rPr>
  </w:style>
  <w:style w:type="paragraph" w:customStyle="1" w:styleId="zyNumberedItem">
    <w:name w:val="zyNumberedItem"/>
    <w:basedOn w:val="yNumberedItem"/>
    <w:pPr>
      <w:tabs>
        <w:tab w:val="clear" w:pos="879"/>
        <w:tab w:val="left" w:pos="1446"/>
      </w:tabs>
      <w:ind w:left="1446" w:right="284"/>
    </w:pPr>
  </w:style>
  <w:style w:type="paragraph" w:customStyle="1" w:styleId="nzLongTitle">
    <w:name w:val="nzLong Title"/>
    <w:basedOn w:val="zLongTitle"/>
    <w:pPr>
      <w:spacing w:before="40"/>
    </w:pPr>
    <w:rPr>
      <w:sz w:val="20"/>
    </w:rPr>
  </w:style>
  <w:style w:type="paragraph" w:customStyle="1" w:styleId="nzNotesPerm">
    <w:name w:val="nzNotesPerm"/>
    <w:basedOn w:val="NotesPerm"/>
    <w:pPr>
      <w:tabs>
        <w:tab w:val="clear" w:pos="879"/>
        <w:tab w:val="left" w:pos="1446"/>
      </w:tabs>
      <w:spacing w:before="40"/>
      <w:ind w:left="1446" w:right="284"/>
    </w:pPr>
    <w:rPr>
      <w:sz w:val="14"/>
    </w:rPr>
  </w:style>
  <w:style w:type="paragraph" w:customStyle="1" w:styleId="nzNumberedItem">
    <w:name w:val="nzNumberedItem"/>
    <w:basedOn w:val="zyNumberedItem"/>
    <w:pPr>
      <w:spacing w:before="40"/>
    </w:pPr>
    <w:rPr>
      <w:sz w:val="20"/>
    </w:rPr>
  </w:style>
  <w:style w:type="character" w:customStyle="1" w:styleId="CharSClsNo">
    <w:name w:val="CharSClsNo"/>
    <w:basedOn w:val="DefaultParagraphFont"/>
    <w:rPr>
      <w:sz w:val="22"/>
    </w:rPr>
  </w:style>
  <w:style w:type="character" w:customStyle="1" w:styleId="CharSDivNo">
    <w:name w:val="CharSDivNo"/>
    <w:basedOn w:val="DefaultParagraphFont"/>
    <w:rPr>
      <w:sz w:val="24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LongTitle2">
    <w:name w:val="Long Title2"/>
    <w:basedOn w:val="LongTitle"/>
    <w:pPr>
      <w:tabs>
        <w:tab w:val="right" w:pos="170"/>
        <w:tab w:val="left" w:pos="397"/>
      </w:tabs>
      <w:ind w:left="397" w:hanging="397"/>
    </w:pPr>
  </w:style>
  <w:style w:type="paragraph" w:customStyle="1" w:styleId="LongTitle3">
    <w:name w:val="Long Title3"/>
    <w:basedOn w:val="LongTitle"/>
    <w:pPr>
      <w:tabs>
        <w:tab w:val="right" w:pos="567"/>
        <w:tab w:val="left" w:pos="794"/>
      </w:tabs>
      <w:ind w:left="794" w:hanging="794"/>
    </w:pPr>
  </w:style>
  <w:style w:type="paragraph" w:customStyle="1" w:styleId="Preamble2">
    <w:name w:val="Preamble2"/>
    <w:basedOn w:val="Preamble"/>
    <w:pPr>
      <w:tabs>
        <w:tab w:val="clear" w:pos="567"/>
      </w:tabs>
      <w:spacing w:before="80"/>
      <w:ind w:left="0" w:firstLine="0"/>
    </w:pPr>
  </w:style>
  <w:style w:type="paragraph" w:customStyle="1" w:styleId="Preamble1">
    <w:name w:val="Preamble1"/>
    <w:basedOn w:val="Preamble2"/>
    <w:pPr>
      <w:spacing w:before="120"/>
    </w:pPr>
    <w:rPr>
      <w:b/>
    </w:rPr>
  </w:style>
  <w:style w:type="paragraph" w:customStyle="1" w:styleId="Preamble3">
    <w:name w:val="Preamble3"/>
    <w:basedOn w:val="Preamble2"/>
    <w:pPr>
      <w:tabs>
        <w:tab w:val="right" w:pos="595"/>
        <w:tab w:val="left" w:pos="879"/>
      </w:tabs>
      <w:ind w:left="879" w:hanging="879"/>
    </w:pPr>
  </w:style>
  <w:style w:type="paragraph" w:customStyle="1" w:styleId="Preamble4">
    <w:name w:val="Preamble4"/>
    <w:basedOn w:val="Preamble2"/>
    <w:pPr>
      <w:tabs>
        <w:tab w:val="right" w:pos="1332"/>
        <w:tab w:val="left" w:pos="1616"/>
      </w:tabs>
      <w:ind w:left="1616" w:hanging="1616"/>
    </w:pPr>
  </w:style>
  <w:style w:type="paragraph" w:customStyle="1" w:styleId="ReprintNo">
    <w:name w:val="ReprintNo."/>
    <w:pPr>
      <w:outlineLvl w:val="0"/>
    </w:pPr>
    <w:rPr>
      <w:b/>
      <w:noProof/>
      <w:sz w:val="28"/>
    </w:rPr>
  </w:style>
  <w:style w:type="paragraph" w:customStyle="1" w:styleId="yEdnotedefitem">
    <w:name w:val="yEdnote(defitem)"/>
    <w:basedOn w:val="Ednotedefitem"/>
    <w:rPr>
      <w:i w:val="0"/>
      <w:sz w:val="22"/>
    </w:rPr>
  </w:style>
  <w:style w:type="paragraph" w:customStyle="1" w:styleId="yEdnotedefpara">
    <w:name w:val="yEdnote(defpara)"/>
    <w:basedOn w:val="Ednotedefpara"/>
    <w:rPr>
      <w:sz w:val="22"/>
    </w:rPr>
  </w:style>
  <w:style w:type="paragraph" w:customStyle="1" w:styleId="yEdnotedefsubpara">
    <w:name w:val="yEdnote(defsubpara)"/>
    <w:basedOn w:val="Ednotedefsubpara"/>
    <w:rPr>
      <w:i w:val="0"/>
      <w:sz w:val="22"/>
    </w:rPr>
  </w:style>
  <w:style w:type="paragraph" w:customStyle="1" w:styleId="yEdnotesubsection">
    <w:name w:val="yEdnote(subsection)"/>
    <w:basedOn w:val="Ednotesubsection"/>
    <w:rPr>
      <w:sz w:val="22"/>
    </w:rPr>
  </w:style>
  <w:style w:type="paragraph" w:customStyle="1" w:styleId="Ednotepart">
    <w:name w:val="Ednote(part)"/>
    <w:basedOn w:val="Ednotesection"/>
    <w:pPr>
      <w:tabs>
        <w:tab w:val="clear" w:pos="893"/>
      </w:tabs>
      <w:ind w:left="0" w:firstLine="0"/>
    </w:pPr>
  </w:style>
  <w:style w:type="paragraph" w:customStyle="1" w:styleId="Ednotedivision">
    <w:name w:val="Ednote(division)"/>
    <w:basedOn w:val="Ednotepart"/>
  </w:style>
  <w:style w:type="paragraph" w:customStyle="1" w:styleId="Ednotesubdivision">
    <w:name w:val="Ednote(subdivision)"/>
    <w:basedOn w:val="Ednotepart"/>
  </w:style>
  <w:style w:type="paragraph" w:customStyle="1" w:styleId="Footnotelongtitle">
    <w:name w:val="Footnote(longtitle)"/>
    <w:basedOn w:val="Footnotesection"/>
  </w:style>
  <w:style w:type="paragraph" w:customStyle="1" w:styleId="Footnotepreamble">
    <w:name w:val="Footnote(preamble)"/>
    <w:basedOn w:val="Footnotesection"/>
  </w:style>
  <w:style w:type="paragraph" w:customStyle="1" w:styleId="LegTblHist">
    <w:name w:val="LegTblHist"/>
    <w:basedOn w:val="Heading2"/>
    <w:rPr>
      <w:bCs/>
    </w:rPr>
  </w:style>
  <w:style w:type="paragraph" w:customStyle="1" w:styleId="yEdnoteschedule">
    <w:name w:val="yEdnote(schedule)"/>
    <w:basedOn w:val="yEdnotesection"/>
    <w:pPr>
      <w:tabs>
        <w:tab w:val="clear" w:pos="893"/>
      </w:tabs>
      <w:ind w:left="0" w:firstLine="0"/>
    </w:pPr>
  </w:style>
  <w:style w:type="paragraph" w:customStyle="1" w:styleId="yEdnotedivision">
    <w:name w:val="yEdnote(division)"/>
    <w:basedOn w:val="yEdnoteschedule"/>
  </w:style>
  <w:style w:type="paragraph" w:customStyle="1" w:styleId="yEdnotesubdivision">
    <w:name w:val="yEdnote(subdivision)"/>
    <w:basedOn w:val="yEdnoteschedule"/>
  </w:style>
  <w:style w:type="paragraph" w:customStyle="1" w:styleId="TableAm">
    <w:name w:val="TableAm"/>
    <w:basedOn w:val="Normal"/>
    <w:pPr>
      <w:spacing w:before="120"/>
    </w:pPr>
  </w:style>
  <w:style w:type="paragraph" w:customStyle="1" w:styleId="TableAmNote">
    <w:name w:val="TableAmNote"/>
    <w:basedOn w:val="NotesPerm"/>
    <w:pPr>
      <w:tabs>
        <w:tab w:val="clear" w:pos="879"/>
      </w:tabs>
      <w:spacing w:before="60"/>
      <w:ind w:left="0" w:firstLine="0"/>
    </w:pPr>
  </w:style>
  <w:style w:type="paragraph" w:customStyle="1" w:styleId="BlankOpen">
    <w:name w:val="BlankOpen"/>
    <w:basedOn w:val="Normal"/>
    <w:pPr>
      <w:keepNext/>
      <w:keepLines/>
      <w:jc w:val="center"/>
    </w:pPr>
    <w:rPr>
      <w:szCs w:val="24"/>
    </w:rPr>
  </w:style>
  <w:style w:type="paragraph" w:customStyle="1" w:styleId="BlankClose">
    <w:name w:val="BlankClose"/>
    <w:basedOn w:val="Normal"/>
    <w:pPr>
      <w:keepLines/>
      <w:jc w:val="center"/>
    </w:pPr>
    <w:rPr>
      <w:szCs w:val="24"/>
    </w:rPr>
  </w:style>
  <w:style w:type="paragraph" w:styleId="Revision">
    <w:name w:val="Revision"/>
    <w:hidden/>
    <w:uiPriority w:val="99"/>
    <w:semiHidden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character" w:customStyle="1" w:styleId="FooterChar">
    <w:name w:val="Footer Char"/>
    <w:basedOn w:val="DefaultParagraphFont"/>
    <w:link w:val="Footer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1937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26" Type="http://schemas.microsoft.com/office/2011/relationships/people" Target="people.xml"/><Relationship Id="rId3" Type="http://schemas.openxmlformats.org/officeDocument/2006/relationships/settings" Target="settings.xml"/><Relationship Id="rId21" Type="http://schemas.openxmlformats.org/officeDocument/2006/relationships/header" Target="header8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0" Type="http://schemas.openxmlformats.org/officeDocument/2006/relationships/header" Target="header7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24" Type="http://schemas.openxmlformats.org/officeDocument/2006/relationships/header" Target="header11.xm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23" Type="http://schemas.openxmlformats.org/officeDocument/2006/relationships/header" Target="header10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openxmlformats.org/officeDocument/2006/relationships/header" Target="header9.xm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634</Words>
  <Characters>3016</Characters>
  <Application>Microsoft Office Word</Application>
  <DocSecurity>0</DocSecurity>
  <Lines>116</Lines>
  <Paragraphs>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Health (School Dental Therapists) Regulations 1974</vt:lpstr>
    </vt:vector>
  </TitlesOfParts>
  <Manager/>
  <Company/>
  <LinksUpToDate>false</LinksUpToDate>
  <CharactersWithSpaces>3573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Health (School Dental Therapists) Regulations 1974 01-b0-02 - 01-c0-08</dc:title>
  <dc:subject/>
  <dc:creator/>
  <cp:keywords/>
  <dc:description/>
  <cp:lastModifiedBy>Master Repository Process</cp:lastModifiedBy>
  <cp:revision>2</cp:revision>
  <cp:lastPrinted>2002-12-02T03:46:00Z</cp:lastPrinted>
  <dcterms:created xsi:type="dcterms:W3CDTF">2021-08-28T05:25:00Z</dcterms:created>
  <dcterms:modified xsi:type="dcterms:W3CDTF">2021-08-28T05:25:00Z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">
    <vt:lpwstr>22 March 1974 pp.933-5</vt:lpwstr>
  </property>
  <property fmtid="{D5CDD505-2E9C-101B-9397-08002B2CF9AE}" pid="3" name="CommencementDate">
    <vt:lpwstr>20061215</vt:lpwstr>
  </property>
  <property fmtid="{D5CDD505-2E9C-101B-9397-08002B2CF9AE}" pid="4" name="DocumentType">
    <vt:lpwstr>Reg</vt:lpwstr>
  </property>
  <property fmtid="{D5CDD505-2E9C-101B-9397-08002B2CF9AE}" pid="5" name="OwlsUID">
    <vt:i4>4493</vt:i4>
  </property>
  <property fmtid="{D5CDD505-2E9C-101B-9397-08002B2CF9AE}" pid="6" name="FromSuffix">
    <vt:lpwstr>01-b0-02</vt:lpwstr>
  </property>
  <property fmtid="{D5CDD505-2E9C-101B-9397-08002B2CF9AE}" pid="7" name="FromAsAtDate">
    <vt:lpwstr>07 Dec 2004</vt:lpwstr>
  </property>
  <property fmtid="{D5CDD505-2E9C-101B-9397-08002B2CF9AE}" pid="8" name="ToSuffix">
    <vt:lpwstr>01-c0-08</vt:lpwstr>
  </property>
  <property fmtid="{D5CDD505-2E9C-101B-9397-08002B2CF9AE}" pid="9" name="ToAsAtDate">
    <vt:lpwstr>15 Dec 2006</vt:lpwstr>
  </property>
</Properties>
</file>