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Feb 2006</w:t>
      </w:r>
      <w:r>
        <w:fldChar w:fldCharType="end"/>
      </w:r>
      <w:r>
        <w:t xml:space="preserve">, </w:t>
      </w:r>
      <w:r>
        <w:fldChar w:fldCharType="begin"/>
      </w:r>
      <w:r>
        <w:instrText xml:space="preserve"> DocProperty FromSuffix </w:instrText>
      </w:r>
      <w:r>
        <w:fldChar w:fldCharType="separate"/>
      </w:r>
      <w:r>
        <w:t>01-f0-02</w:t>
      </w:r>
      <w:r>
        <w:fldChar w:fldCharType="end"/>
      </w:r>
      <w:r>
        <w:t>] and [</w:t>
      </w:r>
      <w:r>
        <w:fldChar w:fldCharType="begin"/>
      </w:r>
      <w:r>
        <w:instrText xml:space="preserve"> DocProperty ToAsAtDate</w:instrText>
      </w:r>
      <w:r>
        <w:fldChar w:fldCharType="separate"/>
      </w:r>
      <w:r>
        <w:t>09 Jun 2006</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0:55:00Z"/>
        </w:trPr>
        <w:tc>
          <w:tcPr>
            <w:tcW w:w="2434" w:type="dxa"/>
            <w:vMerge w:val="restart"/>
          </w:tcPr>
          <w:p>
            <w:pPr>
              <w:rPr>
                <w:ins w:id="1" w:author="Master Repository Process" w:date="2021-08-29T00:55:00Z"/>
              </w:rPr>
            </w:pPr>
          </w:p>
        </w:tc>
        <w:tc>
          <w:tcPr>
            <w:tcW w:w="2434" w:type="dxa"/>
            <w:vMerge w:val="restart"/>
          </w:tcPr>
          <w:p>
            <w:pPr>
              <w:jc w:val="center"/>
              <w:rPr>
                <w:ins w:id="2" w:author="Master Repository Process" w:date="2021-08-29T00:55:00Z"/>
              </w:rPr>
            </w:pPr>
            <w:ins w:id="3" w:author="Master Repository Process" w:date="2021-08-29T00:5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0:55:00Z"/>
              </w:rPr>
            </w:pPr>
          </w:p>
        </w:tc>
      </w:tr>
      <w:tr>
        <w:trPr>
          <w:cantSplit/>
          <w:ins w:id="5" w:author="Master Repository Process" w:date="2021-08-29T00:55:00Z"/>
        </w:trPr>
        <w:tc>
          <w:tcPr>
            <w:tcW w:w="2434" w:type="dxa"/>
            <w:vMerge/>
          </w:tcPr>
          <w:p>
            <w:pPr>
              <w:rPr>
                <w:ins w:id="6" w:author="Master Repository Process" w:date="2021-08-29T00:55:00Z"/>
              </w:rPr>
            </w:pPr>
          </w:p>
        </w:tc>
        <w:tc>
          <w:tcPr>
            <w:tcW w:w="2434" w:type="dxa"/>
            <w:vMerge/>
          </w:tcPr>
          <w:p>
            <w:pPr>
              <w:jc w:val="center"/>
              <w:rPr>
                <w:ins w:id="7" w:author="Master Repository Process" w:date="2021-08-29T00:55:00Z"/>
              </w:rPr>
            </w:pPr>
          </w:p>
        </w:tc>
        <w:tc>
          <w:tcPr>
            <w:tcW w:w="2434" w:type="dxa"/>
          </w:tcPr>
          <w:p>
            <w:pPr>
              <w:keepNext/>
              <w:rPr>
                <w:ins w:id="8" w:author="Master Repository Process" w:date="2021-08-29T00:55:00Z"/>
                <w:b/>
                <w:sz w:val="22"/>
              </w:rPr>
            </w:pPr>
            <w:ins w:id="9" w:author="Master Repository Process" w:date="2021-08-29T00:55:00Z">
              <w:r>
                <w:rPr>
                  <w:b/>
                  <w:sz w:val="22"/>
                </w:rPr>
                <w:t xml:space="preserve">Reprinted under the </w:t>
              </w:r>
              <w:r>
                <w:rPr>
                  <w:b/>
                  <w:i/>
                  <w:sz w:val="22"/>
                </w:rPr>
                <w:t>Reprints Act 1984</w:t>
              </w:r>
              <w:r>
                <w:rPr>
                  <w:b/>
                  <w:sz w:val="22"/>
                </w:rPr>
                <w:t xml:space="preserve"> as at 9</w:t>
              </w:r>
              <w:r>
                <w:rPr>
                  <w:b/>
                  <w:snapToGrid w:val="0"/>
                  <w:sz w:val="22"/>
                </w:rPr>
                <w:t xml:space="preserve"> June 2006</w:t>
              </w:r>
            </w:ins>
          </w:p>
        </w:tc>
      </w:tr>
    </w:tbl>
    <w:p>
      <w:pPr>
        <w:pStyle w:val="WA"/>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0" w:name="_Toc88370399"/>
      <w:bookmarkStart w:id="11" w:name="_Toc88371584"/>
      <w:bookmarkStart w:id="12" w:name="_Toc88626098"/>
      <w:bookmarkStart w:id="13" w:name="_Toc89059343"/>
      <w:bookmarkStart w:id="14" w:name="_Toc89066885"/>
      <w:bookmarkStart w:id="15" w:name="_Toc127932189"/>
      <w:bookmarkStart w:id="16" w:name="_Toc127932335"/>
      <w:bookmarkStart w:id="17" w:name="_Toc134863506"/>
      <w:bookmarkStart w:id="18" w:name="_Toc134866633"/>
      <w:bookmarkStart w:id="19" w:name="_Toc136657191"/>
      <w:bookmarkStart w:id="20" w:name="_Toc136659051"/>
      <w:bookmarkStart w:id="21" w:name="_Toc139777707"/>
      <w:r>
        <w:rPr>
          <w:rStyle w:val="CharPartNo"/>
        </w:rPr>
        <w:t>P</w:t>
      </w:r>
      <w:bookmarkStart w:id="22" w:name="_GoBack"/>
      <w:bookmarkEnd w:id="22"/>
      <w:r>
        <w:rPr>
          <w:rStyle w:val="CharPartNo"/>
        </w:rPr>
        <w:t>art 1 </w:t>
      </w:r>
      <w: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519583783"/>
      <w:bookmarkStart w:id="24" w:name="_Toc19340093"/>
      <w:bookmarkStart w:id="25" w:name="_Toc127932190"/>
      <w:bookmarkStart w:id="26" w:name="_Toc139777708"/>
      <w:bookmarkStart w:id="27" w:name="_Toc127932336"/>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8" w:name="_Toc519583784"/>
      <w:bookmarkStart w:id="29" w:name="_Toc19340094"/>
      <w:bookmarkStart w:id="30" w:name="_Toc127932191"/>
      <w:bookmarkStart w:id="31" w:name="_Toc139777709"/>
      <w:bookmarkStart w:id="32" w:name="_Toc127932337"/>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3" w:name="_Toc88370402"/>
      <w:bookmarkStart w:id="34" w:name="_Toc88371587"/>
      <w:bookmarkStart w:id="35" w:name="_Toc88626101"/>
      <w:bookmarkStart w:id="36" w:name="_Toc89059346"/>
      <w:bookmarkStart w:id="37" w:name="_Toc89066888"/>
      <w:bookmarkStart w:id="38" w:name="_Toc127932192"/>
      <w:bookmarkStart w:id="39" w:name="_Toc127932338"/>
      <w:bookmarkStart w:id="40" w:name="_Toc134863509"/>
      <w:bookmarkStart w:id="41" w:name="_Toc134866636"/>
      <w:bookmarkStart w:id="42" w:name="_Toc136657194"/>
      <w:bookmarkStart w:id="43" w:name="_Toc136659054"/>
      <w:bookmarkStart w:id="44" w:name="_Toc139777710"/>
      <w:r>
        <w:rPr>
          <w:rStyle w:val="CharPartNo"/>
        </w:rPr>
        <w:t>Part 2</w:t>
      </w:r>
      <w:r>
        <w:rPr>
          <w:rStyle w:val="CharDivNo"/>
        </w:rPr>
        <w:t> </w:t>
      </w:r>
      <w:r>
        <w:t>—</w:t>
      </w:r>
      <w:r>
        <w:rPr>
          <w:rStyle w:val="CharDivText"/>
        </w:rPr>
        <w:t> </w:t>
      </w:r>
      <w:r>
        <w:rPr>
          <w:rStyle w:val="CharPartText"/>
        </w:rPr>
        <w:t>General</w:t>
      </w:r>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519583785"/>
      <w:bookmarkStart w:id="46" w:name="_Toc19340095"/>
      <w:bookmarkStart w:id="47" w:name="_Toc127932193"/>
      <w:bookmarkStart w:id="48" w:name="_Toc139777711"/>
      <w:bookmarkStart w:id="49" w:name="_Toc127932339"/>
      <w:r>
        <w:rPr>
          <w:rStyle w:val="CharSectno"/>
        </w:rPr>
        <w:t>3</w:t>
      </w:r>
      <w:r>
        <w:rPr>
          <w:snapToGrid w:val="0"/>
        </w:rPr>
        <w:t>.</w:t>
      </w:r>
      <w:r>
        <w:rPr>
          <w:snapToGrid w:val="0"/>
        </w:rPr>
        <w:tab/>
        <w:t>Telecommunications network services prescribed as public utility services</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pPr>
        <w:pStyle w:val="Heading5"/>
      </w:pPr>
      <w:bookmarkStart w:id="50" w:name="_Toc519583786"/>
      <w:bookmarkStart w:id="51" w:name="_Toc19340096"/>
      <w:bookmarkStart w:id="52" w:name="_Toc127932194"/>
      <w:bookmarkStart w:id="53" w:name="_Toc139777712"/>
      <w:bookmarkStart w:id="54" w:name="_Toc127932340"/>
      <w:r>
        <w:t>3A.</w:t>
      </w:r>
      <w:r>
        <w:tab/>
        <w:t>Classes of prescribed persons to whom Minister may delegate powers under section 18</w:t>
      </w:r>
      <w:bookmarkEnd w:id="50"/>
      <w:bookmarkEnd w:id="51"/>
      <w:bookmarkEnd w:id="52"/>
      <w:bookmarkEnd w:id="53"/>
      <w:bookmarkEnd w:id="54"/>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b/>
        </w:rPr>
        <w:t>“</w:t>
      </w:r>
      <w:r>
        <w:rPr>
          <w:rStyle w:val="CharDefText"/>
        </w:rPr>
        <w:t>Crown land transaction</w:t>
      </w:r>
      <w:r>
        <w:rPr>
          <w:b/>
        </w:rPr>
        <w:t>”</w:t>
      </w:r>
      <w:r>
        <w:t xml:space="preserve"> means a transaction to which section 18 of the Act applies.</w:t>
      </w:r>
    </w:p>
    <w:p>
      <w:pPr>
        <w:pStyle w:val="Footnotesection"/>
      </w:pPr>
      <w:r>
        <w:tab/>
        <w:t>[Regulation 3A inserted in Gazette 20 Nov 1998 p. 6268.]</w:t>
      </w:r>
    </w:p>
    <w:p>
      <w:pPr>
        <w:pStyle w:val="Heading5"/>
      </w:pPr>
      <w:bookmarkStart w:id="55" w:name="_Toc127932195"/>
      <w:bookmarkStart w:id="56" w:name="_Toc139777713"/>
      <w:bookmarkStart w:id="57" w:name="_Toc127932341"/>
      <w:bookmarkStart w:id="58" w:name="_Toc519583788"/>
      <w:bookmarkStart w:id="59" w:name="_Toc19340098"/>
      <w:r>
        <w:rPr>
          <w:rStyle w:val="CharSectno"/>
        </w:rPr>
        <w:t>3B</w:t>
      </w:r>
      <w:r>
        <w:t>.</w:t>
      </w:r>
      <w:r>
        <w:tab/>
        <w:t>Prescribed person for the purposes of section 9(1)(c) of the Act</w:t>
      </w:r>
      <w:bookmarkEnd w:id="55"/>
      <w:bookmarkEnd w:id="56"/>
      <w:bookmarkEnd w:id="57"/>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within the meaning of section 4(1) of the </w:t>
      </w:r>
      <w:r>
        <w:rPr>
          <w:i/>
        </w:rPr>
        <w:t>Transfer of Land Act 1893</w:t>
      </w:r>
      <w:r>
        <w:t>;</w:t>
      </w:r>
    </w:p>
    <w:p>
      <w:pPr>
        <w:pStyle w:val="Indenta"/>
      </w:pPr>
      <w:r>
        <w:tab/>
        <w:t>(c)</w:t>
      </w:r>
      <w:r>
        <w:tab/>
        <w:t xml:space="preserve">officers appointed under Part I of the </w:t>
      </w:r>
      <w:r>
        <w:rPr>
          <w:i/>
        </w:rPr>
        <w:t>Transfer of Land Act 1893</w:t>
      </w:r>
      <w:r>
        <w:t>;</w:t>
      </w:r>
    </w:p>
    <w:p>
      <w:pPr>
        <w:pStyle w:val="Indenta"/>
      </w:pPr>
      <w:r>
        <w:tab/>
        <w:t>(d)</w:t>
      </w:r>
      <w:r>
        <w:tab/>
        <w:t xml:space="preserve">officers of the Department within the meaning of section 4(1) of the </w:t>
      </w:r>
      <w:r>
        <w:rPr>
          <w:i/>
        </w:rPr>
        <w:t>Transfer of Land Act 1893</w:t>
      </w:r>
      <w:r>
        <w:t>.</w:t>
      </w:r>
    </w:p>
    <w:p>
      <w:pPr>
        <w:pStyle w:val="Footnotesection"/>
      </w:pPr>
      <w:r>
        <w:tab/>
        <w:t>[Regulation 3B inserted in Gazette 27 Jun 2003 p. 2396; amended in Gazette 16 Nov 2004 p. 5068.]</w:t>
      </w:r>
    </w:p>
    <w:p>
      <w:pPr>
        <w:pStyle w:val="Heading5"/>
        <w:rPr>
          <w:snapToGrid w:val="0"/>
        </w:rPr>
      </w:pPr>
      <w:bookmarkStart w:id="60" w:name="_Toc127932196"/>
      <w:bookmarkStart w:id="61" w:name="_Toc139777714"/>
      <w:bookmarkStart w:id="62" w:name="_Toc127932342"/>
      <w:r>
        <w:rPr>
          <w:rStyle w:val="CharSectno"/>
        </w:rPr>
        <w:t>4</w:t>
      </w:r>
      <w:r>
        <w:rPr>
          <w:snapToGrid w:val="0"/>
        </w:rPr>
        <w:t>.</w:t>
      </w:r>
      <w:r>
        <w:rPr>
          <w:snapToGrid w:val="0"/>
        </w:rPr>
        <w:tab/>
        <w:t>Conditions of delegation by Minister of powers to convey or transfer fee simple in Crown land</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63" w:name="_Toc127932197"/>
      <w:bookmarkStart w:id="64" w:name="_Toc139777715"/>
      <w:bookmarkStart w:id="65" w:name="_Toc127932343"/>
      <w:bookmarkStart w:id="66" w:name="_Toc519583789"/>
      <w:bookmarkStart w:id="67" w:name="_Toc19340099"/>
      <w:r>
        <w:rPr>
          <w:rStyle w:val="CharSectno"/>
        </w:rPr>
        <w:t>4A</w:t>
      </w:r>
      <w:r>
        <w:t>.</w:t>
      </w:r>
      <w:r>
        <w:tab/>
        <w:t>Land to be regarded as having been reserved under section 41 of the Act</w:t>
      </w:r>
      <w:bookmarkEnd w:id="63"/>
      <w:bookmarkEnd w:id="64"/>
      <w:bookmarkEnd w:id="65"/>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68" w:name="_Toc127932198"/>
      <w:bookmarkStart w:id="69" w:name="_Toc139777716"/>
      <w:bookmarkStart w:id="70" w:name="_Toc127932344"/>
      <w:r>
        <w:rPr>
          <w:rStyle w:val="CharSectno"/>
        </w:rPr>
        <w:t>5</w:t>
      </w:r>
      <w:r>
        <w:rPr>
          <w:snapToGrid w:val="0"/>
        </w:rPr>
        <w:t>.</w:t>
      </w:r>
      <w:r>
        <w:rPr>
          <w:snapToGrid w:val="0"/>
        </w:rPr>
        <w:tab/>
        <w:t>Procedures to be followed by local government before requesting acquisition of alienated land designated for public purpose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71" w:name="_Toc519583790"/>
      <w:bookmarkStart w:id="72" w:name="_Toc19340100"/>
      <w:bookmarkStart w:id="73" w:name="_Toc127932199"/>
      <w:bookmarkStart w:id="74" w:name="_Toc139777717"/>
      <w:bookmarkStart w:id="75" w:name="_Toc127932345"/>
      <w:r>
        <w:rPr>
          <w:rStyle w:val="CharSectno"/>
        </w:rPr>
        <w:t>6</w:t>
      </w:r>
      <w:r>
        <w:rPr>
          <w:snapToGrid w:val="0"/>
        </w:rPr>
        <w:t>.</w:t>
      </w:r>
      <w:r>
        <w:rPr>
          <w:snapToGrid w:val="0"/>
        </w:rPr>
        <w:tab/>
        <w:t>Procedures to be followed by local government before requesting acquisition of private road</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repealed]</w:t>
      </w:r>
    </w:p>
    <w:p>
      <w:pPr>
        <w:pStyle w:val="Footnotesection"/>
      </w:pPr>
      <w:r>
        <w:tab/>
        <w:t>[Regulation 6 amended in Gazette 16 Jun 2000 p. 2943.]</w:t>
      </w:r>
    </w:p>
    <w:p>
      <w:pPr>
        <w:pStyle w:val="Heading5"/>
        <w:rPr>
          <w:snapToGrid w:val="0"/>
        </w:rPr>
      </w:pPr>
      <w:bookmarkStart w:id="76" w:name="_Toc519583791"/>
      <w:bookmarkStart w:id="77" w:name="_Toc19340101"/>
      <w:bookmarkStart w:id="78" w:name="_Toc127932200"/>
      <w:bookmarkStart w:id="79" w:name="_Toc139777718"/>
      <w:bookmarkStart w:id="80" w:name="_Toc127932346"/>
      <w:r>
        <w:rPr>
          <w:rStyle w:val="CharSectno"/>
        </w:rPr>
        <w:t>7</w:t>
      </w:r>
      <w:r>
        <w:rPr>
          <w:snapToGrid w:val="0"/>
        </w:rPr>
        <w:t>.</w:t>
      </w:r>
      <w:r>
        <w:rPr>
          <w:snapToGrid w:val="0"/>
        </w:rPr>
        <w:tab/>
        <w:t>Procedures to be followed by local government before requesting acquisition of alienated land in a townsite</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81" w:name="_Toc519583792"/>
      <w:bookmarkStart w:id="82" w:name="_Toc19340102"/>
      <w:bookmarkStart w:id="83" w:name="_Toc127932201"/>
      <w:bookmarkStart w:id="84" w:name="_Toc139777719"/>
      <w:bookmarkStart w:id="85" w:name="_Toc127932347"/>
      <w:r>
        <w:rPr>
          <w:rStyle w:val="CharSectno"/>
        </w:rPr>
        <w:t>8</w:t>
      </w:r>
      <w:r>
        <w:rPr>
          <w:snapToGrid w:val="0"/>
        </w:rPr>
        <w:t>.</w:t>
      </w:r>
      <w:r>
        <w:rPr>
          <w:snapToGrid w:val="0"/>
        </w:rPr>
        <w:tab/>
        <w:t>Preparation and delivery by local government of request to dedicate land as a road</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86" w:name="_Toc519583793"/>
      <w:bookmarkStart w:id="87" w:name="_Toc19340103"/>
      <w:bookmarkStart w:id="88" w:name="_Toc127932202"/>
      <w:bookmarkStart w:id="89" w:name="_Toc139777720"/>
      <w:bookmarkStart w:id="90" w:name="_Toc127932348"/>
      <w:r>
        <w:rPr>
          <w:rStyle w:val="CharSectno"/>
        </w:rPr>
        <w:t>9</w:t>
      </w:r>
      <w:r>
        <w:rPr>
          <w:snapToGrid w:val="0"/>
        </w:rPr>
        <w:t>.</w:t>
      </w:r>
      <w:r>
        <w:rPr>
          <w:snapToGrid w:val="0"/>
        </w:rPr>
        <w:tab/>
        <w:t>Preparation and delivery by local government of request to close a road permanently</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91" w:name="_Toc519583794"/>
      <w:bookmarkStart w:id="92" w:name="_Toc19340104"/>
      <w:bookmarkStart w:id="93" w:name="_Toc127932203"/>
      <w:bookmarkStart w:id="94" w:name="_Toc139777721"/>
      <w:bookmarkStart w:id="95" w:name="_Toc127932349"/>
      <w:r>
        <w:rPr>
          <w:rStyle w:val="CharSectno"/>
        </w:rPr>
        <w:t>10</w:t>
      </w:r>
      <w:r>
        <w:rPr>
          <w:snapToGrid w:val="0"/>
        </w:rPr>
        <w:t>.</w:t>
      </w:r>
      <w:r>
        <w:rPr>
          <w:snapToGrid w:val="0"/>
        </w:rPr>
        <w:tab/>
        <w:t>Prescribed manner of advertising requests to reserve Crown land as mall reserve</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96" w:name="_Toc519583795"/>
      <w:bookmarkStart w:id="97" w:name="_Toc19340105"/>
      <w:bookmarkStart w:id="98" w:name="_Toc127932204"/>
      <w:bookmarkStart w:id="99" w:name="_Toc139777722"/>
      <w:bookmarkStart w:id="100" w:name="_Toc127932350"/>
      <w:r>
        <w:rPr>
          <w:rStyle w:val="CharSectno"/>
        </w:rPr>
        <w:t>11</w:t>
      </w:r>
      <w:r>
        <w:rPr>
          <w:snapToGrid w:val="0"/>
        </w:rPr>
        <w:t>.</w:t>
      </w:r>
      <w:r>
        <w:rPr>
          <w:snapToGrid w:val="0"/>
        </w:rPr>
        <w:tab/>
        <w:t>Prescribed manner of advertising requests to cancel mall reserve</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01" w:name="_Toc519583796"/>
      <w:bookmarkStart w:id="102" w:name="_Toc19340106"/>
      <w:bookmarkStart w:id="103" w:name="_Toc127932205"/>
      <w:bookmarkStart w:id="104" w:name="_Toc139777723"/>
      <w:bookmarkStart w:id="105" w:name="_Toc127932351"/>
      <w:r>
        <w:rPr>
          <w:rStyle w:val="CharSectno"/>
        </w:rPr>
        <w:t>12</w:t>
      </w:r>
      <w:r>
        <w:rPr>
          <w:snapToGrid w:val="0"/>
        </w:rPr>
        <w:t>.</w:t>
      </w:r>
      <w:r>
        <w:rPr>
          <w:snapToGrid w:val="0"/>
        </w:rPr>
        <w:tab/>
        <w:t>Procedure to be followed by Minister when determining and altering prices of Crown land</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ins w:id="106" w:author="Master Repository Process" w:date="2021-08-29T00:55:00Z">
        <w:r>
          <w:rPr>
            <w:iCs/>
            <w:vertAlign w:val="superscript"/>
          </w:rPr>
          <w:t> 2</w:t>
        </w:r>
      </w:ins>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07" w:name="_Toc519583797"/>
      <w:bookmarkStart w:id="108" w:name="_Toc19340107"/>
      <w:bookmarkStart w:id="109" w:name="_Toc127932206"/>
      <w:bookmarkStart w:id="110" w:name="_Toc139777724"/>
      <w:bookmarkStart w:id="111" w:name="_Toc127932352"/>
      <w:r>
        <w:rPr>
          <w:rStyle w:val="CharSectno"/>
        </w:rPr>
        <w:t>13</w:t>
      </w:r>
      <w:r>
        <w:rPr>
          <w:snapToGrid w:val="0"/>
        </w:rPr>
        <w:t>.</w:t>
      </w:r>
      <w:r>
        <w:rPr>
          <w:snapToGrid w:val="0"/>
        </w:rPr>
        <w:tab/>
        <w:t>Prescribed requirements for entering joint ventures to develop and sell Crown land</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112" w:name="_Toc519583798"/>
      <w:bookmarkStart w:id="113" w:name="_Toc19340108"/>
      <w:bookmarkStart w:id="114" w:name="_Toc127932207"/>
      <w:bookmarkStart w:id="115" w:name="_Toc139777725"/>
      <w:bookmarkStart w:id="116" w:name="_Toc127932353"/>
      <w:r>
        <w:rPr>
          <w:rStyle w:val="CharSectno"/>
        </w:rPr>
        <w:t>14</w:t>
      </w:r>
      <w:r>
        <w:rPr>
          <w:snapToGrid w:val="0"/>
        </w:rPr>
        <w:t>.</w:t>
      </w:r>
      <w:r>
        <w:rPr>
          <w:snapToGrid w:val="0"/>
        </w:rPr>
        <w:tab/>
        <w:t>Prescribed conditions to be complied with by applicant to purchase fee simple, or option to purchase fee simple, in Crown land</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17" w:name="_Toc519583799"/>
      <w:bookmarkStart w:id="118" w:name="_Toc19340109"/>
      <w:bookmarkStart w:id="119" w:name="_Toc127932208"/>
      <w:bookmarkStart w:id="120" w:name="_Toc139777726"/>
      <w:bookmarkStart w:id="121" w:name="_Toc127932354"/>
      <w:r>
        <w:rPr>
          <w:rStyle w:val="CharSectno"/>
        </w:rPr>
        <w:t>15</w:t>
      </w:r>
      <w:r>
        <w:rPr>
          <w:snapToGrid w:val="0"/>
        </w:rPr>
        <w:t>.</w:t>
      </w:r>
      <w:r>
        <w:rPr>
          <w:snapToGrid w:val="0"/>
        </w:rPr>
        <w:tab/>
        <w:t>Phasing in of rents for existing pastoral leases</w:t>
      </w:r>
      <w:bookmarkEnd w:id="117"/>
      <w:bookmarkEnd w:id="118"/>
      <w:bookmarkEnd w:id="119"/>
      <w:bookmarkEnd w:id="120"/>
      <w:bookmarkEnd w:id="121"/>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b/>
        </w:rPr>
        <w:t>“</w:t>
      </w:r>
      <w:r>
        <w:rPr>
          <w:rStyle w:val="CharDefText"/>
        </w:rPr>
        <w:t>the increased amount of rent</w:t>
      </w:r>
      <w:r>
        <w:rPr>
          <w:b/>
        </w:rPr>
        <w:t>”</w:t>
      </w:r>
      <w:r>
        <w:t>); or</w:t>
      </w:r>
    </w:p>
    <w:p>
      <w:pPr>
        <w:pStyle w:val="Indenta"/>
      </w:pPr>
      <w:r>
        <w:tab/>
        <w:t>(b)</w:t>
      </w:r>
      <w:r>
        <w:tab/>
        <w:t>be decreased (</w:t>
      </w:r>
      <w:r>
        <w:rPr>
          <w:b/>
        </w:rPr>
        <w:t>“</w:t>
      </w:r>
      <w:r>
        <w:rPr>
          <w:rStyle w:val="CharDefText"/>
        </w:rPr>
        <w:t>the decreased amount of rent</w:t>
      </w:r>
      <w:r>
        <w:rPr>
          <w:b/>
        </w:rPr>
        <w: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existing pastoral lease</w:t>
      </w:r>
      <w:r>
        <w:rPr>
          <w:b/>
        </w:rPr>
        <w:t>”</w:t>
      </w:r>
      <w:r>
        <w:t xml:space="preserve"> has the same meaning as it has in section 143 of the Act.</w:t>
      </w:r>
    </w:p>
    <w:p>
      <w:pPr>
        <w:pStyle w:val="Footnotesection"/>
      </w:pPr>
      <w:r>
        <w:tab/>
        <w:t>[Regulation 15 amended in Gazette 16 Jun 2000 p. 2945.]</w:t>
      </w:r>
    </w:p>
    <w:p>
      <w:pPr>
        <w:pStyle w:val="Heading5"/>
        <w:rPr>
          <w:snapToGrid w:val="0"/>
        </w:rPr>
      </w:pPr>
      <w:bookmarkStart w:id="122" w:name="_Toc519583800"/>
      <w:bookmarkStart w:id="123" w:name="_Toc19340110"/>
      <w:bookmarkStart w:id="124" w:name="_Toc127932209"/>
      <w:bookmarkStart w:id="125" w:name="_Toc139777727"/>
      <w:bookmarkStart w:id="126" w:name="_Toc127932355"/>
      <w:r>
        <w:rPr>
          <w:rStyle w:val="CharSectno"/>
        </w:rPr>
        <w:t>16</w:t>
      </w:r>
      <w:r>
        <w:rPr>
          <w:snapToGrid w:val="0"/>
        </w:rPr>
        <w:t>.</w:t>
      </w:r>
      <w:r>
        <w:rPr>
          <w:snapToGrid w:val="0"/>
        </w:rPr>
        <w:tab/>
        <w:t>Prescribed rate of interest if pastoral lessee fails to pay rent on due date</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27" w:name="_Toc519583801"/>
      <w:bookmarkStart w:id="128" w:name="_Toc19340111"/>
      <w:bookmarkStart w:id="129" w:name="_Toc127932210"/>
      <w:bookmarkStart w:id="130" w:name="_Toc139777728"/>
      <w:bookmarkStart w:id="131" w:name="_Toc127932356"/>
      <w:r>
        <w:rPr>
          <w:rStyle w:val="CharSectno"/>
        </w:rPr>
        <w:t>17</w:t>
      </w:r>
      <w:r>
        <w:rPr>
          <w:snapToGrid w:val="0"/>
        </w:rPr>
        <w:t>.</w:t>
      </w:r>
      <w:r>
        <w:rPr>
          <w:snapToGrid w:val="0"/>
        </w:rPr>
        <w:tab/>
        <w:t>Fees</w:t>
      </w:r>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32" w:name="_Toc519583802"/>
      <w:bookmarkStart w:id="133" w:name="_Toc19340112"/>
      <w:bookmarkStart w:id="134" w:name="_Toc127932211"/>
      <w:bookmarkStart w:id="135" w:name="_Toc139777729"/>
      <w:bookmarkStart w:id="136" w:name="_Toc127932357"/>
      <w:r>
        <w:rPr>
          <w:rStyle w:val="CharSectno"/>
        </w:rPr>
        <w:t>17A</w:t>
      </w:r>
      <w:r>
        <w:t>.</w:t>
      </w:r>
      <w:r>
        <w:tab/>
        <w:t>Prescribed Australian datum for determining Divisions of State</w:t>
      </w:r>
      <w:bookmarkEnd w:id="132"/>
      <w:bookmarkEnd w:id="133"/>
      <w:bookmarkEnd w:id="134"/>
      <w:bookmarkEnd w:id="135"/>
      <w:bookmarkEnd w:id="136"/>
    </w:p>
    <w:p>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37" w:name="_Toc519583803"/>
      <w:bookmarkStart w:id="138" w:name="_Toc19340113"/>
      <w:bookmarkStart w:id="139" w:name="_Toc127932212"/>
      <w:bookmarkStart w:id="140" w:name="_Toc139777730"/>
      <w:bookmarkStart w:id="141" w:name="_Toc127932358"/>
      <w:r>
        <w:rPr>
          <w:rStyle w:val="CharSectno"/>
        </w:rPr>
        <w:t>17B</w:t>
      </w:r>
      <w:r>
        <w:t>.</w:t>
      </w:r>
      <w:r>
        <w:tab/>
        <w:t>Acts prescribed for the purposes of section 18(8)(b)(ii) of the Act</w:t>
      </w:r>
      <w:bookmarkEnd w:id="137"/>
      <w:bookmarkEnd w:id="138"/>
      <w:bookmarkEnd w:id="139"/>
      <w:bookmarkEnd w:id="140"/>
      <w:bookmarkEnd w:id="141"/>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42" w:name="_Toc519583804"/>
      <w:bookmarkStart w:id="143" w:name="_Toc19340114"/>
      <w:bookmarkStart w:id="144" w:name="_Toc127932213"/>
      <w:bookmarkStart w:id="145" w:name="_Toc139777731"/>
      <w:bookmarkStart w:id="146" w:name="_Toc127932359"/>
      <w:r>
        <w:rPr>
          <w:rStyle w:val="CharSectno"/>
        </w:rPr>
        <w:t>17C</w:t>
      </w:r>
      <w:r>
        <w:t>.</w:t>
      </w:r>
      <w:r>
        <w:tab/>
        <w:t>Stock prescribed for the purposes of the definition of authorised stock in section 93 of the Act</w:t>
      </w:r>
      <w:bookmarkEnd w:id="142"/>
      <w:bookmarkEnd w:id="143"/>
      <w:bookmarkEnd w:id="144"/>
      <w:bookmarkEnd w:id="145"/>
      <w:bookmarkEnd w:id="146"/>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47" w:name="_Toc127932214"/>
      <w:bookmarkStart w:id="148" w:name="_Toc139777732"/>
      <w:bookmarkStart w:id="149" w:name="_Toc127932360"/>
      <w:r>
        <w:rPr>
          <w:rStyle w:val="CharSectno"/>
        </w:rPr>
        <w:t>17D</w:t>
      </w:r>
      <w:r>
        <w:t>.</w:t>
      </w:r>
      <w:r>
        <w:tab/>
        <w:t>Extension of period for agreement between certain pastoral lessees and Minister</w:t>
      </w:r>
      <w:bookmarkEnd w:id="147"/>
      <w:bookmarkEnd w:id="148"/>
      <w:bookmarkEnd w:id="149"/>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50" w:name="_Toc88370424"/>
      <w:bookmarkStart w:id="151" w:name="_Toc88371609"/>
      <w:bookmarkStart w:id="152" w:name="_Toc88626123"/>
      <w:bookmarkStart w:id="153" w:name="_Toc89059369"/>
      <w:bookmarkStart w:id="154" w:name="_Toc89066911"/>
      <w:bookmarkStart w:id="155" w:name="_Toc127932215"/>
      <w:bookmarkStart w:id="156" w:name="_Toc127932361"/>
      <w:bookmarkStart w:id="157" w:name="_Toc134863532"/>
      <w:bookmarkStart w:id="158" w:name="_Toc134866659"/>
      <w:bookmarkStart w:id="159" w:name="_Toc136657217"/>
      <w:bookmarkStart w:id="160" w:name="_Toc136659077"/>
      <w:bookmarkStart w:id="161" w:name="_Toc139777733"/>
      <w:r>
        <w:rPr>
          <w:rStyle w:val="CharPartNo"/>
        </w:rPr>
        <w:t>Part 3</w:t>
      </w:r>
      <w:r>
        <w:rPr>
          <w:rStyle w:val="CharDivNo"/>
        </w:rPr>
        <w:t> </w:t>
      </w:r>
      <w:r>
        <w:t>—</w:t>
      </w:r>
      <w:r>
        <w:rPr>
          <w:rStyle w:val="CharDivText"/>
        </w:rPr>
        <w:t> </w:t>
      </w:r>
      <w:r>
        <w:rPr>
          <w:rStyle w:val="CharPartText"/>
        </w:rPr>
        <w:t>Surveys</w:t>
      </w:r>
      <w:bookmarkEnd w:id="150"/>
      <w:bookmarkEnd w:id="151"/>
      <w:bookmarkEnd w:id="152"/>
      <w:bookmarkEnd w:id="153"/>
      <w:bookmarkEnd w:id="154"/>
      <w:bookmarkEnd w:id="155"/>
      <w:bookmarkEnd w:id="156"/>
      <w:bookmarkEnd w:id="157"/>
      <w:bookmarkEnd w:id="158"/>
      <w:bookmarkEnd w:id="159"/>
      <w:bookmarkEnd w:id="160"/>
      <w:bookmarkEnd w:id="161"/>
      <w:r>
        <w:rPr>
          <w:rStyle w:val="CharPartText"/>
        </w:rPr>
        <w:t xml:space="preserve"> </w:t>
      </w:r>
    </w:p>
    <w:p>
      <w:pPr>
        <w:pStyle w:val="Heading5"/>
        <w:rPr>
          <w:snapToGrid w:val="0"/>
        </w:rPr>
      </w:pPr>
      <w:bookmarkStart w:id="162" w:name="_Toc519583805"/>
      <w:bookmarkStart w:id="163" w:name="_Toc19340115"/>
      <w:bookmarkStart w:id="164" w:name="_Toc127932216"/>
      <w:bookmarkStart w:id="165" w:name="_Toc139777734"/>
      <w:bookmarkStart w:id="166" w:name="_Toc127932362"/>
      <w:r>
        <w:rPr>
          <w:rStyle w:val="CharSectno"/>
        </w:rPr>
        <w:t>18</w:t>
      </w:r>
      <w:r>
        <w:rPr>
          <w:snapToGrid w:val="0"/>
        </w:rPr>
        <w:t>.</w:t>
      </w:r>
      <w:r>
        <w:rPr>
          <w:snapToGrid w:val="0"/>
        </w:rPr>
        <w:tab/>
        <w:t>Definitions</w:t>
      </w:r>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pPr>
        <w:pStyle w:val="Defstart"/>
      </w:pPr>
      <w:r>
        <w:rPr>
          <w:b/>
        </w:rPr>
        <w:tab/>
        <w:t>“</w:t>
      </w:r>
      <w:r>
        <w:rPr>
          <w:rStyle w:val="CharDefText"/>
        </w:rPr>
        <w:t>departmental surveyor</w:t>
      </w:r>
      <w:r>
        <w:rPr>
          <w:b/>
        </w:rPr>
        <w:t>”</w:t>
      </w:r>
      <w:r>
        <w:t xml:space="preserve"> means a person employed or engaged by the Department to carry out a survey; </w:t>
      </w:r>
    </w:p>
    <w:p>
      <w:pPr>
        <w:pStyle w:val="Defstart"/>
      </w:pPr>
      <w:r>
        <w:rPr>
          <w:b/>
        </w:rPr>
        <w:tab/>
        <w:t>“</w:t>
      </w:r>
      <w:r>
        <w:rPr>
          <w:rStyle w:val="CharDefText"/>
        </w:rPr>
        <w:t>survey</w:t>
      </w:r>
      <w:r>
        <w:rPr>
          <w:b/>
        </w:rPr>
        <w:t>”</w:t>
      </w:r>
      <w:r>
        <w:t xml:space="preserve"> means an authorised survey, or any other survey, carried out for the purposes of the Act.</w:t>
      </w:r>
    </w:p>
    <w:p>
      <w:pPr>
        <w:pStyle w:val="Heading5"/>
        <w:rPr>
          <w:snapToGrid w:val="0"/>
        </w:rPr>
      </w:pPr>
      <w:bookmarkStart w:id="167" w:name="_Toc519583806"/>
      <w:bookmarkStart w:id="168" w:name="_Toc19340116"/>
      <w:bookmarkStart w:id="169" w:name="_Toc127932217"/>
      <w:bookmarkStart w:id="170" w:name="_Toc139777735"/>
      <w:bookmarkStart w:id="171" w:name="_Toc127932363"/>
      <w:r>
        <w:rPr>
          <w:rStyle w:val="CharSectno"/>
        </w:rPr>
        <w:t>19</w:t>
      </w:r>
      <w:r>
        <w:rPr>
          <w:snapToGrid w:val="0"/>
        </w:rPr>
        <w:t>.</w:t>
      </w:r>
      <w:r>
        <w:rPr>
          <w:snapToGrid w:val="0"/>
        </w:rPr>
        <w:tab/>
        <w:t>Notification of problems</w:t>
      </w:r>
      <w:bookmarkEnd w:id="167"/>
      <w:bookmarkEnd w:id="168"/>
      <w:bookmarkEnd w:id="169"/>
      <w:bookmarkEnd w:id="170"/>
      <w:bookmarkEnd w:id="171"/>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72" w:name="_Toc519583807"/>
      <w:bookmarkStart w:id="173" w:name="_Toc19340117"/>
      <w:bookmarkStart w:id="174" w:name="_Toc127932218"/>
      <w:bookmarkStart w:id="175" w:name="_Toc139777736"/>
      <w:bookmarkStart w:id="176" w:name="_Toc127932364"/>
      <w:r>
        <w:rPr>
          <w:rStyle w:val="CharSectno"/>
        </w:rPr>
        <w:t>20</w:t>
      </w:r>
      <w:r>
        <w:rPr>
          <w:snapToGrid w:val="0"/>
        </w:rPr>
        <w:t>.</w:t>
      </w:r>
      <w:r>
        <w:rPr>
          <w:snapToGrid w:val="0"/>
        </w:rPr>
        <w:tab/>
        <w:t>Authorised land officer may issue requisitions</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77" w:name="_Toc519583808"/>
      <w:bookmarkStart w:id="178" w:name="_Toc19340118"/>
      <w:bookmarkStart w:id="179" w:name="_Toc127932219"/>
      <w:bookmarkStart w:id="180" w:name="_Toc139777737"/>
      <w:bookmarkStart w:id="181" w:name="_Toc127932365"/>
      <w:r>
        <w:rPr>
          <w:rStyle w:val="CharSectno"/>
        </w:rPr>
        <w:t>21</w:t>
      </w:r>
      <w:r>
        <w:rPr>
          <w:snapToGrid w:val="0"/>
        </w:rPr>
        <w:t>.</w:t>
      </w:r>
      <w:r>
        <w:rPr>
          <w:snapToGrid w:val="0"/>
        </w:rPr>
        <w:tab/>
        <w:t>Alternative methodology for authorised surveys in special cases</w:t>
      </w:r>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82" w:name="_Toc519583809"/>
      <w:bookmarkStart w:id="183" w:name="_Toc19340119"/>
      <w:bookmarkStart w:id="184" w:name="_Toc127932220"/>
      <w:bookmarkStart w:id="185" w:name="_Toc139777738"/>
      <w:bookmarkStart w:id="186" w:name="_Toc127932366"/>
      <w:r>
        <w:rPr>
          <w:rStyle w:val="CharSectno"/>
        </w:rPr>
        <w:t>22</w:t>
      </w:r>
      <w:r>
        <w:rPr>
          <w:snapToGrid w:val="0"/>
        </w:rPr>
        <w:t>.</w:t>
      </w:r>
      <w:r>
        <w:rPr>
          <w:snapToGrid w:val="0"/>
        </w:rPr>
        <w:tab/>
        <w:t>Ownership of survey documents</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87" w:name="_Toc519583810"/>
      <w:bookmarkStart w:id="188" w:name="_Toc19340120"/>
      <w:bookmarkStart w:id="189" w:name="_Toc127932221"/>
      <w:bookmarkStart w:id="190" w:name="_Toc139777739"/>
      <w:bookmarkStart w:id="191" w:name="_Toc12793236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92" w:name="_Toc88370431"/>
      <w:bookmarkStart w:id="193" w:name="_Toc88371616"/>
      <w:bookmarkStart w:id="194" w:name="_Toc88626130"/>
      <w:bookmarkStart w:id="195" w:name="_Toc89059376"/>
      <w:bookmarkStart w:id="196" w:name="_Toc89066918"/>
      <w:bookmarkStart w:id="197" w:name="_Toc127932222"/>
      <w:bookmarkStart w:id="198" w:name="_Toc127932368"/>
      <w:bookmarkStart w:id="199" w:name="_Toc134863539"/>
      <w:bookmarkStart w:id="200" w:name="_Toc134866666"/>
      <w:bookmarkStart w:id="201" w:name="_Toc136657224"/>
      <w:bookmarkStart w:id="202" w:name="_Toc136659084"/>
      <w:bookmarkStart w:id="203" w:name="_Toc139777740"/>
      <w:r>
        <w:rPr>
          <w:rStyle w:val="CharPartNo"/>
        </w:rPr>
        <w:t>Part 4</w:t>
      </w:r>
      <w:r>
        <w:rPr>
          <w:rStyle w:val="CharDivNo"/>
        </w:rPr>
        <w:t> </w:t>
      </w:r>
      <w:r>
        <w:t>—</w:t>
      </w:r>
      <w:r>
        <w:rPr>
          <w:rStyle w:val="CharDivText"/>
        </w:rPr>
        <w:t> </w:t>
      </w:r>
      <w:r>
        <w:rPr>
          <w:rStyle w:val="CharPartText"/>
        </w:rPr>
        <w:t>Advisory panels</w:t>
      </w:r>
      <w:bookmarkEnd w:id="192"/>
      <w:bookmarkEnd w:id="193"/>
      <w:bookmarkEnd w:id="194"/>
      <w:bookmarkEnd w:id="195"/>
      <w:bookmarkEnd w:id="196"/>
      <w:bookmarkEnd w:id="197"/>
      <w:bookmarkEnd w:id="198"/>
      <w:bookmarkEnd w:id="199"/>
      <w:bookmarkEnd w:id="200"/>
      <w:bookmarkEnd w:id="201"/>
      <w:bookmarkEnd w:id="202"/>
      <w:bookmarkEnd w:id="203"/>
      <w:r>
        <w:rPr>
          <w:rStyle w:val="CharPartText"/>
        </w:rPr>
        <w:t xml:space="preserve"> </w:t>
      </w:r>
    </w:p>
    <w:p>
      <w:pPr>
        <w:pStyle w:val="Heading5"/>
        <w:rPr>
          <w:snapToGrid w:val="0"/>
        </w:rPr>
      </w:pPr>
      <w:bookmarkStart w:id="204" w:name="_Toc519583811"/>
      <w:bookmarkStart w:id="205" w:name="_Toc19340121"/>
      <w:bookmarkStart w:id="206" w:name="_Toc127932223"/>
      <w:bookmarkStart w:id="207" w:name="_Toc139777741"/>
      <w:bookmarkStart w:id="208" w:name="_Toc127932369"/>
      <w:r>
        <w:rPr>
          <w:rStyle w:val="CharSectno"/>
        </w:rPr>
        <w:t>24</w:t>
      </w:r>
      <w:r>
        <w:rPr>
          <w:snapToGrid w:val="0"/>
        </w:rPr>
        <w:t>.</w:t>
      </w:r>
      <w:r>
        <w:rPr>
          <w:snapToGrid w:val="0"/>
        </w:rPr>
        <w:tab/>
        <w:t>Definitions</w:t>
      </w:r>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member</w:t>
      </w:r>
      <w:r>
        <w:rPr>
          <w:b/>
        </w:rPr>
        <w:t>”</w:t>
      </w:r>
      <w:r>
        <w:t xml:space="preserve"> means a member of a panel;</w:t>
      </w:r>
    </w:p>
    <w:p>
      <w:pPr>
        <w:pStyle w:val="Defstart"/>
      </w:pPr>
      <w:r>
        <w:rPr>
          <w:b/>
        </w:rPr>
        <w:tab/>
        <w:t>“</w:t>
      </w:r>
      <w:r>
        <w:rPr>
          <w:rStyle w:val="CharDefText"/>
        </w:rPr>
        <w:t>panel</w:t>
      </w:r>
      <w:r>
        <w:rPr>
          <w:b/>
        </w:rPr>
        <w:t>”</w:t>
      </w:r>
      <w:r>
        <w:t xml:space="preserve"> means an advisory panel appointed under section 73 of the Act;</w:t>
      </w:r>
    </w:p>
    <w:p>
      <w:pPr>
        <w:pStyle w:val="Defstart"/>
      </w:pPr>
      <w:r>
        <w:rPr>
          <w:b/>
        </w:rPr>
        <w:tab/>
        <w:t>“</w:t>
      </w:r>
      <w:r>
        <w:rPr>
          <w:rStyle w:val="CharDefText"/>
        </w:rPr>
        <w:t>relevant matter</w:t>
      </w:r>
      <w:r>
        <w:rPr>
          <w:b/>
        </w:rPr>
        <w:t>”</w:t>
      </w:r>
      <w:r>
        <w:t xml:space="preserve"> means a matter in respect of which a panel has been appointed to advise the Minister.</w:t>
      </w:r>
    </w:p>
    <w:p>
      <w:pPr>
        <w:pStyle w:val="Heading5"/>
        <w:rPr>
          <w:snapToGrid w:val="0"/>
        </w:rPr>
      </w:pPr>
      <w:bookmarkStart w:id="209" w:name="_Toc519583812"/>
      <w:bookmarkStart w:id="210" w:name="_Toc19340122"/>
      <w:bookmarkStart w:id="211" w:name="_Toc127932224"/>
      <w:bookmarkStart w:id="212" w:name="_Toc139777742"/>
      <w:bookmarkStart w:id="213" w:name="_Toc127932370"/>
      <w:r>
        <w:rPr>
          <w:rStyle w:val="CharSectno"/>
        </w:rPr>
        <w:t>25</w:t>
      </w:r>
      <w:r>
        <w:rPr>
          <w:snapToGrid w:val="0"/>
        </w:rPr>
        <w:t>.</w:t>
      </w:r>
      <w:r>
        <w:rPr>
          <w:snapToGrid w:val="0"/>
        </w:rPr>
        <w:tab/>
        <w:t>Number of members</w:t>
      </w:r>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14" w:name="_Toc519583813"/>
      <w:bookmarkStart w:id="215" w:name="_Toc19340123"/>
      <w:bookmarkStart w:id="216" w:name="_Toc127932225"/>
      <w:bookmarkStart w:id="217" w:name="_Toc139777743"/>
      <w:bookmarkStart w:id="218" w:name="_Toc127932371"/>
      <w:r>
        <w:rPr>
          <w:rStyle w:val="CharSectno"/>
        </w:rPr>
        <w:t>26</w:t>
      </w:r>
      <w:r>
        <w:rPr>
          <w:snapToGrid w:val="0"/>
        </w:rPr>
        <w:t>.</w:t>
      </w:r>
      <w:r>
        <w:rPr>
          <w:snapToGrid w:val="0"/>
        </w:rPr>
        <w:tab/>
        <w:t>Remuneration of members</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219" w:name="_Toc519583814"/>
      <w:bookmarkStart w:id="220" w:name="_Toc19340124"/>
      <w:bookmarkStart w:id="221" w:name="_Toc127932226"/>
      <w:bookmarkStart w:id="222" w:name="_Toc139777744"/>
      <w:bookmarkStart w:id="223" w:name="_Toc127932372"/>
      <w:r>
        <w:rPr>
          <w:rStyle w:val="CharSectno"/>
        </w:rPr>
        <w:t>27</w:t>
      </w:r>
      <w:r>
        <w:rPr>
          <w:snapToGrid w:val="0"/>
        </w:rPr>
        <w:t>.</w:t>
      </w:r>
      <w:r>
        <w:rPr>
          <w:snapToGrid w:val="0"/>
        </w:rPr>
        <w:tab/>
        <w:t>Term of office</w:t>
      </w:r>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24" w:name="_Toc519583815"/>
      <w:bookmarkStart w:id="225" w:name="_Toc19340125"/>
      <w:bookmarkStart w:id="226" w:name="_Toc127932227"/>
      <w:bookmarkStart w:id="227" w:name="_Toc139777745"/>
      <w:bookmarkStart w:id="228" w:name="_Toc127932373"/>
      <w:r>
        <w:rPr>
          <w:rStyle w:val="CharSectno"/>
        </w:rPr>
        <w:t>28</w:t>
      </w:r>
      <w:r>
        <w:rPr>
          <w:snapToGrid w:val="0"/>
        </w:rPr>
        <w:t>.</w:t>
      </w:r>
      <w:r>
        <w:rPr>
          <w:snapToGrid w:val="0"/>
        </w:rPr>
        <w:tab/>
        <w:t>Member unable to act</w:t>
      </w:r>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29" w:name="_Toc519583816"/>
      <w:bookmarkStart w:id="230" w:name="_Toc19340126"/>
      <w:bookmarkStart w:id="231" w:name="_Toc127932228"/>
      <w:bookmarkStart w:id="232" w:name="_Toc139777746"/>
      <w:bookmarkStart w:id="233" w:name="_Toc127932374"/>
      <w:r>
        <w:rPr>
          <w:rStyle w:val="CharSectno"/>
        </w:rPr>
        <w:t>29</w:t>
      </w:r>
      <w:r>
        <w:rPr>
          <w:snapToGrid w:val="0"/>
        </w:rPr>
        <w:t>.</w:t>
      </w:r>
      <w:r>
        <w:rPr>
          <w:snapToGrid w:val="0"/>
        </w:rPr>
        <w:tab/>
        <w:t>Calling of meetings</w:t>
      </w:r>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34" w:name="_Toc519583817"/>
      <w:bookmarkStart w:id="235" w:name="_Toc19340127"/>
      <w:bookmarkStart w:id="236" w:name="_Toc127932229"/>
      <w:bookmarkStart w:id="237" w:name="_Toc139777747"/>
      <w:bookmarkStart w:id="238" w:name="_Toc127932375"/>
      <w:r>
        <w:rPr>
          <w:rStyle w:val="CharSectno"/>
        </w:rPr>
        <w:t>30</w:t>
      </w:r>
      <w:r>
        <w:rPr>
          <w:snapToGrid w:val="0"/>
        </w:rPr>
        <w:t>.</w:t>
      </w:r>
      <w:r>
        <w:rPr>
          <w:snapToGrid w:val="0"/>
        </w:rPr>
        <w:tab/>
        <w:t>Presiding officer</w:t>
      </w:r>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39" w:name="_Toc519583818"/>
      <w:bookmarkStart w:id="240" w:name="_Toc19340128"/>
      <w:bookmarkStart w:id="241" w:name="_Toc127932230"/>
      <w:bookmarkStart w:id="242" w:name="_Toc139777748"/>
      <w:bookmarkStart w:id="243" w:name="_Toc127932376"/>
      <w:r>
        <w:rPr>
          <w:rStyle w:val="CharSectno"/>
        </w:rPr>
        <w:t>31</w:t>
      </w:r>
      <w:r>
        <w:rPr>
          <w:snapToGrid w:val="0"/>
        </w:rPr>
        <w:t>.</w:t>
      </w:r>
      <w:r>
        <w:rPr>
          <w:snapToGrid w:val="0"/>
        </w:rPr>
        <w:tab/>
        <w:t>Quorum</w:t>
      </w:r>
      <w:bookmarkEnd w:id="239"/>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44" w:name="_Toc519583819"/>
      <w:bookmarkStart w:id="245" w:name="_Toc19340129"/>
      <w:bookmarkStart w:id="246" w:name="_Toc127932231"/>
      <w:bookmarkStart w:id="247" w:name="_Toc139777749"/>
      <w:bookmarkStart w:id="248" w:name="_Toc127932377"/>
      <w:r>
        <w:rPr>
          <w:rStyle w:val="CharSectno"/>
        </w:rPr>
        <w:t>32</w:t>
      </w:r>
      <w:r>
        <w:rPr>
          <w:snapToGrid w:val="0"/>
        </w:rPr>
        <w:t>.</w:t>
      </w:r>
      <w:r>
        <w:rPr>
          <w:snapToGrid w:val="0"/>
        </w:rPr>
        <w:tab/>
        <w:t>Voting</w:t>
      </w:r>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49" w:name="_Toc519583820"/>
      <w:bookmarkStart w:id="250" w:name="_Toc19340130"/>
      <w:bookmarkStart w:id="251" w:name="_Toc127932232"/>
      <w:bookmarkStart w:id="252" w:name="_Toc139777750"/>
      <w:bookmarkStart w:id="253" w:name="_Toc127932378"/>
      <w:r>
        <w:rPr>
          <w:rStyle w:val="CharSectno"/>
        </w:rPr>
        <w:t>33</w:t>
      </w:r>
      <w:r>
        <w:rPr>
          <w:snapToGrid w:val="0"/>
        </w:rPr>
        <w:t>.</w:t>
      </w:r>
      <w:r>
        <w:rPr>
          <w:snapToGrid w:val="0"/>
        </w:rPr>
        <w:tab/>
        <w:t>Minutes</w:t>
      </w:r>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54" w:name="_Toc519583821"/>
      <w:bookmarkStart w:id="255" w:name="_Toc19340131"/>
      <w:bookmarkStart w:id="256" w:name="_Toc127932233"/>
      <w:bookmarkStart w:id="257" w:name="_Toc139777751"/>
      <w:bookmarkStart w:id="258" w:name="_Toc127932379"/>
      <w:r>
        <w:rPr>
          <w:rStyle w:val="CharSectno"/>
        </w:rPr>
        <w:t>34</w:t>
      </w:r>
      <w:r>
        <w:rPr>
          <w:snapToGrid w:val="0"/>
        </w:rPr>
        <w:t>.</w:t>
      </w:r>
      <w:r>
        <w:rPr>
          <w:snapToGrid w:val="0"/>
        </w:rPr>
        <w:tab/>
        <w:t>Telephone or video meetings</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59" w:name="_Toc519583822"/>
      <w:bookmarkStart w:id="260" w:name="_Toc19340132"/>
      <w:bookmarkStart w:id="261" w:name="_Toc127932234"/>
      <w:bookmarkStart w:id="262" w:name="_Toc139777752"/>
      <w:bookmarkStart w:id="263" w:name="_Toc127932380"/>
      <w:r>
        <w:rPr>
          <w:rStyle w:val="CharSectno"/>
        </w:rPr>
        <w:t>35</w:t>
      </w:r>
      <w:r>
        <w:rPr>
          <w:snapToGrid w:val="0"/>
        </w:rPr>
        <w:t>.</w:t>
      </w:r>
      <w:r>
        <w:rPr>
          <w:snapToGrid w:val="0"/>
        </w:rPr>
        <w:tab/>
        <w:t>How panel is to inform itself</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64" w:name="_Toc519583823"/>
      <w:bookmarkStart w:id="265" w:name="_Toc19340133"/>
      <w:r>
        <w:tab/>
        <w:t>[Regulation 35 amended in Gazette 5 Mar 2004 p. 700.]</w:t>
      </w:r>
    </w:p>
    <w:p>
      <w:pPr>
        <w:pStyle w:val="Heading5"/>
        <w:rPr>
          <w:snapToGrid w:val="0"/>
        </w:rPr>
      </w:pPr>
      <w:bookmarkStart w:id="266" w:name="_Toc127932235"/>
      <w:bookmarkStart w:id="267" w:name="_Toc139777753"/>
      <w:bookmarkStart w:id="268" w:name="_Toc127932381"/>
      <w:r>
        <w:rPr>
          <w:rStyle w:val="CharSectno"/>
        </w:rPr>
        <w:t>36</w:t>
      </w:r>
      <w:r>
        <w:rPr>
          <w:snapToGrid w:val="0"/>
        </w:rPr>
        <w:t>.</w:t>
      </w:r>
      <w:r>
        <w:rPr>
          <w:snapToGrid w:val="0"/>
        </w:rPr>
        <w:tab/>
        <w:t>Public hearings</w:t>
      </w:r>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69" w:name="_Toc519583824"/>
      <w:bookmarkStart w:id="270" w:name="_Toc19340134"/>
      <w:bookmarkStart w:id="271" w:name="_Toc127932236"/>
      <w:bookmarkStart w:id="272" w:name="_Toc139777754"/>
      <w:bookmarkStart w:id="273" w:name="_Toc127932382"/>
      <w:r>
        <w:rPr>
          <w:rStyle w:val="CharSectno"/>
        </w:rPr>
        <w:t>37</w:t>
      </w:r>
      <w:r>
        <w:rPr>
          <w:snapToGrid w:val="0"/>
        </w:rPr>
        <w:t>.</w:t>
      </w:r>
      <w:r>
        <w:rPr>
          <w:snapToGrid w:val="0"/>
        </w:rPr>
        <w:tab/>
        <w:t>Panel to determine own procedures</w:t>
      </w:r>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74" w:name="_Toc519583825"/>
      <w:bookmarkStart w:id="275" w:name="_Toc19340135"/>
      <w:bookmarkStart w:id="276" w:name="_Toc127932237"/>
      <w:bookmarkStart w:id="277" w:name="_Toc139777755"/>
      <w:bookmarkStart w:id="278" w:name="_Toc127932383"/>
      <w:r>
        <w:rPr>
          <w:rStyle w:val="CharSectno"/>
        </w:rPr>
        <w:t>38</w:t>
      </w:r>
      <w:r>
        <w:rPr>
          <w:snapToGrid w:val="0"/>
        </w:rPr>
        <w:t>.</w:t>
      </w:r>
      <w:r>
        <w:rPr>
          <w:snapToGrid w:val="0"/>
        </w:rPr>
        <w:tab/>
        <w:t>Conflict of interest</w:t>
      </w:r>
      <w:bookmarkEnd w:id="274"/>
      <w:bookmarkEnd w:id="275"/>
      <w:bookmarkEnd w:id="276"/>
      <w:bookmarkEnd w:id="277"/>
      <w:bookmarkEnd w:id="278"/>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79" w:name="_Toc519583826"/>
      <w:bookmarkStart w:id="280" w:name="_Toc19340136"/>
      <w:bookmarkStart w:id="281" w:name="_Toc127932238"/>
      <w:bookmarkStart w:id="282" w:name="_Toc139777756"/>
      <w:bookmarkStart w:id="283" w:name="_Toc127932384"/>
      <w:r>
        <w:rPr>
          <w:rStyle w:val="CharSectno"/>
        </w:rPr>
        <w:t>39</w:t>
      </w:r>
      <w:r>
        <w:rPr>
          <w:snapToGrid w:val="0"/>
        </w:rPr>
        <w:t>.</w:t>
      </w:r>
      <w:r>
        <w:rPr>
          <w:snapToGrid w:val="0"/>
        </w:rPr>
        <w:tab/>
        <w:t>Confidentiality</w:t>
      </w:r>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del w:id="284" w:author="Master Repository Process" w:date="2021-08-29T00:55:00Z"/>
        </w:rPr>
      </w:pPr>
      <w:bookmarkStart w:id="285" w:name="_Toc127932239"/>
      <w:bookmarkStart w:id="286" w:name="_Toc127932385"/>
      <w:bookmarkStart w:id="287" w:name="_Toc134863556"/>
      <w:bookmarkStart w:id="288" w:name="_Toc134866683"/>
      <w:bookmarkStart w:id="289" w:name="_Toc136657241"/>
      <w:bookmarkStart w:id="290" w:name="_Toc136659101"/>
      <w:bookmarkStart w:id="291" w:name="_Toc139777757"/>
      <w:r>
        <w:rPr>
          <w:rStyle w:val="CharSchNo"/>
        </w:rPr>
        <w:t>Schedule 1</w:t>
      </w:r>
      <w:bookmarkEnd w:id="285"/>
      <w:bookmarkEnd w:id="286"/>
      <w:bookmarkEnd w:id="287"/>
      <w:r>
        <w:t> </w:t>
      </w:r>
    </w:p>
    <w:p>
      <w:pPr>
        <w:pStyle w:val="yScheduleHeading"/>
      </w:pPr>
      <w:ins w:id="292" w:author="Master Repository Process" w:date="2021-08-29T00:55:00Z">
        <w:r>
          <w:t>—</w:t>
        </w:r>
        <w:bookmarkEnd w:id="288"/>
        <w:r>
          <w:t> </w:t>
        </w:r>
      </w:ins>
      <w:bookmarkStart w:id="293" w:name="_Toc134866684"/>
      <w:r>
        <w:rPr>
          <w:rStyle w:val="CharSchText"/>
        </w:rPr>
        <w:t>Fees payable to chief executive officer</w:t>
      </w:r>
      <w:bookmarkEnd w:id="289"/>
      <w:bookmarkEnd w:id="290"/>
      <w:bookmarkEnd w:id="291"/>
      <w:bookmarkEnd w:id="293"/>
    </w:p>
    <w:p>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
            </w:pPr>
          </w:p>
        </w:tc>
        <w:tc>
          <w:tcPr>
            <w:tcW w:w="1560" w:type="dxa"/>
          </w:tcPr>
          <w:p>
            <w:pPr>
              <w:pStyle w:val="yTable"/>
            </w:pPr>
            <w:r>
              <w:t xml:space="preserve">    $</w:t>
            </w:r>
          </w:p>
        </w:tc>
      </w:tr>
      <w:tr>
        <w:tc>
          <w:tcPr>
            <w:tcW w:w="5670" w:type="dxa"/>
          </w:tcPr>
          <w:p>
            <w:pPr>
              <w:pStyle w:val="yTable"/>
              <w:ind w:left="567" w:hanging="567"/>
            </w:pPr>
            <w:r>
              <w:t>1.</w:t>
            </w:r>
            <w:r>
              <w:tab/>
              <w:t>For preparing a lease or, subject to item 8, any other document prepared for the purposes of the Act</w:t>
            </w:r>
          </w:p>
        </w:tc>
        <w:tc>
          <w:tcPr>
            <w:tcW w:w="1560" w:type="dxa"/>
          </w:tcPr>
          <w:p>
            <w:pPr>
              <w:pStyle w:val="yTable"/>
            </w:pPr>
            <w:r>
              <w:rPr>
                <w:rFonts w:ascii="Times" w:hAnsi="Times"/>
              </w:rPr>
              <w:t>89.00</w:t>
            </w:r>
          </w:p>
        </w:tc>
      </w:tr>
      <w:tr>
        <w:tc>
          <w:tcPr>
            <w:tcW w:w="5670" w:type="dxa"/>
          </w:tcPr>
          <w:p>
            <w:pPr>
              <w:pStyle w:val="yTable"/>
              <w:ind w:left="567" w:hanging="567"/>
            </w:pPr>
            <w:r>
              <w:t>1A.</w:t>
            </w:r>
            <w:r>
              <w:tab/>
              <w:t>For the issue of a permit under the Act Part 7 Division 5</w:t>
            </w:r>
          </w:p>
        </w:tc>
        <w:tc>
          <w:tcPr>
            <w:tcW w:w="1560" w:type="dxa"/>
          </w:tcPr>
          <w:p>
            <w:pPr>
              <w:pStyle w:val="yTable"/>
            </w:pPr>
            <w:r>
              <w:t>110.00</w:t>
            </w:r>
          </w:p>
        </w:tc>
      </w:tr>
      <w:tr>
        <w:tc>
          <w:tcPr>
            <w:tcW w:w="5670" w:type="dxa"/>
          </w:tcPr>
          <w:p>
            <w:pPr>
              <w:pStyle w:val="yTable"/>
              <w:ind w:left="567" w:hanging="567"/>
            </w:pPr>
            <w:r>
              <w:t>2.</w:t>
            </w:r>
            <w:r>
              <w:tab/>
              <w:t>For inspecting a lease (of less than 12 months) of Crown land</w:t>
            </w:r>
          </w:p>
        </w:tc>
        <w:tc>
          <w:tcPr>
            <w:tcW w:w="1560" w:type="dxa"/>
          </w:tcPr>
          <w:p>
            <w:pPr>
              <w:pStyle w:val="yTable"/>
            </w:pPr>
            <w:r>
              <w:t>12.00</w:t>
            </w:r>
          </w:p>
        </w:tc>
      </w:tr>
      <w:tr>
        <w:tc>
          <w:tcPr>
            <w:tcW w:w="5670" w:type="dxa"/>
          </w:tcPr>
          <w:p>
            <w:pPr>
              <w:pStyle w:val="yTable"/>
              <w:ind w:left="567" w:hanging="567"/>
            </w:pPr>
            <w:r>
              <w:t>3.</w:t>
            </w:r>
            <w:r>
              <w:tab/>
              <w:t>For copying a lease (of less than 12 months) of Crown land</w:t>
            </w:r>
          </w:p>
        </w:tc>
        <w:tc>
          <w:tcPr>
            <w:tcW w:w="1560" w:type="dxa"/>
          </w:tcPr>
          <w:p>
            <w:pPr>
              <w:pStyle w:val="yTable"/>
            </w:pPr>
            <w:r>
              <w:t>12.00</w:t>
            </w:r>
          </w:p>
        </w:tc>
      </w:tr>
      <w:tr>
        <w:tc>
          <w:tcPr>
            <w:tcW w:w="5670" w:type="dxa"/>
          </w:tcPr>
          <w:p>
            <w:pPr>
              <w:pStyle w:val="yTable"/>
              <w:ind w:left="567" w:hanging="567"/>
            </w:pPr>
            <w:r>
              <w:t>4.</w:t>
            </w:r>
            <w:r>
              <w:tab/>
              <w:t>For searching a licence granted under the Act</w:t>
            </w:r>
          </w:p>
        </w:tc>
        <w:tc>
          <w:tcPr>
            <w:tcW w:w="1560" w:type="dxa"/>
          </w:tcPr>
          <w:p>
            <w:pPr>
              <w:pStyle w:val="yTable"/>
            </w:pPr>
            <w:r>
              <w:t>12.00</w:t>
            </w:r>
          </w:p>
        </w:tc>
      </w:tr>
      <w:tr>
        <w:tc>
          <w:tcPr>
            <w:tcW w:w="5670" w:type="dxa"/>
          </w:tcPr>
          <w:p>
            <w:pPr>
              <w:pStyle w:val="yTable"/>
              <w:ind w:left="567" w:hanging="567"/>
            </w:pPr>
            <w:r>
              <w:t>5.</w:t>
            </w:r>
            <w:r>
              <w:tab/>
              <w:t>For advertising by the Minister under the Act — </w:t>
            </w:r>
          </w:p>
        </w:tc>
        <w:tc>
          <w:tcPr>
            <w:tcW w:w="1560" w:type="dxa"/>
          </w:tcPr>
          <w:p>
            <w:pPr>
              <w:pStyle w:val="yTable"/>
            </w:pPr>
          </w:p>
        </w:tc>
      </w:tr>
      <w:tr>
        <w:tc>
          <w:tcPr>
            <w:tcW w:w="5670" w:type="dxa"/>
          </w:tcPr>
          <w:p>
            <w:pPr>
              <w:pStyle w:val="yTable"/>
              <w:ind w:left="1134" w:hanging="567"/>
            </w:pPr>
            <w:r>
              <w:t>(a)</w:t>
            </w:r>
            <w:r>
              <w:tab/>
              <w:t>minimum fee</w:t>
            </w:r>
          </w:p>
        </w:tc>
        <w:tc>
          <w:tcPr>
            <w:tcW w:w="1560" w:type="dxa"/>
          </w:tcPr>
          <w:p>
            <w:pPr>
              <w:pStyle w:val="yTable"/>
            </w:pPr>
            <w:r>
              <w:t>85.00</w:t>
            </w:r>
          </w:p>
        </w:tc>
      </w:tr>
      <w:tr>
        <w:tc>
          <w:tcPr>
            <w:tcW w:w="5670" w:type="dxa"/>
          </w:tcPr>
          <w:p>
            <w:pPr>
              <w:pStyle w:val="yTable"/>
              <w:ind w:left="1134" w:hanging="567"/>
            </w:pPr>
            <w:r>
              <w:t>(b)</w:t>
            </w:r>
            <w:r>
              <w:tab/>
              <w:t>plus any additional amount by which the cost of advertising is greater than $85.00 (payable when the cost is known)</w:t>
            </w:r>
          </w:p>
        </w:tc>
        <w:tc>
          <w:tcPr>
            <w:tcW w:w="1560" w:type="dxa"/>
          </w:tcPr>
          <w:p>
            <w:pPr>
              <w:pStyle w:val="yTable"/>
            </w:pPr>
          </w:p>
        </w:tc>
      </w:tr>
      <w:tr>
        <w:tc>
          <w:tcPr>
            <w:tcW w:w="5670" w:type="dxa"/>
          </w:tcPr>
          <w:p>
            <w:pPr>
              <w:pStyle w:val="yTable"/>
              <w:ind w:left="567" w:hanging="567"/>
            </w:pPr>
            <w:r>
              <w:t>6.</w:t>
            </w:r>
            <w:r>
              <w:tab/>
              <w:t>For certifying a copy of any document prepared for the purposes of the Act</w:t>
            </w:r>
          </w:p>
        </w:tc>
        <w:tc>
          <w:tcPr>
            <w:tcW w:w="1560" w:type="dxa"/>
          </w:tcPr>
          <w:p>
            <w:pPr>
              <w:pStyle w:val="yTable"/>
            </w:pPr>
            <w:r>
              <w:t>60.00</w:t>
            </w:r>
          </w:p>
        </w:tc>
      </w:tr>
      <w:tr>
        <w:tc>
          <w:tcPr>
            <w:tcW w:w="5670" w:type="dxa"/>
          </w:tcPr>
          <w:p>
            <w:pPr>
              <w:pStyle w:val="yTable"/>
              <w:ind w:left="567" w:hanging="567"/>
            </w:pPr>
            <w:r>
              <w:t>7.</w:t>
            </w:r>
            <w:r>
              <w:tab/>
              <w:t>For arranging the postal delivery of any material for which a fee is payable under this Schedule — </w:t>
            </w:r>
          </w:p>
        </w:tc>
        <w:tc>
          <w:tcPr>
            <w:tcW w:w="1560" w:type="dxa"/>
          </w:tcPr>
          <w:p>
            <w:pPr>
              <w:pStyle w:val="yTable"/>
            </w:pPr>
          </w:p>
        </w:tc>
      </w:tr>
      <w:tr>
        <w:tc>
          <w:tcPr>
            <w:tcW w:w="5670" w:type="dxa"/>
          </w:tcPr>
          <w:p>
            <w:pPr>
              <w:pStyle w:val="yTable"/>
              <w:ind w:left="1134" w:hanging="567"/>
            </w:pPr>
            <w:r>
              <w:t>(a)</w:t>
            </w:r>
            <w:r>
              <w:tab/>
              <w:t>if the material is sent within Australia and is not greater than 50 grams</w:t>
            </w:r>
          </w:p>
        </w:tc>
        <w:tc>
          <w:tcPr>
            <w:tcW w:w="1560" w:type="dxa"/>
          </w:tcPr>
          <w:p>
            <w:pPr>
              <w:pStyle w:val="yTable"/>
            </w:pPr>
            <w:r>
              <w:t> </w:t>
            </w:r>
            <w:r>
              <w:t>9.00</w:t>
            </w:r>
          </w:p>
        </w:tc>
      </w:tr>
      <w:tr>
        <w:tc>
          <w:tcPr>
            <w:tcW w:w="5670" w:type="dxa"/>
          </w:tcPr>
          <w:p>
            <w:pPr>
              <w:pStyle w:val="yTable"/>
              <w:ind w:left="1134" w:hanging="567"/>
            </w:pPr>
            <w:r>
              <w:t>(b)</w:t>
            </w:r>
            <w:r>
              <w:tab/>
              <w:t>if the material is sent outside Australia or is greater than 50 grams</w:t>
            </w:r>
          </w:p>
        </w:tc>
        <w:tc>
          <w:tcPr>
            <w:tcW w:w="1560" w:type="dxa"/>
          </w:tcPr>
          <w:p>
            <w:pPr>
              <w:pStyle w:val="yTable"/>
            </w:pPr>
            <w:r>
              <w:t> </w:t>
            </w:r>
            <w:r>
              <w:t>9.00</w:t>
            </w:r>
          </w:p>
          <w:p>
            <w:pPr>
              <w:pStyle w:val="yTable"/>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
              <w:ind w:left="567" w:hanging="567"/>
            </w:pPr>
            <w:r>
              <w:t>9.</w:t>
            </w:r>
            <w:r>
              <w:tab/>
              <w:t>For a survey of land, including preparation of survey plans or diagrams</w:t>
            </w:r>
          </w:p>
        </w:tc>
        <w:tc>
          <w:tcPr>
            <w:tcW w:w="1560" w:type="dxa"/>
          </w:tcPr>
          <w:p>
            <w:pPr>
              <w:pStyle w:val="yTable"/>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94" w:name="_Toc88370449"/>
      <w:bookmarkStart w:id="295" w:name="_Toc88371634"/>
      <w:bookmarkStart w:id="296" w:name="_Toc88626148"/>
      <w:bookmarkStart w:id="297" w:name="_Toc89059394"/>
      <w:bookmarkStart w:id="298" w:name="_Toc89066936"/>
      <w:bookmarkStart w:id="299" w:name="_Toc127932240"/>
      <w:bookmarkStart w:id="300" w:name="_Toc127932386"/>
      <w:bookmarkStart w:id="301" w:name="_Toc134863557"/>
      <w:bookmarkStart w:id="302" w:name="_Toc134866685"/>
      <w:bookmarkStart w:id="303" w:name="_Toc136657242"/>
      <w:bookmarkStart w:id="304" w:name="_Toc136659102"/>
      <w:bookmarkStart w:id="305" w:name="_Toc139777758"/>
      <w:r>
        <w:t>Notes</w:t>
      </w:r>
      <w:bookmarkEnd w:id="294"/>
      <w:bookmarkEnd w:id="295"/>
      <w:bookmarkEnd w:id="296"/>
      <w:bookmarkEnd w:id="297"/>
      <w:bookmarkEnd w:id="298"/>
      <w:bookmarkEnd w:id="299"/>
      <w:bookmarkEnd w:id="300"/>
      <w:bookmarkEnd w:id="301"/>
      <w:bookmarkEnd w:id="302"/>
      <w:bookmarkEnd w:id="303"/>
      <w:bookmarkEnd w:id="304"/>
      <w:bookmarkEnd w:id="305"/>
    </w:p>
    <w:p>
      <w:pPr>
        <w:pStyle w:val="nSubsection"/>
        <w:rPr>
          <w:snapToGrid w:val="0"/>
        </w:rPr>
      </w:pPr>
      <w:r>
        <w:rPr>
          <w:snapToGrid w:val="0"/>
          <w:vertAlign w:val="superscript"/>
        </w:rPr>
        <w:t>1</w:t>
      </w:r>
      <w:r>
        <w:rPr>
          <w:snapToGrid w:val="0"/>
        </w:rPr>
        <w:tab/>
        <w:t>This</w:t>
      </w:r>
      <w:del w:id="306" w:author="Master Repository Process" w:date="2021-08-29T00:55:00Z">
        <w:r>
          <w:rPr>
            <w:snapToGrid w:val="0"/>
          </w:rPr>
          <w:delText> </w:delText>
        </w:r>
      </w:del>
      <w:ins w:id="307" w:author="Master Repository Process" w:date="2021-08-29T00:55:00Z">
        <w:r>
          <w:rPr>
            <w:snapToGrid w:val="0"/>
          </w:rPr>
          <w:t xml:space="preserve"> reprint </w:t>
        </w:r>
      </w:ins>
      <w:r>
        <w:rPr>
          <w:snapToGrid w:val="0"/>
        </w:rPr>
        <w:t xml:space="preserve">is a compilation </w:t>
      </w:r>
      <w:ins w:id="308" w:author="Master Repository Process" w:date="2021-08-29T00:55:00Z">
        <w:r>
          <w:rPr>
            <w:snapToGrid w:val="0"/>
          </w:rPr>
          <w:t xml:space="preserve">as at 9 June 2006 </w:t>
        </w:r>
      </w:ins>
      <w:r>
        <w:rPr>
          <w:snapToGrid w:val="0"/>
        </w:rPr>
        <w:t xml:space="preserve">of the </w:t>
      </w:r>
      <w:r>
        <w:rPr>
          <w:i/>
          <w:noProof/>
          <w:snapToGrid w:val="0"/>
        </w:rPr>
        <w:t>Land Administration Regulations</w:t>
      </w:r>
      <w:del w:id="309" w:author="Master Repository Process" w:date="2021-08-29T00:55:00Z">
        <w:r>
          <w:rPr>
            <w:i/>
            <w:noProof/>
            <w:snapToGrid w:val="0"/>
          </w:rPr>
          <w:delText> </w:delText>
        </w:r>
      </w:del>
      <w:ins w:id="310" w:author="Master Repository Process" w:date="2021-08-29T00:55:00Z">
        <w:r>
          <w:rPr>
            <w:i/>
            <w:noProof/>
            <w:snapToGrid w:val="0"/>
          </w:rPr>
          <w:t xml:space="preserve"> </w:t>
        </w:r>
      </w:ins>
      <w:r>
        <w:rPr>
          <w:i/>
          <w:noProof/>
          <w:snapToGrid w:val="0"/>
        </w:rPr>
        <w:t>1998</w:t>
      </w:r>
      <w:r>
        <w:rPr>
          <w:snapToGrid w:val="0"/>
        </w:rPr>
        <w:t xml:space="preserve"> and includes the amendments made by the other written laws referred to in the following table.</w:t>
      </w:r>
      <w:ins w:id="311" w:author="Master Repository Process" w:date="2021-08-29T00:55:00Z">
        <w:r>
          <w:rPr>
            <w:snapToGrid w:val="0"/>
          </w:rPr>
          <w:t xml:space="preserve"> </w:t>
        </w:r>
      </w:ins>
      <w:r>
        <w:rPr>
          <w:snapToGrid w:val="0"/>
        </w:rPr>
        <w:t xml:space="preserve"> The table also contains information about any reprint.</w:t>
      </w:r>
    </w:p>
    <w:p>
      <w:pPr>
        <w:pStyle w:val="nHeading3"/>
        <w:rPr>
          <w:snapToGrid w:val="0"/>
        </w:rPr>
      </w:pPr>
      <w:bookmarkStart w:id="312" w:name="_Toc139777759"/>
      <w:bookmarkStart w:id="313" w:name="_Toc127932241"/>
      <w:bookmarkStart w:id="314" w:name="_Toc127932387"/>
      <w:r>
        <w:rPr>
          <w:snapToGrid w:val="0"/>
        </w:rPr>
        <w:t>Compilation table</w:t>
      </w:r>
      <w:bookmarkEnd w:id="312"/>
      <w:bookmarkEnd w:id="313"/>
      <w:bookmarkEnd w:id="31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w:t>
            </w:r>
            <w:del w:id="315" w:author="Master Repository Process" w:date="2021-08-29T00:55:00Z">
              <w:r>
                <w:rPr>
                  <w:sz w:val="19"/>
                </w:rPr>
                <w:br/>
              </w:r>
            </w:del>
            <w:ins w:id="316" w:author="Master Repository Process" w:date="2021-08-29T00:55:00Z">
              <w:r>
                <w:rPr>
                  <w:sz w:val="19"/>
                </w:rPr>
                <w:t xml:space="preserve"> </w:t>
              </w:r>
            </w:ins>
            <w:r>
              <w:rPr>
                <w:sz w:val="19"/>
              </w:rPr>
              <w:t>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w:t>
            </w:r>
            <w:del w:id="317" w:author="Master Repository Process" w:date="2021-08-29T00:55:00Z">
              <w:r>
                <w:rPr>
                  <w:sz w:val="19"/>
                </w:rPr>
                <w:br/>
              </w:r>
            </w:del>
            <w:ins w:id="318" w:author="Master Repository Process" w:date="2021-08-29T00:55:00Z">
              <w:r>
                <w:rPr>
                  <w:sz w:val="19"/>
                </w:rPr>
                <w:t xml:space="preserve"> </w:t>
              </w:r>
            </w:ins>
            <w:r>
              <w:rPr>
                <w:sz w:val="19"/>
              </w:rPr>
              <w:t>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 xml:space="preserve">13 Jul 2001 </w:t>
            </w:r>
            <w:del w:id="319" w:author="Master Repository Process" w:date="2021-08-29T00:55:00Z">
              <w:r>
                <w:rPr>
                  <w:sz w:val="19"/>
                </w:rPr>
                <w:br/>
              </w:r>
            </w:del>
            <w:r>
              <w:rPr>
                <w:sz w:val="19"/>
              </w:rPr>
              <w:t>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ins w:id="320" w:author="Master Repository Process" w:date="2021-08-29T00:55:00Z">
              <w:r>
                <w:rPr>
                  <w:iCs/>
                  <w:sz w:val="19"/>
                  <w:vertAlign w:val="superscript"/>
                </w:rPr>
                <w:t> 3</w:t>
              </w:r>
            </w:ins>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del w:id="321" w:author="Master Repository Process" w:date="2021-08-29T00:55:00Z">
              <w:r>
                <w:rPr>
                  <w:sz w:val="19"/>
                </w:rPr>
                <w:delText xml:space="preserve">16 Nov 2004 </w:delText>
              </w:r>
              <w:r>
                <w:rPr>
                  <w:sz w:val="19"/>
                </w:rPr>
                <w:br/>
                <w:delText>[Published again in Gazette 19 Nov 2004 p. 5081 but amendment of 19 Nov 2004 has no effect.]</w:delText>
              </w:r>
            </w:del>
            <w:ins w:id="322" w:author="Master Repository Process" w:date="2021-08-29T00:55:00Z">
              <w:r>
                <w:rPr>
                  <w:sz w:val="19"/>
                </w:rPr>
                <w:t>16 Nov 2004</w:t>
              </w:r>
            </w:ins>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ins w:id="323" w:author="Master Repository Process" w:date="2021-08-29T00:55:00Z"/>
        </w:trPr>
        <w:tc>
          <w:tcPr>
            <w:tcW w:w="7088" w:type="dxa"/>
            <w:gridSpan w:val="3"/>
            <w:tcBorders>
              <w:bottom w:val="single" w:sz="8" w:space="0" w:color="auto"/>
            </w:tcBorders>
          </w:tcPr>
          <w:p>
            <w:pPr>
              <w:pStyle w:val="nTable"/>
              <w:spacing w:after="30"/>
              <w:rPr>
                <w:ins w:id="324" w:author="Master Repository Process" w:date="2021-08-29T00:55:00Z"/>
                <w:sz w:val="19"/>
              </w:rPr>
            </w:pPr>
            <w:ins w:id="325" w:author="Master Repository Process" w:date="2021-08-29T00:55:00Z">
              <w:r>
                <w:rPr>
                  <w:b/>
                  <w:sz w:val="19"/>
                </w:rPr>
                <w:t xml:space="preserve">Reprint 2: The </w:t>
              </w:r>
              <w:r>
                <w:rPr>
                  <w:b/>
                  <w:i/>
                  <w:sz w:val="19"/>
                </w:rPr>
                <w:t>Land Administration Regulations 1998</w:t>
              </w:r>
              <w:r>
                <w:rPr>
                  <w:b/>
                  <w:sz w:val="19"/>
                </w:rPr>
                <w:t xml:space="preserve"> as at 9 Jun 2006</w:t>
              </w:r>
              <w:r>
                <w:rPr>
                  <w:sz w:val="19"/>
                </w:rPr>
                <w:br/>
                <w:t>(includes amendments listed above)</w:t>
              </w:r>
            </w:ins>
          </w:p>
        </w:tc>
      </w:tr>
    </w:tbl>
    <w:p>
      <w:pPr>
        <w:pStyle w:val="nSubsection"/>
        <w:rPr>
          <w:ins w:id="326" w:author="Master Repository Process" w:date="2021-08-29T00:55:00Z"/>
        </w:rPr>
      </w:pPr>
      <w:ins w:id="327" w:author="Master Repository Process" w:date="2021-08-29T00:55:00Z">
        <w:r>
          <w:rPr>
            <w:vertAlign w:val="superscript"/>
          </w:rPr>
          <w:t>2</w:t>
        </w:r>
        <w:r>
          <w:tab/>
          <w:t xml:space="preserve">Repealed by the </w:t>
        </w:r>
        <w:r>
          <w:rPr>
            <w:i/>
            <w:iCs/>
          </w:rPr>
          <w:t>Planning and Development (Consequential and Transitional Provisions) Act 2005</w:t>
        </w:r>
        <w:r>
          <w:t>.</w:t>
        </w:r>
      </w:ins>
    </w:p>
    <w:p>
      <w:pPr>
        <w:pStyle w:val="nSubsection"/>
        <w:rPr>
          <w:ins w:id="328" w:author="Master Repository Process" w:date="2021-08-29T00:55:00Z"/>
        </w:rPr>
      </w:pPr>
      <w:ins w:id="329" w:author="Master Repository Process" w:date="2021-08-29T00:55:00Z">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41514C3-340C-42FD-A5C8-62E8C5D5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5799</Words>
  <Characters>27662</Characters>
  <Application>Microsoft Office Word</Application>
  <DocSecurity>0</DocSecurity>
  <Lines>838</Lines>
  <Paragraphs>464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32997</CharactersWithSpaces>
  <SharedDoc>false</SharedDoc>
  <HLinks>
    <vt:vector size="12" baseType="variant">
      <vt:variant>
        <vt:i4>3014716</vt:i4>
      </vt:variant>
      <vt:variant>
        <vt:i4>5830</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01-f0-02 - 02-a0-02</dc:title>
  <dc:subject/>
  <dc:creator/>
  <cp:keywords/>
  <dc:description/>
  <cp:lastModifiedBy>Master Repository Process</cp:lastModifiedBy>
  <cp:revision>2</cp:revision>
  <cp:lastPrinted>2006-05-30T01:50:00Z</cp:lastPrinted>
  <dcterms:created xsi:type="dcterms:W3CDTF">2021-08-28T16:55:00Z</dcterms:created>
  <dcterms:modified xsi:type="dcterms:W3CDTF">2021-08-28T16:55:00Z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20060609</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01-f0-02</vt:lpwstr>
  </property>
  <property fmtid="{D5CDD505-2E9C-101B-9397-08002B2CF9AE}" pid="8" name="FromAsAtDate">
    <vt:lpwstr>17 Feb 2006</vt:lpwstr>
  </property>
  <property fmtid="{D5CDD505-2E9C-101B-9397-08002B2CF9AE}" pid="9" name="ToSuffix">
    <vt:lpwstr>02-a0-02</vt:lpwstr>
  </property>
  <property fmtid="{D5CDD505-2E9C-101B-9397-08002B2CF9AE}" pid="10" name="ToAsAtDate">
    <vt:lpwstr>09 Jun 2006</vt:lpwstr>
  </property>
</Properties>
</file>